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3A903" w14:textId="7566FE86" w:rsidR="009260DE" w:rsidRPr="006F6EE5" w:rsidRDefault="0021526C" w:rsidP="00C97F7F">
      <w:pPr>
        <w:rPr>
          <w:b/>
          <w:sz w:val="24"/>
          <w:szCs w:val="24"/>
        </w:rPr>
      </w:pPr>
      <w:r w:rsidRPr="006F6EE5">
        <w:rPr>
          <w:noProof/>
          <w:sz w:val="24"/>
          <w:szCs w:val="24"/>
          <w:lang w:eastAsia="da-DK"/>
        </w:rPr>
        <w:drawing>
          <wp:anchor distT="0" distB="0" distL="114300" distR="114300" simplePos="0" relativeHeight="251658240" behindDoc="0" locked="0" layoutInCell="1" allowOverlap="1" wp14:anchorId="4FE49651" wp14:editId="0F67768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F6EE5">
        <w:rPr>
          <w:sz w:val="24"/>
          <w:szCs w:val="24"/>
        </w:rPr>
        <w:br w:type="textWrapping" w:clear="all"/>
      </w:r>
    </w:p>
    <w:p w14:paraId="1057A44C" w14:textId="6159FFC1" w:rsidR="009260DE" w:rsidRPr="006F6EE5" w:rsidRDefault="009260DE" w:rsidP="009260DE">
      <w:pPr>
        <w:pStyle w:val="Titel"/>
        <w:tabs>
          <w:tab w:val="right" w:pos="9356"/>
        </w:tabs>
        <w:jc w:val="left"/>
        <w:rPr>
          <w:b w:val="0"/>
          <w:szCs w:val="24"/>
          <w:lang w:eastAsia="en-US"/>
        </w:rPr>
      </w:pPr>
      <w:r w:rsidRPr="006F6EE5">
        <w:rPr>
          <w:b w:val="0"/>
          <w:szCs w:val="24"/>
          <w:lang w:eastAsia="en-US"/>
        </w:rPr>
        <w:tab/>
      </w:r>
      <w:r w:rsidR="00D45693">
        <w:rPr>
          <w:szCs w:val="24"/>
        </w:rPr>
        <w:t>27. marts 2025</w:t>
      </w:r>
    </w:p>
    <w:p w14:paraId="0D46A0AC" w14:textId="77777777" w:rsidR="009260DE" w:rsidRPr="006F6EE5" w:rsidRDefault="009260DE" w:rsidP="009260DE">
      <w:pPr>
        <w:pStyle w:val="Titel"/>
        <w:tabs>
          <w:tab w:val="left" w:pos="8222"/>
        </w:tabs>
        <w:jc w:val="left"/>
        <w:rPr>
          <w:b w:val="0"/>
          <w:szCs w:val="24"/>
        </w:rPr>
      </w:pPr>
    </w:p>
    <w:p w14:paraId="698EAEA3" w14:textId="77777777" w:rsidR="009260DE" w:rsidRPr="006F6EE5" w:rsidRDefault="009260DE" w:rsidP="009260DE">
      <w:pPr>
        <w:pStyle w:val="Titel"/>
        <w:jc w:val="left"/>
        <w:rPr>
          <w:b w:val="0"/>
          <w:szCs w:val="24"/>
        </w:rPr>
      </w:pPr>
    </w:p>
    <w:p w14:paraId="21CEA059" w14:textId="77777777" w:rsidR="009260DE" w:rsidRPr="006F6EE5" w:rsidRDefault="009260DE" w:rsidP="009260DE">
      <w:pPr>
        <w:pStyle w:val="Titel"/>
        <w:jc w:val="left"/>
        <w:rPr>
          <w:b w:val="0"/>
          <w:szCs w:val="24"/>
        </w:rPr>
      </w:pPr>
    </w:p>
    <w:p w14:paraId="0EEA36D9" w14:textId="77777777" w:rsidR="009260DE" w:rsidRPr="006F6EE5" w:rsidRDefault="009260DE" w:rsidP="009260DE">
      <w:pPr>
        <w:jc w:val="center"/>
        <w:rPr>
          <w:b/>
          <w:sz w:val="24"/>
          <w:szCs w:val="24"/>
        </w:rPr>
      </w:pPr>
      <w:r w:rsidRPr="006F6EE5">
        <w:rPr>
          <w:b/>
          <w:sz w:val="24"/>
          <w:szCs w:val="24"/>
        </w:rPr>
        <w:t>PRODUKTRESUMÉ</w:t>
      </w:r>
    </w:p>
    <w:p w14:paraId="4A46E55E" w14:textId="77777777" w:rsidR="009260DE" w:rsidRPr="006F6EE5" w:rsidRDefault="009260DE" w:rsidP="009260DE">
      <w:pPr>
        <w:jc w:val="center"/>
        <w:rPr>
          <w:b/>
          <w:sz w:val="24"/>
          <w:szCs w:val="24"/>
        </w:rPr>
      </w:pPr>
    </w:p>
    <w:p w14:paraId="1CDA2C61" w14:textId="77777777" w:rsidR="009260DE" w:rsidRPr="006F6EE5" w:rsidRDefault="009260DE" w:rsidP="009260DE">
      <w:pPr>
        <w:jc w:val="center"/>
        <w:rPr>
          <w:b/>
          <w:sz w:val="24"/>
          <w:szCs w:val="24"/>
        </w:rPr>
      </w:pPr>
      <w:r w:rsidRPr="006F6EE5">
        <w:rPr>
          <w:b/>
          <w:sz w:val="24"/>
          <w:szCs w:val="24"/>
        </w:rPr>
        <w:t>for</w:t>
      </w:r>
    </w:p>
    <w:p w14:paraId="78E547EC" w14:textId="77777777" w:rsidR="000B058C" w:rsidRPr="006F6EE5" w:rsidRDefault="000B058C" w:rsidP="009260DE">
      <w:pPr>
        <w:jc w:val="center"/>
        <w:rPr>
          <w:b/>
          <w:sz w:val="24"/>
          <w:szCs w:val="24"/>
        </w:rPr>
      </w:pPr>
    </w:p>
    <w:p w14:paraId="0F051BE7" w14:textId="778385D1" w:rsidR="009260DE" w:rsidRPr="006F6EE5" w:rsidRDefault="00876DD4" w:rsidP="009260DE">
      <w:pPr>
        <w:jc w:val="center"/>
        <w:rPr>
          <w:b/>
          <w:sz w:val="24"/>
          <w:szCs w:val="24"/>
        </w:rPr>
      </w:pPr>
      <w:proofErr w:type="spellStart"/>
      <w:r w:rsidRPr="006F6EE5">
        <w:rPr>
          <w:b/>
          <w:sz w:val="24"/>
          <w:szCs w:val="24"/>
        </w:rPr>
        <w:t>Micafungin</w:t>
      </w:r>
      <w:proofErr w:type="spellEnd"/>
      <w:r w:rsidRPr="006F6EE5">
        <w:rPr>
          <w:b/>
          <w:sz w:val="24"/>
          <w:szCs w:val="24"/>
        </w:rPr>
        <w:t xml:space="preserve"> </w:t>
      </w:r>
      <w:r w:rsidR="006F6EE5">
        <w:rPr>
          <w:b/>
          <w:sz w:val="24"/>
          <w:szCs w:val="24"/>
        </w:rPr>
        <w:t>"</w:t>
      </w:r>
      <w:proofErr w:type="spellStart"/>
      <w:r w:rsidRPr="006F6EE5">
        <w:rPr>
          <w:b/>
          <w:sz w:val="24"/>
          <w:szCs w:val="24"/>
        </w:rPr>
        <w:t>Hikma</w:t>
      </w:r>
      <w:proofErr w:type="spellEnd"/>
      <w:r w:rsidR="006F6EE5">
        <w:rPr>
          <w:b/>
          <w:sz w:val="24"/>
          <w:szCs w:val="24"/>
        </w:rPr>
        <w:t>"</w:t>
      </w:r>
      <w:r w:rsidRPr="006F6EE5">
        <w:rPr>
          <w:b/>
          <w:sz w:val="24"/>
          <w:szCs w:val="24"/>
        </w:rPr>
        <w:t>, pulver til koncentrat til infusionsvæske, opløsning</w:t>
      </w:r>
    </w:p>
    <w:p w14:paraId="520C2770" w14:textId="77777777" w:rsidR="009260DE" w:rsidRPr="006F6EE5" w:rsidRDefault="009260DE" w:rsidP="009260DE">
      <w:pPr>
        <w:jc w:val="both"/>
        <w:rPr>
          <w:sz w:val="24"/>
          <w:szCs w:val="24"/>
        </w:rPr>
      </w:pPr>
    </w:p>
    <w:p w14:paraId="3751C835" w14:textId="77777777" w:rsidR="009260DE" w:rsidRPr="006F6EE5" w:rsidRDefault="009260DE" w:rsidP="009260DE">
      <w:pPr>
        <w:jc w:val="both"/>
        <w:rPr>
          <w:sz w:val="24"/>
          <w:szCs w:val="24"/>
        </w:rPr>
      </w:pPr>
    </w:p>
    <w:p w14:paraId="577A6EE5" w14:textId="77777777" w:rsidR="009260DE" w:rsidRPr="006F6EE5" w:rsidRDefault="009260DE" w:rsidP="009260DE">
      <w:pPr>
        <w:tabs>
          <w:tab w:val="left" w:pos="851"/>
        </w:tabs>
        <w:ind w:left="851" w:hanging="851"/>
        <w:rPr>
          <w:b/>
          <w:sz w:val="24"/>
          <w:szCs w:val="24"/>
        </w:rPr>
      </w:pPr>
      <w:r w:rsidRPr="006F6EE5">
        <w:rPr>
          <w:b/>
          <w:sz w:val="24"/>
          <w:szCs w:val="24"/>
        </w:rPr>
        <w:t>0.</w:t>
      </w:r>
      <w:r w:rsidRPr="006F6EE5">
        <w:rPr>
          <w:b/>
          <w:sz w:val="24"/>
          <w:szCs w:val="24"/>
        </w:rPr>
        <w:tab/>
        <w:t>D.SP.NR.</w:t>
      </w:r>
    </w:p>
    <w:p w14:paraId="0EFD38A3" w14:textId="36B3E1AA" w:rsidR="009260DE" w:rsidRPr="006F6EE5" w:rsidRDefault="0083512F" w:rsidP="009260DE">
      <w:pPr>
        <w:tabs>
          <w:tab w:val="left" w:pos="851"/>
        </w:tabs>
        <w:ind w:left="851"/>
        <w:rPr>
          <w:sz w:val="24"/>
          <w:szCs w:val="24"/>
        </w:rPr>
      </w:pPr>
      <w:r w:rsidRPr="006F6EE5">
        <w:rPr>
          <w:sz w:val="24"/>
          <w:szCs w:val="24"/>
        </w:rPr>
        <w:t>33988</w:t>
      </w:r>
    </w:p>
    <w:p w14:paraId="237278D8" w14:textId="77777777" w:rsidR="009260DE" w:rsidRPr="006F6EE5" w:rsidRDefault="009260DE" w:rsidP="009260DE">
      <w:pPr>
        <w:tabs>
          <w:tab w:val="left" w:pos="851"/>
        </w:tabs>
        <w:ind w:left="851"/>
        <w:rPr>
          <w:sz w:val="24"/>
          <w:szCs w:val="24"/>
        </w:rPr>
      </w:pPr>
    </w:p>
    <w:p w14:paraId="7992AFB6" w14:textId="77777777" w:rsidR="009260DE" w:rsidRPr="006F6EE5" w:rsidRDefault="009260DE" w:rsidP="009260DE">
      <w:pPr>
        <w:tabs>
          <w:tab w:val="left" w:pos="851"/>
        </w:tabs>
        <w:ind w:left="851" w:hanging="851"/>
        <w:rPr>
          <w:b/>
          <w:sz w:val="24"/>
          <w:szCs w:val="24"/>
        </w:rPr>
      </w:pPr>
      <w:r w:rsidRPr="006F6EE5">
        <w:rPr>
          <w:b/>
          <w:sz w:val="24"/>
          <w:szCs w:val="24"/>
        </w:rPr>
        <w:t>1.</w:t>
      </w:r>
      <w:r w:rsidRPr="006F6EE5">
        <w:rPr>
          <w:b/>
          <w:sz w:val="24"/>
          <w:szCs w:val="24"/>
        </w:rPr>
        <w:tab/>
        <w:t>LÆGEMIDLETS NAVN</w:t>
      </w:r>
    </w:p>
    <w:p w14:paraId="0B6BD0A2" w14:textId="19FF8629" w:rsidR="009260DE" w:rsidRPr="006F6EE5" w:rsidRDefault="00876DD4" w:rsidP="009260DE">
      <w:pPr>
        <w:tabs>
          <w:tab w:val="left" w:pos="851"/>
        </w:tabs>
        <w:ind w:left="851"/>
        <w:rPr>
          <w:sz w:val="24"/>
          <w:szCs w:val="24"/>
        </w:rPr>
      </w:pPr>
      <w:proofErr w:type="spellStart"/>
      <w:r w:rsidRPr="006F6EE5">
        <w:rPr>
          <w:sz w:val="24"/>
          <w:szCs w:val="24"/>
        </w:rPr>
        <w:t>Micafungin</w:t>
      </w:r>
      <w:proofErr w:type="spellEnd"/>
      <w:r w:rsidRPr="006F6EE5">
        <w:rPr>
          <w:sz w:val="24"/>
          <w:szCs w:val="24"/>
        </w:rPr>
        <w:t xml:space="preserve"> </w:t>
      </w:r>
      <w:r w:rsidR="006F6EE5">
        <w:rPr>
          <w:sz w:val="24"/>
          <w:szCs w:val="24"/>
        </w:rPr>
        <w:t>"</w:t>
      </w:r>
      <w:proofErr w:type="spellStart"/>
      <w:r w:rsidRPr="006F6EE5">
        <w:rPr>
          <w:sz w:val="24"/>
          <w:szCs w:val="24"/>
        </w:rPr>
        <w:t>Hikma</w:t>
      </w:r>
      <w:proofErr w:type="spellEnd"/>
      <w:r w:rsidR="006F6EE5">
        <w:rPr>
          <w:sz w:val="24"/>
          <w:szCs w:val="24"/>
        </w:rPr>
        <w:t>"</w:t>
      </w:r>
    </w:p>
    <w:p w14:paraId="422F7F8A" w14:textId="77777777" w:rsidR="009260DE" w:rsidRPr="006F6EE5" w:rsidRDefault="009260DE" w:rsidP="009260DE">
      <w:pPr>
        <w:tabs>
          <w:tab w:val="left" w:pos="851"/>
        </w:tabs>
        <w:ind w:left="851"/>
        <w:rPr>
          <w:sz w:val="24"/>
          <w:szCs w:val="24"/>
        </w:rPr>
      </w:pPr>
    </w:p>
    <w:p w14:paraId="333C9CD0" w14:textId="77777777" w:rsidR="009260DE" w:rsidRPr="006F6EE5" w:rsidRDefault="009260DE" w:rsidP="009260DE">
      <w:pPr>
        <w:tabs>
          <w:tab w:val="left" w:pos="851"/>
        </w:tabs>
        <w:ind w:left="851" w:hanging="851"/>
        <w:rPr>
          <w:b/>
          <w:sz w:val="24"/>
          <w:szCs w:val="24"/>
        </w:rPr>
      </w:pPr>
      <w:r w:rsidRPr="006F6EE5">
        <w:rPr>
          <w:b/>
          <w:sz w:val="24"/>
          <w:szCs w:val="24"/>
        </w:rPr>
        <w:t>2.</w:t>
      </w:r>
      <w:r w:rsidRPr="006F6EE5">
        <w:rPr>
          <w:b/>
          <w:sz w:val="24"/>
          <w:szCs w:val="24"/>
        </w:rPr>
        <w:tab/>
        <w:t>KVALITATIV OG KVANTITATIV SAMMENSÆTNING</w:t>
      </w:r>
    </w:p>
    <w:p w14:paraId="7C366055" w14:textId="77777777" w:rsidR="006F6EE5" w:rsidRDefault="006F6EE5" w:rsidP="00C97F7F">
      <w:pPr>
        <w:tabs>
          <w:tab w:val="left" w:pos="-720"/>
        </w:tabs>
        <w:suppressAutoHyphens/>
        <w:ind w:left="851"/>
        <w:rPr>
          <w:sz w:val="24"/>
          <w:szCs w:val="24"/>
          <w:u w:val="single"/>
        </w:rPr>
      </w:pPr>
    </w:p>
    <w:p w14:paraId="698FFB1E" w14:textId="5AE7121D" w:rsidR="00150AB9" w:rsidRPr="006F6EE5" w:rsidRDefault="00150AB9" w:rsidP="00C97F7F">
      <w:pPr>
        <w:tabs>
          <w:tab w:val="left" w:pos="-720"/>
        </w:tabs>
        <w:suppressAutoHyphens/>
        <w:ind w:left="851"/>
        <w:rPr>
          <w:sz w:val="24"/>
          <w:szCs w:val="24"/>
          <w:u w:val="single"/>
        </w:rPr>
      </w:pPr>
      <w:proofErr w:type="spellStart"/>
      <w:r w:rsidRPr="006F6EE5">
        <w:rPr>
          <w:sz w:val="24"/>
          <w:szCs w:val="24"/>
          <w:u w:val="single"/>
        </w:rPr>
        <w:t>Micafungin</w:t>
      </w:r>
      <w:proofErr w:type="spellEnd"/>
      <w:r w:rsidRPr="006F6EE5">
        <w:rPr>
          <w:sz w:val="24"/>
          <w:szCs w:val="24"/>
          <w:u w:val="single"/>
        </w:rPr>
        <w:t xml:space="preserve"> </w:t>
      </w:r>
      <w:r w:rsidR="006F6EE5">
        <w:rPr>
          <w:sz w:val="24"/>
          <w:szCs w:val="24"/>
          <w:u w:val="single"/>
        </w:rPr>
        <w:t>"</w:t>
      </w:r>
      <w:proofErr w:type="spellStart"/>
      <w:r w:rsidRPr="006F6EE5">
        <w:rPr>
          <w:sz w:val="24"/>
          <w:szCs w:val="24"/>
          <w:u w:val="single"/>
        </w:rPr>
        <w:t>Hikma</w:t>
      </w:r>
      <w:proofErr w:type="spellEnd"/>
      <w:r w:rsidR="006F6EE5">
        <w:rPr>
          <w:sz w:val="24"/>
          <w:szCs w:val="24"/>
          <w:u w:val="single"/>
        </w:rPr>
        <w:t>"</w:t>
      </w:r>
      <w:r w:rsidRPr="006F6EE5">
        <w:rPr>
          <w:sz w:val="24"/>
          <w:szCs w:val="24"/>
          <w:u w:val="single"/>
        </w:rPr>
        <w:t xml:space="preserve"> 50 mg</w:t>
      </w:r>
    </w:p>
    <w:p w14:paraId="53A191A1" w14:textId="77777777" w:rsidR="00150AB9" w:rsidRPr="006F6EE5" w:rsidRDefault="00150AB9" w:rsidP="00C97F7F">
      <w:pPr>
        <w:tabs>
          <w:tab w:val="left" w:pos="-720"/>
        </w:tabs>
        <w:suppressAutoHyphens/>
        <w:ind w:left="851"/>
        <w:rPr>
          <w:sz w:val="24"/>
          <w:szCs w:val="24"/>
        </w:rPr>
      </w:pPr>
    </w:p>
    <w:p w14:paraId="785C9E42" w14:textId="77777777" w:rsidR="00150AB9" w:rsidRPr="006F6EE5" w:rsidRDefault="00150AB9" w:rsidP="00C97F7F">
      <w:pPr>
        <w:tabs>
          <w:tab w:val="left" w:pos="-720"/>
        </w:tabs>
        <w:suppressAutoHyphens/>
        <w:ind w:left="851"/>
        <w:rPr>
          <w:sz w:val="24"/>
          <w:szCs w:val="24"/>
        </w:rPr>
      </w:pPr>
      <w:r w:rsidRPr="006F6EE5">
        <w:rPr>
          <w:sz w:val="24"/>
          <w:szCs w:val="24"/>
        </w:rPr>
        <w:t xml:space="preserve">Hvert hætteglas indeholder 50,86 mg </w:t>
      </w:r>
      <w:proofErr w:type="spellStart"/>
      <w:r w:rsidRPr="006F6EE5">
        <w:rPr>
          <w:sz w:val="24"/>
          <w:szCs w:val="24"/>
        </w:rPr>
        <w:t>micafunginnatrium</w:t>
      </w:r>
      <w:proofErr w:type="spellEnd"/>
      <w:r w:rsidRPr="006F6EE5">
        <w:rPr>
          <w:sz w:val="24"/>
          <w:szCs w:val="24"/>
        </w:rPr>
        <w:t xml:space="preserve"> (svarende til 50 mg </w:t>
      </w:r>
      <w:proofErr w:type="spellStart"/>
      <w:r w:rsidRPr="006F6EE5">
        <w:rPr>
          <w:sz w:val="24"/>
          <w:szCs w:val="24"/>
        </w:rPr>
        <w:t>micafungin</w:t>
      </w:r>
      <w:proofErr w:type="spellEnd"/>
      <w:r w:rsidRPr="006F6EE5">
        <w:rPr>
          <w:sz w:val="24"/>
          <w:szCs w:val="24"/>
        </w:rPr>
        <w:t>).</w:t>
      </w:r>
    </w:p>
    <w:p w14:paraId="143042D7" w14:textId="77777777" w:rsidR="00150AB9" w:rsidRPr="006F6EE5" w:rsidRDefault="00150AB9" w:rsidP="00C97F7F">
      <w:pPr>
        <w:tabs>
          <w:tab w:val="left" w:pos="-720"/>
        </w:tabs>
        <w:suppressAutoHyphens/>
        <w:ind w:left="851"/>
        <w:rPr>
          <w:sz w:val="24"/>
          <w:szCs w:val="24"/>
        </w:rPr>
      </w:pPr>
      <w:r w:rsidRPr="006F6EE5">
        <w:rPr>
          <w:sz w:val="24"/>
          <w:szCs w:val="24"/>
        </w:rPr>
        <w:t xml:space="preserve">Efter </w:t>
      </w:r>
      <w:proofErr w:type="spellStart"/>
      <w:r w:rsidRPr="006F6EE5">
        <w:rPr>
          <w:sz w:val="24"/>
          <w:szCs w:val="24"/>
        </w:rPr>
        <w:t>rekonstitution</w:t>
      </w:r>
      <w:proofErr w:type="spellEnd"/>
      <w:r w:rsidRPr="006F6EE5">
        <w:rPr>
          <w:sz w:val="24"/>
          <w:szCs w:val="24"/>
        </w:rPr>
        <w:t xml:space="preserve"> indeholder hver ml 10 mg </w:t>
      </w:r>
      <w:proofErr w:type="spellStart"/>
      <w:r w:rsidRPr="006F6EE5">
        <w:rPr>
          <w:sz w:val="24"/>
          <w:szCs w:val="24"/>
        </w:rPr>
        <w:t>micafungin</w:t>
      </w:r>
      <w:proofErr w:type="spellEnd"/>
      <w:r w:rsidRPr="006F6EE5">
        <w:rPr>
          <w:sz w:val="24"/>
          <w:szCs w:val="24"/>
        </w:rPr>
        <w:t xml:space="preserve"> (som natrium).</w:t>
      </w:r>
    </w:p>
    <w:p w14:paraId="1A80E522" w14:textId="77777777" w:rsidR="00150AB9" w:rsidRPr="006F6EE5" w:rsidRDefault="00150AB9" w:rsidP="00C97F7F">
      <w:pPr>
        <w:tabs>
          <w:tab w:val="left" w:pos="-720"/>
        </w:tabs>
        <w:suppressAutoHyphens/>
        <w:ind w:left="851"/>
        <w:rPr>
          <w:sz w:val="24"/>
          <w:szCs w:val="24"/>
        </w:rPr>
      </w:pPr>
    </w:p>
    <w:p w14:paraId="5DE31793" w14:textId="7130BB9A" w:rsidR="00150AB9" w:rsidRPr="006F6EE5" w:rsidRDefault="00150AB9" w:rsidP="00C97F7F">
      <w:pPr>
        <w:tabs>
          <w:tab w:val="left" w:pos="-720"/>
        </w:tabs>
        <w:suppressAutoHyphens/>
        <w:ind w:left="851"/>
        <w:rPr>
          <w:sz w:val="24"/>
          <w:szCs w:val="24"/>
          <w:u w:val="single"/>
        </w:rPr>
      </w:pPr>
      <w:proofErr w:type="spellStart"/>
      <w:r w:rsidRPr="006F6EE5">
        <w:rPr>
          <w:sz w:val="24"/>
          <w:szCs w:val="24"/>
          <w:u w:val="single"/>
        </w:rPr>
        <w:t>Micafungin</w:t>
      </w:r>
      <w:proofErr w:type="spellEnd"/>
      <w:r w:rsidRPr="006F6EE5">
        <w:rPr>
          <w:sz w:val="24"/>
          <w:szCs w:val="24"/>
          <w:u w:val="single"/>
        </w:rPr>
        <w:t xml:space="preserve"> </w:t>
      </w:r>
      <w:r w:rsidR="006F6EE5">
        <w:rPr>
          <w:sz w:val="24"/>
          <w:szCs w:val="24"/>
          <w:u w:val="single"/>
        </w:rPr>
        <w:t>"</w:t>
      </w:r>
      <w:proofErr w:type="spellStart"/>
      <w:r w:rsidRPr="006F6EE5">
        <w:rPr>
          <w:sz w:val="24"/>
          <w:szCs w:val="24"/>
          <w:u w:val="single"/>
        </w:rPr>
        <w:t>Hikma</w:t>
      </w:r>
      <w:proofErr w:type="spellEnd"/>
      <w:r w:rsidR="006F6EE5">
        <w:rPr>
          <w:sz w:val="24"/>
          <w:szCs w:val="24"/>
          <w:u w:val="single"/>
        </w:rPr>
        <w:t>"</w:t>
      </w:r>
      <w:r w:rsidRPr="006F6EE5">
        <w:rPr>
          <w:sz w:val="24"/>
          <w:szCs w:val="24"/>
          <w:u w:val="single"/>
        </w:rPr>
        <w:t xml:space="preserve"> 100 mg</w:t>
      </w:r>
    </w:p>
    <w:p w14:paraId="6C0C5484" w14:textId="77777777" w:rsidR="00150AB9" w:rsidRPr="006F6EE5" w:rsidRDefault="00150AB9" w:rsidP="00C97F7F">
      <w:pPr>
        <w:tabs>
          <w:tab w:val="left" w:pos="-720"/>
        </w:tabs>
        <w:suppressAutoHyphens/>
        <w:ind w:left="851"/>
        <w:rPr>
          <w:sz w:val="24"/>
          <w:szCs w:val="24"/>
        </w:rPr>
      </w:pPr>
    </w:p>
    <w:p w14:paraId="30133E4C" w14:textId="77777777" w:rsidR="00150AB9" w:rsidRPr="006F6EE5" w:rsidRDefault="00150AB9" w:rsidP="00C97F7F">
      <w:pPr>
        <w:tabs>
          <w:tab w:val="left" w:pos="-720"/>
        </w:tabs>
        <w:suppressAutoHyphens/>
        <w:ind w:left="851"/>
        <w:rPr>
          <w:sz w:val="24"/>
          <w:szCs w:val="24"/>
        </w:rPr>
      </w:pPr>
      <w:r w:rsidRPr="006F6EE5">
        <w:rPr>
          <w:sz w:val="24"/>
          <w:szCs w:val="24"/>
        </w:rPr>
        <w:t xml:space="preserve">Hvert hætteglas indeholder 101,73 mg </w:t>
      </w:r>
      <w:proofErr w:type="spellStart"/>
      <w:r w:rsidRPr="006F6EE5">
        <w:rPr>
          <w:sz w:val="24"/>
          <w:szCs w:val="24"/>
        </w:rPr>
        <w:t>micafunginnatrium</w:t>
      </w:r>
      <w:proofErr w:type="spellEnd"/>
      <w:r w:rsidRPr="006F6EE5">
        <w:rPr>
          <w:sz w:val="24"/>
          <w:szCs w:val="24"/>
        </w:rPr>
        <w:t xml:space="preserve"> (svarende til 100 mg </w:t>
      </w:r>
      <w:proofErr w:type="spellStart"/>
      <w:r w:rsidRPr="006F6EE5">
        <w:rPr>
          <w:sz w:val="24"/>
          <w:szCs w:val="24"/>
        </w:rPr>
        <w:t>micafungin</w:t>
      </w:r>
      <w:proofErr w:type="spellEnd"/>
      <w:r w:rsidRPr="006F6EE5">
        <w:rPr>
          <w:sz w:val="24"/>
          <w:szCs w:val="24"/>
        </w:rPr>
        <w:t>).</w:t>
      </w:r>
    </w:p>
    <w:p w14:paraId="6D49A447" w14:textId="77777777" w:rsidR="00150AB9" w:rsidRPr="006F6EE5" w:rsidRDefault="00150AB9" w:rsidP="00C97F7F">
      <w:pPr>
        <w:tabs>
          <w:tab w:val="left" w:pos="-720"/>
        </w:tabs>
        <w:suppressAutoHyphens/>
        <w:ind w:left="851"/>
        <w:rPr>
          <w:sz w:val="24"/>
          <w:szCs w:val="24"/>
        </w:rPr>
      </w:pPr>
      <w:r w:rsidRPr="006F6EE5">
        <w:rPr>
          <w:sz w:val="24"/>
          <w:szCs w:val="24"/>
        </w:rPr>
        <w:t xml:space="preserve">Efter </w:t>
      </w:r>
      <w:proofErr w:type="spellStart"/>
      <w:r w:rsidRPr="006F6EE5">
        <w:rPr>
          <w:sz w:val="24"/>
          <w:szCs w:val="24"/>
        </w:rPr>
        <w:t>rekonstitution</w:t>
      </w:r>
      <w:proofErr w:type="spellEnd"/>
      <w:r w:rsidRPr="006F6EE5">
        <w:rPr>
          <w:sz w:val="24"/>
          <w:szCs w:val="24"/>
        </w:rPr>
        <w:t xml:space="preserve"> indeholder hver ml 20 mg </w:t>
      </w:r>
      <w:proofErr w:type="spellStart"/>
      <w:r w:rsidRPr="006F6EE5">
        <w:rPr>
          <w:sz w:val="24"/>
          <w:szCs w:val="24"/>
        </w:rPr>
        <w:t>micafungin</w:t>
      </w:r>
      <w:proofErr w:type="spellEnd"/>
      <w:r w:rsidRPr="006F6EE5">
        <w:rPr>
          <w:sz w:val="24"/>
          <w:szCs w:val="24"/>
        </w:rPr>
        <w:t xml:space="preserve"> (som natrium).</w:t>
      </w:r>
    </w:p>
    <w:p w14:paraId="3D301A40" w14:textId="77777777" w:rsidR="00150AB9" w:rsidRPr="006F6EE5" w:rsidRDefault="00150AB9" w:rsidP="00C97F7F">
      <w:pPr>
        <w:tabs>
          <w:tab w:val="left" w:pos="-720"/>
        </w:tabs>
        <w:suppressAutoHyphens/>
        <w:ind w:left="851"/>
        <w:rPr>
          <w:sz w:val="24"/>
          <w:szCs w:val="24"/>
        </w:rPr>
      </w:pPr>
    </w:p>
    <w:p w14:paraId="796BD6CC" w14:textId="77777777" w:rsidR="00150AB9" w:rsidRPr="006F6EE5" w:rsidRDefault="00150AB9" w:rsidP="00C97F7F">
      <w:pPr>
        <w:tabs>
          <w:tab w:val="left" w:pos="-720"/>
        </w:tabs>
        <w:suppressAutoHyphens/>
        <w:ind w:left="851"/>
        <w:rPr>
          <w:sz w:val="24"/>
          <w:szCs w:val="24"/>
        </w:rPr>
      </w:pPr>
      <w:r w:rsidRPr="006F6EE5">
        <w:rPr>
          <w:sz w:val="24"/>
          <w:szCs w:val="24"/>
        </w:rPr>
        <w:t>Hjælpestof, som behandleren skal være opmærksom på:</w:t>
      </w:r>
    </w:p>
    <w:p w14:paraId="391C503D" w14:textId="77777777" w:rsidR="00150AB9" w:rsidRPr="006F6EE5" w:rsidRDefault="00150AB9" w:rsidP="00C97F7F">
      <w:pPr>
        <w:tabs>
          <w:tab w:val="left" w:pos="-720"/>
        </w:tabs>
        <w:suppressAutoHyphens/>
        <w:ind w:left="851"/>
        <w:rPr>
          <w:sz w:val="24"/>
          <w:szCs w:val="24"/>
        </w:rPr>
      </w:pPr>
      <w:r w:rsidRPr="006F6EE5">
        <w:rPr>
          <w:sz w:val="24"/>
          <w:szCs w:val="24"/>
        </w:rPr>
        <w:t>Dette lægemiddel indeholder mindre en 1 mmol (23 mg) natrium pr. dosis, dvs. det er i det væsentlige natriumfrit.</w:t>
      </w:r>
    </w:p>
    <w:p w14:paraId="0E3EFF04" w14:textId="77777777" w:rsidR="00150AB9" w:rsidRPr="006F6EE5" w:rsidRDefault="00150AB9" w:rsidP="00C97F7F">
      <w:pPr>
        <w:tabs>
          <w:tab w:val="left" w:pos="-720"/>
        </w:tabs>
        <w:suppressAutoHyphens/>
        <w:ind w:left="851"/>
        <w:rPr>
          <w:sz w:val="24"/>
          <w:szCs w:val="24"/>
        </w:rPr>
      </w:pPr>
    </w:p>
    <w:p w14:paraId="21CA018A" w14:textId="77777777" w:rsidR="00150AB9" w:rsidRPr="006F6EE5" w:rsidRDefault="00150AB9" w:rsidP="00C97F7F">
      <w:pPr>
        <w:tabs>
          <w:tab w:val="left" w:pos="567"/>
        </w:tabs>
        <w:spacing w:line="260" w:lineRule="exact"/>
        <w:ind w:left="851"/>
        <w:rPr>
          <w:sz w:val="24"/>
          <w:szCs w:val="24"/>
        </w:rPr>
      </w:pPr>
      <w:r w:rsidRPr="006F6EE5">
        <w:rPr>
          <w:sz w:val="24"/>
          <w:szCs w:val="24"/>
        </w:rPr>
        <w:t>Alle hjælpestoffer er anført under pkt. 6.1.</w:t>
      </w:r>
    </w:p>
    <w:p w14:paraId="5D7B720A" w14:textId="77777777" w:rsidR="009260DE" w:rsidRPr="006F6EE5" w:rsidRDefault="009260DE" w:rsidP="009260DE">
      <w:pPr>
        <w:tabs>
          <w:tab w:val="left" w:pos="851"/>
        </w:tabs>
        <w:ind w:left="851"/>
        <w:rPr>
          <w:sz w:val="24"/>
          <w:szCs w:val="24"/>
        </w:rPr>
      </w:pPr>
    </w:p>
    <w:p w14:paraId="63D2E424" w14:textId="77777777" w:rsidR="009260DE" w:rsidRPr="006F6EE5" w:rsidRDefault="009260DE" w:rsidP="009260DE">
      <w:pPr>
        <w:tabs>
          <w:tab w:val="left" w:pos="851"/>
        </w:tabs>
        <w:ind w:left="851" w:hanging="851"/>
        <w:rPr>
          <w:b/>
          <w:sz w:val="24"/>
          <w:szCs w:val="24"/>
        </w:rPr>
      </w:pPr>
      <w:r w:rsidRPr="006F6EE5">
        <w:rPr>
          <w:b/>
          <w:sz w:val="24"/>
          <w:szCs w:val="24"/>
        </w:rPr>
        <w:t>3.</w:t>
      </w:r>
      <w:r w:rsidRPr="006F6EE5">
        <w:rPr>
          <w:b/>
          <w:sz w:val="24"/>
          <w:szCs w:val="24"/>
        </w:rPr>
        <w:tab/>
        <w:t>LÆGEMIDDELFORM</w:t>
      </w:r>
    </w:p>
    <w:p w14:paraId="7AAE11A3" w14:textId="77777777" w:rsidR="00150AB9" w:rsidRPr="006F6EE5" w:rsidRDefault="00150AB9" w:rsidP="00C97F7F">
      <w:pPr>
        <w:ind w:left="851"/>
        <w:rPr>
          <w:sz w:val="24"/>
          <w:szCs w:val="24"/>
        </w:rPr>
      </w:pPr>
      <w:r w:rsidRPr="006F6EE5">
        <w:rPr>
          <w:sz w:val="24"/>
          <w:szCs w:val="24"/>
        </w:rPr>
        <w:t>Pulver til koncentrat til infusionsvæske, opløsning</w:t>
      </w:r>
    </w:p>
    <w:p w14:paraId="02E78418" w14:textId="77777777" w:rsidR="00150AB9" w:rsidRPr="006F6EE5" w:rsidRDefault="00150AB9" w:rsidP="00C97F7F">
      <w:pPr>
        <w:ind w:left="851"/>
        <w:rPr>
          <w:sz w:val="24"/>
          <w:szCs w:val="24"/>
        </w:rPr>
      </w:pPr>
      <w:r w:rsidRPr="006F6EE5">
        <w:rPr>
          <w:sz w:val="24"/>
          <w:szCs w:val="24"/>
        </w:rPr>
        <w:t>Hvidt, kompakt pulver</w:t>
      </w:r>
    </w:p>
    <w:p w14:paraId="06C33329" w14:textId="77777777" w:rsidR="00150AB9" w:rsidRPr="006F6EE5" w:rsidRDefault="00150AB9" w:rsidP="00C97F7F">
      <w:pPr>
        <w:ind w:left="851"/>
        <w:rPr>
          <w:sz w:val="24"/>
          <w:szCs w:val="24"/>
        </w:rPr>
      </w:pPr>
    </w:p>
    <w:p w14:paraId="098E6658" w14:textId="77777777" w:rsidR="00150AB9" w:rsidRPr="006F6EE5" w:rsidRDefault="00150AB9" w:rsidP="00C97F7F">
      <w:pPr>
        <w:ind w:left="851"/>
        <w:rPr>
          <w:sz w:val="24"/>
          <w:szCs w:val="24"/>
        </w:rPr>
      </w:pPr>
      <w:r w:rsidRPr="006F6EE5">
        <w:rPr>
          <w:sz w:val="24"/>
          <w:szCs w:val="24"/>
        </w:rPr>
        <w:t xml:space="preserve">Efter </w:t>
      </w:r>
      <w:proofErr w:type="spellStart"/>
      <w:r w:rsidRPr="006F6EE5">
        <w:rPr>
          <w:sz w:val="24"/>
          <w:szCs w:val="24"/>
        </w:rPr>
        <w:t>rekonstitution</w:t>
      </w:r>
      <w:proofErr w:type="spellEnd"/>
      <w:r w:rsidRPr="006F6EE5">
        <w:rPr>
          <w:sz w:val="24"/>
          <w:szCs w:val="24"/>
        </w:rPr>
        <w:t xml:space="preserve"> og fortynding skal opløsningen administreres ved intravenøs infusion over ca. 1 time.</w:t>
      </w:r>
    </w:p>
    <w:p w14:paraId="54D3B435" w14:textId="77777777" w:rsidR="009260DE" w:rsidRPr="006F6EE5" w:rsidRDefault="009260DE" w:rsidP="009260DE">
      <w:pPr>
        <w:tabs>
          <w:tab w:val="left" w:pos="851"/>
        </w:tabs>
        <w:ind w:left="851"/>
        <w:rPr>
          <w:sz w:val="24"/>
          <w:szCs w:val="24"/>
        </w:rPr>
      </w:pPr>
    </w:p>
    <w:p w14:paraId="58B52D5E" w14:textId="7D529582" w:rsidR="00F852AA" w:rsidRDefault="00F852AA">
      <w:pPr>
        <w:rPr>
          <w:sz w:val="24"/>
          <w:szCs w:val="24"/>
        </w:rPr>
      </w:pPr>
      <w:r>
        <w:rPr>
          <w:sz w:val="24"/>
          <w:szCs w:val="24"/>
        </w:rPr>
        <w:br w:type="page"/>
      </w:r>
    </w:p>
    <w:p w14:paraId="643E9B01" w14:textId="77777777" w:rsidR="009260DE" w:rsidRPr="006F6EE5" w:rsidRDefault="009260DE" w:rsidP="009260DE">
      <w:pPr>
        <w:tabs>
          <w:tab w:val="left" w:pos="851"/>
        </w:tabs>
        <w:ind w:left="851"/>
        <w:rPr>
          <w:sz w:val="24"/>
          <w:szCs w:val="24"/>
        </w:rPr>
      </w:pPr>
    </w:p>
    <w:p w14:paraId="399A605E" w14:textId="77777777" w:rsidR="009260DE" w:rsidRPr="006F6EE5" w:rsidRDefault="009260DE" w:rsidP="009260DE">
      <w:pPr>
        <w:tabs>
          <w:tab w:val="left" w:pos="851"/>
        </w:tabs>
        <w:ind w:left="851" w:hanging="851"/>
        <w:rPr>
          <w:b/>
          <w:sz w:val="24"/>
          <w:szCs w:val="24"/>
        </w:rPr>
      </w:pPr>
      <w:r w:rsidRPr="006F6EE5">
        <w:rPr>
          <w:b/>
          <w:sz w:val="24"/>
          <w:szCs w:val="24"/>
        </w:rPr>
        <w:t>4.</w:t>
      </w:r>
      <w:r w:rsidRPr="006F6EE5">
        <w:rPr>
          <w:b/>
          <w:sz w:val="24"/>
          <w:szCs w:val="24"/>
        </w:rPr>
        <w:tab/>
        <w:t>KLINISKE OPLYSNINGER</w:t>
      </w:r>
    </w:p>
    <w:p w14:paraId="726FBB3B" w14:textId="77777777" w:rsidR="009260DE" w:rsidRPr="006F6EE5" w:rsidRDefault="009260DE" w:rsidP="009260DE">
      <w:pPr>
        <w:tabs>
          <w:tab w:val="left" w:pos="851"/>
        </w:tabs>
        <w:ind w:left="851"/>
        <w:rPr>
          <w:b/>
          <w:sz w:val="24"/>
          <w:szCs w:val="24"/>
        </w:rPr>
      </w:pPr>
    </w:p>
    <w:p w14:paraId="436EB268" w14:textId="77777777" w:rsidR="009260DE" w:rsidRPr="006F6EE5" w:rsidRDefault="009260DE" w:rsidP="009260DE">
      <w:pPr>
        <w:tabs>
          <w:tab w:val="left" w:pos="851"/>
        </w:tabs>
        <w:ind w:left="851" w:hanging="851"/>
        <w:rPr>
          <w:b/>
          <w:sz w:val="24"/>
          <w:szCs w:val="24"/>
          <w:u w:val="single"/>
        </w:rPr>
      </w:pPr>
      <w:r w:rsidRPr="006F6EE5">
        <w:rPr>
          <w:b/>
          <w:sz w:val="24"/>
          <w:szCs w:val="24"/>
        </w:rPr>
        <w:t>4.1</w:t>
      </w:r>
      <w:r w:rsidRPr="006F6EE5">
        <w:rPr>
          <w:b/>
          <w:sz w:val="24"/>
          <w:szCs w:val="24"/>
        </w:rPr>
        <w:tab/>
        <w:t>Terapeutiske indikationer</w:t>
      </w:r>
    </w:p>
    <w:p w14:paraId="2B82CB19" w14:textId="6CDB3DE7" w:rsidR="00150AB9" w:rsidRPr="006F6EE5" w:rsidRDefault="00150AB9" w:rsidP="00C97F7F">
      <w:pPr>
        <w:ind w:left="851"/>
        <w:rPr>
          <w:sz w:val="24"/>
          <w:szCs w:val="24"/>
        </w:rPr>
      </w:pPr>
      <w:proofErr w:type="spellStart"/>
      <w:r w:rsidRPr="006F6EE5">
        <w:rPr>
          <w:sz w:val="24"/>
          <w:szCs w:val="24"/>
        </w:rPr>
        <w:t>Micafungin</w:t>
      </w:r>
      <w:proofErr w:type="spellEnd"/>
      <w:r w:rsidRPr="006F6EE5">
        <w:rPr>
          <w:sz w:val="24"/>
          <w:szCs w:val="24"/>
        </w:rPr>
        <w:t xml:space="preserve"> </w:t>
      </w:r>
      <w:r w:rsidR="006F6EE5">
        <w:rPr>
          <w:sz w:val="24"/>
          <w:szCs w:val="24"/>
        </w:rPr>
        <w:t>"</w:t>
      </w:r>
      <w:proofErr w:type="spellStart"/>
      <w:r w:rsidRPr="006F6EE5">
        <w:rPr>
          <w:sz w:val="24"/>
          <w:szCs w:val="24"/>
        </w:rPr>
        <w:t>Hikma</w:t>
      </w:r>
      <w:proofErr w:type="spellEnd"/>
      <w:r w:rsidR="006F6EE5">
        <w:rPr>
          <w:sz w:val="24"/>
          <w:szCs w:val="24"/>
        </w:rPr>
        <w:t>"</w:t>
      </w:r>
      <w:r w:rsidRPr="006F6EE5">
        <w:rPr>
          <w:sz w:val="24"/>
          <w:szCs w:val="24"/>
        </w:rPr>
        <w:t xml:space="preserve"> er indiceret til:</w:t>
      </w:r>
    </w:p>
    <w:p w14:paraId="53B653E0" w14:textId="77777777" w:rsidR="00150AB9" w:rsidRPr="006F6EE5" w:rsidRDefault="00150AB9" w:rsidP="00C97F7F">
      <w:pPr>
        <w:ind w:left="851"/>
        <w:rPr>
          <w:sz w:val="24"/>
          <w:szCs w:val="24"/>
        </w:rPr>
      </w:pPr>
    </w:p>
    <w:p w14:paraId="14BC9165" w14:textId="77777777" w:rsidR="00150AB9" w:rsidRPr="006F6EE5" w:rsidRDefault="00150AB9" w:rsidP="00C97F7F">
      <w:pPr>
        <w:ind w:left="851"/>
        <w:rPr>
          <w:sz w:val="24"/>
          <w:szCs w:val="24"/>
        </w:rPr>
      </w:pPr>
      <w:r w:rsidRPr="006F6EE5">
        <w:rPr>
          <w:sz w:val="24"/>
          <w:szCs w:val="24"/>
          <w:u w:val="single"/>
        </w:rPr>
        <w:t>Voksne, unge ≥ 16 år og hos ældre</w:t>
      </w:r>
      <w:r w:rsidRPr="006F6EE5">
        <w:rPr>
          <w:sz w:val="24"/>
          <w:szCs w:val="24"/>
        </w:rPr>
        <w:t>:</w:t>
      </w:r>
    </w:p>
    <w:p w14:paraId="21227B14" w14:textId="6C11B805" w:rsidR="00150AB9" w:rsidRPr="006F6EE5" w:rsidRDefault="00150AB9" w:rsidP="006F6EE5">
      <w:pPr>
        <w:pStyle w:val="Listeafsnit"/>
        <w:numPr>
          <w:ilvl w:val="0"/>
          <w:numId w:val="12"/>
        </w:numPr>
        <w:ind w:left="1276" w:hanging="425"/>
        <w:rPr>
          <w:sz w:val="24"/>
          <w:szCs w:val="24"/>
        </w:rPr>
      </w:pPr>
      <w:r w:rsidRPr="006F6EE5">
        <w:rPr>
          <w:sz w:val="24"/>
          <w:szCs w:val="24"/>
        </w:rPr>
        <w:t xml:space="preserve">Behandling af invasiv </w:t>
      </w:r>
      <w:proofErr w:type="spellStart"/>
      <w:r w:rsidRPr="006F6EE5">
        <w:rPr>
          <w:sz w:val="24"/>
          <w:szCs w:val="24"/>
        </w:rPr>
        <w:t>candidiasis</w:t>
      </w:r>
      <w:proofErr w:type="spellEnd"/>
      <w:r w:rsidRPr="006F6EE5">
        <w:rPr>
          <w:sz w:val="24"/>
          <w:szCs w:val="24"/>
        </w:rPr>
        <w:t>.</w:t>
      </w:r>
    </w:p>
    <w:p w14:paraId="42D86843" w14:textId="19452754" w:rsidR="00150AB9" w:rsidRPr="006F6EE5" w:rsidRDefault="00150AB9" w:rsidP="006F6EE5">
      <w:pPr>
        <w:pStyle w:val="Listeafsnit"/>
        <w:numPr>
          <w:ilvl w:val="0"/>
          <w:numId w:val="12"/>
        </w:numPr>
        <w:ind w:left="1276" w:hanging="425"/>
        <w:rPr>
          <w:sz w:val="24"/>
          <w:szCs w:val="24"/>
        </w:rPr>
      </w:pPr>
      <w:r w:rsidRPr="006F6EE5">
        <w:rPr>
          <w:sz w:val="24"/>
          <w:szCs w:val="24"/>
        </w:rPr>
        <w:t xml:space="preserve">Behandling af </w:t>
      </w:r>
      <w:proofErr w:type="spellStart"/>
      <w:r w:rsidRPr="006F6EE5">
        <w:rPr>
          <w:sz w:val="24"/>
          <w:szCs w:val="24"/>
        </w:rPr>
        <w:t>candidiasis</w:t>
      </w:r>
      <w:proofErr w:type="spellEnd"/>
      <w:r w:rsidRPr="006F6EE5">
        <w:rPr>
          <w:sz w:val="24"/>
          <w:szCs w:val="24"/>
        </w:rPr>
        <w:t xml:space="preserve"> i </w:t>
      </w:r>
      <w:proofErr w:type="spellStart"/>
      <w:r w:rsidRPr="006F6EE5">
        <w:rPr>
          <w:sz w:val="24"/>
          <w:szCs w:val="24"/>
        </w:rPr>
        <w:t>øsofagus</w:t>
      </w:r>
      <w:proofErr w:type="spellEnd"/>
      <w:r w:rsidRPr="006F6EE5">
        <w:rPr>
          <w:sz w:val="24"/>
          <w:szCs w:val="24"/>
        </w:rPr>
        <w:t xml:space="preserve"> hos patienter, hvor intravenøs behandling er passende.</w:t>
      </w:r>
    </w:p>
    <w:p w14:paraId="03249C73" w14:textId="07FE1D70" w:rsidR="00150AB9" w:rsidRPr="006F6EE5" w:rsidRDefault="00150AB9" w:rsidP="006F6EE5">
      <w:pPr>
        <w:pStyle w:val="Listeafsnit"/>
        <w:numPr>
          <w:ilvl w:val="0"/>
          <w:numId w:val="12"/>
        </w:numPr>
        <w:ind w:left="1276" w:hanging="425"/>
        <w:rPr>
          <w:sz w:val="24"/>
          <w:szCs w:val="24"/>
        </w:rPr>
      </w:pPr>
      <w:r w:rsidRPr="006F6EE5">
        <w:rPr>
          <w:sz w:val="24"/>
          <w:szCs w:val="24"/>
        </w:rPr>
        <w:t xml:space="preserve">Profylakse mod </w:t>
      </w:r>
      <w:proofErr w:type="spellStart"/>
      <w:r w:rsidRPr="006F6EE5">
        <w:rPr>
          <w:i/>
          <w:iCs/>
          <w:sz w:val="24"/>
          <w:szCs w:val="24"/>
        </w:rPr>
        <w:t>Candida</w:t>
      </w:r>
      <w:proofErr w:type="spellEnd"/>
      <w:r w:rsidRPr="006F6EE5">
        <w:rPr>
          <w:sz w:val="24"/>
          <w:szCs w:val="24"/>
        </w:rPr>
        <w:t xml:space="preserve">-infektion hos patienter, der gennemgår </w:t>
      </w:r>
      <w:proofErr w:type="spellStart"/>
      <w:r w:rsidRPr="006F6EE5">
        <w:rPr>
          <w:sz w:val="24"/>
          <w:szCs w:val="24"/>
        </w:rPr>
        <w:t>allogen</w:t>
      </w:r>
      <w:proofErr w:type="spellEnd"/>
      <w:r w:rsidRPr="006F6EE5">
        <w:rPr>
          <w:sz w:val="24"/>
          <w:szCs w:val="24"/>
        </w:rPr>
        <w:t xml:space="preserve"> </w:t>
      </w:r>
      <w:proofErr w:type="spellStart"/>
      <w:r w:rsidRPr="006F6EE5">
        <w:rPr>
          <w:sz w:val="24"/>
          <w:szCs w:val="24"/>
        </w:rPr>
        <w:t>hæmatopoietisk</w:t>
      </w:r>
      <w:proofErr w:type="spellEnd"/>
      <w:r w:rsidRPr="006F6EE5">
        <w:rPr>
          <w:sz w:val="24"/>
          <w:szCs w:val="24"/>
        </w:rPr>
        <w:t xml:space="preserve"> stamcelletransplantation, eller patienter, der forventes at få </w:t>
      </w:r>
      <w:proofErr w:type="spellStart"/>
      <w:r w:rsidRPr="006F6EE5">
        <w:rPr>
          <w:sz w:val="24"/>
          <w:szCs w:val="24"/>
        </w:rPr>
        <w:t>neutropeni</w:t>
      </w:r>
      <w:proofErr w:type="spellEnd"/>
      <w:r w:rsidRPr="006F6EE5">
        <w:rPr>
          <w:sz w:val="24"/>
          <w:szCs w:val="24"/>
        </w:rPr>
        <w:t xml:space="preserve"> (absolut </w:t>
      </w:r>
      <w:proofErr w:type="spellStart"/>
      <w:r w:rsidRPr="006F6EE5">
        <w:rPr>
          <w:sz w:val="24"/>
          <w:szCs w:val="24"/>
        </w:rPr>
        <w:t>neutrofiltal</w:t>
      </w:r>
      <w:proofErr w:type="spellEnd"/>
      <w:r w:rsidRPr="006F6EE5">
        <w:rPr>
          <w:sz w:val="24"/>
          <w:szCs w:val="24"/>
        </w:rPr>
        <w:t xml:space="preserve"> &lt; 500 celler/µl) i 10 dage eller mere.</w:t>
      </w:r>
    </w:p>
    <w:p w14:paraId="2E928D8B" w14:textId="77777777" w:rsidR="00150AB9" w:rsidRPr="006F6EE5" w:rsidRDefault="00150AB9" w:rsidP="00C97F7F">
      <w:pPr>
        <w:ind w:left="851"/>
        <w:rPr>
          <w:sz w:val="24"/>
          <w:szCs w:val="24"/>
        </w:rPr>
      </w:pPr>
    </w:p>
    <w:p w14:paraId="474CD5F4" w14:textId="77777777" w:rsidR="00150AB9" w:rsidRPr="006F6EE5" w:rsidRDefault="00150AB9" w:rsidP="00C97F7F">
      <w:pPr>
        <w:ind w:left="851"/>
        <w:rPr>
          <w:sz w:val="24"/>
          <w:szCs w:val="24"/>
        </w:rPr>
      </w:pPr>
      <w:r w:rsidRPr="006F6EE5">
        <w:rPr>
          <w:sz w:val="24"/>
          <w:szCs w:val="24"/>
          <w:u w:val="single"/>
        </w:rPr>
        <w:t>Børn (inklusive nyfødte) og unge &lt; 16 år:</w:t>
      </w:r>
    </w:p>
    <w:p w14:paraId="69B8D4EB" w14:textId="77777777" w:rsidR="00150AB9" w:rsidRPr="006F6EE5" w:rsidRDefault="00150AB9" w:rsidP="006F6EE5">
      <w:pPr>
        <w:pStyle w:val="Listeafsnit"/>
        <w:numPr>
          <w:ilvl w:val="0"/>
          <w:numId w:val="13"/>
        </w:numPr>
        <w:ind w:left="1276" w:hanging="425"/>
        <w:rPr>
          <w:sz w:val="24"/>
          <w:szCs w:val="24"/>
        </w:rPr>
      </w:pPr>
      <w:r w:rsidRPr="006F6EE5">
        <w:rPr>
          <w:sz w:val="24"/>
          <w:szCs w:val="24"/>
        </w:rPr>
        <w:t xml:space="preserve">Behandling af invasiv </w:t>
      </w:r>
      <w:proofErr w:type="spellStart"/>
      <w:r w:rsidRPr="006F6EE5">
        <w:rPr>
          <w:sz w:val="24"/>
          <w:szCs w:val="24"/>
        </w:rPr>
        <w:t>candidiasis</w:t>
      </w:r>
      <w:proofErr w:type="spellEnd"/>
      <w:r w:rsidRPr="006F6EE5">
        <w:rPr>
          <w:sz w:val="24"/>
          <w:szCs w:val="24"/>
        </w:rPr>
        <w:t>.</w:t>
      </w:r>
    </w:p>
    <w:p w14:paraId="72CD2F0F" w14:textId="77777777" w:rsidR="00150AB9" w:rsidRPr="006F6EE5" w:rsidRDefault="00150AB9" w:rsidP="006F6EE5">
      <w:pPr>
        <w:pStyle w:val="Listeafsnit"/>
        <w:numPr>
          <w:ilvl w:val="0"/>
          <w:numId w:val="13"/>
        </w:numPr>
        <w:ind w:left="1276" w:hanging="425"/>
        <w:rPr>
          <w:i/>
          <w:sz w:val="24"/>
          <w:szCs w:val="24"/>
        </w:rPr>
      </w:pPr>
      <w:r w:rsidRPr="006F6EE5">
        <w:rPr>
          <w:sz w:val="24"/>
          <w:szCs w:val="24"/>
        </w:rPr>
        <w:t xml:space="preserve">Profylakse mod </w:t>
      </w:r>
      <w:proofErr w:type="spellStart"/>
      <w:r w:rsidRPr="006F6EE5">
        <w:rPr>
          <w:i/>
          <w:iCs/>
          <w:sz w:val="24"/>
          <w:szCs w:val="24"/>
        </w:rPr>
        <w:t>Candida</w:t>
      </w:r>
      <w:proofErr w:type="spellEnd"/>
      <w:r w:rsidRPr="006F6EE5">
        <w:rPr>
          <w:i/>
          <w:sz w:val="24"/>
          <w:szCs w:val="24"/>
        </w:rPr>
        <w:t>-</w:t>
      </w:r>
      <w:r w:rsidRPr="006F6EE5">
        <w:rPr>
          <w:sz w:val="24"/>
          <w:szCs w:val="24"/>
        </w:rPr>
        <w:t xml:space="preserve">infektion hos patienter, der gennemgår </w:t>
      </w:r>
      <w:proofErr w:type="spellStart"/>
      <w:r w:rsidRPr="006F6EE5">
        <w:rPr>
          <w:sz w:val="24"/>
          <w:szCs w:val="24"/>
        </w:rPr>
        <w:t>allogen</w:t>
      </w:r>
      <w:proofErr w:type="spellEnd"/>
      <w:r w:rsidRPr="006F6EE5">
        <w:rPr>
          <w:sz w:val="24"/>
          <w:szCs w:val="24"/>
        </w:rPr>
        <w:t xml:space="preserve"> </w:t>
      </w:r>
      <w:proofErr w:type="spellStart"/>
      <w:r w:rsidRPr="006F6EE5">
        <w:rPr>
          <w:sz w:val="24"/>
          <w:szCs w:val="24"/>
        </w:rPr>
        <w:t>hæmatopoietisk</w:t>
      </w:r>
      <w:proofErr w:type="spellEnd"/>
      <w:r w:rsidRPr="006F6EE5">
        <w:rPr>
          <w:sz w:val="24"/>
          <w:szCs w:val="24"/>
        </w:rPr>
        <w:t xml:space="preserve"> stamcelletransplantation eller patienter, der forventes at få </w:t>
      </w:r>
      <w:proofErr w:type="spellStart"/>
      <w:r w:rsidRPr="006F6EE5">
        <w:rPr>
          <w:sz w:val="24"/>
          <w:szCs w:val="24"/>
        </w:rPr>
        <w:t>neutropeni</w:t>
      </w:r>
      <w:proofErr w:type="spellEnd"/>
      <w:r w:rsidRPr="006F6EE5">
        <w:rPr>
          <w:sz w:val="24"/>
          <w:szCs w:val="24"/>
        </w:rPr>
        <w:t xml:space="preserve"> (absolut </w:t>
      </w:r>
      <w:proofErr w:type="spellStart"/>
      <w:r w:rsidRPr="006F6EE5">
        <w:rPr>
          <w:sz w:val="24"/>
          <w:szCs w:val="24"/>
        </w:rPr>
        <w:t>neutrofiltal</w:t>
      </w:r>
      <w:proofErr w:type="spellEnd"/>
      <w:r w:rsidRPr="006F6EE5">
        <w:rPr>
          <w:sz w:val="24"/>
          <w:szCs w:val="24"/>
        </w:rPr>
        <w:t xml:space="preserve"> &lt; 500 celler/µl) i 10 dage eller mere</w:t>
      </w:r>
      <w:r w:rsidRPr="006F6EE5">
        <w:rPr>
          <w:i/>
          <w:sz w:val="24"/>
          <w:szCs w:val="24"/>
        </w:rPr>
        <w:t>.</w:t>
      </w:r>
    </w:p>
    <w:p w14:paraId="44933DAC" w14:textId="77777777" w:rsidR="00150AB9" w:rsidRPr="006F6EE5" w:rsidRDefault="00150AB9" w:rsidP="00C97F7F">
      <w:pPr>
        <w:ind w:left="851"/>
        <w:rPr>
          <w:i/>
          <w:sz w:val="24"/>
          <w:szCs w:val="24"/>
        </w:rPr>
      </w:pPr>
    </w:p>
    <w:p w14:paraId="5FB1C6A0" w14:textId="6D22094D" w:rsidR="00150AB9" w:rsidRPr="006F6EE5" w:rsidRDefault="00150AB9" w:rsidP="00C97F7F">
      <w:pPr>
        <w:ind w:left="851"/>
        <w:rPr>
          <w:sz w:val="24"/>
          <w:szCs w:val="24"/>
        </w:rPr>
      </w:pPr>
      <w:r w:rsidRPr="006F6EE5">
        <w:rPr>
          <w:sz w:val="24"/>
          <w:szCs w:val="24"/>
        </w:rPr>
        <w:t xml:space="preserve">Beslutningen om at anvende </w:t>
      </w:r>
      <w:proofErr w:type="spellStart"/>
      <w:r w:rsidRPr="006F6EE5">
        <w:rPr>
          <w:sz w:val="24"/>
          <w:szCs w:val="24"/>
        </w:rPr>
        <w:t>Micafungin</w:t>
      </w:r>
      <w:proofErr w:type="spellEnd"/>
      <w:r w:rsidRPr="006F6EE5">
        <w:rPr>
          <w:sz w:val="24"/>
          <w:szCs w:val="24"/>
        </w:rPr>
        <w:t xml:space="preserve"> </w:t>
      </w:r>
      <w:r w:rsidR="006F6EE5">
        <w:rPr>
          <w:sz w:val="24"/>
          <w:szCs w:val="24"/>
        </w:rPr>
        <w:t>"</w:t>
      </w:r>
      <w:proofErr w:type="spellStart"/>
      <w:r w:rsidRPr="006F6EE5">
        <w:rPr>
          <w:sz w:val="24"/>
          <w:szCs w:val="24"/>
        </w:rPr>
        <w:t>Hikma</w:t>
      </w:r>
      <w:proofErr w:type="spellEnd"/>
      <w:r w:rsidR="006F6EE5">
        <w:rPr>
          <w:sz w:val="24"/>
          <w:szCs w:val="24"/>
        </w:rPr>
        <w:t>"</w:t>
      </w:r>
      <w:r w:rsidRPr="006F6EE5">
        <w:rPr>
          <w:sz w:val="24"/>
          <w:szCs w:val="24"/>
        </w:rPr>
        <w:t xml:space="preserve"> bør tage højde for den potentielle risiko for udvikling af levertumorer (se pkt. 4.4). </w:t>
      </w:r>
      <w:proofErr w:type="spellStart"/>
      <w:r w:rsidRPr="006F6EE5">
        <w:rPr>
          <w:sz w:val="24"/>
          <w:szCs w:val="24"/>
        </w:rPr>
        <w:t>Micafungin</w:t>
      </w:r>
      <w:proofErr w:type="spellEnd"/>
      <w:r w:rsidRPr="006F6EE5">
        <w:rPr>
          <w:sz w:val="24"/>
          <w:szCs w:val="24"/>
        </w:rPr>
        <w:t xml:space="preserve"> </w:t>
      </w:r>
      <w:r w:rsidR="006F6EE5">
        <w:rPr>
          <w:sz w:val="24"/>
          <w:szCs w:val="24"/>
        </w:rPr>
        <w:t>"</w:t>
      </w:r>
      <w:proofErr w:type="spellStart"/>
      <w:r w:rsidRPr="006F6EE5">
        <w:rPr>
          <w:sz w:val="24"/>
          <w:szCs w:val="24"/>
        </w:rPr>
        <w:t>Hikma</w:t>
      </w:r>
      <w:proofErr w:type="spellEnd"/>
      <w:r w:rsidR="006F6EE5">
        <w:rPr>
          <w:sz w:val="24"/>
          <w:szCs w:val="24"/>
        </w:rPr>
        <w:t>"</w:t>
      </w:r>
      <w:r w:rsidRPr="006F6EE5">
        <w:rPr>
          <w:sz w:val="24"/>
          <w:szCs w:val="24"/>
        </w:rPr>
        <w:t xml:space="preserve"> bør derfor kun anvendes, hvis andre </w:t>
      </w:r>
      <w:proofErr w:type="spellStart"/>
      <w:r w:rsidRPr="006F6EE5">
        <w:rPr>
          <w:sz w:val="24"/>
          <w:szCs w:val="24"/>
        </w:rPr>
        <w:t>antimykotika</w:t>
      </w:r>
      <w:proofErr w:type="spellEnd"/>
      <w:r w:rsidRPr="006F6EE5">
        <w:rPr>
          <w:sz w:val="24"/>
          <w:szCs w:val="24"/>
        </w:rPr>
        <w:t xml:space="preserve"> ikke er hensigtsmæssige.</w:t>
      </w:r>
    </w:p>
    <w:p w14:paraId="421DCB7B" w14:textId="77777777" w:rsidR="00150AB9" w:rsidRPr="006F6EE5" w:rsidRDefault="00150AB9" w:rsidP="00C97F7F">
      <w:pPr>
        <w:ind w:left="851"/>
        <w:rPr>
          <w:sz w:val="24"/>
          <w:szCs w:val="24"/>
        </w:rPr>
      </w:pPr>
    </w:p>
    <w:p w14:paraId="0C1401FB" w14:textId="77777777" w:rsidR="00150AB9" w:rsidRPr="006F6EE5" w:rsidRDefault="00150AB9" w:rsidP="00C97F7F">
      <w:pPr>
        <w:ind w:left="851"/>
        <w:rPr>
          <w:sz w:val="24"/>
          <w:szCs w:val="24"/>
        </w:rPr>
      </w:pPr>
      <w:r w:rsidRPr="006F6EE5">
        <w:rPr>
          <w:sz w:val="24"/>
          <w:szCs w:val="24"/>
        </w:rPr>
        <w:t xml:space="preserve">Officielle/nationale vejledninger vedrørende rigtig brug af </w:t>
      </w:r>
      <w:proofErr w:type="spellStart"/>
      <w:r w:rsidRPr="006F6EE5">
        <w:rPr>
          <w:sz w:val="24"/>
          <w:szCs w:val="24"/>
        </w:rPr>
        <w:t>antimykotika</w:t>
      </w:r>
      <w:proofErr w:type="spellEnd"/>
      <w:r w:rsidRPr="006F6EE5">
        <w:rPr>
          <w:sz w:val="24"/>
          <w:szCs w:val="24"/>
        </w:rPr>
        <w:t xml:space="preserve"> bør tages med i vurderingen.</w:t>
      </w:r>
    </w:p>
    <w:p w14:paraId="24D10B3F" w14:textId="77777777" w:rsidR="009260DE" w:rsidRPr="006F6EE5" w:rsidRDefault="009260DE" w:rsidP="009260DE">
      <w:pPr>
        <w:tabs>
          <w:tab w:val="left" w:pos="851"/>
        </w:tabs>
        <w:ind w:left="851"/>
        <w:rPr>
          <w:sz w:val="24"/>
          <w:szCs w:val="24"/>
        </w:rPr>
      </w:pPr>
    </w:p>
    <w:p w14:paraId="02A947EE" w14:textId="77777777" w:rsidR="009260DE" w:rsidRPr="006F6EE5" w:rsidRDefault="009260DE" w:rsidP="009260DE">
      <w:pPr>
        <w:tabs>
          <w:tab w:val="left" w:pos="851"/>
        </w:tabs>
        <w:ind w:left="851" w:hanging="851"/>
        <w:rPr>
          <w:b/>
          <w:sz w:val="24"/>
          <w:szCs w:val="24"/>
        </w:rPr>
      </w:pPr>
      <w:r w:rsidRPr="006F6EE5">
        <w:rPr>
          <w:b/>
          <w:sz w:val="24"/>
          <w:szCs w:val="24"/>
        </w:rPr>
        <w:t>4.2</w:t>
      </w:r>
      <w:r w:rsidRPr="006F6EE5">
        <w:rPr>
          <w:b/>
          <w:sz w:val="24"/>
          <w:szCs w:val="24"/>
        </w:rPr>
        <w:tab/>
        <w:t xml:space="preserve">Dosering og </w:t>
      </w:r>
      <w:r w:rsidR="002C1EC0" w:rsidRPr="006F6EE5">
        <w:rPr>
          <w:b/>
          <w:sz w:val="24"/>
          <w:szCs w:val="24"/>
        </w:rPr>
        <w:t>administration</w:t>
      </w:r>
    </w:p>
    <w:p w14:paraId="7BB37650" w14:textId="2632D91B" w:rsidR="00150AB9" w:rsidRPr="006F6EE5" w:rsidRDefault="00150AB9" w:rsidP="00C97F7F">
      <w:pPr>
        <w:ind w:left="851"/>
        <w:rPr>
          <w:sz w:val="24"/>
          <w:szCs w:val="24"/>
        </w:rPr>
      </w:pPr>
      <w:r w:rsidRPr="006F6EE5">
        <w:rPr>
          <w:sz w:val="24"/>
          <w:szCs w:val="24"/>
        </w:rPr>
        <w:t xml:space="preserve">Behandling med </w:t>
      </w:r>
      <w:proofErr w:type="spellStart"/>
      <w:r w:rsidRPr="006F6EE5">
        <w:rPr>
          <w:sz w:val="24"/>
          <w:szCs w:val="24"/>
        </w:rPr>
        <w:t>Micafungin</w:t>
      </w:r>
      <w:proofErr w:type="spellEnd"/>
      <w:r w:rsidRPr="006F6EE5">
        <w:rPr>
          <w:sz w:val="24"/>
          <w:szCs w:val="24"/>
        </w:rPr>
        <w:t xml:space="preserve"> </w:t>
      </w:r>
      <w:r w:rsidR="006F6EE5">
        <w:rPr>
          <w:sz w:val="24"/>
          <w:szCs w:val="24"/>
        </w:rPr>
        <w:t>"</w:t>
      </w:r>
      <w:proofErr w:type="spellStart"/>
      <w:r w:rsidRPr="006F6EE5">
        <w:rPr>
          <w:sz w:val="24"/>
          <w:szCs w:val="24"/>
        </w:rPr>
        <w:t>Hikma</w:t>
      </w:r>
      <w:proofErr w:type="spellEnd"/>
      <w:r w:rsidR="006F6EE5">
        <w:rPr>
          <w:sz w:val="24"/>
          <w:szCs w:val="24"/>
        </w:rPr>
        <w:t>"</w:t>
      </w:r>
      <w:r w:rsidRPr="006F6EE5">
        <w:rPr>
          <w:sz w:val="24"/>
          <w:szCs w:val="24"/>
        </w:rPr>
        <w:t xml:space="preserve"> bør initieres af en læge med erfaring i behandling af systemiske svampeinfektioner.</w:t>
      </w:r>
    </w:p>
    <w:p w14:paraId="2ECEC77C" w14:textId="77777777" w:rsidR="00150AB9" w:rsidRPr="006F6EE5" w:rsidRDefault="00150AB9" w:rsidP="00C97F7F">
      <w:pPr>
        <w:ind w:left="851"/>
        <w:rPr>
          <w:sz w:val="24"/>
          <w:szCs w:val="24"/>
        </w:rPr>
      </w:pPr>
    </w:p>
    <w:p w14:paraId="4DC7B397" w14:textId="77777777" w:rsidR="00150AB9" w:rsidRPr="006F6EE5" w:rsidRDefault="00150AB9" w:rsidP="00C97F7F">
      <w:pPr>
        <w:ind w:left="851"/>
        <w:rPr>
          <w:sz w:val="24"/>
          <w:szCs w:val="24"/>
          <w:u w:val="single"/>
        </w:rPr>
      </w:pPr>
      <w:r w:rsidRPr="006F6EE5">
        <w:rPr>
          <w:sz w:val="24"/>
          <w:szCs w:val="24"/>
          <w:u w:val="single"/>
        </w:rPr>
        <w:t>Dosering</w:t>
      </w:r>
    </w:p>
    <w:p w14:paraId="01419601" w14:textId="77777777" w:rsidR="00150AB9" w:rsidRPr="006F6EE5" w:rsidRDefault="00150AB9" w:rsidP="00C97F7F">
      <w:pPr>
        <w:ind w:left="851"/>
        <w:rPr>
          <w:sz w:val="24"/>
          <w:szCs w:val="24"/>
        </w:rPr>
      </w:pPr>
    </w:p>
    <w:p w14:paraId="4C24584A" w14:textId="77777777" w:rsidR="00150AB9" w:rsidRPr="006F6EE5" w:rsidRDefault="00150AB9" w:rsidP="00C97F7F">
      <w:pPr>
        <w:ind w:left="851"/>
        <w:rPr>
          <w:sz w:val="24"/>
          <w:szCs w:val="24"/>
        </w:rPr>
      </w:pPr>
      <w:r w:rsidRPr="006F6EE5">
        <w:rPr>
          <w:sz w:val="24"/>
          <w:szCs w:val="24"/>
        </w:rPr>
        <w:t xml:space="preserve">Prøver til svampekulturer og andre relevante laboratorietests (inklusive </w:t>
      </w:r>
      <w:proofErr w:type="spellStart"/>
      <w:r w:rsidRPr="006F6EE5">
        <w:rPr>
          <w:sz w:val="24"/>
          <w:szCs w:val="24"/>
        </w:rPr>
        <w:t>histopatologi</w:t>
      </w:r>
      <w:proofErr w:type="spellEnd"/>
      <w:r w:rsidRPr="006F6EE5">
        <w:rPr>
          <w:sz w:val="24"/>
          <w:szCs w:val="24"/>
        </w:rPr>
        <w:t xml:space="preserve">) bør tages før behandling for at isolere og identificere de(n) sygdomsfremkaldende organisme(r). Behandlingen kan startes, før dyrkningsresultaterne og andre laboratorietests foreligger. Når resultaterne foreligger, bør den </w:t>
      </w:r>
      <w:proofErr w:type="spellStart"/>
      <w:r w:rsidRPr="006F6EE5">
        <w:rPr>
          <w:sz w:val="24"/>
          <w:szCs w:val="24"/>
        </w:rPr>
        <w:t>antimykotiske</w:t>
      </w:r>
      <w:proofErr w:type="spellEnd"/>
      <w:r w:rsidRPr="006F6EE5">
        <w:rPr>
          <w:sz w:val="24"/>
          <w:szCs w:val="24"/>
        </w:rPr>
        <w:t xml:space="preserve"> behandling justeres i overensstemmelse med resultaterne.</w:t>
      </w:r>
    </w:p>
    <w:p w14:paraId="295BE401" w14:textId="77777777" w:rsidR="00150AB9" w:rsidRPr="006F6EE5" w:rsidRDefault="00150AB9" w:rsidP="00C97F7F">
      <w:pPr>
        <w:ind w:left="851"/>
        <w:rPr>
          <w:sz w:val="24"/>
          <w:szCs w:val="24"/>
        </w:rPr>
      </w:pPr>
    </w:p>
    <w:p w14:paraId="4546C67E" w14:textId="77777777" w:rsidR="00150AB9" w:rsidRPr="006F6EE5" w:rsidRDefault="00150AB9" w:rsidP="00C97F7F">
      <w:pPr>
        <w:ind w:left="851"/>
        <w:rPr>
          <w:sz w:val="24"/>
          <w:szCs w:val="24"/>
        </w:rPr>
      </w:pPr>
      <w:r w:rsidRPr="006F6EE5">
        <w:rPr>
          <w:sz w:val="24"/>
          <w:szCs w:val="24"/>
        </w:rPr>
        <w:t xml:space="preserve">Dosering af </w:t>
      </w:r>
      <w:proofErr w:type="spellStart"/>
      <w:r w:rsidRPr="006F6EE5">
        <w:rPr>
          <w:sz w:val="24"/>
          <w:szCs w:val="24"/>
        </w:rPr>
        <w:t>micafungin</w:t>
      </w:r>
      <w:proofErr w:type="spellEnd"/>
      <w:r w:rsidRPr="006F6EE5">
        <w:rPr>
          <w:sz w:val="24"/>
          <w:szCs w:val="24"/>
        </w:rPr>
        <w:t xml:space="preserve"> afhænger af patientens vægt, som vist i følgende tabeller:</w:t>
      </w:r>
    </w:p>
    <w:p w14:paraId="4739983B" w14:textId="77777777" w:rsidR="00150AB9" w:rsidRPr="006F6EE5" w:rsidRDefault="00150AB9" w:rsidP="00C97F7F">
      <w:pPr>
        <w:ind w:left="851"/>
        <w:rPr>
          <w:sz w:val="24"/>
          <w:szCs w:val="24"/>
        </w:rPr>
      </w:pPr>
    </w:p>
    <w:p w14:paraId="0791DBB7" w14:textId="77777777" w:rsidR="00150AB9" w:rsidRPr="006F6EE5" w:rsidRDefault="00150AB9" w:rsidP="006F6EE5">
      <w:pPr>
        <w:rPr>
          <w:i/>
          <w:iCs/>
          <w:sz w:val="24"/>
          <w:szCs w:val="24"/>
        </w:rPr>
      </w:pPr>
      <w:r w:rsidRPr="006F6EE5">
        <w:rPr>
          <w:i/>
          <w:iCs/>
          <w:sz w:val="24"/>
          <w:szCs w:val="24"/>
        </w:rPr>
        <w:t>Brug hos voksne, unge ≥ 16 år og hos ældre</w:t>
      </w:r>
    </w:p>
    <w:p w14:paraId="01A6AB83" w14:textId="77777777" w:rsidR="00150AB9" w:rsidRPr="006F6EE5" w:rsidRDefault="00150AB9" w:rsidP="00150AB9">
      <w:pPr>
        <w:rPr>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758"/>
        <w:gridCol w:w="2708"/>
        <w:gridCol w:w="3156"/>
      </w:tblGrid>
      <w:tr w:rsidR="00150AB9" w:rsidRPr="006F6EE5" w14:paraId="2F56B0AC" w14:textId="77777777" w:rsidTr="00F852AA">
        <w:trPr>
          <w:trHeight w:val="20"/>
        </w:trPr>
        <w:tc>
          <w:tcPr>
            <w:tcW w:w="1953" w:type="pct"/>
            <w:tcBorders>
              <w:top w:val="single" w:sz="6" w:space="0" w:color="000000"/>
              <w:left w:val="single" w:sz="6" w:space="0" w:color="000000"/>
              <w:bottom w:val="single" w:sz="6" w:space="0" w:color="000000"/>
              <w:right w:val="single" w:sz="6" w:space="0" w:color="000000"/>
            </w:tcBorders>
            <w:hideMark/>
          </w:tcPr>
          <w:p w14:paraId="720E849F" w14:textId="77777777" w:rsidR="00150AB9" w:rsidRPr="006F6EE5" w:rsidRDefault="00150AB9" w:rsidP="00F852AA">
            <w:pPr>
              <w:rPr>
                <w:sz w:val="24"/>
                <w:szCs w:val="24"/>
                <w:u w:val="single"/>
                <w:lang w:val="en-GB"/>
              </w:rPr>
            </w:pPr>
            <w:proofErr w:type="spellStart"/>
            <w:r w:rsidRPr="006F6EE5">
              <w:rPr>
                <w:sz w:val="24"/>
                <w:szCs w:val="24"/>
                <w:u w:val="single"/>
                <w:lang w:val="en-GB"/>
              </w:rPr>
              <w:t>Indikation</w:t>
            </w:r>
            <w:proofErr w:type="spellEnd"/>
          </w:p>
        </w:tc>
        <w:tc>
          <w:tcPr>
            <w:tcW w:w="3047" w:type="pct"/>
            <w:gridSpan w:val="2"/>
            <w:tcBorders>
              <w:top w:val="single" w:sz="6" w:space="0" w:color="000000"/>
              <w:left w:val="single" w:sz="6" w:space="0" w:color="000000"/>
              <w:bottom w:val="single" w:sz="6" w:space="0" w:color="000000"/>
              <w:right w:val="single" w:sz="6" w:space="0" w:color="000000"/>
            </w:tcBorders>
          </w:tcPr>
          <w:p w14:paraId="3202C545" w14:textId="77777777" w:rsidR="00150AB9" w:rsidRPr="006F6EE5" w:rsidRDefault="00150AB9" w:rsidP="00F852AA">
            <w:pPr>
              <w:rPr>
                <w:sz w:val="24"/>
                <w:szCs w:val="24"/>
                <w:lang w:val="en-GB"/>
              </w:rPr>
            </w:pPr>
          </w:p>
        </w:tc>
      </w:tr>
      <w:tr w:rsidR="00150AB9" w:rsidRPr="006F6EE5" w14:paraId="2AAB763D" w14:textId="77777777" w:rsidTr="00F852AA">
        <w:trPr>
          <w:trHeight w:val="20"/>
        </w:trPr>
        <w:tc>
          <w:tcPr>
            <w:tcW w:w="1953" w:type="pct"/>
            <w:tcBorders>
              <w:top w:val="single" w:sz="6" w:space="0" w:color="000000"/>
              <w:left w:val="single" w:sz="6" w:space="0" w:color="000000"/>
              <w:bottom w:val="single" w:sz="6" w:space="0" w:color="000000"/>
              <w:right w:val="single" w:sz="6" w:space="0" w:color="000000"/>
            </w:tcBorders>
          </w:tcPr>
          <w:p w14:paraId="2BC490B3" w14:textId="77777777" w:rsidR="00150AB9" w:rsidRPr="006F6EE5" w:rsidRDefault="00150AB9" w:rsidP="00F852AA">
            <w:pPr>
              <w:rPr>
                <w:sz w:val="24"/>
                <w:szCs w:val="24"/>
                <w:lang w:val="en-GB"/>
              </w:rPr>
            </w:pPr>
          </w:p>
        </w:tc>
        <w:tc>
          <w:tcPr>
            <w:tcW w:w="1407" w:type="pct"/>
            <w:tcBorders>
              <w:top w:val="single" w:sz="6" w:space="0" w:color="000000"/>
              <w:left w:val="single" w:sz="6" w:space="0" w:color="000000"/>
              <w:bottom w:val="single" w:sz="6" w:space="0" w:color="000000"/>
              <w:right w:val="single" w:sz="6" w:space="0" w:color="000000"/>
            </w:tcBorders>
            <w:hideMark/>
          </w:tcPr>
          <w:p w14:paraId="2EEFF12E" w14:textId="77777777" w:rsidR="00150AB9" w:rsidRPr="006F6EE5" w:rsidRDefault="00150AB9" w:rsidP="00F852AA">
            <w:pPr>
              <w:rPr>
                <w:sz w:val="24"/>
                <w:szCs w:val="24"/>
                <w:lang w:val="en-GB"/>
              </w:rPr>
            </w:pPr>
            <w:proofErr w:type="spellStart"/>
            <w:r w:rsidRPr="006F6EE5">
              <w:rPr>
                <w:sz w:val="24"/>
                <w:szCs w:val="24"/>
                <w:lang w:val="en-GB"/>
              </w:rPr>
              <w:t>Legemsvægt</w:t>
            </w:r>
            <w:proofErr w:type="spellEnd"/>
            <w:r w:rsidRPr="006F6EE5">
              <w:rPr>
                <w:sz w:val="24"/>
                <w:szCs w:val="24"/>
                <w:lang w:val="en-GB"/>
              </w:rPr>
              <w:t xml:space="preserve"> &gt; 40 kg</w:t>
            </w:r>
          </w:p>
        </w:tc>
        <w:tc>
          <w:tcPr>
            <w:tcW w:w="1640" w:type="pct"/>
            <w:tcBorders>
              <w:top w:val="single" w:sz="6" w:space="0" w:color="000000"/>
              <w:left w:val="single" w:sz="6" w:space="0" w:color="000000"/>
              <w:bottom w:val="single" w:sz="6" w:space="0" w:color="000000"/>
              <w:right w:val="single" w:sz="6" w:space="0" w:color="000000"/>
            </w:tcBorders>
            <w:hideMark/>
          </w:tcPr>
          <w:p w14:paraId="4604367F" w14:textId="77777777" w:rsidR="00150AB9" w:rsidRPr="006F6EE5" w:rsidRDefault="00150AB9" w:rsidP="00F852AA">
            <w:pPr>
              <w:rPr>
                <w:sz w:val="24"/>
                <w:szCs w:val="24"/>
                <w:lang w:val="en-GB"/>
              </w:rPr>
            </w:pPr>
            <w:proofErr w:type="spellStart"/>
            <w:r w:rsidRPr="006F6EE5">
              <w:rPr>
                <w:sz w:val="24"/>
                <w:szCs w:val="24"/>
                <w:lang w:val="en-GB"/>
              </w:rPr>
              <w:t>Legemsvægt</w:t>
            </w:r>
            <w:proofErr w:type="spellEnd"/>
            <w:r w:rsidRPr="006F6EE5">
              <w:rPr>
                <w:sz w:val="24"/>
                <w:szCs w:val="24"/>
                <w:lang w:val="en-GB"/>
              </w:rPr>
              <w:t xml:space="preserve"> ≤ 40 kg</w:t>
            </w:r>
          </w:p>
        </w:tc>
      </w:tr>
      <w:tr w:rsidR="00150AB9" w:rsidRPr="006F6EE5" w14:paraId="056801D5" w14:textId="77777777" w:rsidTr="00F852AA">
        <w:trPr>
          <w:trHeight w:val="20"/>
        </w:trPr>
        <w:tc>
          <w:tcPr>
            <w:tcW w:w="1953" w:type="pct"/>
            <w:tcBorders>
              <w:top w:val="single" w:sz="6" w:space="0" w:color="000000"/>
              <w:left w:val="single" w:sz="6" w:space="0" w:color="000000"/>
              <w:bottom w:val="single" w:sz="6" w:space="0" w:color="000000"/>
              <w:right w:val="single" w:sz="6" w:space="0" w:color="000000"/>
            </w:tcBorders>
            <w:hideMark/>
          </w:tcPr>
          <w:p w14:paraId="0EE3BC4F" w14:textId="77777777" w:rsidR="00150AB9" w:rsidRPr="006F6EE5" w:rsidRDefault="00150AB9" w:rsidP="00F852AA">
            <w:pPr>
              <w:rPr>
                <w:sz w:val="24"/>
                <w:szCs w:val="24"/>
                <w:lang w:val="en-GB"/>
              </w:rPr>
            </w:pPr>
            <w:proofErr w:type="spellStart"/>
            <w:r w:rsidRPr="006F6EE5">
              <w:rPr>
                <w:sz w:val="24"/>
                <w:szCs w:val="24"/>
                <w:lang w:val="en-GB"/>
              </w:rPr>
              <w:t>Behandling</w:t>
            </w:r>
            <w:proofErr w:type="spellEnd"/>
            <w:r w:rsidRPr="006F6EE5">
              <w:rPr>
                <w:sz w:val="24"/>
                <w:szCs w:val="24"/>
                <w:lang w:val="en-GB"/>
              </w:rPr>
              <w:t xml:space="preserve"> </w:t>
            </w:r>
            <w:proofErr w:type="spellStart"/>
            <w:r w:rsidRPr="006F6EE5">
              <w:rPr>
                <w:sz w:val="24"/>
                <w:szCs w:val="24"/>
                <w:lang w:val="en-GB"/>
              </w:rPr>
              <w:t>af</w:t>
            </w:r>
            <w:proofErr w:type="spellEnd"/>
            <w:r w:rsidRPr="006F6EE5">
              <w:rPr>
                <w:sz w:val="24"/>
                <w:szCs w:val="24"/>
                <w:lang w:val="en-GB"/>
              </w:rPr>
              <w:t xml:space="preserve"> </w:t>
            </w:r>
            <w:proofErr w:type="spellStart"/>
            <w:r w:rsidRPr="006F6EE5">
              <w:rPr>
                <w:sz w:val="24"/>
                <w:szCs w:val="24"/>
                <w:lang w:val="en-GB"/>
              </w:rPr>
              <w:t>invasiv</w:t>
            </w:r>
            <w:proofErr w:type="spellEnd"/>
            <w:r w:rsidRPr="006F6EE5">
              <w:rPr>
                <w:sz w:val="24"/>
                <w:szCs w:val="24"/>
                <w:lang w:val="en-GB"/>
              </w:rPr>
              <w:t xml:space="preserve"> candidiasis</w:t>
            </w:r>
          </w:p>
        </w:tc>
        <w:tc>
          <w:tcPr>
            <w:tcW w:w="1407" w:type="pct"/>
            <w:tcBorders>
              <w:top w:val="single" w:sz="6" w:space="0" w:color="000000"/>
              <w:left w:val="single" w:sz="6" w:space="0" w:color="000000"/>
              <w:bottom w:val="single" w:sz="6" w:space="0" w:color="000000"/>
              <w:right w:val="single" w:sz="6" w:space="0" w:color="000000"/>
            </w:tcBorders>
            <w:hideMark/>
          </w:tcPr>
          <w:p w14:paraId="51BBD460" w14:textId="77777777" w:rsidR="00150AB9" w:rsidRPr="006F6EE5" w:rsidRDefault="00150AB9" w:rsidP="00F852AA">
            <w:pPr>
              <w:rPr>
                <w:sz w:val="24"/>
                <w:szCs w:val="24"/>
                <w:lang w:val="en-GB"/>
              </w:rPr>
            </w:pPr>
            <w:r w:rsidRPr="006F6EE5">
              <w:rPr>
                <w:sz w:val="24"/>
                <w:szCs w:val="24"/>
                <w:lang w:val="en-GB"/>
              </w:rPr>
              <w:t>100 mg/</w:t>
            </w:r>
            <w:proofErr w:type="spellStart"/>
            <w:r w:rsidRPr="006F6EE5">
              <w:rPr>
                <w:sz w:val="24"/>
                <w:szCs w:val="24"/>
                <w:lang w:val="en-GB"/>
              </w:rPr>
              <w:t>dag</w:t>
            </w:r>
            <w:proofErr w:type="spellEnd"/>
            <w:r w:rsidRPr="006F6EE5">
              <w:rPr>
                <w:sz w:val="24"/>
                <w:szCs w:val="24"/>
                <w:lang w:val="en-GB"/>
              </w:rPr>
              <w:t>*</w:t>
            </w:r>
          </w:p>
        </w:tc>
        <w:tc>
          <w:tcPr>
            <w:tcW w:w="1640" w:type="pct"/>
            <w:tcBorders>
              <w:top w:val="single" w:sz="6" w:space="0" w:color="000000"/>
              <w:left w:val="single" w:sz="6" w:space="0" w:color="000000"/>
              <w:bottom w:val="single" w:sz="6" w:space="0" w:color="000000"/>
              <w:right w:val="single" w:sz="6" w:space="0" w:color="000000"/>
            </w:tcBorders>
            <w:hideMark/>
          </w:tcPr>
          <w:p w14:paraId="2DCF5120" w14:textId="77777777" w:rsidR="00150AB9" w:rsidRPr="006F6EE5" w:rsidRDefault="00150AB9" w:rsidP="00F852AA">
            <w:pPr>
              <w:rPr>
                <w:sz w:val="24"/>
                <w:szCs w:val="24"/>
                <w:lang w:val="en-GB"/>
              </w:rPr>
            </w:pPr>
            <w:r w:rsidRPr="006F6EE5">
              <w:rPr>
                <w:sz w:val="24"/>
                <w:szCs w:val="24"/>
                <w:lang w:val="en-GB"/>
              </w:rPr>
              <w:t>2 mg/kg/</w:t>
            </w:r>
            <w:proofErr w:type="spellStart"/>
            <w:r w:rsidRPr="006F6EE5">
              <w:rPr>
                <w:sz w:val="24"/>
                <w:szCs w:val="24"/>
                <w:lang w:val="en-GB"/>
              </w:rPr>
              <w:t>dag</w:t>
            </w:r>
            <w:proofErr w:type="spellEnd"/>
            <w:r w:rsidRPr="006F6EE5">
              <w:rPr>
                <w:sz w:val="24"/>
                <w:szCs w:val="24"/>
                <w:lang w:val="en-GB"/>
              </w:rPr>
              <w:t>*</w:t>
            </w:r>
          </w:p>
        </w:tc>
      </w:tr>
      <w:tr w:rsidR="00150AB9" w:rsidRPr="006F6EE5" w14:paraId="5C9E95EF" w14:textId="77777777" w:rsidTr="00F852AA">
        <w:trPr>
          <w:trHeight w:val="20"/>
        </w:trPr>
        <w:tc>
          <w:tcPr>
            <w:tcW w:w="1953" w:type="pct"/>
            <w:tcBorders>
              <w:top w:val="single" w:sz="6" w:space="0" w:color="000000"/>
              <w:left w:val="single" w:sz="6" w:space="0" w:color="000000"/>
              <w:bottom w:val="single" w:sz="6" w:space="0" w:color="000000"/>
              <w:right w:val="single" w:sz="6" w:space="0" w:color="000000"/>
            </w:tcBorders>
            <w:hideMark/>
          </w:tcPr>
          <w:p w14:paraId="021B0D9E" w14:textId="77777777" w:rsidR="00150AB9" w:rsidRPr="006F6EE5" w:rsidRDefault="00150AB9" w:rsidP="00F852AA">
            <w:pPr>
              <w:rPr>
                <w:sz w:val="24"/>
                <w:szCs w:val="24"/>
              </w:rPr>
            </w:pPr>
            <w:r w:rsidRPr="006F6EE5">
              <w:rPr>
                <w:sz w:val="24"/>
                <w:szCs w:val="24"/>
              </w:rPr>
              <w:t xml:space="preserve">Behandling af </w:t>
            </w:r>
            <w:proofErr w:type="spellStart"/>
            <w:r w:rsidRPr="006F6EE5">
              <w:rPr>
                <w:sz w:val="24"/>
                <w:szCs w:val="24"/>
              </w:rPr>
              <w:t>candidiasis</w:t>
            </w:r>
            <w:proofErr w:type="spellEnd"/>
            <w:r w:rsidRPr="006F6EE5">
              <w:rPr>
                <w:sz w:val="24"/>
                <w:szCs w:val="24"/>
              </w:rPr>
              <w:t xml:space="preserve"> i </w:t>
            </w:r>
            <w:proofErr w:type="spellStart"/>
            <w:r w:rsidRPr="006F6EE5">
              <w:rPr>
                <w:sz w:val="24"/>
                <w:szCs w:val="24"/>
              </w:rPr>
              <w:t>øsofagus</w:t>
            </w:r>
            <w:proofErr w:type="spellEnd"/>
          </w:p>
        </w:tc>
        <w:tc>
          <w:tcPr>
            <w:tcW w:w="1407" w:type="pct"/>
            <w:tcBorders>
              <w:top w:val="single" w:sz="6" w:space="0" w:color="000000"/>
              <w:left w:val="single" w:sz="6" w:space="0" w:color="000000"/>
              <w:bottom w:val="single" w:sz="6" w:space="0" w:color="000000"/>
              <w:right w:val="single" w:sz="6" w:space="0" w:color="000000"/>
            </w:tcBorders>
            <w:hideMark/>
          </w:tcPr>
          <w:p w14:paraId="62E61394" w14:textId="77777777" w:rsidR="00150AB9" w:rsidRPr="006F6EE5" w:rsidRDefault="00150AB9" w:rsidP="00F852AA">
            <w:pPr>
              <w:rPr>
                <w:sz w:val="24"/>
                <w:szCs w:val="24"/>
                <w:lang w:val="en-GB"/>
              </w:rPr>
            </w:pPr>
            <w:r w:rsidRPr="006F6EE5">
              <w:rPr>
                <w:sz w:val="24"/>
                <w:szCs w:val="24"/>
                <w:lang w:val="en-GB"/>
              </w:rPr>
              <w:t>150 mg/</w:t>
            </w:r>
            <w:proofErr w:type="spellStart"/>
            <w:r w:rsidRPr="006F6EE5">
              <w:rPr>
                <w:sz w:val="24"/>
                <w:szCs w:val="24"/>
                <w:lang w:val="en-GB"/>
              </w:rPr>
              <w:t>dag</w:t>
            </w:r>
            <w:proofErr w:type="spellEnd"/>
          </w:p>
        </w:tc>
        <w:tc>
          <w:tcPr>
            <w:tcW w:w="1640" w:type="pct"/>
            <w:tcBorders>
              <w:top w:val="single" w:sz="6" w:space="0" w:color="000000"/>
              <w:left w:val="single" w:sz="6" w:space="0" w:color="000000"/>
              <w:bottom w:val="single" w:sz="6" w:space="0" w:color="000000"/>
              <w:right w:val="single" w:sz="6" w:space="0" w:color="000000"/>
            </w:tcBorders>
            <w:hideMark/>
          </w:tcPr>
          <w:p w14:paraId="2F8A02EA" w14:textId="77777777" w:rsidR="00150AB9" w:rsidRPr="006F6EE5" w:rsidRDefault="00150AB9" w:rsidP="00F852AA">
            <w:pPr>
              <w:rPr>
                <w:sz w:val="24"/>
                <w:szCs w:val="24"/>
                <w:lang w:val="en-GB"/>
              </w:rPr>
            </w:pPr>
            <w:r w:rsidRPr="006F6EE5">
              <w:rPr>
                <w:sz w:val="24"/>
                <w:szCs w:val="24"/>
                <w:lang w:val="en-GB"/>
              </w:rPr>
              <w:t>3 mg/kg/</w:t>
            </w:r>
            <w:proofErr w:type="spellStart"/>
            <w:r w:rsidRPr="006F6EE5">
              <w:rPr>
                <w:sz w:val="24"/>
                <w:szCs w:val="24"/>
                <w:lang w:val="en-GB"/>
              </w:rPr>
              <w:t>dag</w:t>
            </w:r>
            <w:proofErr w:type="spellEnd"/>
          </w:p>
        </w:tc>
      </w:tr>
      <w:tr w:rsidR="00150AB9" w:rsidRPr="006F6EE5" w14:paraId="4AC4C86D" w14:textId="77777777" w:rsidTr="00F852AA">
        <w:trPr>
          <w:trHeight w:val="20"/>
        </w:trPr>
        <w:tc>
          <w:tcPr>
            <w:tcW w:w="1953" w:type="pct"/>
            <w:tcBorders>
              <w:top w:val="single" w:sz="6" w:space="0" w:color="000000"/>
              <w:left w:val="single" w:sz="6" w:space="0" w:color="000000"/>
              <w:bottom w:val="single" w:sz="6" w:space="0" w:color="000000"/>
              <w:right w:val="single" w:sz="6" w:space="0" w:color="000000"/>
            </w:tcBorders>
            <w:hideMark/>
          </w:tcPr>
          <w:p w14:paraId="4AEAE43D" w14:textId="77777777" w:rsidR="00150AB9" w:rsidRPr="006F6EE5" w:rsidRDefault="00150AB9" w:rsidP="00F852AA">
            <w:pPr>
              <w:rPr>
                <w:sz w:val="24"/>
                <w:szCs w:val="24"/>
                <w:lang w:val="en-GB"/>
              </w:rPr>
            </w:pPr>
            <w:proofErr w:type="spellStart"/>
            <w:r w:rsidRPr="006F6EE5">
              <w:rPr>
                <w:sz w:val="24"/>
                <w:szCs w:val="24"/>
                <w:lang w:val="en-GB"/>
              </w:rPr>
              <w:t>Profylakse</w:t>
            </w:r>
            <w:proofErr w:type="spellEnd"/>
            <w:r w:rsidRPr="006F6EE5">
              <w:rPr>
                <w:sz w:val="24"/>
                <w:szCs w:val="24"/>
                <w:lang w:val="en-GB"/>
              </w:rPr>
              <w:t xml:space="preserve"> mod </w:t>
            </w:r>
            <w:r w:rsidRPr="006F6EE5">
              <w:rPr>
                <w:i/>
                <w:iCs/>
                <w:sz w:val="24"/>
                <w:szCs w:val="24"/>
                <w:lang w:val="en-GB"/>
              </w:rPr>
              <w:t>Candida</w:t>
            </w:r>
            <w:r w:rsidRPr="006F6EE5">
              <w:rPr>
                <w:sz w:val="24"/>
                <w:szCs w:val="24"/>
                <w:lang w:val="en-GB"/>
              </w:rPr>
              <w:t>-</w:t>
            </w:r>
            <w:proofErr w:type="spellStart"/>
            <w:r w:rsidRPr="006F6EE5">
              <w:rPr>
                <w:sz w:val="24"/>
                <w:szCs w:val="24"/>
                <w:lang w:val="en-GB"/>
              </w:rPr>
              <w:t>infektion</w:t>
            </w:r>
            <w:proofErr w:type="spellEnd"/>
          </w:p>
        </w:tc>
        <w:tc>
          <w:tcPr>
            <w:tcW w:w="1407" w:type="pct"/>
            <w:tcBorders>
              <w:top w:val="single" w:sz="6" w:space="0" w:color="000000"/>
              <w:left w:val="single" w:sz="6" w:space="0" w:color="000000"/>
              <w:bottom w:val="single" w:sz="6" w:space="0" w:color="000000"/>
              <w:right w:val="single" w:sz="6" w:space="0" w:color="000000"/>
            </w:tcBorders>
            <w:hideMark/>
          </w:tcPr>
          <w:p w14:paraId="3042E003" w14:textId="77777777" w:rsidR="00150AB9" w:rsidRPr="006F6EE5" w:rsidRDefault="00150AB9" w:rsidP="00F852AA">
            <w:pPr>
              <w:rPr>
                <w:sz w:val="24"/>
                <w:szCs w:val="24"/>
                <w:lang w:val="en-GB"/>
              </w:rPr>
            </w:pPr>
            <w:r w:rsidRPr="006F6EE5">
              <w:rPr>
                <w:sz w:val="24"/>
                <w:szCs w:val="24"/>
                <w:lang w:val="en-GB"/>
              </w:rPr>
              <w:t>50 mg/</w:t>
            </w:r>
            <w:proofErr w:type="spellStart"/>
            <w:r w:rsidRPr="006F6EE5">
              <w:rPr>
                <w:sz w:val="24"/>
                <w:szCs w:val="24"/>
                <w:lang w:val="en-GB"/>
              </w:rPr>
              <w:t>dag</w:t>
            </w:r>
            <w:proofErr w:type="spellEnd"/>
          </w:p>
        </w:tc>
        <w:tc>
          <w:tcPr>
            <w:tcW w:w="1640" w:type="pct"/>
            <w:tcBorders>
              <w:top w:val="single" w:sz="6" w:space="0" w:color="000000"/>
              <w:left w:val="single" w:sz="6" w:space="0" w:color="000000"/>
              <w:bottom w:val="single" w:sz="6" w:space="0" w:color="000000"/>
              <w:right w:val="single" w:sz="6" w:space="0" w:color="000000"/>
            </w:tcBorders>
            <w:hideMark/>
          </w:tcPr>
          <w:p w14:paraId="1098A37E" w14:textId="77777777" w:rsidR="00150AB9" w:rsidRPr="006F6EE5" w:rsidRDefault="00150AB9" w:rsidP="00F852AA">
            <w:pPr>
              <w:rPr>
                <w:sz w:val="24"/>
                <w:szCs w:val="24"/>
                <w:lang w:val="en-GB"/>
              </w:rPr>
            </w:pPr>
            <w:r w:rsidRPr="006F6EE5">
              <w:rPr>
                <w:sz w:val="24"/>
                <w:szCs w:val="24"/>
                <w:lang w:val="en-GB"/>
              </w:rPr>
              <w:t>1 mg/kg/</w:t>
            </w:r>
            <w:proofErr w:type="spellStart"/>
            <w:r w:rsidRPr="006F6EE5">
              <w:rPr>
                <w:sz w:val="24"/>
                <w:szCs w:val="24"/>
                <w:lang w:val="en-GB"/>
              </w:rPr>
              <w:t>dag</w:t>
            </w:r>
            <w:proofErr w:type="spellEnd"/>
          </w:p>
        </w:tc>
      </w:tr>
    </w:tbl>
    <w:p w14:paraId="7A49EB84" w14:textId="77777777" w:rsidR="00150AB9" w:rsidRPr="006F6EE5" w:rsidRDefault="00150AB9" w:rsidP="00150AB9">
      <w:pPr>
        <w:rPr>
          <w:sz w:val="20"/>
        </w:rPr>
      </w:pPr>
      <w:r w:rsidRPr="006F6EE5">
        <w:rPr>
          <w:sz w:val="20"/>
        </w:rPr>
        <w:t>*Hvis patientens respons er utilstrækkelig, f.eks. hvis kulturerne giver negative resultater, eller den kliniske tilstand ikke forbedres, kan dosis øges til 200 mg/dag hos patienter, der vejer &gt; 40 kg eller 4 mg/kg/dag hos patienter, som vejer ≤ 40 kg.</w:t>
      </w:r>
    </w:p>
    <w:p w14:paraId="00DD12B4" w14:textId="77777777" w:rsidR="00150AB9" w:rsidRPr="006F6EE5" w:rsidRDefault="00150AB9" w:rsidP="00150AB9">
      <w:pPr>
        <w:rPr>
          <w:sz w:val="24"/>
          <w:szCs w:val="24"/>
        </w:rPr>
      </w:pPr>
    </w:p>
    <w:p w14:paraId="3C233EA9" w14:textId="77777777" w:rsidR="00150AB9" w:rsidRPr="006F6EE5" w:rsidRDefault="00150AB9" w:rsidP="00C97F7F">
      <w:pPr>
        <w:ind w:left="851"/>
        <w:rPr>
          <w:i/>
          <w:sz w:val="24"/>
          <w:szCs w:val="24"/>
        </w:rPr>
      </w:pPr>
      <w:r w:rsidRPr="006F6EE5">
        <w:rPr>
          <w:i/>
          <w:sz w:val="24"/>
          <w:szCs w:val="24"/>
        </w:rPr>
        <w:t>Behandlingsvarighed</w:t>
      </w:r>
    </w:p>
    <w:p w14:paraId="2F27A6DF" w14:textId="77777777" w:rsidR="00150AB9" w:rsidRPr="006F6EE5" w:rsidRDefault="00150AB9" w:rsidP="00C97F7F">
      <w:pPr>
        <w:ind w:left="851"/>
        <w:rPr>
          <w:sz w:val="24"/>
          <w:szCs w:val="24"/>
        </w:rPr>
      </w:pPr>
      <w:r w:rsidRPr="006F6EE5">
        <w:rPr>
          <w:sz w:val="24"/>
          <w:szCs w:val="24"/>
        </w:rPr>
        <w:t xml:space="preserve">Invasiv </w:t>
      </w:r>
      <w:proofErr w:type="spellStart"/>
      <w:r w:rsidRPr="006F6EE5">
        <w:rPr>
          <w:sz w:val="24"/>
          <w:szCs w:val="24"/>
        </w:rPr>
        <w:t>candidiasis</w:t>
      </w:r>
      <w:proofErr w:type="spellEnd"/>
      <w:r w:rsidRPr="006F6EE5">
        <w:rPr>
          <w:sz w:val="24"/>
          <w:szCs w:val="24"/>
        </w:rPr>
        <w:t xml:space="preserve">: Behandlingsvarigheden af </w:t>
      </w:r>
      <w:proofErr w:type="spellStart"/>
      <w:r w:rsidRPr="006F6EE5">
        <w:rPr>
          <w:i/>
          <w:sz w:val="24"/>
          <w:szCs w:val="24"/>
        </w:rPr>
        <w:t>Candida</w:t>
      </w:r>
      <w:proofErr w:type="spellEnd"/>
      <w:r w:rsidRPr="006F6EE5">
        <w:rPr>
          <w:sz w:val="24"/>
          <w:szCs w:val="24"/>
        </w:rPr>
        <w:t xml:space="preserve">-infektion bør være på mindst 14 dage. Infektionsbehandlingen bør fortsætte i mindst en uge, efter at to på hinanden følgende negative blodprøver er taget, og </w:t>
      </w:r>
      <w:r w:rsidRPr="006F6EE5">
        <w:rPr>
          <w:b/>
          <w:bCs/>
          <w:i/>
          <w:sz w:val="24"/>
          <w:szCs w:val="24"/>
        </w:rPr>
        <w:t>efter</w:t>
      </w:r>
      <w:r w:rsidRPr="006F6EE5">
        <w:rPr>
          <w:sz w:val="24"/>
          <w:szCs w:val="24"/>
        </w:rPr>
        <w:t xml:space="preserve"> at kliniske symptomer fra infektionen er ophørt.</w:t>
      </w:r>
    </w:p>
    <w:p w14:paraId="1F399746" w14:textId="77777777" w:rsidR="00150AB9" w:rsidRPr="006F6EE5" w:rsidRDefault="00150AB9" w:rsidP="00C97F7F">
      <w:pPr>
        <w:ind w:left="851"/>
        <w:rPr>
          <w:sz w:val="24"/>
          <w:szCs w:val="24"/>
        </w:rPr>
      </w:pPr>
    </w:p>
    <w:p w14:paraId="7F6D1F3C" w14:textId="77777777" w:rsidR="00150AB9" w:rsidRPr="006F6EE5" w:rsidRDefault="00150AB9" w:rsidP="00C97F7F">
      <w:pPr>
        <w:ind w:left="851"/>
        <w:rPr>
          <w:sz w:val="24"/>
          <w:szCs w:val="24"/>
        </w:rPr>
      </w:pPr>
      <w:proofErr w:type="spellStart"/>
      <w:r w:rsidRPr="006F6EE5">
        <w:rPr>
          <w:sz w:val="24"/>
          <w:szCs w:val="24"/>
        </w:rPr>
        <w:t>Candidiasis</w:t>
      </w:r>
      <w:proofErr w:type="spellEnd"/>
      <w:r w:rsidRPr="006F6EE5">
        <w:rPr>
          <w:sz w:val="24"/>
          <w:szCs w:val="24"/>
        </w:rPr>
        <w:t xml:space="preserve"> i </w:t>
      </w:r>
      <w:proofErr w:type="spellStart"/>
      <w:r w:rsidRPr="006F6EE5">
        <w:rPr>
          <w:sz w:val="24"/>
          <w:szCs w:val="24"/>
        </w:rPr>
        <w:t>øsofagus</w:t>
      </w:r>
      <w:proofErr w:type="spellEnd"/>
      <w:r w:rsidRPr="006F6EE5">
        <w:rPr>
          <w:sz w:val="24"/>
          <w:szCs w:val="24"/>
        </w:rPr>
        <w:t xml:space="preserve">: </w:t>
      </w:r>
      <w:proofErr w:type="spellStart"/>
      <w:r w:rsidRPr="006F6EE5">
        <w:rPr>
          <w:sz w:val="24"/>
          <w:szCs w:val="24"/>
        </w:rPr>
        <w:t>Micafungin</w:t>
      </w:r>
      <w:proofErr w:type="spellEnd"/>
      <w:r w:rsidRPr="006F6EE5">
        <w:rPr>
          <w:sz w:val="24"/>
          <w:szCs w:val="24"/>
        </w:rPr>
        <w:t xml:space="preserve"> bør administreres i mindst en uge, efter at kliniske symptomer er ophørt.</w:t>
      </w:r>
    </w:p>
    <w:p w14:paraId="18543397" w14:textId="77777777" w:rsidR="00150AB9" w:rsidRPr="006F6EE5" w:rsidRDefault="00150AB9" w:rsidP="00C97F7F">
      <w:pPr>
        <w:ind w:left="851"/>
        <w:rPr>
          <w:sz w:val="24"/>
          <w:szCs w:val="24"/>
        </w:rPr>
      </w:pPr>
    </w:p>
    <w:p w14:paraId="714BE5D2" w14:textId="77777777" w:rsidR="00150AB9" w:rsidRPr="006F6EE5" w:rsidRDefault="00150AB9" w:rsidP="00C97F7F">
      <w:pPr>
        <w:ind w:left="851"/>
        <w:rPr>
          <w:sz w:val="24"/>
          <w:szCs w:val="24"/>
        </w:rPr>
      </w:pPr>
      <w:r w:rsidRPr="006F6EE5">
        <w:rPr>
          <w:sz w:val="24"/>
          <w:szCs w:val="24"/>
        </w:rPr>
        <w:t xml:space="preserve">Profylakse mod </w:t>
      </w:r>
      <w:proofErr w:type="spellStart"/>
      <w:r w:rsidRPr="006F6EE5">
        <w:rPr>
          <w:i/>
          <w:sz w:val="24"/>
          <w:szCs w:val="24"/>
        </w:rPr>
        <w:t>Candida</w:t>
      </w:r>
      <w:proofErr w:type="spellEnd"/>
      <w:r w:rsidRPr="006F6EE5">
        <w:rPr>
          <w:sz w:val="24"/>
          <w:szCs w:val="24"/>
        </w:rPr>
        <w:t xml:space="preserve">-infektioner: </w:t>
      </w:r>
      <w:proofErr w:type="spellStart"/>
      <w:r w:rsidRPr="006F6EE5">
        <w:rPr>
          <w:sz w:val="24"/>
          <w:szCs w:val="24"/>
        </w:rPr>
        <w:t>Micafungin</w:t>
      </w:r>
      <w:proofErr w:type="spellEnd"/>
      <w:r w:rsidRPr="006F6EE5">
        <w:rPr>
          <w:sz w:val="24"/>
          <w:szCs w:val="24"/>
        </w:rPr>
        <w:t xml:space="preserve"> bør administreres i mindst 1 uge, efter at </w:t>
      </w:r>
      <w:proofErr w:type="spellStart"/>
      <w:r w:rsidRPr="006F6EE5">
        <w:rPr>
          <w:sz w:val="24"/>
          <w:szCs w:val="24"/>
        </w:rPr>
        <w:t>neutrofiltallet</w:t>
      </w:r>
      <w:proofErr w:type="spellEnd"/>
      <w:r w:rsidRPr="006F6EE5">
        <w:rPr>
          <w:sz w:val="24"/>
          <w:szCs w:val="24"/>
        </w:rPr>
        <w:t xml:space="preserve"> er normaliseret.</w:t>
      </w:r>
    </w:p>
    <w:p w14:paraId="07BC8B73" w14:textId="77777777" w:rsidR="00150AB9" w:rsidRPr="006F6EE5" w:rsidRDefault="00150AB9" w:rsidP="00C97F7F">
      <w:pPr>
        <w:ind w:left="851"/>
        <w:rPr>
          <w:sz w:val="24"/>
          <w:szCs w:val="24"/>
        </w:rPr>
      </w:pPr>
    </w:p>
    <w:p w14:paraId="673E6C74" w14:textId="77777777" w:rsidR="00150AB9" w:rsidRPr="006F6EE5" w:rsidRDefault="00150AB9" w:rsidP="00C97F7F">
      <w:pPr>
        <w:ind w:left="851"/>
        <w:rPr>
          <w:i/>
          <w:sz w:val="24"/>
          <w:szCs w:val="24"/>
        </w:rPr>
      </w:pPr>
      <w:r w:rsidRPr="006F6EE5">
        <w:rPr>
          <w:i/>
          <w:sz w:val="24"/>
          <w:szCs w:val="24"/>
        </w:rPr>
        <w:t>Brug hos børn ≥ 4 måneder og unge &lt; 16 år</w:t>
      </w:r>
    </w:p>
    <w:p w14:paraId="60D38863" w14:textId="77777777" w:rsidR="00150AB9" w:rsidRPr="006F6EE5" w:rsidRDefault="00150AB9" w:rsidP="00C97F7F">
      <w:pPr>
        <w:ind w:left="851"/>
        <w:rPr>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758"/>
        <w:gridCol w:w="2708"/>
        <w:gridCol w:w="3156"/>
      </w:tblGrid>
      <w:tr w:rsidR="00150AB9" w:rsidRPr="006F6EE5" w14:paraId="6A3447E8" w14:textId="77777777" w:rsidTr="00C97F7F">
        <w:trPr>
          <w:trHeight w:val="255"/>
        </w:trPr>
        <w:tc>
          <w:tcPr>
            <w:tcW w:w="1953" w:type="pct"/>
            <w:tcBorders>
              <w:top w:val="single" w:sz="6" w:space="0" w:color="000000"/>
              <w:left w:val="single" w:sz="6" w:space="0" w:color="000000"/>
              <w:bottom w:val="single" w:sz="6" w:space="0" w:color="000000"/>
              <w:right w:val="single" w:sz="6" w:space="0" w:color="000000"/>
            </w:tcBorders>
            <w:hideMark/>
          </w:tcPr>
          <w:p w14:paraId="2E242D89" w14:textId="77777777" w:rsidR="00150AB9" w:rsidRPr="006F6EE5" w:rsidRDefault="00150AB9">
            <w:pPr>
              <w:rPr>
                <w:sz w:val="24"/>
                <w:szCs w:val="24"/>
                <w:u w:val="single"/>
                <w:lang w:val="en-GB"/>
              </w:rPr>
            </w:pPr>
            <w:proofErr w:type="spellStart"/>
            <w:r w:rsidRPr="006F6EE5">
              <w:rPr>
                <w:sz w:val="24"/>
                <w:szCs w:val="24"/>
                <w:u w:val="single"/>
                <w:lang w:val="en-GB"/>
              </w:rPr>
              <w:t>Indikation</w:t>
            </w:r>
            <w:proofErr w:type="spellEnd"/>
          </w:p>
        </w:tc>
        <w:tc>
          <w:tcPr>
            <w:tcW w:w="3047" w:type="pct"/>
            <w:gridSpan w:val="2"/>
            <w:tcBorders>
              <w:top w:val="single" w:sz="6" w:space="0" w:color="000000"/>
              <w:left w:val="single" w:sz="6" w:space="0" w:color="000000"/>
              <w:bottom w:val="single" w:sz="6" w:space="0" w:color="000000"/>
              <w:right w:val="single" w:sz="6" w:space="0" w:color="000000"/>
            </w:tcBorders>
          </w:tcPr>
          <w:p w14:paraId="3CF3A601" w14:textId="77777777" w:rsidR="00150AB9" w:rsidRPr="006F6EE5" w:rsidRDefault="00150AB9">
            <w:pPr>
              <w:rPr>
                <w:sz w:val="24"/>
                <w:szCs w:val="24"/>
                <w:lang w:val="en-GB"/>
              </w:rPr>
            </w:pPr>
          </w:p>
        </w:tc>
      </w:tr>
      <w:tr w:rsidR="00150AB9" w:rsidRPr="006F6EE5" w14:paraId="743B4806" w14:textId="77777777" w:rsidTr="00C97F7F">
        <w:trPr>
          <w:trHeight w:val="255"/>
        </w:trPr>
        <w:tc>
          <w:tcPr>
            <w:tcW w:w="1953" w:type="pct"/>
            <w:tcBorders>
              <w:top w:val="single" w:sz="6" w:space="0" w:color="000000"/>
              <w:left w:val="single" w:sz="6" w:space="0" w:color="000000"/>
              <w:bottom w:val="single" w:sz="6" w:space="0" w:color="000000"/>
              <w:right w:val="single" w:sz="6" w:space="0" w:color="000000"/>
            </w:tcBorders>
          </w:tcPr>
          <w:p w14:paraId="72B77D6C" w14:textId="77777777" w:rsidR="00150AB9" w:rsidRPr="006F6EE5" w:rsidRDefault="00150AB9">
            <w:pPr>
              <w:rPr>
                <w:sz w:val="24"/>
                <w:szCs w:val="24"/>
                <w:lang w:val="en-GB"/>
              </w:rPr>
            </w:pPr>
          </w:p>
        </w:tc>
        <w:tc>
          <w:tcPr>
            <w:tcW w:w="1407" w:type="pct"/>
            <w:tcBorders>
              <w:top w:val="single" w:sz="6" w:space="0" w:color="000000"/>
              <w:left w:val="single" w:sz="6" w:space="0" w:color="000000"/>
              <w:bottom w:val="single" w:sz="6" w:space="0" w:color="000000"/>
              <w:right w:val="single" w:sz="6" w:space="0" w:color="000000"/>
            </w:tcBorders>
            <w:hideMark/>
          </w:tcPr>
          <w:p w14:paraId="045398E4" w14:textId="77777777" w:rsidR="00150AB9" w:rsidRPr="006F6EE5" w:rsidRDefault="00150AB9">
            <w:pPr>
              <w:rPr>
                <w:sz w:val="24"/>
                <w:szCs w:val="24"/>
                <w:lang w:val="en-GB"/>
              </w:rPr>
            </w:pPr>
            <w:proofErr w:type="spellStart"/>
            <w:r w:rsidRPr="006F6EE5">
              <w:rPr>
                <w:sz w:val="24"/>
                <w:szCs w:val="24"/>
                <w:lang w:val="en-GB"/>
              </w:rPr>
              <w:t>Legemsvægt</w:t>
            </w:r>
            <w:proofErr w:type="spellEnd"/>
            <w:r w:rsidRPr="006F6EE5">
              <w:rPr>
                <w:sz w:val="24"/>
                <w:szCs w:val="24"/>
                <w:lang w:val="en-GB"/>
              </w:rPr>
              <w:t xml:space="preserve"> &gt; 40 kg</w:t>
            </w:r>
          </w:p>
        </w:tc>
        <w:tc>
          <w:tcPr>
            <w:tcW w:w="1640" w:type="pct"/>
            <w:tcBorders>
              <w:top w:val="single" w:sz="6" w:space="0" w:color="000000"/>
              <w:left w:val="single" w:sz="6" w:space="0" w:color="000000"/>
              <w:bottom w:val="single" w:sz="6" w:space="0" w:color="000000"/>
              <w:right w:val="single" w:sz="6" w:space="0" w:color="000000"/>
            </w:tcBorders>
            <w:hideMark/>
          </w:tcPr>
          <w:p w14:paraId="161D11A9" w14:textId="77777777" w:rsidR="00150AB9" w:rsidRPr="006F6EE5" w:rsidRDefault="00150AB9">
            <w:pPr>
              <w:rPr>
                <w:sz w:val="24"/>
                <w:szCs w:val="24"/>
                <w:lang w:val="en-GB"/>
              </w:rPr>
            </w:pPr>
            <w:proofErr w:type="spellStart"/>
            <w:r w:rsidRPr="006F6EE5">
              <w:rPr>
                <w:sz w:val="24"/>
                <w:szCs w:val="24"/>
                <w:lang w:val="en-GB"/>
              </w:rPr>
              <w:t>Legemsvægt</w:t>
            </w:r>
            <w:proofErr w:type="spellEnd"/>
            <w:r w:rsidRPr="006F6EE5">
              <w:rPr>
                <w:sz w:val="24"/>
                <w:szCs w:val="24"/>
                <w:lang w:val="en-GB"/>
              </w:rPr>
              <w:t xml:space="preserve"> ≤ 40 kg</w:t>
            </w:r>
          </w:p>
        </w:tc>
      </w:tr>
      <w:tr w:rsidR="00150AB9" w:rsidRPr="006F6EE5" w14:paraId="0F3118E9" w14:textId="77777777" w:rsidTr="00C97F7F">
        <w:trPr>
          <w:trHeight w:val="255"/>
        </w:trPr>
        <w:tc>
          <w:tcPr>
            <w:tcW w:w="1953" w:type="pct"/>
            <w:tcBorders>
              <w:top w:val="single" w:sz="6" w:space="0" w:color="000000"/>
              <w:left w:val="single" w:sz="6" w:space="0" w:color="000000"/>
              <w:bottom w:val="single" w:sz="6" w:space="0" w:color="000000"/>
              <w:right w:val="single" w:sz="6" w:space="0" w:color="000000"/>
            </w:tcBorders>
            <w:hideMark/>
          </w:tcPr>
          <w:p w14:paraId="214700E6" w14:textId="77777777" w:rsidR="00150AB9" w:rsidRPr="006F6EE5" w:rsidRDefault="00150AB9">
            <w:pPr>
              <w:rPr>
                <w:sz w:val="24"/>
                <w:szCs w:val="24"/>
                <w:lang w:val="en-GB"/>
              </w:rPr>
            </w:pPr>
            <w:proofErr w:type="spellStart"/>
            <w:r w:rsidRPr="006F6EE5">
              <w:rPr>
                <w:sz w:val="24"/>
                <w:szCs w:val="24"/>
                <w:lang w:val="en-GB"/>
              </w:rPr>
              <w:t>Behandling</w:t>
            </w:r>
            <w:proofErr w:type="spellEnd"/>
            <w:r w:rsidRPr="006F6EE5">
              <w:rPr>
                <w:sz w:val="24"/>
                <w:szCs w:val="24"/>
                <w:lang w:val="en-GB"/>
              </w:rPr>
              <w:t xml:space="preserve"> </w:t>
            </w:r>
            <w:proofErr w:type="spellStart"/>
            <w:r w:rsidRPr="006F6EE5">
              <w:rPr>
                <w:sz w:val="24"/>
                <w:szCs w:val="24"/>
                <w:lang w:val="en-GB"/>
              </w:rPr>
              <w:t>af</w:t>
            </w:r>
            <w:proofErr w:type="spellEnd"/>
            <w:r w:rsidRPr="006F6EE5">
              <w:rPr>
                <w:sz w:val="24"/>
                <w:szCs w:val="24"/>
                <w:lang w:val="en-GB"/>
              </w:rPr>
              <w:t xml:space="preserve"> </w:t>
            </w:r>
            <w:proofErr w:type="spellStart"/>
            <w:r w:rsidRPr="006F6EE5">
              <w:rPr>
                <w:sz w:val="24"/>
                <w:szCs w:val="24"/>
                <w:lang w:val="en-GB"/>
              </w:rPr>
              <w:t>invasiv</w:t>
            </w:r>
            <w:proofErr w:type="spellEnd"/>
            <w:r w:rsidRPr="006F6EE5">
              <w:rPr>
                <w:sz w:val="24"/>
                <w:szCs w:val="24"/>
                <w:lang w:val="en-GB"/>
              </w:rPr>
              <w:t xml:space="preserve"> candidiasis</w:t>
            </w:r>
          </w:p>
        </w:tc>
        <w:tc>
          <w:tcPr>
            <w:tcW w:w="1407" w:type="pct"/>
            <w:tcBorders>
              <w:top w:val="single" w:sz="6" w:space="0" w:color="000000"/>
              <w:left w:val="single" w:sz="6" w:space="0" w:color="000000"/>
              <w:bottom w:val="single" w:sz="6" w:space="0" w:color="000000"/>
              <w:right w:val="single" w:sz="6" w:space="0" w:color="000000"/>
            </w:tcBorders>
            <w:hideMark/>
          </w:tcPr>
          <w:p w14:paraId="3BFA2EA1" w14:textId="77777777" w:rsidR="00150AB9" w:rsidRPr="006F6EE5" w:rsidRDefault="00150AB9">
            <w:pPr>
              <w:rPr>
                <w:sz w:val="24"/>
                <w:szCs w:val="24"/>
                <w:lang w:val="en-GB"/>
              </w:rPr>
            </w:pPr>
            <w:r w:rsidRPr="006F6EE5">
              <w:rPr>
                <w:sz w:val="24"/>
                <w:szCs w:val="24"/>
                <w:lang w:val="en-GB"/>
              </w:rPr>
              <w:t>100 mg/</w:t>
            </w:r>
            <w:proofErr w:type="spellStart"/>
            <w:r w:rsidRPr="006F6EE5">
              <w:rPr>
                <w:sz w:val="24"/>
                <w:szCs w:val="24"/>
                <w:lang w:val="en-GB"/>
              </w:rPr>
              <w:t>dag</w:t>
            </w:r>
            <w:proofErr w:type="spellEnd"/>
            <w:r w:rsidRPr="006F6EE5">
              <w:rPr>
                <w:sz w:val="24"/>
                <w:szCs w:val="24"/>
                <w:lang w:val="en-GB"/>
              </w:rPr>
              <w:t>*</w:t>
            </w:r>
          </w:p>
        </w:tc>
        <w:tc>
          <w:tcPr>
            <w:tcW w:w="1640" w:type="pct"/>
            <w:tcBorders>
              <w:top w:val="single" w:sz="6" w:space="0" w:color="000000"/>
              <w:left w:val="single" w:sz="6" w:space="0" w:color="000000"/>
              <w:bottom w:val="single" w:sz="6" w:space="0" w:color="000000"/>
              <w:right w:val="single" w:sz="6" w:space="0" w:color="000000"/>
            </w:tcBorders>
            <w:hideMark/>
          </w:tcPr>
          <w:p w14:paraId="07DB9D60" w14:textId="77777777" w:rsidR="00150AB9" w:rsidRPr="006F6EE5" w:rsidRDefault="00150AB9">
            <w:pPr>
              <w:rPr>
                <w:sz w:val="24"/>
                <w:szCs w:val="24"/>
                <w:lang w:val="en-GB"/>
              </w:rPr>
            </w:pPr>
            <w:r w:rsidRPr="006F6EE5">
              <w:rPr>
                <w:sz w:val="24"/>
                <w:szCs w:val="24"/>
                <w:lang w:val="en-GB"/>
              </w:rPr>
              <w:t>2 mg/kg/</w:t>
            </w:r>
            <w:proofErr w:type="spellStart"/>
            <w:r w:rsidRPr="006F6EE5">
              <w:rPr>
                <w:sz w:val="24"/>
                <w:szCs w:val="24"/>
                <w:lang w:val="en-GB"/>
              </w:rPr>
              <w:t>dag</w:t>
            </w:r>
            <w:proofErr w:type="spellEnd"/>
            <w:r w:rsidRPr="006F6EE5">
              <w:rPr>
                <w:sz w:val="24"/>
                <w:szCs w:val="24"/>
                <w:lang w:val="en-GB"/>
              </w:rPr>
              <w:t>*</w:t>
            </w:r>
          </w:p>
        </w:tc>
      </w:tr>
      <w:tr w:rsidR="00150AB9" w:rsidRPr="006F6EE5" w14:paraId="1943C372" w14:textId="77777777" w:rsidTr="00C97F7F">
        <w:trPr>
          <w:trHeight w:val="240"/>
        </w:trPr>
        <w:tc>
          <w:tcPr>
            <w:tcW w:w="1953" w:type="pct"/>
            <w:tcBorders>
              <w:top w:val="single" w:sz="6" w:space="0" w:color="000000"/>
              <w:left w:val="single" w:sz="6" w:space="0" w:color="000000"/>
              <w:bottom w:val="single" w:sz="6" w:space="0" w:color="000000"/>
              <w:right w:val="single" w:sz="6" w:space="0" w:color="000000"/>
            </w:tcBorders>
            <w:hideMark/>
          </w:tcPr>
          <w:p w14:paraId="69955C7D" w14:textId="77777777" w:rsidR="00150AB9" w:rsidRPr="006F6EE5" w:rsidRDefault="00150AB9">
            <w:pPr>
              <w:rPr>
                <w:sz w:val="24"/>
                <w:szCs w:val="24"/>
                <w:lang w:val="en-GB"/>
              </w:rPr>
            </w:pPr>
            <w:proofErr w:type="spellStart"/>
            <w:r w:rsidRPr="006F6EE5">
              <w:rPr>
                <w:sz w:val="24"/>
                <w:szCs w:val="24"/>
                <w:lang w:val="en-GB"/>
              </w:rPr>
              <w:t>Profylakse</w:t>
            </w:r>
            <w:proofErr w:type="spellEnd"/>
            <w:r w:rsidRPr="006F6EE5">
              <w:rPr>
                <w:sz w:val="24"/>
                <w:szCs w:val="24"/>
                <w:lang w:val="en-GB"/>
              </w:rPr>
              <w:t xml:space="preserve"> mod </w:t>
            </w:r>
            <w:r w:rsidRPr="006F6EE5">
              <w:rPr>
                <w:i/>
                <w:iCs/>
                <w:sz w:val="24"/>
                <w:szCs w:val="24"/>
                <w:lang w:val="en-GB"/>
              </w:rPr>
              <w:t>Candida</w:t>
            </w:r>
            <w:r w:rsidRPr="006F6EE5">
              <w:rPr>
                <w:sz w:val="24"/>
                <w:szCs w:val="24"/>
                <w:lang w:val="en-GB"/>
              </w:rPr>
              <w:t>-</w:t>
            </w:r>
            <w:proofErr w:type="spellStart"/>
            <w:r w:rsidRPr="006F6EE5">
              <w:rPr>
                <w:sz w:val="24"/>
                <w:szCs w:val="24"/>
                <w:lang w:val="en-GB"/>
              </w:rPr>
              <w:t>infektion</w:t>
            </w:r>
            <w:proofErr w:type="spellEnd"/>
          </w:p>
        </w:tc>
        <w:tc>
          <w:tcPr>
            <w:tcW w:w="1407" w:type="pct"/>
            <w:tcBorders>
              <w:top w:val="single" w:sz="6" w:space="0" w:color="000000"/>
              <w:left w:val="single" w:sz="6" w:space="0" w:color="000000"/>
              <w:bottom w:val="single" w:sz="6" w:space="0" w:color="000000"/>
              <w:right w:val="single" w:sz="6" w:space="0" w:color="000000"/>
            </w:tcBorders>
            <w:hideMark/>
          </w:tcPr>
          <w:p w14:paraId="220A09F1" w14:textId="77777777" w:rsidR="00150AB9" w:rsidRPr="006F6EE5" w:rsidRDefault="00150AB9">
            <w:pPr>
              <w:rPr>
                <w:sz w:val="24"/>
                <w:szCs w:val="24"/>
                <w:lang w:val="en-GB"/>
              </w:rPr>
            </w:pPr>
            <w:r w:rsidRPr="006F6EE5">
              <w:rPr>
                <w:sz w:val="24"/>
                <w:szCs w:val="24"/>
                <w:lang w:val="en-GB"/>
              </w:rPr>
              <w:t>50 mg/</w:t>
            </w:r>
            <w:proofErr w:type="spellStart"/>
            <w:r w:rsidRPr="006F6EE5">
              <w:rPr>
                <w:sz w:val="24"/>
                <w:szCs w:val="24"/>
                <w:lang w:val="en-GB"/>
              </w:rPr>
              <w:t>dag</w:t>
            </w:r>
            <w:proofErr w:type="spellEnd"/>
          </w:p>
        </w:tc>
        <w:tc>
          <w:tcPr>
            <w:tcW w:w="1640" w:type="pct"/>
            <w:tcBorders>
              <w:top w:val="single" w:sz="6" w:space="0" w:color="000000"/>
              <w:left w:val="single" w:sz="6" w:space="0" w:color="000000"/>
              <w:bottom w:val="single" w:sz="6" w:space="0" w:color="000000"/>
              <w:right w:val="single" w:sz="6" w:space="0" w:color="000000"/>
            </w:tcBorders>
            <w:hideMark/>
          </w:tcPr>
          <w:p w14:paraId="762C36EB" w14:textId="77777777" w:rsidR="00150AB9" w:rsidRPr="006F6EE5" w:rsidRDefault="00150AB9">
            <w:pPr>
              <w:rPr>
                <w:sz w:val="24"/>
                <w:szCs w:val="24"/>
                <w:lang w:val="en-GB"/>
              </w:rPr>
            </w:pPr>
            <w:r w:rsidRPr="006F6EE5">
              <w:rPr>
                <w:sz w:val="24"/>
                <w:szCs w:val="24"/>
                <w:lang w:val="en-GB"/>
              </w:rPr>
              <w:t>1 mg/kg/</w:t>
            </w:r>
            <w:proofErr w:type="spellStart"/>
            <w:r w:rsidRPr="006F6EE5">
              <w:rPr>
                <w:sz w:val="24"/>
                <w:szCs w:val="24"/>
                <w:lang w:val="en-GB"/>
              </w:rPr>
              <w:t>dag</w:t>
            </w:r>
            <w:proofErr w:type="spellEnd"/>
          </w:p>
        </w:tc>
      </w:tr>
    </w:tbl>
    <w:p w14:paraId="57AD9972" w14:textId="77777777" w:rsidR="00150AB9" w:rsidRPr="006F6EE5" w:rsidRDefault="00150AB9" w:rsidP="00150AB9">
      <w:pPr>
        <w:rPr>
          <w:sz w:val="20"/>
        </w:rPr>
      </w:pPr>
      <w:r w:rsidRPr="006F6EE5">
        <w:rPr>
          <w:sz w:val="20"/>
        </w:rPr>
        <w:t>*Hvis patientens respons er utilstrækkelig, f.eks. hvis kulturerne giver negative resultater, eller den kliniske tilstand ikke forbedres, kan dosis øges til 200 mg/dag hos patienter, der vejer &gt; 40 kg eller 4 mg/kg/dag hos patienter, som vejer ≤ 40 kg.</w:t>
      </w:r>
    </w:p>
    <w:p w14:paraId="39E48A9F" w14:textId="77777777" w:rsidR="00150AB9" w:rsidRPr="006F6EE5" w:rsidRDefault="00150AB9" w:rsidP="00150AB9">
      <w:pPr>
        <w:rPr>
          <w:sz w:val="24"/>
          <w:szCs w:val="24"/>
        </w:rPr>
      </w:pPr>
    </w:p>
    <w:p w14:paraId="0FA6D84C" w14:textId="77777777" w:rsidR="00150AB9" w:rsidRPr="006F6EE5" w:rsidRDefault="00150AB9" w:rsidP="00150AB9">
      <w:pPr>
        <w:rPr>
          <w:i/>
          <w:sz w:val="24"/>
          <w:szCs w:val="24"/>
        </w:rPr>
      </w:pPr>
      <w:r w:rsidRPr="006F6EE5">
        <w:rPr>
          <w:i/>
          <w:sz w:val="24"/>
          <w:szCs w:val="24"/>
        </w:rPr>
        <w:t>Brug hos spædbørn (inklusive nyfødte) &lt; 4 måneder</w:t>
      </w:r>
    </w:p>
    <w:p w14:paraId="0EC4899E" w14:textId="77777777" w:rsidR="00150AB9" w:rsidRPr="006F6EE5" w:rsidRDefault="00150AB9" w:rsidP="00150AB9">
      <w:pPr>
        <w:rPr>
          <w:i/>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466"/>
        <w:gridCol w:w="3156"/>
      </w:tblGrid>
      <w:tr w:rsidR="00150AB9" w:rsidRPr="006F6EE5" w14:paraId="362C583B" w14:textId="77777777" w:rsidTr="00C97F7F">
        <w:trPr>
          <w:trHeight w:val="255"/>
        </w:trPr>
        <w:tc>
          <w:tcPr>
            <w:tcW w:w="3360" w:type="pct"/>
            <w:tcBorders>
              <w:top w:val="single" w:sz="6" w:space="0" w:color="000000"/>
              <w:left w:val="single" w:sz="6" w:space="0" w:color="000000"/>
              <w:bottom w:val="single" w:sz="6" w:space="0" w:color="000000"/>
              <w:right w:val="single" w:sz="6" w:space="0" w:color="000000"/>
            </w:tcBorders>
            <w:hideMark/>
          </w:tcPr>
          <w:p w14:paraId="24E03A1B" w14:textId="77777777" w:rsidR="00150AB9" w:rsidRPr="006F6EE5" w:rsidRDefault="00150AB9">
            <w:pPr>
              <w:rPr>
                <w:sz w:val="24"/>
                <w:szCs w:val="24"/>
                <w:u w:val="single"/>
                <w:lang w:val="en-GB"/>
              </w:rPr>
            </w:pPr>
            <w:proofErr w:type="spellStart"/>
            <w:r w:rsidRPr="006F6EE5">
              <w:rPr>
                <w:sz w:val="24"/>
                <w:szCs w:val="24"/>
                <w:u w:val="single"/>
                <w:lang w:val="en-GB"/>
              </w:rPr>
              <w:t>Indikation</w:t>
            </w:r>
            <w:proofErr w:type="spellEnd"/>
          </w:p>
        </w:tc>
        <w:tc>
          <w:tcPr>
            <w:tcW w:w="1640" w:type="pct"/>
            <w:tcBorders>
              <w:top w:val="single" w:sz="6" w:space="0" w:color="000000"/>
              <w:left w:val="single" w:sz="6" w:space="0" w:color="000000"/>
              <w:bottom w:val="single" w:sz="6" w:space="0" w:color="000000"/>
              <w:right w:val="single" w:sz="6" w:space="0" w:color="000000"/>
            </w:tcBorders>
          </w:tcPr>
          <w:p w14:paraId="4921F121" w14:textId="77777777" w:rsidR="00150AB9" w:rsidRPr="006F6EE5" w:rsidRDefault="00150AB9">
            <w:pPr>
              <w:rPr>
                <w:sz w:val="24"/>
                <w:szCs w:val="24"/>
                <w:lang w:val="en-GB"/>
              </w:rPr>
            </w:pPr>
          </w:p>
        </w:tc>
      </w:tr>
      <w:tr w:rsidR="00150AB9" w:rsidRPr="006F6EE5" w14:paraId="16CA161F" w14:textId="77777777" w:rsidTr="00C97F7F">
        <w:trPr>
          <w:trHeight w:val="255"/>
        </w:trPr>
        <w:tc>
          <w:tcPr>
            <w:tcW w:w="3360" w:type="pct"/>
            <w:tcBorders>
              <w:top w:val="single" w:sz="6" w:space="0" w:color="000000"/>
              <w:left w:val="single" w:sz="6" w:space="0" w:color="000000"/>
              <w:bottom w:val="single" w:sz="6" w:space="0" w:color="000000"/>
              <w:right w:val="single" w:sz="6" w:space="0" w:color="000000"/>
            </w:tcBorders>
            <w:hideMark/>
          </w:tcPr>
          <w:p w14:paraId="5E418FB8" w14:textId="77777777" w:rsidR="00150AB9" w:rsidRPr="006F6EE5" w:rsidRDefault="00150AB9">
            <w:pPr>
              <w:rPr>
                <w:sz w:val="24"/>
                <w:szCs w:val="24"/>
                <w:u w:val="single"/>
                <w:lang w:val="en-GB"/>
              </w:rPr>
            </w:pPr>
            <w:proofErr w:type="spellStart"/>
            <w:r w:rsidRPr="006F6EE5">
              <w:rPr>
                <w:sz w:val="24"/>
                <w:szCs w:val="24"/>
                <w:lang w:val="en-GB"/>
              </w:rPr>
              <w:t>Behandling</w:t>
            </w:r>
            <w:proofErr w:type="spellEnd"/>
            <w:r w:rsidRPr="006F6EE5">
              <w:rPr>
                <w:sz w:val="24"/>
                <w:szCs w:val="24"/>
                <w:lang w:val="en-GB"/>
              </w:rPr>
              <w:t xml:space="preserve"> </w:t>
            </w:r>
            <w:proofErr w:type="spellStart"/>
            <w:r w:rsidRPr="006F6EE5">
              <w:rPr>
                <w:sz w:val="24"/>
                <w:szCs w:val="24"/>
                <w:lang w:val="en-GB"/>
              </w:rPr>
              <w:t>af</w:t>
            </w:r>
            <w:proofErr w:type="spellEnd"/>
            <w:r w:rsidRPr="006F6EE5">
              <w:rPr>
                <w:sz w:val="24"/>
                <w:szCs w:val="24"/>
                <w:lang w:val="en-GB"/>
              </w:rPr>
              <w:t xml:space="preserve"> </w:t>
            </w:r>
            <w:proofErr w:type="spellStart"/>
            <w:r w:rsidRPr="006F6EE5">
              <w:rPr>
                <w:sz w:val="24"/>
                <w:szCs w:val="24"/>
                <w:lang w:val="en-GB"/>
              </w:rPr>
              <w:t>invasiv</w:t>
            </w:r>
            <w:proofErr w:type="spellEnd"/>
            <w:r w:rsidRPr="006F6EE5">
              <w:rPr>
                <w:sz w:val="24"/>
                <w:szCs w:val="24"/>
                <w:lang w:val="en-GB"/>
              </w:rPr>
              <w:t xml:space="preserve"> candidiasis</w:t>
            </w:r>
          </w:p>
        </w:tc>
        <w:tc>
          <w:tcPr>
            <w:tcW w:w="1640" w:type="pct"/>
            <w:tcBorders>
              <w:top w:val="single" w:sz="6" w:space="0" w:color="000000"/>
              <w:left w:val="single" w:sz="6" w:space="0" w:color="000000"/>
              <w:bottom w:val="single" w:sz="6" w:space="0" w:color="000000"/>
              <w:right w:val="single" w:sz="6" w:space="0" w:color="000000"/>
            </w:tcBorders>
            <w:hideMark/>
          </w:tcPr>
          <w:p w14:paraId="14338034" w14:textId="77777777" w:rsidR="00150AB9" w:rsidRPr="006F6EE5" w:rsidRDefault="00150AB9">
            <w:pPr>
              <w:rPr>
                <w:sz w:val="24"/>
                <w:szCs w:val="24"/>
                <w:lang w:val="en-GB"/>
              </w:rPr>
            </w:pPr>
            <w:r w:rsidRPr="006F6EE5">
              <w:rPr>
                <w:sz w:val="24"/>
                <w:szCs w:val="24"/>
                <w:lang w:val="en-GB"/>
              </w:rPr>
              <w:t>4</w:t>
            </w:r>
            <w:r w:rsidRPr="006F6EE5">
              <w:rPr>
                <w:sz w:val="24"/>
                <w:szCs w:val="24"/>
                <w:lang w:val="en-GB"/>
              </w:rPr>
              <w:noBreakHyphen/>
              <w:t>10 mg/kg/</w:t>
            </w:r>
            <w:proofErr w:type="spellStart"/>
            <w:r w:rsidRPr="006F6EE5">
              <w:rPr>
                <w:sz w:val="24"/>
                <w:szCs w:val="24"/>
                <w:lang w:val="en-GB"/>
              </w:rPr>
              <w:t>dag</w:t>
            </w:r>
            <w:proofErr w:type="spellEnd"/>
            <w:r w:rsidRPr="006F6EE5">
              <w:rPr>
                <w:sz w:val="24"/>
                <w:szCs w:val="24"/>
                <w:lang w:val="en-GB"/>
              </w:rPr>
              <w:t>*</w:t>
            </w:r>
          </w:p>
        </w:tc>
      </w:tr>
      <w:tr w:rsidR="00150AB9" w:rsidRPr="006F6EE5" w14:paraId="3BD1F3B7" w14:textId="77777777" w:rsidTr="00C97F7F">
        <w:trPr>
          <w:trHeight w:val="255"/>
        </w:trPr>
        <w:tc>
          <w:tcPr>
            <w:tcW w:w="3360" w:type="pct"/>
            <w:tcBorders>
              <w:top w:val="single" w:sz="6" w:space="0" w:color="000000"/>
              <w:left w:val="single" w:sz="6" w:space="0" w:color="000000"/>
              <w:bottom w:val="single" w:sz="6" w:space="0" w:color="000000"/>
              <w:right w:val="single" w:sz="6" w:space="0" w:color="000000"/>
            </w:tcBorders>
            <w:hideMark/>
          </w:tcPr>
          <w:p w14:paraId="61BF64D2" w14:textId="77777777" w:rsidR="00150AB9" w:rsidRPr="006F6EE5" w:rsidRDefault="00150AB9">
            <w:pPr>
              <w:rPr>
                <w:sz w:val="24"/>
                <w:szCs w:val="24"/>
                <w:u w:val="single"/>
                <w:lang w:val="en-GB"/>
              </w:rPr>
            </w:pPr>
            <w:proofErr w:type="spellStart"/>
            <w:r w:rsidRPr="006F6EE5">
              <w:rPr>
                <w:sz w:val="24"/>
                <w:szCs w:val="24"/>
                <w:lang w:val="en-GB"/>
              </w:rPr>
              <w:t>Profylakse</w:t>
            </w:r>
            <w:proofErr w:type="spellEnd"/>
            <w:r w:rsidRPr="006F6EE5">
              <w:rPr>
                <w:sz w:val="24"/>
                <w:szCs w:val="24"/>
                <w:lang w:val="en-GB"/>
              </w:rPr>
              <w:t xml:space="preserve"> mod </w:t>
            </w:r>
            <w:r w:rsidRPr="006F6EE5">
              <w:rPr>
                <w:i/>
                <w:iCs/>
                <w:sz w:val="24"/>
                <w:szCs w:val="24"/>
                <w:lang w:val="en-GB"/>
              </w:rPr>
              <w:t>Candida</w:t>
            </w:r>
            <w:r w:rsidRPr="006F6EE5">
              <w:rPr>
                <w:sz w:val="24"/>
                <w:szCs w:val="24"/>
                <w:lang w:val="en-GB"/>
              </w:rPr>
              <w:t>-</w:t>
            </w:r>
            <w:proofErr w:type="spellStart"/>
            <w:r w:rsidRPr="006F6EE5">
              <w:rPr>
                <w:sz w:val="24"/>
                <w:szCs w:val="24"/>
                <w:lang w:val="en-GB"/>
              </w:rPr>
              <w:t>infektion</w:t>
            </w:r>
            <w:proofErr w:type="spellEnd"/>
          </w:p>
        </w:tc>
        <w:tc>
          <w:tcPr>
            <w:tcW w:w="1640" w:type="pct"/>
            <w:tcBorders>
              <w:top w:val="single" w:sz="6" w:space="0" w:color="000000"/>
              <w:left w:val="single" w:sz="6" w:space="0" w:color="000000"/>
              <w:bottom w:val="single" w:sz="6" w:space="0" w:color="000000"/>
              <w:right w:val="single" w:sz="6" w:space="0" w:color="000000"/>
            </w:tcBorders>
            <w:hideMark/>
          </w:tcPr>
          <w:p w14:paraId="068BCA06" w14:textId="77777777" w:rsidR="00150AB9" w:rsidRPr="006F6EE5" w:rsidRDefault="00150AB9">
            <w:pPr>
              <w:rPr>
                <w:sz w:val="24"/>
                <w:szCs w:val="24"/>
                <w:lang w:val="en-GB"/>
              </w:rPr>
            </w:pPr>
            <w:r w:rsidRPr="006F6EE5">
              <w:rPr>
                <w:sz w:val="24"/>
                <w:szCs w:val="24"/>
                <w:lang w:val="en-GB"/>
              </w:rPr>
              <w:t>2 mg/kg/</w:t>
            </w:r>
            <w:proofErr w:type="spellStart"/>
            <w:r w:rsidRPr="006F6EE5">
              <w:rPr>
                <w:sz w:val="24"/>
                <w:szCs w:val="24"/>
                <w:lang w:val="en-GB"/>
              </w:rPr>
              <w:t>dag</w:t>
            </w:r>
            <w:proofErr w:type="spellEnd"/>
          </w:p>
        </w:tc>
      </w:tr>
    </w:tbl>
    <w:p w14:paraId="007F7B6A" w14:textId="77777777" w:rsidR="00150AB9" w:rsidRPr="006F6EE5" w:rsidRDefault="00150AB9" w:rsidP="00150AB9">
      <w:pPr>
        <w:rPr>
          <w:sz w:val="20"/>
        </w:rPr>
      </w:pPr>
      <w:r w:rsidRPr="006F6EE5">
        <w:rPr>
          <w:sz w:val="20"/>
        </w:rPr>
        <w:t>*</w:t>
      </w:r>
      <w:proofErr w:type="spellStart"/>
      <w:r w:rsidRPr="006F6EE5">
        <w:rPr>
          <w:sz w:val="20"/>
        </w:rPr>
        <w:t>Micafungin</w:t>
      </w:r>
      <w:proofErr w:type="spellEnd"/>
      <w:r w:rsidRPr="006F6EE5">
        <w:rPr>
          <w:sz w:val="20"/>
        </w:rPr>
        <w:t xml:space="preserve"> dosis på 4 mg/kg til børn under 4 måneder approksimerer lægemiddeleksponering hos voksne der fik 100 mg/dag til behandling af invasiv </w:t>
      </w:r>
      <w:proofErr w:type="spellStart"/>
      <w:r w:rsidRPr="006F6EE5">
        <w:rPr>
          <w:sz w:val="20"/>
        </w:rPr>
        <w:t>candidiasis</w:t>
      </w:r>
      <w:proofErr w:type="spellEnd"/>
      <w:r w:rsidRPr="006F6EE5">
        <w:rPr>
          <w:sz w:val="20"/>
        </w:rPr>
        <w:t xml:space="preserve">. Hvis der er mistanke om infektion i centralnervesystemet (CNS), bør en højere dosis (f.eks.10 mg/kg) anvendes på grund af den dosisafhængige penetrering af </w:t>
      </w:r>
      <w:proofErr w:type="spellStart"/>
      <w:r w:rsidRPr="006F6EE5">
        <w:rPr>
          <w:sz w:val="20"/>
        </w:rPr>
        <w:t>micafungin</w:t>
      </w:r>
      <w:proofErr w:type="spellEnd"/>
      <w:r w:rsidRPr="006F6EE5">
        <w:rPr>
          <w:sz w:val="20"/>
        </w:rPr>
        <w:t xml:space="preserve"> ind i CNS (se pkt. 5.2).</w:t>
      </w:r>
    </w:p>
    <w:p w14:paraId="35AE535F" w14:textId="77777777" w:rsidR="00150AB9" w:rsidRPr="006F6EE5" w:rsidRDefault="00150AB9" w:rsidP="00150AB9">
      <w:pPr>
        <w:rPr>
          <w:sz w:val="24"/>
          <w:szCs w:val="24"/>
        </w:rPr>
      </w:pPr>
    </w:p>
    <w:p w14:paraId="7BC13063" w14:textId="77777777" w:rsidR="00150AB9" w:rsidRPr="006F6EE5" w:rsidRDefault="00150AB9" w:rsidP="00C97F7F">
      <w:pPr>
        <w:ind w:left="851"/>
        <w:rPr>
          <w:i/>
          <w:sz w:val="24"/>
          <w:szCs w:val="24"/>
        </w:rPr>
      </w:pPr>
      <w:r w:rsidRPr="006F6EE5">
        <w:rPr>
          <w:i/>
          <w:sz w:val="24"/>
          <w:szCs w:val="24"/>
        </w:rPr>
        <w:t>Behandlingsvarighed</w:t>
      </w:r>
    </w:p>
    <w:p w14:paraId="3D6A3934" w14:textId="77777777" w:rsidR="00150AB9" w:rsidRPr="006F6EE5" w:rsidRDefault="00150AB9" w:rsidP="00C97F7F">
      <w:pPr>
        <w:ind w:left="851"/>
        <w:rPr>
          <w:sz w:val="24"/>
          <w:szCs w:val="24"/>
        </w:rPr>
      </w:pPr>
      <w:r w:rsidRPr="006F6EE5">
        <w:rPr>
          <w:sz w:val="24"/>
          <w:szCs w:val="24"/>
        </w:rPr>
        <w:t xml:space="preserve">Invasiv </w:t>
      </w:r>
      <w:proofErr w:type="spellStart"/>
      <w:r w:rsidRPr="006F6EE5">
        <w:rPr>
          <w:sz w:val="24"/>
          <w:szCs w:val="24"/>
        </w:rPr>
        <w:t>candidiasis</w:t>
      </w:r>
      <w:proofErr w:type="spellEnd"/>
      <w:r w:rsidRPr="006F6EE5">
        <w:rPr>
          <w:sz w:val="24"/>
          <w:szCs w:val="24"/>
        </w:rPr>
        <w:t xml:space="preserve">: Behandlingsvarigheden af </w:t>
      </w:r>
      <w:proofErr w:type="spellStart"/>
      <w:r w:rsidRPr="006F6EE5">
        <w:rPr>
          <w:i/>
          <w:sz w:val="24"/>
          <w:szCs w:val="24"/>
        </w:rPr>
        <w:t>Candida</w:t>
      </w:r>
      <w:proofErr w:type="spellEnd"/>
      <w:r w:rsidRPr="006F6EE5">
        <w:rPr>
          <w:sz w:val="24"/>
          <w:szCs w:val="24"/>
        </w:rPr>
        <w:t xml:space="preserve">-infektion bør være på mindst 14 dage. Infektionsbehandlingen bør fortsætte i mindst en uge, efter at to på hinanden følgende negative blodprøver er taget, og </w:t>
      </w:r>
      <w:r w:rsidRPr="006F6EE5">
        <w:rPr>
          <w:b/>
          <w:bCs/>
          <w:i/>
          <w:sz w:val="24"/>
          <w:szCs w:val="24"/>
        </w:rPr>
        <w:t>efter</w:t>
      </w:r>
      <w:r w:rsidRPr="006F6EE5">
        <w:rPr>
          <w:sz w:val="24"/>
          <w:szCs w:val="24"/>
        </w:rPr>
        <w:t xml:space="preserve"> at kliniske symptomer fra infektionen er ophørt.</w:t>
      </w:r>
    </w:p>
    <w:p w14:paraId="2F2167D1" w14:textId="0F5A6C54" w:rsidR="00150AB9" w:rsidRPr="006F6EE5" w:rsidRDefault="00150AB9" w:rsidP="00C97F7F">
      <w:pPr>
        <w:ind w:left="851"/>
        <w:rPr>
          <w:sz w:val="24"/>
          <w:szCs w:val="24"/>
        </w:rPr>
      </w:pPr>
      <w:r w:rsidRPr="006F6EE5">
        <w:rPr>
          <w:sz w:val="24"/>
          <w:szCs w:val="24"/>
        </w:rPr>
        <w:t xml:space="preserve">Profylakse mod </w:t>
      </w:r>
      <w:proofErr w:type="spellStart"/>
      <w:r w:rsidRPr="006F6EE5">
        <w:rPr>
          <w:i/>
          <w:sz w:val="24"/>
          <w:szCs w:val="24"/>
        </w:rPr>
        <w:t>Candida</w:t>
      </w:r>
      <w:proofErr w:type="spellEnd"/>
      <w:r w:rsidRPr="006F6EE5">
        <w:rPr>
          <w:sz w:val="24"/>
          <w:szCs w:val="24"/>
        </w:rPr>
        <w:t xml:space="preserve">-infektioner: </w:t>
      </w:r>
      <w:proofErr w:type="spellStart"/>
      <w:r w:rsidRPr="006F6EE5">
        <w:rPr>
          <w:sz w:val="24"/>
          <w:szCs w:val="24"/>
        </w:rPr>
        <w:t>Micafungin</w:t>
      </w:r>
      <w:proofErr w:type="spellEnd"/>
      <w:r w:rsidRPr="006F6EE5">
        <w:rPr>
          <w:sz w:val="24"/>
          <w:szCs w:val="24"/>
        </w:rPr>
        <w:t xml:space="preserve"> bør administreres i mindst en uge, efter at </w:t>
      </w:r>
      <w:proofErr w:type="spellStart"/>
      <w:r w:rsidRPr="006F6EE5">
        <w:rPr>
          <w:sz w:val="24"/>
          <w:szCs w:val="24"/>
        </w:rPr>
        <w:t>neutrofiltallet</w:t>
      </w:r>
      <w:proofErr w:type="spellEnd"/>
      <w:r w:rsidRPr="006F6EE5">
        <w:rPr>
          <w:sz w:val="24"/>
          <w:szCs w:val="24"/>
        </w:rPr>
        <w:t xml:space="preserve"> er normaliseret. Erfaring med </w:t>
      </w:r>
      <w:proofErr w:type="spellStart"/>
      <w:r w:rsidRPr="006F6EE5">
        <w:rPr>
          <w:sz w:val="24"/>
          <w:szCs w:val="24"/>
        </w:rPr>
        <w:t>Micafungin</w:t>
      </w:r>
      <w:proofErr w:type="spellEnd"/>
      <w:r w:rsidRPr="006F6EE5">
        <w:rPr>
          <w:sz w:val="24"/>
          <w:szCs w:val="24"/>
        </w:rPr>
        <w:t xml:space="preserve"> </w:t>
      </w:r>
      <w:r w:rsidR="006F6EE5">
        <w:rPr>
          <w:sz w:val="24"/>
          <w:szCs w:val="24"/>
        </w:rPr>
        <w:t>"</w:t>
      </w:r>
      <w:proofErr w:type="spellStart"/>
      <w:r w:rsidRPr="006F6EE5">
        <w:rPr>
          <w:sz w:val="24"/>
          <w:szCs w:val="24"/>
        </w:rPr>
        <w:t>Hikma</w:t>
      </w:r>
      <w:proofErr w:type="spellEnd"/>
      <w:r w:rsidR="006F6EE5">
        <w:rPr>
          <w:sz w:val="24"/>
          <w:szCs w:val="24"/>
        </w:rPr>
        <w:t>"</w:t>
      </w:r>
      <w:r w:rsidRPr="006F6EE5">
        <w:rPr>
          <w:sz w:val="24"/>
          <w:szCs w:val="24"/>
        </w:rPr>
        <w:t xml:space="preserve"> hos patienter under 2 år er begrænset.</w:t>
      </w:r>
    </w:p>
    <w:p w14:paraId="2F98944B" w14:textId="77777777" w:rsidR="00150AB9" w:rsidRPr="006F6EE5" w:rsidRDefault="00150AB9" w:rsidP="00C97F7F">
      <w:pPr>
        <w:ind w:left="851"/>
        <w:rPr>
          <w:sz w:val="24"/>
          <w:szCs w:val="24"/>
        </w:rPr>
      </w:pPr>
    </w:p>
    <w:p w14:paraId="0B7DD325" w14:textId="77777777" w:rsidR="00150AB9" w:rsidRPr="006F6EE5" w:rsidRDefault="00150AB9" w:rsidP="00C97F7F">
      <w:pPr>
        <w:ind w:left="851"/>
        <w:rPr>
          <w:i/>
          <w:sz w:val="24"/>
          <w:szCs w:val="24"/>
        </w:rPr>
      </w:pPr>
      <w:r w:rsidRPr="006F6EE5">
        <w:rPr>
          <w:i/>
          <w:sz w:val="24"/>
          <w:szCs w:val="24"/>
        </w:rPr>
        <w:t>Nedsat leverfunktion</w:t>
      </w:r>
    </w:p>
    <w:p w14:paraId="7519FA5F" w14:textId="77777777" w:rsidR="00150AB9" w:rsidRPr="006F6EE5" w:rsidRDefault="00150AB9" w:rsidP="00C97F7F">
      <w:pPr>
        <w:ind w:left="851"/>
        <w:rPr>
          <w:sz w:val="24"/>
          <w:szCs w:val="24"/>
        </w:rPr>
      </w:pPr>
      <w:r w:rsidRPr="006F6EE5">
        <w:rPr>
          <w:sz w:val="24"/>
          <w:szCs w:val="24"/>
        </w:rPr>
        <w:t xml:space="preserve">Dosisjustering er ikke nødvendig hos patienter med let eller moderat nedsat leverfunktion (se pkt. 5.2). Der er i øjeblikket ikke tilstrækkelig med data for brug af </w:t>
      </w:r>
      <w:proofErr w:type="spellStart"/>
      <w:r w:rsidRPr="006F6EE5">
        <w:rPr>
          <w:sz w:val="24"/>
          <w:szCs w:val="24"/>
        </w:rPr>
        <w:t>micafungin</w:t>
      </w:r>
      <w:proofErr w:type="spellEnd"/>
      <w:r w:rsidRPr="006F6EE5">
        <w:rPr>
          <w:sz w:val="24"/>
          <w:szCs w:val="24"/>
        </w:rPr>
        <w:t xml:space="preserve"> hos patienter med svært nedsat leverfunktion, og brug til disse patienter frarådes (se pkt. 4.4 og 5.2).</w:t>
      </w:r>
    </w:p>
    <w:p w14:paraId="00A6F6BE" w14:textId="77777777" w:rsidR="00150AB9" w:rsidRPr="006F6EE5" w:rsidRDefault="00150AB9" w:rsidP="00C97F7F">
      <w:pPr>
        <w:ind w:left="851"/>
        <w:rPr>
          <w:sz w:val="24"/>
          <w:szCs w:val="24"/>
        </w:rPr>
      </w:pPr>
    </w:p>
    <w:p w14:paraId="20547D9D" w14:textId="77777777" w:rsidR="00150AB9" w:rsidRPr="006F6EE5" w:rsidRDefault="00150AB9" w:rsidP="00C97F7F">
      <w:pPr>
        <w:ind w:left="851"/>
        <w:rPr>
          <w:i/>
          <w:sz w:val="24"/>
          <w:szCs w:val="24"/>
        </w:rPr>
      </w:pPr>
      <w:r w:rsidRPr="006F6EE5">
        <w:rPr>
          <w:i/>
          <w:sz w:val="24"/>
          <w:szCs w:val="24"/>
        </w:rPr>
        <w:t>Nedsat nyrefunktion</w:t>
      </w:r>
    </w:p>
    <w:p w14:paraId="6463B86A" w14:textId="77777777" w:rsidR="00150AB9" w:rsidRPr="006F6EE5" w:rsidRDefault="00150AB9" w:rsidP="00C97F7F">
      <w:pPr>
        <w:ind w:left="851"/>
        <w:rPr>
          <w:sz w:val="24"/>
          <w:szCs w:val="24"/>
        </w:rPr>
      </w:pPr>
      <w:r w:rsidRPr="006F6EE5">
        <w:rPr>
          <w:sz w:val="24"/>
          <w:szCs w:val="24"/>
        </w:rPr>
        <w:t>Dosisjustering er ikke nødvendig hos patienter med nedsat nyrefunktion (se pkt. 5.2).</w:t>
      </w:r>
    </w:p>
    <w:p w14:paraId="60A6B1AE" w14:textId="0763777E" w:rsidR="00F852AA" w:rsidRDefault="00F852AA">
      <w:pPr>
        <w:rPr>
          <w:sz w:val="24"/>
          <w:szCs w:val="24"/>
        </w:rPr>
      </w:pPr>
      <w:r>
        <w:rPr>
          <w:sz w:val="24"/>
          <w:szCs w:val="24"/>
        </w:rPr>
        <w:br w:type="page"/>
      </w:r>
    </w:p>
    <w:p w14:paraId="0DEBD5F2" w14:textId="77777777" w:rsidR="00150AB9" w:rsidRPr="006F6EE5" w:rsidRDefault="00150AB9" w:rsidP="00C97F7F">
      <w:pPr>
        <w:ind w:left="851"/>
        <w:rPr>
          <w:sz w:val="24"/>
          <w:szCs w:val="24"/>
        </w:rPr>
      </w:pPr>
    </w:p>
    <w:p w14:paraId="75FB4968" w14:textId="77777777" w:rsidR="00150AB9" w:rsidRPr="006F6EE5" w:rsidRDefault="00150AB9" w:rsidP="00C97F7F">
      <w:pPr>
        <w:ind w:left="851"/>
        <w:rPr>
          <w:i/>
          <w:sz w:val="24"/>
          <w:szCs w:val="24"/>
        </w:rPr>
      </w:pPr>
      <w:r w:rsidRPr="006F6EE5">
        <w:rPr>
          <w:i/>
          <w:sz w:val="24"/>
          <w:szCs w:val="24"/>
        </w:rPr>
        <w:t>Pædiatrisk population</w:t>
      </w:r>
    </w:p>
    <w:p w14:paraId="443C1BE2" w14:textId="77777777" w:rsidR="00150AB9" w:rsidRPr="006F6EE5" w:rsidRDefault="00150AB9" w:rsidP="00C97F7F">
      <w:pPr>
        <w:ind w:left="851"/>
        <w:rPr>
          <w:sz w:val="24"/>
          <w:szCs w:val="24"/>
        </w:rPr>
      </w:pPr>
      <w:r w:rsidRPr="006F6EE5">
        <w:rPr>
          <w:sz w:val="24"/>
          <w:szCs w:val="24"/>
        </w:rPr>
        <w:t xml:space="preserve">Sikkerheden og virkningen af doser på 4 og 10 mg/kg til behandling af invasiv </w:t>
      </w:r>
      <w:proofErr w:type="spellStart"/>
      <w:r w:rsidRPr="006F6EE5">
        <w:rPr>
          <w:sz w:val="24"/>
          <w:szCs w:val="24"/>
        </w:rPr>
        <w:t>candidiasis</w:t>
      </w:r>
      <w:proofErr w:type="spellEnd"/>
      <w:r w:rsidRPr="006F6EE5">
        <w:rPr>
          <w:sz w:val="24"/>
          <w:szCs w:val="24"/>
        </w:rPr>
        <w:t xml:space="preserve"> med involvering af CNS er ikke tilstrækkeligt klarlagt hos spædbørn (herunder nyfødte) under 4 måneder. Tilgængelige data er beskrevet i pkt. 4.8, 5.1, 5.2.</w:t>
      </w:r>
    </w:p>
    <w:p w14:paraId="510685BE" w14:textId="77777777" w:rsidR="00150AB9" w:rsidRPr="006F6EE5" w:rsidRDefault="00150AB9" w:rsidP="00C97F7F">
      <w:pPr>
        <w:ind w:left="851"/>
        <w:rPr>
          <w:sz w:val="24"/>
          <w:szCs w:val="24"/>
        </w:rPr>
      </w:pPr>
    </w:p>
    <w:p w14:paraId="02459F4C" w14:textId="77777777" w:rsidR="00150AB9" w:rsidRPr="006F6EE5" w:rsidRDefault="00150AB9" w:rsidP="00C97F7F">
      <w:pPr>
        <w:ind w:left="851"/>
        <w:rPr>
          <w:sz w:val="24"/>
          <w:szCs w:val="24"/>
        </w:rPr>
      </w:pPr>
      <w:r w:rsidRPr="006F6EE5">
        <w:rPr>
          <w:sz w:val="24"/>
          <w:szCs w:val="24"/>
          <w:u w:val="single"/>
        </w:rPr>
        <w:t>Administration</w:t>
      </w:r>
    </w:p>
    <w:p w14:paraId="43FCCED9" w14:textId="77777777" w:rsidR="00150AB9" w:rsidRPr="006F6EE5" w:rsidRDefault="00150AB9" w:rsidP="00C97F7F">
      <w:pPr>
        <w:ind w:left="851"/>
        <w:rPr>
          <w:sz w:val="24"/>
          <w:szCs w:val="24"/>
        </w:rPr>
      </w:pPr>
    </w:p>
    <w:p w14:paraId="54982310" w14:textId="77777777" w:rsidR="00150AB9" w:rsidRPr="006F6EE5" w:rsidRDefault="00150AB9" w:rsidP="00C97F7F">
      <w:pPr>
        <w:ind w:left="851"/>
        <w:rPr>
          <w:sz w:val="24"/>
          <w:szCs w:val="24"/>
        </w:rPr>
      </w:pPr>
      <w:r w:rsidRPr="006F6EE5">
        <w:rPr>
          <w:sz w:val="24"/>
          <w:szCs w:val="24"/>
        </w:rPr>
        <w:t>Intravenøs anvendelse.</w:t>
      </w:r>
    </w:p>
    <w:p w14:paraId="6B86118C" w14:textId="77777777" w:rsidR="00150AB9" w:rsidRPr="006F6EE5" w:rsidRDefault="00150AB9" w:rsidP="00C97F7F">
      <w:pPr>
        <w:ind w:left="851"/>
        <w:rPr>
          <w:sz w:val="24"/>
          <w:szCs w:val="24"/>
        </w:rPr>
      </w:pPr>
      <w:r w:rsidRPr="006F6EE5">
        <w:rPr>
          <w:sz w:val="24"/>
          <w:szCs w:val="24"/>
        </w:rPr>
        <w:t xml:space="preserve">Efter </w:t>
      </w:r>
      <w:proofErr w:type="spellStart"/>
      <w:r w:rsidRPr="006F6EE5">
        <w:rPr>
          <w:sz w:val="24"/>
          <w:szCs w:val="24"/>
        </w:rPr>
        <w:t>rekonstitution</w:t>
      </w:r>
      <w:proofErr w:type="spellEnd"/>
      <w:r w:rsidRPr="006F6EE5">
        <w:rPr>
          <w:sz w:val="24"/>
          <w:szCs w:val="24"/>
        </w:rPr>
        <w:t xml:space="preserve"> og fortynding skal opløsningen administreres som intravenøs infusion over ca. 1 time. Hurtigere infusioner kan føre til hyppigere histaminmedierede reaktioner. For instruktioner om </w:t>
      </w:r>
      <w:proofErr w:type="spellStart"/>
      <w:r w:rsidRPr="006F6EE5">
        <w:rPr>
          <w:sz w:val="24"/>
          <w:szCs w:val="24"/>
        </w:rPr>
        <w:t>rekonstitution</w:t>
      </w:r>
      <w:proofErr w:type="spellEnd"/>
      <w:r w:rsidRPr="006F6EE5">
        <w:rPr>
          <w:sz w:val="24"/>
          <w:szCs w:val="24"/>
        </w:rPr>
        <w:t>, se pkt. 6.6.</w:t>
      </w:r>
    </w:p>
    <w:p w14:paraId="3559D48A" w14:textId="77777777" w:rsidR="009260DE" w:rsidRPr="006F6EE5" w:rsidRDefault="009260DE" w:rsidP="009260DE">
      <w:pPr>
        <w:tabs>
          <w:tab w:val="left" w:pos="851"/>
        </w:tabs>
        <w:ind w:left="851"/>
        <w:rPr>
          <w:sz w:val="24"/>
          <w:szCs w:val="24"/>
        </w:rPr>
      </w:pPr>
    </w:p>
    <w:p w14:paraId="523B8E5E" w14:textId="77777777" w:rsidR="009260DE" w:rsidRPr="006F6EE5" w:rsidRDefault="009260DE" w:rsidP="009260DE">
      <w:pPr>
        <w:tabs>
          <w:tab w:val="left" w:pos="851"/>
        </w:tabs>
        <w:ind w:left="851" w:hanging="851"/>
        <w:rPr>
          <w:b/>
          <w:sz w:val="24"/>
          <w:szCs w:val="24"/>
        </w:rPr>
      </w:pPr>
      <w:r w:rsidRPr="006F6EE5">
        <w:rPr>
          <w:b/>
          <w:sz w:val="24"/>
          <w:szCs w:val="24"/>
        </w:rPr>
        <w:t>4.3</w:t>
      </w:r>
      <w:r w:rsidRPr="006F6EE5">
        <w:rPr>
          <w:b/>
          <w:sz w:val="24"/>
          <w:szCs w:val="24"/>
        </w:rPr>
        <w:tab/>
        <w:t>Kontraindikationer</w:t>
      </w:r>
    </w:p>
    <w:p w14:paraId="20ECB468" w14:textId="77777777" w:rsidR="00150AB9" w:rsidRPr="006F6EE5" w:rsidRDefault="00150AB9" w:rsidP="00C97F7F">
      <w:pPr>
        <w:ind w:left="851"/>
        <w:rPr>
          <w:sz w:val="24"/>
          <w:szCs w:val="24"/>
        </w:rPr>
      </w:pPr>
      <w:r w:rsidRPr="006F6EE5">
        <w:rPr>
          <w:sz w:val="24"/>
          <w:szCs w:val="24"/>
        </w:rPr>
        <w:t>Overfølsomhed over for det aktive stof eller over for et eller flere af hjælpestofferne anført i pkt. 6.1.</w:t>
      </w:r>
    </w:p>
    <w:p w14:paraId="718084E0" w14:textId="77777777" w:rsidR="009260DE" w:rsidRPr="006F6EE5" w:rsidRDefault="009260DE" w:rsidP="009260DE">
      <w:pPr>
        <w:tabs>
          <w:tab w:val="left" w:pos="851"/>
        </w:tabs>
        <w:ind w:left="851"/>
        <w:rPr>
          <w:sz w:val="24"/>
          <w:szCs w:val="24"/>
        </w:rPr>
      </w:pPr>
    </w:p>
    <w:p w14:paraId="6A7685F3" w14:textId="77777777" w:rsidR="009260DE" w:rsidRPr="006F6EE5" w:rsidRDefault="009260DE" w:rsidP="009260DE">
      <w:pPr>
        <w:tabs>
          <w:tab w:val="left" w:pos="851"/>
        </w:tabs>
        <w:ind w:left="851" w:hanging="851"/>
        <w:rPr>
          <w:b/>
          <w:sz w:val="24"/>
          <w:szCs w:val="24"/>
        </w:rPr>
      </w:pPr>
      <w:r w:rsidRPr="006F6EE5">
        <w:rPr>
          <w:b/>
          <w:sz w:val="24"/>
          <w:szCs w:val="24"/>
        </w:rPr>
        <w:t>4.4</w:t>
      </w:r>
      <w:r w:rsidRPr="006F6EE5">
        <w:rPr>
          <w:b/>
          <w:sz w:val="24"/>
          <w:szCs w:val="24"/>
        </w:rPr>
        <w:tab/>
        <w:t>Særlige advarsler og forsigtighedsregler vedrørende brugen</w:t>
      </w:r>
    </w:p>
    <w:p w14:paraId="1AAF7B90" w14:textId="3EEA5672" w:rsidR="00150AB9" w:rsidRPr="006F6EE5" w:rsidRDefault="00150AB9" w:rsidP="00150AB9">
      <w:pPr>
        <w:suppressAutoHyphens/>
        <w:ind w:left="567" w:hanging="567"/>
        <w:rPr>
          <w:sz w:val="24"/>
          <w:szCs w:val="24"/>
        </w:rPr>
      </w:pPr>
    </w:p>
    <w:tbl>
      <w:tblPr>
        <w:tblStyle w:val="Tabel-Gitter"/>
        <w:tblW w:w="9061" w:type="dxa"/>
        <w:tblInd w:w="846" w:type="dxa"/>
        <w:tblLook w:val="04A0" w:firstRow="1" w:lastRow="0" w:firstColumn="1" w:lastColumn="0" w:noHBand="0" w:noVBand="1"/>
      </w:tblPr>
      <w:tblGrid>
        <w:gridCol w:w="9061"/>
      </w:tblGrid>
      <w:tr w:rsidR="006F6EE5" w:rsidRPr="006F6EE5" w14:paraId="7C599AF0" w14:textId="77777777" w:rsidTr="006F6EE5">
        <w:tc>
          <w:tcPr>
            <w:tcW w:w="9061" w:type="dxa"/>
          </w:tcPr>
          <w:p w14:paraId="1499EBCA" w14:textId="77777777" w:rsidR="006F6EE5" w:rsidRPr="006F6EE5" w:rsidRDefault="006F6EE5" w:rsidP="006F6EE5">
            <w:pPr>
              <w:spacing w:before="19"/>
              <w:ind w:left="104"/>
              <w:rPr>
                <w:b/>
                <w:sz w:val="24"/>
                <w:szCs w:val="24"/>
                <w:lang w:val="da-DK"/>
              </w:rPr>
            </w:pPr>
            <w:r w:rsidRPr="006F6EE5">
              <w:rPr>
                <w:b/>
                <w:spacing w:val="-2"/>
                <w:sz w:val="24"/>
                <w:szCs w:val="24"/>
                <w:lang w:val="da-DK"/>
              </w:rPr>
              <w:t>Leverpåvirkning:</w:t>
            </w:r>
          </w:p>
          <w:p w14:paraId="651BF381" w14:textId="0267BCC4" w:rsidR="006F6EE5" w:rsidRPr="006F6EE5" w:rsidRDefault="006F6EE5" w:rsidP="006F6EE5">
            <w:pPr>
              <w:spacing w:before="2"/>
              <w:ind w:left="104"/>
              <w:rPr>
                <w:sz w:val="24"/>
                <w:szCs w:val="24"/>
                <w:lang w:val="da-DK"/>
              </w:rPr>
            </w:pPr>
            <w:r w:rsidRPr="006F6EE5">
              <w:rPr>
                <w:b/>
                <w:sz w:val="24"/>
                <w:szCs w:val="24"/>
                <w:lang w:val="da-DK"/>
              </w:rPr>
              <w:t>Hos</w:t>
            </w:r>
            <w:r w:rsidRPr="006F6EE5">
              <w:rPr>
                <w:b/>
                <w:spacing w:val="28"/>
                <w:sz w:val="24"/>
                <w:szCs w:val="24"/>
                <w:lang w:val="da-DK"/>
              </w:rPr>
              <w:t xml:space="preserve"> </w:t>
            </w:r>
            <w:r w:rsidRPr="006F6EE5">
              <w:rPr>
                <w:b/>
                <w:sz w:val="24"/>
                <w:szCs w:val="24"/>
                <w:lang w:val="da-DK"/>
              </w:rPr>
              <w:t>rotter</w:t>
            </w:r>
            <w:r w:rsidRPr="006F6EE5">
              <w:rPr>
                <w:b/>
                <w:spacing w:val="32"/>
                <w:sz w:val="24"/>
                <w:szCs w:val="24"/>
                <w:lang w:val="da-DK"/>
              </w:rPr>
              <w:t xml:space="preserve"> </w:t>
            </w:r>
            <w:r w:rsidRPr="006F6EE5">
              <w:rPr>
                <w:b/>
                <w:sz w:val="24"/>
                <w:szCs w:val="24"/>
                <w:lang w:val="da-DK"/>
              </w:rPr>
              <w:t>blev</w:t>
            </w:r>
            <w:r w:rsidRPr="006F6EE5">
              <w:rPr>
                <w:b/>
                <w:spacing w:val="35"/>
                <w:sz w:val="24"/>
                <w:szCs w:val="24"/>
                <w:lang w:val="da-DK"/>
              </w:rPr>
              <w:t xml:space="preserve"> </w:t>
            </w:r>
            <w:r w:rsidRPr="006F6EE5">
              <w:rPr>
                <w:b/>
                <w:sz w:val="24"/>
                <w:szCs w:val="24"/>
                <w:lang w:val="da-DK"/>
              </w:rPr>
              <w:t>der</w:t>
            </w:r>
            <w:r w:rsidRPr="006F6EE5">
              <w:rPr>
                <w:b/>
                <w:spacing w:val="32"/>
                <w:sz w:val="24"/>
                <w:szCs w:val="24"/>
                <w:lang w:val="da-DK"/>
              </w:rPr>
              <w:t xml:space="preserve"> </w:t>
            </w:r>
            <w:r w:rsidRPr="006F6EE5">
              <w:rPr>
                <w:b/>
                <w:sz w:val="24"/>
                <w:szCs w:val="24"/>
                <w:lang w:val="da-DK"/>
              </w:rPr>
              <w:t>observeret</w:t>
            </w:r>
            <w:r w:rsidRPr="006F6EE5">
              <w:rPr>
                <w:b/>
                <w:spacing w:val="25"/>
                <w:sz w:val="24"/>
                <w:szCs w:val="24"/>
                <w:lang w:val="da-DK"/>
              </w:rPr>
              <w:t xml:space="preserve"> </w:t>
            </w:r>
            <w:r w:rsidRPr="006F6EE5">
              <w:rPr>
                <w:b/>
                <w:sz w:val="24"/>
                <w:szCs w:val="24"/>
                <w:lang w:val="da-DK"/>
              </w:rPr>
              <w:t>udvikling</w:t>
            </w:r>
            <w:r w:rsidRPr="006F6EE5">
              <w:rPr>
                <w:b/>
                <w:spacing w:val="35"/>
                <w:sz w:val="24"/>
                <w:szCs w:val="24"/>
                <w:lang w:val="da-DK"/>
              </w:rPr>
              <w:t xml:space="preserve"> </w:t>
            </w:r>
            <w:r w:rsidRPr="006F6EE5">
              <w:rPr>
                <w:b/>
                <w:sz w:val="24"/>
                <w:szCs w:val="24"/>
                <w:lang w:val="da-DK"/>
              </w:rPr>
              <w:t>af</w:t>
            </w:r>
            <w:r w:rsidRPr="006F6EE5">
              <w:rPr>
                <w:b/>
                <w:spacing w:val="25"/>
                <w:sz w:val="24"/>
                <w:szCs w:val="24"/>
                <w:lang w:val="da-DK"/>
              </w:rPr>
              <w:t xml:space="preserve"> </w:t>
            </w:r>
            <w:proofErr w:type="spellStart"/>
            <w:r w:rsidRPr="006F6EE5">
              <w:rPr>
                <w:b/>
                <w:sz w:val="24"/>
                <w:szCs w:val="24"/>
                <w:lang w:val="da-DK"/>
              </w:rPr>
              <w:t>foci</w:t>
            </w:r>
            <w:proofErr w:type="spellEnd"/>
            <w:r w:rsidRPr="006F6EE5">
              <w:rPr>
                <w:b/>
                <w:sz w:val="24"/>
                <w:szCs w:val="24"/>
                <w:lang w:val="da-DK"/>
              </w:rPr>
              <w:t xml:space="preserve"> med forandrede</w:t>
            </w:r>
            <w:r w:rsidRPr="006F6EE5">
              <w:rPr>
                <w:b/>
                <w:spacing w:val="32"/>
                <w:sz w:val="24"/>
                <w:szCs w:val="24"/>
                <w:lang w:val="da-DK"/>
              </w:rPr>
              <w:t xml:space="preserve"> </w:t>
            </w:r>
            <w:proofErr w:type="spellStart"/>
            <w:r w:rsidRPr="006F6EE5">
              <w:rPr>
                <w:b/>
                <w:sz w:val="24"/>
                <w:szCs w:val="24"/>
                <w:lang w:val="da-DK"/>
              </w:rPr>
              <w:t>hepatocytter</w:t>
            </w:r>
            <w:proofErr w:type="spellEnd"/>
            <w:r w:rsidRPr="006F6EE5">
              <w:rPr>
                <w:b/>
                <w:spacing w:val="32"/>
                <w:sz w:val="24"/>
                <w:szCs w:val="24"/>
                <w:lang w:val="da-DK"/>
              </w:rPr>
              <w:t xml:space="preserve"> </w:t>
            </w:r>
            <w:r w:rsidRPr="006F6EE5">
              <w:rPr>
                <w:b/>
                <w:sz w:val="24"/>
                <w:szCs w:val="24"/>
                <w:lang w:val="da-DK"/>
              </w:rPr>
              <w:t>(FAH)</w:t>
            </w:r>
            <w:r w:rsidRPr="006F6EE5">
              <w:rPr>
                <w:b/>
                <w:spacing w:val="25"/>
                <w:sz w:val="24"/>
                <w:szCs w:val="24"/>
                <w:lang w:val="da-DK"/>
              </w:rPr>
              <w:t xml:space="preserve"> </w:t>
            </w:r>
            <w:r w:rsidRPr="006F6EE5">
              <w:rPr>
                <w:b/>
                <w:sz w:val="24"/>
                <w:szCs w:val="24"/>
                <w:lang w:val="da-DK"/>
              </w:rPr>
              <w:t xml:space="preserve">og </w:t>
            </w:r>
            <w:proofErr w:type="spellStart"/>
            <w:r w:rsidRPr="006F6EE5">
              <w:rPr>
                <w:b/>
                <w:sz w:val="24"/>
                <w:szCs w:val="24"/>
                <w:lang w:val="da-DK"/>
              </w:rPr>
              <w:t>hepatocellulære</w:t>
            </w:r>
            <w:proofErr w:type="spellEnd"/>
            <w:r w:rsidRPr="006F6EE5">
              <w:rPr>
                <w:b/>
                <w:spacing w:val="40"/>
                <w:sz w:val="24"/>
                <w:szCs w:val="24"/>
                <w:lang w:val="da-DK"/>
              </w:rPr>
              <w:t xml:space="preserve"> </w:t>
            </w:r>
            <w:r w:rsidRPr="006F6EE5">
              <w:rPr>
                <w:b/>
                <w:sz w:val="24"/>
                <w:szCs w:val="24"/>
                <w:lang w:val="da-DK"/>
              </w:rPr>
              <w:t>tumorer</w:t>
            </w:r>
            <w:r w:rsidRPr="006F6EE5">
              <w:rPr>
                <w:b/>
                <w:spacing w:val="40"/>
                <w:sz w:val="24"/>
                <w:szCs w:val="24"/>
                <w:lang w:val="da-DK"/>
              </w:rPr>
              <w:t xml:space="preserve"> </w:t>
            </w:r>
            <w:r w:rsidRPr="006F6EE5">
              <w:rPr>
                <w:b/>
                <w:sz w:val="24"/>
                <w:szCs w:val="24"/>
                <w:lang w:val="da-DK"/>
              </w:rPr>
              <w:t>efter</w:t>
            </w:r>
            <w:r w:rsidRPr="006F6EE5">
              <w:rPr>
                <w:b/>
                <w:spacing w:val="40"/>
                <w:sz w:val="24"/>
                <w:szCs w:val="24"/>
                <w:lang w:val="da-DK"/>
              </w:rPr>
              <w:t xml:space="preserve"> </w:t>
            </w:r>
            <w:r w:rsidRPr="006F6EE5">
              <w:rPr>
                <w:b/>
                <w:sz w:val="24"/>
                <w:szCs w:val="24"/>
                <w:lang w:val="da-DK"/>
              </w:rPr>
              <w:t>en behandlingsperiode</w:t>
            </w:r>
            <w:r w:rsidRPr="006F6EE5">
              <w:rPr>
                <w:b/>
                <w:spacing w:val="40"/>
                <w:sz w:val="24"/>
                <w:szCs w:val="24"/>
                <w:lang w:val="da-DK"/>
              </w:rPr>
              <w:t xml:space="preserve"> </w:t>
            </w:r>
            <w:r w:rsidRPr="006F6EE5">
              <w:rPr>
                <w:b/>
                <w:sz w:val="24"/>
                <w:szCs w:val="24"/>
                <w:lang w:val="da-DK"/>
              </w:rPr>
              <w:t>på</w:t>
            </w:r>
            <w:r w:rsidRPr="006F6EE5">
              <w:rPr>
                <w:b/>
                <w:spacing w:val="40"/>
                <w:sz w:val="24"/>
                <w:szCs w:val="24"/>
                <w:lang w:val="da-DK"/>
              </w:rPr>
              <w:t xml:space="preserve"> </w:t>
            </w:r>
            <w:r w:rsidRPr="006F6EE5">
              <w:rPr>
                <w:b/>
                <w:sz w:val="24"/>
                <w:szCs w:val="24"/>
                <w:lang w:val="da-DK"/>
              </w:rPr>
              <w:t>3</w:t>
            </w:r>
            <w:r w:rsidRPr="006F6EE5">
              <w:rPr>
                <w:b/>
                <w:spacing w:val="40"/>
                <w:sz w:val="24"/>
                <w:szCs w:val="24"/>
                <w:lang w:val="da-DK"/>
              </w:rPr>
              <w:t> </w:t>
            </w:r>
            <w:r w:rsidRPr="006F6EE5">
              <w:rPr>
                <w:b/>
                <w:sz w:val="24"/>
                <w:szCs w:val="24"/>
                <w:lang w:val="da-DK"/>
              </w:rPr>
              <w:t>måneder</w:t>
            </w:r>
            <w:r w:rsidRPr="006F6EE5">
              <w:rPr>
                <w:b/>
                <w:spacing w:val="40"/>
                <w:sz w:val="24"/>
                <w:szCs w:val="24"/>
                <w:lang w:val="da-DK"/>
              </w:rPr>
              <w:t xml:space="preserve"> </w:t>
            </w:r>
            <w:r w:rsidRPr="006F6EE5">
              <w:rPr>
                <w:b/>
                <w:sz w:val="24"/>
                <w:szCs w:val="24"/>
                <w:lang w:val="da-DK"/>
              </w:rPr>
              <w:t>eller</w:t>
            </w:r>
            <w:r w:rsidRPr="006F6EE5">
              <w:rPr>
                <w:b/>
                <w:spacing w:val="40"/>
                <w:sz w:val="24"/>
                <w:szCs w:val="24"/>
                <w:lang w:val="da-DK"/>
              </w:rPr>
              <w:t xml:space="preserve"> </w:t>
            </w:r>
            <w:r w:rsidRPr="006F6EE5">
              <w:rPr>
                <w:b/>
                <w:sz w:val="24"/>
                <w:szCs w:val="24"/>
                <w:lang w:val="da-DK"/>
              </w:rPr>
              <w:t>længere.</w:t>
            </w:r>
            <w:r w:rsidRPr="006F6EE5">
              <w:rPr>
                <w:b/>
                <w:spacing w:val="39"/>
                <w:sz w:val="24"/>
                <w:szCs w:val="24"/>
                <w:lang w:val="da-DK"/>
              </w:rPr>
              <w:t xml:space="preserve"> </w:t>
            </w:r>
            <w:r w:rsidRPr="006F6EE5">
              <w:rPr>
                <w:b/>
                <w:sz w:val="24"/>
                <w:szCs w:val="24"/>
                <w:lang w:val="da-DK"/>
              </w:rPr>
              <w:t>Den formodede tærskelværdi for tumorudvikling hos rotter</w:t>
            </w:r>
            <w:r w:rsidRPr="006F6EE5">
              <w:rPr>
                <w:b/>
                <w:spacing w:val="-8"/>
                <w:sz w:val="24"/>
                <w:szCs w:val="24"/>
                <w:lang w:val="da-DK"/>
              </w:rPr>
              <w:t xml:space="preserve"> </w:t>
            </w:r>
            <w:r w:rsidRPr="006F6EE5">
              <w:rPr>
                <w:b/>
                <w:sz w:val="24"/>
                <w:szCs w:val="24"/>
                <w:lang w:val="da-DK"/>
              </w:rPr>
              <w:t>var</w:t>
            </w:r>
            <w:r w:rsidRPr="006F6EE5">
              <w:rPr>
                <w:b/>
                <w:spacing w:val="-8"/>
                <w:sz w:val="24"/>
                <w:szCs w:val="24"/>
                <w:lang w:val="da-DK"/>
              </w:rPr>
              <w:t xml:space="preserve"> </w:t>
            </w:r>
            <w:r w:rsidRPr="006F6EE5">
              <w:rPr>
                <w:b/>
                <w:sz w:val="24"/>
                <w:szCs w:val="24"/>
                <w:lang w:val="da-DK"/>
              </w:rPr>
              <w:t>omtrent i samme størrelsesorden som klinisk eksponering.</w:t>
            </w:r>
            <w:r w:rsidRPr="006F6EE5">
              <w:rPr>
                <w:b/>
                <w:spacing w:val="38"/>
                <w:sz w:val="24"/>
                <w:szCs w:val="24"/>
                <w:lang w:val="da-DK"/>
              </w:rPr>
              <w:t xml:space="preserve"> </w:t>
            </w:r>
            <w:r w:rsidRPr="006F6EE5">
              <w:rPr>
                <w:b/>
                <w:sz w:val="24"/>
                <w:szCs w:val="24"/>
                <w:lang w:val="da-DK"/>
              </w:rPr>
              <w:t>Den kliniske</w:t>
            </w:r>
            <w:r w:rsidRPr="006F6EE5">
              <w:rPr>
                <w:b/>
                <w:spacing w:val="40"/>
                <w:sz w:val="24"/>
                <w:szCs w:val="24"/>
                <w:lang w:val="da-DK"/>
              </w:rPr>
              <w:t xml:space="preserve"> </w:t>
            </w:r>
            <w:r w:rsidRPr="006F6EE5">
              <w:rPr>
                <w:b/>
                <w:sz w:val="24"/>
                <w:szCs w:val="24"/>
                <w:lang w:val="da-DK"/>
              </w:rPr>
              <w:t>relevans</w:t>
            </w:r>
            <w:r w:rsidRPr="006F6EE5">
              <w:rPr>
                <w:b/>
                <w:spacing w:val="37"/>
                <w:sz w:val="24"/>
                <w:szCs w:val="24"/>
                <w:lang w:val="da-DK"/>
              </w:rPr>
              <w:t xml:space="preserve"> </w:t>
            </w:r>
            <w:r w:rsidRPr="006F6EE5">
              <w:rPr>
                <w:b/>
                <w:sz w:val="24"/>
                <w:szCs w:val="24"/>
                <w:lang w:val="da-DK"/>
              </w:rPr>
              <w:t>af</w:t>
            </w:r>
            <w:r w:rsidRPr="006F6EE5">
              <w:rPr>
                <w:b/>
                <w:spacing w:val="34"/>
                <w:sz w:val="24"/>
                <w:szCs w:val="24"/>
                <w:lang w:val="da-DK"/>
              </w:rPr>
              <w:t xml:space="preserve"> </w:t>
            </w:r>
            <w:r w:rsidRPr="006F6EE5">
              <w:rPr>
                <w:b/>
                <w:sz w:val="24"/>
                <w:szCs w:val="24"/>
                <w:lang w:val="da-DK"/>
              </w:rPr>
              <w:t>denne</w:t>
            </w:r>
            <w:r w:rsidRPr="006F6EE5">
              <w:rPr>
                <w:b/>
                <w:spacing w:val="40"/>
                <w:sz w:val="24"/>
                <w:szCs w:val="24"/>
                <w:lang w:val="da-DK"/>
              </w:rPr>
              <w:t xml:space="preserve"> </w:t>
            </w:r>
            <w:r w:rsidRPr="006F6EE5">
              <w:rPr>
                <w:b/>
                <w:sz w:val="24"/>
                <w:szCs w:val="24"/>
                <w:lang w:val="da-DK"/>
              </w:rPr>
              <w:t>observation er</w:t>
            </w:r>
            <w:r w:rsidRPr="006F6EE5">
              <w:rPr>
                <w:b/>
                <w:spacing w:val="40"/>
                <w:sz w:val="24"/>
                <w:szCs w:val="24"/>
                <w:lang w:val="da-DK"/>
              </w:rPr>
              <w:t xml:space="preserve"> </w:t>
            </w:r>
            <w:r w:rsidRPr="006F6EE5">
              <w:rPr>
                <w:b/>
                <w:sz w:val="24"/>
                <w:szCs w:val="24"/>
                <w:lang w:val="da-DK"/>
              </w:rPr>
              <w:t>ikke</w:t>
            </w:r>
            <w:r w:rsidRPr="006F6EE5">
              <w:rPr>
                <w:b/>
                <w:spacing w:val="40"/>
                <w:sz w:val="24"/>
                <w:szCs w:val="24"/>
                <w:lang w:val="da-DK"/>
              </w:rPr>
              <w:t xml:space="preserve"> </w:t>
            </w:r>
            <w:r w:rsidRPr="006F6EE5">
              <w:rPr>
                <w:b/>
                <w:sz w:val="24"/>
                <w:szCs w:val="24"/>
                <w:lang w:val="da-DK"/>
              </w:rPr>
              <w:t xml:space="preserve">kendt. Leverfunktionen bør overvåges nøje under behandlingen med </w:t>
            </w:r>
            <w:proofErr w:type="spellStart"/>
            <w:r w:rsidRPr="006F6EE5">
              <w:rPr>
                <w:b/>
                <w:sz w:val="24"/>
                <w:szCs w:val="24"/>
                <w:lang w:val="da-DK"/>
              </w:rPr>
              <w:t>micafungin</w:t>
            </w:r>
            <w:proofErr w:type="spellEnd"/>
            <w:r w:rsidRPr="006F6EE5">
              <w:rPr>
                <w:b/>
                <w:sz w:val="24"/>
                <w:szCs w:val="24"/>
                <w:lang w:val="da-DK"/>
              </w:rPr>
              <w:t>. For at mindske</w:t>
            </w:r>
            <w:r w:rsidRPr="006F6EE5">
              <w:rPr>
                <w:b/>
                <w:spacing w:val="40"/>
                <w:sz w:val="24"/>
                <w:szCs w:val="24"/>
                <w:lang w:val="da-DK"/>
              </w:rPr>
              <w:t xml:space="preserve"> </w:t>
            </w:r>
            <w:r w:rsidRPr="006F6EE5">
              <w:rPr>
                <w:b/>
                <w:sz w:val="24"/>
                <w:szCs w:val="24"/>
                <w:lang w:val="da-DK"/>
              </w:rPr>
              <w:t>risikoen for</w:t>
            </w:r>
            <w:r w:rsidRPr="006F6EE5">
              <w:rPr>
                <w:b/>
                <w:spacing w:val="40"/>
                <w:sz w:val="24"/>
                <w:szCs w:val="24"/>
                <w:lang w:val="da-DK"/>
              </w:rPr>
              <w:t xml:space="preserve"> </w:t>
            </w:r>
            <w:r w:rsidRPr="006F6EE5">
              <w:rPr>
                <w:b/>
                <w:sz w:val="24"/>
                <w:szCs w:val="24"/>
                <w:lang w:val="da-DK"/>
              </w:rPr>
              <w:t>adaptiv</w:t>
            </w:r>
            <w:r w:rsidRPr="006F6EE5">
              <w:rPr>
                <w:b/>
                <w:spacing w:val="40"/>
                <w:sz w:val="24"/>
                <w:szCs w:val="24"/>
                <w:lang w:val="da-DK"/>
              </w:rPr>
              <w:t xml:space="preserve"> </w:t>
            </w:r>
            <w:r w:rsidRPr="006F6EE5">
              <w:rPr>
                <w:b/>
                <w:sz w:val="24"/>
                <w:szCs w:val="24"/>
                <w:lang w:val="da-DK"/>
              </w:rPr>
              <w:t>regenerering</w:t>
            </w:r>
            <w:r w:rsidRPr="006F6EE5">
              <w:rPr>
                <w:b/>
                <w:spacing w:val="40"/>
                <w:sz w:val="24"/>
                <w:szCs w:val="24"/>
                <w:lang w:val="da-DK"/>
              </w:rPr>
              <w:t xml:space="preserve"> </w:t>
            </w:r>
            <w:r w:rsidRPr="006F6EE5">
              <w:rPr>
                <w:b/>
                <w:sz w:val="24"/>
                <w:szCs w:val="24"/>
                <w:lang w:val="da-DK"/>
              </w:rPr>
              <w:t>og</w:t>
            </w:r>
            <w:r w:rsidRPr="006F6EE5">
              <w:rPr>
                <w:b/>
                <w:spacing w:val="40"/>
                <w:sz w:val="24"/>
                <w:szCs w:val="24"/>
                <w:lang w:val="da-DK"/>
              </w:rPr>
              <w:t xml:space="preserve"> </w:t>
            </w:r>
            <w:r w:rsidRPr="006F6EE5">
              <w:rPr>
                <w:b/>
                <w:sz w:val="24"/>
                <w:szCs w:val="24"/>
                <w:lang w:val="da-DK"/>
              </w:rPr>
              <w:t>mulig</w:t>
            </w:r>
            <w:r w:rsidRPr="006F6EE5">
              <w:rPr>
                <w:b/>
                <w:spacing w:val="40"/>
                <w:sz w:val="24"/>
                <w:szCs w:val="24"/>
                <w:lang w:val="da-DK"/>
              </w:rPr>
              <w:t xml:space="preserve"> </w:t>
            </w:r>
            <w:r w:rsidRPr="006F6EE5">
              <w:rPr>
                <w:b/>
                <w:sz w:val="24"/>
                <w:szCs w:val="24"/>
                <w:lang w:val="da-DK"/>
              </w:rPr>
              <w:t>dannelse</w:t>
            </w:r>
            <w:r w:rsidRPr="006F6EE5">
              <w:rPr>
                <w:b/>
                <w:spacing w:val="40"/>
                <w:sz w:val="24"/>
                <w:szCs w:val="24"/>
                <w:lang w:val="da-DK"/>
              </w:rPr>
              <w:t xml:space="preserve"> </w:t>
            </w:r>
            <w:r w:rsidRPr="006F6EE5">
              <w:rPr>
                <w:b/>
                <w:sz w:val="24"/>
                <w:szCs w:val="24"/>
                <w:lang w:val="da-DK"/>
              </w:rPr>
              <w:t>af levertumorer</w:t>
            </w:r>
            <w:r w:rsidRPr="006F6EE5">
              <w:rPr>
                <w:b/>
                <w:spacing w:val="40"/>
                <w:sz w:val="24"/>
                <w:szCs w:val="24"/>
                <w:lang w:val="da-DK"/>
              </w:rPr>
              <w:t xml:space="preserve"> </w:t>
            </w:r>
            <w:r w:rsidRPr="006F6EE5">
              <w:rPr>
                <w:b/>
                <w:sz w:val="24"/>
                <w:szCs w:val="24"/>
                <w:lang w:val="da-DK"/>
              </w:rPr>
              <w:t>anbefales der</w:t>
            </w:r>
            <w:r w:rsidRPr="006F6EE5">
              <w:rPr>
                <w:b/>
                <w:spacing w:val="40"/>
                <w:sz w:val="24"/>
                <w:szCs w:val="24"/>
                <w:lang w:val="da-DK"/>
              </w:rPr>
              <w:t xml:space="preserve"> </w:t>
            </w:r>
            <w:r w:rsidRPr="006F6EE5">
              <w:rPr>
                <w:b/>
                <w:sz w:val="24"/>
                <w:szCs w:val="24"/>
                <w:lang w:val="da-DK"/>
              </w:rPr>
              <w:t xml:space="preserve">tidlig </w:t>
            </w:r>
            <w:proofErr w:type="spellStart"/>
            <w:r w:rsidRPr="006F6EE5">
              <w:rPr>
                <w:b/>
                <w:sz w:val="24"/>
                <w:szCs w:val="24"/>
                <w:lang w:val="da-DK"/>
              </w:rPr>
              <w:t>seponering</w:t>
            </w:r>
            <w:proofErr w:type="spellEnd"/>
            <w:r w:rsidRPr="006F6EE5">
              <w:rPr>
                <w:b/>
                <w:sz w:val="24"/>
                <w:szCs w:val="24"/>
                <w:lang w:val="da-DK"/>
              </w:rPr>
              <w:t xml:space="preserve"> ved signifikante og vedvarende forhøjede værdier af ALAT/ASAT.</w:t>
            </w:r>
            <w:r w:rsidRPr="006F6EE5">
              <w:rPr>
                <w:b/>
                <w:spacing w:val="80"/>
                <w:sz w:val="24"/>
                <w:szCs w:val="24"/>
                <w:lang w:val="da-DK"/>
              </w:rPr>
              <w:t xml:space="preserve"> </w:t>
            </w:r>
            <w:proofErr w:type="spellStart"/>
            <w:r w:rsidRPr="006F6EE5">
              <w:rPr>
                <w:b/>
                <w:sz w:val="24"/>
                <w:szCs w:val="24"/>
                <w:lang w:val="da-DK"/>
              </w:rPr>
              <w:t>Micafungin</w:t>
            </w:r>
            <w:proofErr w:type="spellEnd"/>
            <w:r w:rsidRPr="006F6EE5">
              <w:rPr>
                <w:b/>
                <w:sz w:val="24"/>
                <w:szCs w:val="24"/>
                <w:lang w:val="da-DK"/>
              </w:rPr>
              <w:t xml:space="preserve">-behandling bør først gives efter nøje vurdering af </w:t>
            </w:r>
            <w:proofErr w:type="spellStart"/>
            <w:r w:rsidRPr="006F6EE5">
              <w:rPr>
                <w:b/>
                <w:sz w:val="24"/>
                <w:szCs w:val="24"/>
                <w:lang w:val="da-DK"/>
              </w:rPr>
              <w:t>risk</w:t>
            </w:r>
            <w:proofErr w:type="spellEnd"/>
            <w:r w:rsidRPr="006F6EE5">
              <w:rPr>
                <w:b/>
                <w:sz w:val="24"/>
                <w:szCs w:val="24"/>
                <w:lang w:val="da-DK"/>
              </w:rPr>
              <w:t>/benefit-forholdet, især af</w:t>
            </w:r>
            <w:r w:rsidRPr="006F6EE5">
              <w:rPr>
                <w:b/>
                <w:spacing w:val="40"/>
                <w:sz w:val="24"/>
                <w:szCs w:val="24"/>
                <w:lang w:val="da-DK"/>
              </w:rPr>
              <w:t xml:space="preserve"> </w:t>
            </w:r>
            <w:r w:rsidRPr="006F6EE5">
              <w:rPr>
                <w:b/>
                <w:sz w:val="24"/>
                <w:szCs w:val="24"/>
                <w:lang w:val="da-DK"/>
              </w:rPr>
              <w:t>patienter med</w:t>
            </w:r>
            <w:r w:rsidRPr="006F6EE5">
              <w:rPr>
                <w:b/>
                <w:spacing w:val="-9"/>
                <w:sz w:val="24"/>
                <w:szCs w:val="24"/>
                <w:lang w:val="da-DK"/>
              </w:rPr>
              <w:t xml:space="preserve"> </w:t>
            </w:r>
            <w:r w:rsidRPr="006F6EE5">
              <w:rPr>
                <w:b/>
                <w:sz w:val="24"/>
                <w:szCs w:val="24"/>
                <w:lang w:val="da-DK"/>
              </w:rPr>
              <w:t>svært</w:t>
            </w:r>
            <w:r w:rsidRPr="006F6EE5">
              <w:rPr>
                <w:b/>
                <w:spacing w:val="-2"/>
                <w:sz w:val="24"/>
                <w:szCs w:val="24"/>
                <w:lang w:val="da-DK"/>
              </w:rPr>
              <w:t xml:space="preserve"> </w:t>
            </w:r>
            <w:r w:rsidRPr="006F6EE5">
              <w:rPr>
                <w:b/>
                <w:sz w:val="24"/>
                <w:szCs w:val="24"/>
                <w:lang w:val="da-DK"/>
              </w:rPr>
              <w:t>nedsat</w:t>
            </w:r>
            <w:r w:rsidRPr="006F6EE5">
              <w:rPr>
                <w:b/>
                <w:spacing w:val="-2"/>
                <w:sz w:val="24"/>
                <w:szCs w:val="24"/>
                <w:lang w:val="da-DK"/>
              </w:rPr>
              <w:t xml:space="preserve"> </w:t>
            </w:r>
            <w:r w:rsidRPr="006F6EE5">
              <w:rPr>
                <w:b/>
                <w:sz w:val="24"/>
                <w:szCs w:val="24"/>
                <w:lang w:val="da-DK"/>
              </w:rPr>
              <w:t>leverfunktion</w:t>
            </w:r>
            <w:r w:rsidRPr="006F6EE5">
              <w:rPr>
                <w:b/>
                <w:spacing w:val="-9"/>
                <w:sz w:val="24"/>
                <w:szCs w:val="24"/>
                <w:lang w:val="da-DK"/>
              </w:rPr>
              <w:t xml:space="preserve"> </w:t>
            </w:r>
            <w:r w:rsidRPr="006F6EE5">
              <w:rPr>
                <w:b/>
                <w:sz w:val="24"/>
                <w:szCs w:val="24"/>
                <w:lang w:val="da-DK"/>
              </w:rPr>
              <w:t>eller kroniske leversygdomme med</w:t>
            </w:r>
            <w:r w:rsidRPr="006F6EE5">
              <w:rPr>
                <w:b/>
                <w:spacing w:val="-9"/>
                <w:sz w:val="24"/>
                <w:szCs w:val="24"/>
                <w:lang w:val="da-DK"/>
              </w:rPr>
              <w:t xml:space="preserve"> </w:t>
            </w:r>
            <w:proofErr w:type="spellStart"/>
            <w:r w:rsidRPr="006F6EE5">
              <w:rPr>
                <w:b/>
                <w:sz w:val="24"/>
                <w:szCs w:val="24"/>
                <w:lang w:val="da-DK"/>
              </w:rPr>
              <w:t>præneoplastiske</w:t>
            </w:r>
            <w:proofErr w:type="spellEnd"/>
            <w:r w:rsidRPr="006F6EE5">
              <w:rPr>
                <w:b/>
                <w:sz w:val="24"/>
                <w:szCs w:val="24"/>
                <w:lang w:val="da-DK"/>
              </w:rPr>
              <w:t xml:space="preserve"> tilstande, såsom</w:t>
            </w:r>
            <w:r w:rsidRPr="006F6EE5">
              <w:rPr>
                <w:b/>
                <w:spacing w:val="40"/>
                <w:sz w:val="24"/>
                <w:szCs w:val="24"/>
                <w:lang w:val="da-DK"/>
              </w:rPr>
              <w:t xml:space="preserve"> </w:t>
            </w:r>
            <w:r w:rsidRPr="006F6EE5">
              <w:rPr>
                <w:b/>
                <w:sz w:val="24"/>
                <w:szCs w:val="24"/>
                <w:lang w:val="da-DK"/>
              </w:rPr>
              <w:t>fremskreden leverfibrose,</w:t>
            </w:r>
            <w:r w:rsidRPr="006F6EE5">
              <w:rPr>
                <w:b/>
                <w:spacing w:val="40"/>
                <w:sz w:val="24"/>
                <w:szCs w:val="24"/>
                <w:lang w:val="da-DK"/>
              </w:rPr>
              <w:t xml:space="preserve"> </w:t>
            </w:r>
            <w:r w:rsidRPr="006F6EE5">
              <w:rPr>
                <w:b/>
                <w:sz w:val="24"/>
                <w:szCs w:val="24"/>
                <w:lang w:val="da-DK"/>
              </w:rPr>
              <w:t>cirrose,</w:t>
            </w:r>
            <w:r w:rsidRPr="006F6EE5">
              <w:rPr>
                <w:b/>
                <w:spacing w:val="40"/>
                <w:sz w:val="24"/>
                <w:szCs w:val="24"/>
                <w:lang w:val="da-DK"/>
              </w:rPr>
              <w:t xml:space="preserve"> </w:t>
            </w:r>
            <w:r w:rsidRPr="006F6EE5">
              <w:rPr>
                <w:b/>
                <w:sz w:val="24"/>
                <w:szCs w:val="24"/>
                <w:lang w:val="da-DK"/>
              </w:rPr>
              <w:t>viral</w:t>
            </w:r>
            <w:r w:rsidRPr="006F6EE5">
              <w:rPr>
                <w:b/>
                <w:spacing w:val="36"/>
                <w:sz w:val="24"/>
                <w:szCs w:val="24"/>
                <w:lang w:val="da-DK"/>
              </w:rPr>
              <w:t xml:space="preserve"> </w:t>
            </w:r>
            <w:r w:rsidRPr="006F6EE5">
              <w:rPr>
                <w:b/>
                <w:sz w:val="24"/>
                <w:szCs w:val="24"/>
                <w:lang w:val="da-DK"/>
              </w:rPr>
              <w:t>hepatitis,</w:t>
            </w:r>
            <w:r w:rsidRPr="006F6EE5">
              <w:rPr>
                <w:b/>
                <w:spacing w:val="40"/>
                <w:sz w:val="24"/>
                <w:szCs w:val="24"/>
                <w:lang w:val="da-DK"/>
              </w:rPr>
              <w:t xml:space="preserve"> </w:t>
            </w:r>
            <w:r w:rsidRPr="006F6EE5">
              <w:rPr>
                <w:b/>
                <w:sz w:val="24"/>
                <w:szCs w:val="24"/>
                <w:lang w:val="da-DK"/>
              </w:rPr>
              <w:t>neonatal</w:t>
            </w:r>
            <w:r w:rsidRPr="006F6EE5">
              <w:rPr>
                <w:b/>
                <w:spacing w:val="36"/>
                <w:sz w:val="24"/>
                <w:szCs w:val="24"/>
                <w:lang w:val="da-DK"/>
              </w:rPr>
              <w:t xml:space="preserve"> </w:t>
            </w:r>
            <w:r w:rsidRPr="006F6EE5">
              <w:rPr>
                <w:b/>
                <w:sz w:val="24"/>
                <w:szCs w:val="24"/>
                <w:lang w:val="da-DK"/>
              </w:rPr>
              <w:t>leversygdom eller</w:t>
            </w:r>
            <w:r w:rsidRPr="006F6EE5">
              <w:rPr>
                <w:b/>
                <w:spacing w:val="40"/>
                <w:sz w:val="24"/>
                <w:szCs w:val="24"/>
                <w:lang w:val="da-DK"/>
              </w:rPr>
              <w:t xml:space="preserve"> </w:t>
            </w:r>
            <w:r w:rsidRPr="006F6EE5">
              <w:rPr>
                <w:b/>
                <w:sz w:val="24"/>
                <w:szCs w:val="24"/>
                <w:lang w:val="da-DK"/>
              </w:rPr>
              <w:t>medfødte</w:t>
            </w:r>
            <w:r w:rsidRPr="006F6EE5">
              <w:rPr>
                <w:b/>
                <w:spacing w:val="40"/>
                <w:sz w:val="24"/>
                <w:szCs w:val="24"/>
                <w:lang w:val="da-DK"/>
              </w:rPr>
              <w:t xml:space="preserve"> </w:t>
            </w:r>
            <w:r w:rsidRPr="006F6EE5">
              <w:rPr>
                <w:b/>
                <w:sz w:val="24"/>
                <w:szCs w:val="24"/>
                <w:lang w:val="da-DK"/>
              </w:rPr>
              <w:t>enzymdefekter,</w:t>
            </w:r>
            <w:r w:rsidRPr="006F6EE5">
              <w:rPr>
                <w:b/>
                <w:spacing w:val="40"/>
                <w:sz w:val="24"/>
                <w:szCs w:val="24"/>
                <w:lang w:val="da-DK"/>
              </w:rPr>
              <w:t xml:space="preserve"> </w:t>
            </w:r>
            <w:r w:rsidRPr="006F6EE5">
              <w:rPr>
                <w:b/>
                <w:sz w:val="24"/>
                <w:szCs w:val="24"/>
                <w:lang w:val="da-DK"/>
              </w:rPr>
              <w:t>eller</w:t>
            </w:r>
            <w:r w:rsidRPr="006F6EE5">
              <w:rPr>
                <w:b/>
                <w:spacing w:val="40"/>
                <w:sz w:val="24"/>
                <w:szCs w:val="24"/>
                <w:lang w:val="da-DK"/>
              </w:rPr>
              <w:t xml:space="preserve"> </w:t>
            </w:r>
            <w:r w:rsidRPr="006F6EE5">
              <w:rPr>
                <w:b/>
                <w:sz w:val="24"/>
                <w:szCs w:val="24"/>
                <w:lang w:val="da-DK"/>
              </w:rPr>
              <w:t>hos</w:t>
            </w:r>
            <w:r w:rsidRPr="006F6EE5">
              <w:rPr>
                <w:b/>
                <w:spacing w:val="38"/>
                <w:sz w:val="24"/>
                <w:szCs w:val="24"/>
                <w:lang w:val="da-DK"/>
              </w:rPr>
              <w:t xml:space="preserve"> </w:t>
            </w:r>
            <w:r w:rsidRPr="006F6EE5">
              <w:rPr>
                <w:b/>
                <w:sz w:val="24"/>
                <w:szCs w:val="24"/>
                <w:lang w:val="da-DK"/>
              </w:rPr>
              <w:t>patienter,</w:t>
            </w:r>
            <w:r w:rsidRPr="006F6EE5">
              <w:rPr>
                <w:b/>
                <w:spacing w:val="39"/>
                <w:sz w:val="24"/>
                <w:szCs w:val="24"/>
                <w:lang w:val="da-DK"/>
              </w:rPr>
              <w:t xml:space="preserve"> </w:t>
            </w:r>
            <w:r w:rsidRPr="006F6EE5">
              <w:rPr>
                <w:b/>
                <w:sz w:val="24"/>
                <w:szCs w:val="24"/>
                <w:lang w:val="da-DK"/>
              </w:rPr>
              <w:t>som samtidig</w:t>
            </w:r>
            <w:r w:rsidRPr="006F6EE5">
              <w:rPr>
                <w:b/>
                <w:spacing w:val="40"/>
                <w:sz w:val="24"/>
                <w:szCs w:val="24"/>
                <w:lang w:val="da-DK"/>
              </w:rPr>
              <w:t xml:space="preserve"> </w:t>
            </w:r>
            <w:r w:rsidRPr="006F6EE5">
              <w:rPr>
                <w:b/>
                <w:sz w:val="24"/>
                <w:szCs w:val="24"/>
                <w:lang w:val="da-DK"/>
              </w:rPr>
              <w:t>får</w:t>
            </w:r>
            <w:r w:rsidRPr="006F6EE5">
              <w:rPr>
                <w:b/>
                <w:spacing w:val="40"/>
                <w:sz w:val="24"/>
                <w:szCs w:val="24"/>
                <w:lang w:val="da-DK"/>
              </w:rPr>
              <w:t xml:space="preserve"> </w:t>
            </w:r>
            <w:r w:rsidRPr="006F6EE5">
              <w:rPr>
                <w:b/>
                <w:sz w:val="24"/>
                <w:szCs w:val="24"/>
                <w:lang w:val="da-DK"/>
              </w:rPr>
              <w:t>behandling,</w:t>
            </w:r>
            <w:r w:rsidRPr="006F6EE5">
              <w:rPr>
                <w:b/>
                <w:spacing w:val="39"/>
                <w:sz w:val="24"/>
                <w:szCs w:val="24"/>
                <w:lang w:val="da-DK"/>
              </w:rPr>
              <w:t xml:space="preserve"> </w:t>
            </w:r>
            <w:r w:rsidRPr="006F6EE5">
              <w:rPr>
                <w:b/>
                <w:sz w:val="24"/>
                <w:szCs w:val="24"/>
                <w:lang w:val="da-DK"/>
              </w:rPr>
              <w:t xml:space="preserve">som har </w:t>
            </w:r>
            <w:proofErr w:type="spellStart"/>
            <w:r w:rsidRPr="006F6EE5">
              <w:rPr>
                <w:b/>
                <w:sz w:val="24"/>
                <w:szCs w:val="24"/>
                <w:lang w:val="da-DK"/>
              </w:rPr>
              <w:t>hepatotoksiske</w:t>
            </w:r>
            <w:proofErr w:type="spellEnd"/>
            <w:r w:rsidRPr="006F6EE5">
              <w:rPr>
                <w:b/>
                <w:spacing w:val="40"/>
                <w:sz w:val="24"/>
                <w:szCs w:val="24"/>
                <w:lang w:val="da-DK"/>
              </w:rPr>
              <w:t xml:space="preserve"> </w:t>
            </w:r>
            <w:r w:rsidRPr="006F6EE5">
              <w:rPr>
                <w:b/>
                <w:sz w:val="24"/>
                <w:szCs w:val="24"/>
                <w:lang w:val="da-DK"/>
              </w:rPr>
              <w:t>og/eller</w:t>
            </w:r>
            <w:r w:rsidRPr="006F6EE5">
              <w:rPr>
                <w:b/>
                <w:spacing w:val="41"/>
                <w:sz w:val="24"/>
                <w:szCs w:val="24"/>
                <w:lang w:val="da-DK"/>
              </w:rPr>
              <w:t xml:space="preserve"> </w:t>
            </w:r>
            <w:r w:rsidRPr="006F6EE5">
              <w:rPr>
                <w:b/>
                <w:sz w:val="24"/>
                <w:szCs w:val="24"/>
                <w:lang w:val="da-DK"/>
              </w:rPr>
              <w:t>genotoksiske</w:t>
            </w:r>
            <w:r w:rsidRPr="006F6EE5">
              <w:rPr>
                <w:b/>
                <w:spacing w:val="41"/>
                <w:sz w:val="24"/>
                <w:szCs w:val="24"/>
                <w:lang w:val="da-DK"/>
              </w:rPr>
              <w:t xml:space="preserve"> </w:t>
            </w:r>
            <w:r w:rsidRPr="006F6EE5">
              <w:rPr>
                <w:b/>
                <w:spacing w:val="-2"/>
                <w:sz w:val="24"/>
                <w:szCs w:val="24"/>
                <w:lang w:val="da-DK"/>
              </w:rPr>
              <w:t>egenskaber.</w:t>
            </w:r>
          </w:p>
        </w:tc>
      </w:tr>
    </w:tbl>
    <w:p w14:paraId="00CB5189" w14:textId="77777777" w:rsidR="006F6EE5" w:rsidRDefault="006F6EE5" w:rsidP="006F6EE5">
      <w:pPr>
        <w:ind w:left="851"/>
        <w:rPr>
          <w:sz w:val="24"/>
          <w:szCs w:val="24"/>
        </w:rPr>
      </w:pPr>
    </w:p>
    <w:p w14:paraId="5540A3B9" w14:textId="3557B519" w:rsidR="00150AB9" w:rsidRPr="006F6EE5" w:rsidRDefault="00150AB9" w:rsidP="006F6EE5">
      <w:pPr>
        <w:ind w:left="851"/>
        <w:rPr>
          <w:sz w:val="24"/>
          <w:szCs w:val="24"/>
        </w:rPr>
      </w:pPr>
      <w:proofErr w:type="spellStart"/>
      <w:r w:rsidRPr="006F6EE5">
        <w:rPr>
          <w:sz w:val="24"/>
          <w:szCs w:val="24"/>
        </w:rPr>
        <w:t>Micafungin</w:t>
      </w:r>
      <w:proofErr w:type="spellEnd"/>
      <w:r w:rsidRPr="006F6EE5">
        <w:rPr>
          <w:sz w:val="24"/>
          <w:szCs w:val="24"/>
        </w:rPr>
        <w:t>-behandling var forbundet med signifikant forværring af leverfunktion (forhøjet ALAT, ASAT eller total-bilirubin &gt; 3 gange ULN) både hos raske frivillige og hos patienter. I enkelte tilfælde er det blevet indberettet, at patienterne fik mere alvorligt nedsat leverfunktion, hepatitis eller leversvigt, herunder letale tilfælde. Børn &lt; 1 år er muligvis mere udsatte for leverskade (se pkt. 4.8).</w:t>
      </w:r>
    </w:p>
    <w:p w14:paraId="2BD5E0D3" w14:textId="77777777" w:rsidR="00150AB9" w:rsidRPr="006F6EE5" w:rsidRDefault="00150AB9" w:rsidP="006F6EE5">
      <w:pPr>
        <w:ind w:left="851"/>
        <w:rPr>
          <w:sz w:val="24"/>
          <w:szCs w:val="24"/>
        </w:rPr>
      </w:pPr>
    </w:p>
    <w:p w14:paraId="471ED8B7" w14:textId="77777777" w:rsidR="00150AB9" w:rsidRPr="006F6EE5" w:rsidRDefault="00150AB9" w:rsidP="006F6EE5">
      <w:pPr>
        <w:ind w:left="851"/>
        <w:rPr>
          <w:sz w:val="24"/>
          <w:szCs w:val="24"/>
          <w:u w:val="single"/>
        </w:rPr>
      </w:pPr>
      <w:proofErr w:type="spellStart"/>
      <w:r w:rsidRPr="006F6EE5">
        <w:rPr>
          <w:sz w:val="24"/>
          <w:szCs w:val="24"/>
          <w:u w:val="single"/>
        </w:rPr>
        <w:t>Anafylaktiske</w:t>
      </w:r>
      <w:proofErr w:type="spellEnd"/>
      <w:r w:rsidRPr="006F6EE5">
        <w:rPr>
          <w:sz w:val="24"/>
          <w:szCs w:val="24"/>
          <w:u w:val="single"/>
        </w:rPr>
        <w:t xml:space="preserve"> reaktioner</w:t>
      </w:r>
    </w:p>
    <w:p w14:paraId="056CCB10" w14:textId="77777777" w:rsidR="00150AB9" w:rsidRPr="006F6EE5" w:rsidRDefault="00150AB9" w:rsidP="006F6EE5">
      <w:pPr>
        <w:ind w:left="851"/>
        <w:rPr>
          <w:sz w:val="24"/>
          <w:szCs w:val="24"/>
        </w:rPr>
      </w:pPr>
    </w:p>
    <w:p w14:paraId="39B6CB7A" w14:textId="77777777" w:rsidR="00150AB9" w:rsidRPr="006F6EE5" w:rsidRDefault="00150AB9" w:rsidP="006F6EE5">
      <w:pPr>
        <w:ind w:left="851"/>
        <w:rPr>
          <w:sz w:val="24"/>
          <w:szCs w:val="24"/>
        </w:rPr>
      </w:pPr>
      <w:r w:rsidRPr="006F6EE5">
        <w:rPr>
          <w:sz w:val="24"/>
          <w:szCs w:val="24"/>
        </w:rPr>
        <w:t xml:space="preserve">Under behandling med </w:t>
      </w:r>
      <w:proofErr w:type="spellStart"/>
      <w:r w:rsidRPr="006F6EE5">
        <w:rPr>
          <w:sz w:val="24"/>
          <w:szCs w:val="24"/>
        </w:rPr>
        <w:t>micafungin</w:t>
      </w:r>
      <w:proofErr w:type="spellEnd"/>
      <w:r w:rsidRPr="006F6EE5">
        <w:rPr>
          <w:sz w:val="24"/>
          <w:szCs w:val="24"/>
        </w:rPr>
        <w:t xml:space="preserve"> kan der forekomme </w:t>
      </w:r>
      <w:proofErr w:type="spellStart"/>
      <w:r w:rsidRPr="006F6EE5">
        <w:rPr>
          <w:sz w:val="24"/>
          <w:szCs w:val="24"/>
        </w:rPr>
        <w:t>anafylaktiske</w:t>
      </w:r>
      <w:proofErr w:type="spellEnd"/>
      <w:r w:rsidRPr="006F6EE5">
        <w:rPr>
          <w:sz w:val="24"/>
          <w:szCs w:val="24"/>
        </w:rPr>
        <w:t>/</w:t>
      </w:r>
      <w:proofErr w:type="spellStart"/>
      <w:r w:rsidRPr="006F6EE5">
        <w:rPr>
          <w:sz w:val="24"/>
          <w:szCs w:val="24"/>
        </w:rPr>
        <w:t>anafylaktoide</w:t>
      </w:r>
      <w:proofErr w:type="spellEnd"/>
      <w:r w:rsidRPr="006F6EE5">
        <w:rPr>
          <w:sz w:val="24"/>
          <w:szCs w:val="24"/>
        </w:rPr>
        <w:t xml:space="preserve"> reaktioner, herunder </w:t>
      </w:r>
      <w:proofErr w:type="spellStart"/>
      <w:r w:rsidRPr="006F6EE5">
        <w:rPr>
          <w:sz w:val="24"/>
          <w:szCs w:val="24"/>
        </w:rPr>
        <w:t>anafylaktisk</w:t>
      </w:r>
      <w:proofErr w:type="spellEnd"/>
      <w:r w:rsidRPr="006F6EE5">
        <w:rPr>
          <w:sz w:val="24"/>
          <w:szCs w:val="24"/>
        </w:rPr>
        <w:t xml:space="preserve"> </w:t>
      </w:r>
      <w:proofErr w:type="spellStart"/>
      <w:r w:rsidRPr="006F6EE5">
        <w:rPr>
          <w:sz w:val="24"/>
          <w:szCs w:val="24"/>
        </w:rPr>
        <w:t>shock</w:t>
      </w:r>
      <w:proofErr w:type="spellEnd"/>
      <w:r w:rsidRPr="006F6EE5">
        <w:rPr>
          <w:sz w:val="24"/>
          <w:szCs w:val="24"/>
        </w:rPr>
        <w:t xml:space="preserve">. Hvis sådanne reaktioner forekommer, bør infusionen af </w:t>
      </w:r>
      <w:proofErr w:type="spellStart"/>
      <w:r w:rsidRPr="006F6EE5">
        <w:rPr>
          <w:sz w:val="24"/>
          <w:szCs w:val="24"/>
        </w:rPr>
        <w:t>micafungin</w:t>
      </w:r>
      <w:proofErr w:type="spellEnd"/>
      <w:r w:rsidRPr="006F6EE5">
        <w:rPr>
          <w:sz w:val="24"/>
          <w:szCs w:val="24"/>
        </w:rPr>
        <w:t xml:space="preserve"> afbrydes og passende behandling igangsættes.</w:t>
      </w:r>
    </w:p>
    <w:p w14:paraId="34A8D6AC" w14:textId="77777777" w:rsidR="00150AB9" w:rsidRPr="006F6EE5" w:rsidRDefault="00150AB9" w:rsidP="006F6EE5">
      <w:pPr>
        <w:ind w:left="851"/>
        <w:rPr>
          <w:sz w:val="24"/>
          <w:szCs w:val="24"/>
        </w:rPr>
      </w:pPr>
    </w:p>
    <w:p w14:paraId="4C4045AC" w14:textId="77777777" w:rsidR="00150AB9" w:rsidRPr="006F6EE5" w:rsidRDefault="00150AB9" w:rsidP="006F6EE5">
      <w:pPr>
        <w:ind w:left="851"/>
        <w:rPr>
          <w:sz w:val="24"/>
          <w:szCs w:val="24"/>
        </w:rPr>
      </w:pPr>
      <w:r w:rsidRPr="006F6EE5">
        <w:rPr>
          <w:sz w:val="24"/>
          <w:szCs w:val="24"/>
          <w:u w:val="single"/>
        </w:rPr>
        <w:t>Hudreaktioner</w:t>
      </w:r>
    </w:p>
    <w:p w14:paraId="58BDB25F" w14:textId="77777777" w:rsidR="00150AB9" w:rsidRPr="006F6EE5" w:rsidRDefault="00150AB9" w:rsidP="006F6EE5">
      <w:pPr>
        <w:ind w:left="851"/>
        <w:rPr>
          <w:sz w:val="24"/>
          <w:szCs w:val="24"/>
        </w:rPr>
      </w:pPr>
    </w:p>
    <w:p w14:paraId="0070CD05" w14:textId="77777777" w:rsidR="00150AB9" w:rsidRPr="006F6EE5" w:rsidRDefault="00150AB9" w:rsidP="006F6EE5">
      <w:pPr>
        <w:ind w:left="851"/>
        <w:rPr>
          <w:sz w:val="24"/>
          <w:szCs w:val="24"/>
        </w:rPr>
      </w:pPr>
      <w:proofErr w:type="spellStart"/>
      <w:r w:rsidRPr="006F6EE5">
        <w:rPr>
          <w:sz w:val="24"/>
          <w:szCs w:val="24"/>
        </w:rPr>
        <w:t>Eksfoliative</w:t>
      </w:r>
      <w:proofErr w:type="spellEnd"/>
      <w:r w:rsidRPr="006F6EE5">
        <w:rPr>
          <w:sz w:val="24"/>
          <w:szCs w:val="24"/>
        </w:rPr>
        <w:t xml:space="preserve"> hudreaktioner, såsom Stevens-Johnsons syndrom og toksisk </w:t>
      </w:r>
      <w:proofErr w:type="spellStart"/>
      <w:r w:rsidRPr="006F6EE5">
        <w:rPr>
          <w:sz w:val="24"/>
          <w:szCs w:val="24"/>
        </w:rPr>
        <w:t>epidermal</w:t>
      </w:r>
      <w:proofErr w:type="spellEnd"/>
      <w:r w:rsidRPr="006F6EE5">
        <w:rPr>
          <w:sz w:val="24"/>
          <w:szCs w:val="24"/>
        </w:rPr>
        <w:t xml:space="preserve"> </w:t>
      </w:r>
      <w:proofErr w:type="spellStart"/>
      <w:r w:rsidRPr="006F6EE5">
        <w:rPr>
          <w:sz w:val="24"/>
          <w:szCs w:val="24"/>
        </w:rPr>
        <w:t>nekrolyse</w:t>
      </w:r>
      <w:proofErr w:type="spellEnd"/>
      <w:r w:rsidRPr="006F6EE5">
        <w:rPr>
          <w:sz w:val="24"/>
          <w:szCs w:val="24"/>
        </w:rPr>
        <w:t xml:space="preserve"> er blevet indberettet. Hvis patienten udvikler hududslæt, skal patienten overvåges nøje, og </w:t>
      </w:r>
      <w:proofErr w:type="spellStart"/>
      <w:r w:rsidRPr="006F6EE5">
        <w:rPr>
          <w:sz w:val="24"/>
          <w:szCs w:val="24"/>
        </w:rPr>
        <w:t>micafungin</w:t>
      </w:r>
      <w:proofErr w:type="spellEnd"/>
      <w:r w:rsidRPr="006F6EE5">
        <w:rPr>
          <w:sz w:val="24"/>
          <w:szCs w:val="24"/>
        </w:rPr>
        <w:t xml:space="preserve"> seponeres, såfremt læsionen udvikler sig.</w:t>
      </w:r>
    </w:p>
    <w:p w14:paraId="0275D884" w14:textId="77777777" w:rsidR="00150AB9" w:rsidRPr="006F6EE5" w:rsidRDefault="00150AB9" w:rsidP="006F6EE5">
      <w:pPr>
        <w:ind w:left="851"/>
        <w:rPr>
          <w:sz w:val="24"/>
          <w:szCs w:val="24"/>
        </w:rPr>
      </w:pPr>
    </w:p>
    <w:p w14:paraId="7DFFED0F" w14:textId="77777777" w:rsidR="00150AB9" w:rsidRPr="006F6EE5" w:rsidRDefault="00150AB9" w:rsidP="006F6EE5">
      <w:pPr>
        <w:ind w:left="851"/>
        <w:rPr>
          <w:sz w:val="24"/>
          <w:szCs w:val="24"/>
        </w:rPr>
      </w:pPr>
      <w:proofErr w:type="spellStart"/>
      <w:r w:rsidRPr="006F6EE5">
        <w:rPr>
          <w:sz w:val="24"/>
          <w:szCs w:val="24"/>
          <w:u w:val="single"/>
        </w:rPr>
        <w:t>Hæmolyse</w:t>
      </w:r>
      <w:proofErr w:type="spellEnd"/>
    </w:p>
    <w:p w14:paraId="5E364B20" w14:textId="77777777" w:rsidR="00150AB9" w:rsidRPr="006F6EE5" w:rsidRDefault="00150AB9" w:rsidP="006F6EE5">
      <w:pPr>
        <w:ind w:left="851"/>
        <w:rPr>
          <w:sz w:val="24"/>
          <w:szCs w:val="24"/>
        </w:rPr>
      </w:pPr>
    </w:p>
    <w:p w14:paraId="63ECE0B7" w14:textId="77777777" w:rsidR="00150AB9" w:rsidRPr="006F6EE5" w:rsidRDefault="00150AB9" w:rsidP="006F6EE5">
      <w:pPr>
        <w:ind w:left="851"/>
        <w:rPr>
          <w:sz w:val="24"/>
          <w:szCs w:val="24"/>
        </w:rPr>
      </w:pPr>
      <w:r w:rsidRPr="006F6EE5">
        <w:rPr>
          <w:sz w:val="24"/>
          <w:szCs w:val="24"/>
        </w:rPr>
        <w:t xml:space="preserve">Sjældne tilfælde af </w:t>
      </w:r>
      <w:proofErr w:type="spellStart"/>
      <w:r w:rsidRPr="006F6EE5">
        <w:rPr>
          <w:sz w:val="24"/>
          <w:szCs w:val="24"/>
        </w:rPr>
        <w:t>hæmolyse</w:t>
      </w:r>
      <w:proofErr w:type="spellEnd"/>
      <w:r w:rsidRPr="006F6EE5">
        <w:rPr>
          <w:sz w:val="24"/>
          <w:szCs w:val="24"/>
        </w:rPr>
        <w:t xml:space="preserve">, inklusive akut </w:t>
      </w:r>
      <w:proofErr w:type="spellStart"/>
      <w:r w:rsidRPr="006F6EE5">
        <w:rPr>
          <w:sz w:val="24"/>
          <w:szCs w:val="24"/>
        </w:rPr>
        <w:t>intravaskulær</w:t>
      </w:r>
      <w:proofErr w:type="spellEnd"/>
      <w:r w:rsidRPr="006F6EE5">
        <w:rPr>
          <w:sz w:val="24"/>
          <w:szCs w:val="24"/>
        </w:rPr>
        <w:t xml:space="preserve"> </w:t>
      </w:r>
      <w:proofErr w:type="spellStart"/>
      <w:r w:rsidRPr="006F6EE5">
        <w:rPr>
          <w:sz w:val="24"/>
          <w:szCs w:val="24"/>
        </w:rPr>
        <w:t>hæmolyse</w:t>
      </w:r>
      <w:proofErr w:type="spellEnd"/>
      <w:r w:rsidRPr="006F6EE5">
        <w:rPr>
          <w:sz w:val="24"/>
          <w:szCs w:val="24"/>
        </w:rPr>
        <w:t xml:space="preserve"> eller </w:t>
      </w:r>
      <w:proofErr w:type="spellStart"/>
      <w:r w:rsidRPr="006F6EE5">
        <w:rPr>
          <w:sz w:val="24"/>
          <w:szCs w:val="24"/>
        </w:rPr>
        <w:t>hæmolytisk</w:t>
      </w:r>
      <w:proofErr w:type="spellEnd"/>
      <w:r w:rsidRPr="006F6EE5">
        <w:rPr>
          <w:sz w:val="24"/>
          <w:szCs w:val="24"/>
        </w:rPr>
        <w:t xml:space="preserve"> anæmi, er blevet indberettet for patienter, som blev behandlet med </w:t>
      </w:r>
      <w:proofErr w:type="spellStart"/>
      <w:r w:rsidRPr="006F6EE5">
        <w:rPr>
          <w:sz w:val="24"/>
          <w:szCs w:val="24"/>
        </w:rPr>
        <w:t>micafungin</w:t>
      </w:r>
      <w:proofErr w:type="spellEnd"/>
      <w:r w:rsidRPr="006F6EE5">
        <w:rPr>
          <w:sz w:val="24"/>
          <w:szCs w:val="24"/>
        </w:rPr>
        <w:t xml:space="preserve">. Patienter, som udvikler kliniske symptomer eller har laboratorieprøver, som viser </w:t>
      </w:r>
      <w:proofErr w:type="spellStart"/>
      <w:r w:rsidRPr="006F6EE5">
        <w:rPr>
          <w:sz w:val="24"/>
          <w:szCs w:val="24"/>
        </w:rPr>
        <w:t>hæmolyse</w:t>
      </w:r>
      <w:proofErr w:type="spellEnd"/>
      <w:r w:rsidRPr="006F6EE5">
        <w:rPr>
          <w:sz w:val="24"/>
          <w:szCs w:val="24"/>
        </w:rPr>
        <w:t xml:space="preserve">, under behandling med </w:t>
      </w:r>
      <w:proofErr w:type="spellStart"/>
      <w:r w:rsidRPr="006F6EE5">
        <w:rPr>
          <w:sz w:val="24"/>
          <w:szCs w:val="24"/>
        </w:rPr>
        <w:t>micafungin</w:t>
      </w:r>
      <w:proofErr w:type="spellEnd"/>
      <w:r w:rsidRPr="006F6EE5">
        <w:rPr>
          <w:sz w:val="24"/>
          <w:szCs w:val="24"/>
        </w:rPr>
        <w:t xml:space="preserve">, bør overvåges nøje, for at man kan følge en mulig forværring af disse tilstande, og vurdere </w:t>
      </w:r>
      <w:proofErr w:type="spellStart"/>
      <w:r w:rsidRPr="006F6EE5">
        <w:rPr>
          <w:sz w:val="24"/>
          <w:szCs w:val="24"/>
        </w:rPr>
        <w:t>risk</w:t>
      </w:r>
      <w:proofErr w:type="spellEnd"/>
      <w:r w:rsidRPr="006F6EE5">
        <w:rPr>
          <w:sz w:val="24"/>
          <w:szCs w:val="24"/>
        </w:rPr>
        <w:t xml:space="preserve">/benefit-forholdet med henblik på at fortsætte behandlingen med </w:t>
      </w:r>
      <w:proofErr w:type="spellStart"/>
      <w:r w:rsidRPr="006F6EE5">
        <w:rPr>
          <w:sz w:val="24"/>
          <w:szCs w:val="24"/>
        </w:rPr>
        <w:t>micafungin</w:t>
      </w:r>
      <w:proofErr w:type="spellEnd"/>
      <w:r w:rsidRPr="006F6EE5">
        <w:rPr>
          <w:sz w:val="24"/>
          <w:szCs w:val="24"/>
        </w:rPr>
        <w:t>.</w:t>
      </w:r>
    </w:p>
    <w:p w14:paraId="1175C15F" w14:textId="77777777" w:rsidR="00150AB9" w:rsidRPr="006F6EE5" w:rsidRDefault="00150AB9" w:rsidP="006F6EE5">
      <w:pPr>
        <w:ind w:left="851"/>
        <w:rPr>
          <w:sz w:val="24"/>
          <w:szCs w:val="24"/>
        </w:rPr>
      </w:pPr>
    </w:p>
    <w:p w14:paraId="6D881AC6" w14:textId="77777777" w:rsidR="00150AB9" w:rsidRPr="006F6EE5" w:rsidRDefault="00150AB9" w:rsidP="006F6EE5">
      <w:pPr>
        <w:ind w:left="851"/>
        <w:rPr>
          <w:sz w:val="24"/>
          <w:szCs w:val="24"/>
        </w:rPr>
      </w:pPr>
      <w:proofErr w:type="spellStart"/>
      <w:r w:rsidRPr="006F6EE5">
        <w:rPr>
          <w:sz w:val="24"/>
          <w:szCs w:val="24"/>
          <w:u w:val="single"/>
        </w:rPr>
        <w:t>Renale</w:t>
      </w:r>
      <w:proofErr w:type="spellEnd"/>
      <w:r w:rsidRPr="006F6EE5">
        <w:rPr>
          <w:sz w:val="24"/>
          <w:szCs w:val="24"/>
          <w:u w:val="single"/>
        </w:rPr>
        <w:t xml:space="preserve"> effekter</w:t>
      </w:r>
    </w:p>
    <w:p w14:paraId="1977FFCA" w14:textId="77777777" w:rsidR="00150AB9" w:rsidRPr="006F6EE5" w:rsidRDefault="00150AB9" w:rsidP="006F6EE5">
      <w:pPr>
        <w:ind w:left="851"/>
        <w:rPr>
          <w:sz w:val="24"/>
          <w:szCs w:val="24"/>
        </w:rPr>
      </w:pPr>
    </w:p>
    <w:p w14:paraId="2B9CA48D" w14:textId="77777777" w:rsidR="00150AB9" w:rsidRPr="006F6EE5" w:rsidRDefault="00150AB9" w:rsidP="006F6EE5">
      <w:pPr>
        <w:ind w:left="851"/>
        <w:rPr>
          <w:sz w:val="24"/>
          <w:szCs w:val="24"/>
        </w:rPr>
      </w:pPr>
      <w:proofErr w:type="spellStart"/>
      <w:r w:rsidRPr="006F6EE5">
        <w:rPr>
          <w:sz w:val="24"/>
          <w:szCs w:val="24"/>
        </w:rPr>
        <w:t>Micafungin</w:t>
      </w:r>
      <w:proofErr w:type="spellEnd"/>
      <w:r w:rsidRPr="006F6EE5">
        <w:rPr>
          <w:sz w:val="24"/>
          <w:szCs w:val="24"/>
        </w:rPr>
        <w:t xml:space="preserve"> kan forårsage nyreproblemer, nyresvigt og unormale nyrefunktionsværdier. Patienten bør overvåges nøje, for at man kan følge en evt. forværring af nyrefunktionen.</w:t>
      </w:r>
    </w:p>
    <w:p w14:paraId="33618998" w14:textId="77777777" w:rsidR="00150AB9" w:rsidRPr="006F6EE5" w:rsidRDefault="00150AB9" w:rsidP="006F6EE5">
      <w:pPr>
        <w:ind w:left="851"/>
        <w:rPr>
          <w:sz w:val="24"/>
          <w:szCs w:val="24"/>
        </w:rPr>
      </w:pPr>
    </w:p>
    <w:p w14:paraId="3FE853ED" w14:textId="77777777" w:rsidR="00150AB9" w:rsidRPr="006F6EE5" w:rsidRDefault="00150AB9" w:rsidP="006F6EE5">
      <w:pPr>
        <w:ind w:left="851"/>
        <w:rPr>
          <w:sz w:val="24"/>
          <w:szCs w:val="24"/>
        </w:rPr>
      </w:pPr>
      <w:r w:rsidRPr="006F6EE5">
        <w:rPr>
          <w:sz w:val="24"/>
          <w:szCs w:val="24"/>
          <w:u w:val="single"/>
        </w:rPr>
        <w:t>Interaktioner med andre lægemidler</w:t>
      </w:r>
    </w:p>
    <w:p w14:paraId="4EE87E6B" w14:textId="77777777" w:rsidR="00150AB9" w:rsidRPr="006F6EE5" w:rsidRDefault="00150AB9" w:rsidP="006F6EE5">
      <w:pPr>
        <w:ind w:left="851"/>
        <w:rPr>
          <w:sz w:val="24"/>
          <w:szCs w:val="24"/>
        </w:rPr>
      </w:pPr>
    </w:p>
    <w:p w14:paraId="4846A81C" w14:textId="77777777" w:rsidR="00150AB9" w:rsidRPr="006F6EE5" w:rsidRDefault="00150AB9" w:rsidP="006F6EE5">
      <w:pPr>
        <w:ind w:left="851"/>
        <w:rPr>
          <w:sz w:val="24"/>
          <w:szCs w:val="24"/>
        </w:rPr>
      </w:pPr>
      <w:r w:rsidRPr="006F6EE5">
        <w:rPr>
          <w:sz w:val="24"/>
          <w:szCs w:val="24"/>
        </w:rPr>
        <w:t xml:space="preserve">Samtidig administration af </w:t>
      </w:r>
      <w:proofErr w:type="spellStart"/>
      <w:r w:rsidRPr="006F6EE5">
        <w:rPr>
          <w:sz w:val="24"/>
          <w:szCs w:val="24"/>
        </w:rPr>
        <w:t>micafungin</w:t>
      </w:r>
      <w:proofErr w:type="spellEnd"/>
      <w:r w:rsidRPr="006F6EE5">
        <w:rPr>
          <w:sz w:val="24"/>
          <w:szCs w:val="24"/>
        </w:rPr>
        <w:t xml:space="preserve"> og </w:t>
      </w:r>
      <w:proofErr w:type="spellStart"/>
      <w:r w:rsidRPr="006F6EE5">
        <w:rPr>
          <w:sz w:val="24"/>
          <w:szCs w:val="24"/>
        </w:rPr>
        <w:t>amphotericin</w:t>
      </w:r>
      <w:proofErr w:type="spellEnd"/>
      <w:r w:rsidRPr="006F6EE5">
        <w:rPr>
          <w:sz w:val="24"/>
          <w:szCs w:val="24"/>
        </w:rPr>
        <w:t> B-</w:t>
      </w:r>
      <w:proofErr w:type="spellStart"/>
      <w:r w:rsidRPr="006F6EE5">
        <w:rPr>
          <w:sz w:val="24"/>
          <w:szCs w:val="24"/>
        </w:rPr>
        <w:t>desoxycholat</w:t>
      </w:r>
      <w:proofErr w:type="spellEnd"/>
      <w:r w:rsidRPr="006F6EE5">
        <w:rPr>
          <w:sz w:val="24"/>
          <w:szCs w:val="24"/>
        </w:rPr>
        <w:t xml:space="preserve"> bør kun anvendes, når fordelene klart opvejer risikoen og under omhyggelig monitorering af toksiciteten af </w:t>
      </w:r>
      <w:proofErr w:type="spellStart"/>
      <w:r w:rsidRPr="006F6EE5">
        <w:rPr>
          <w:sz w:val="24"/>
          <w:szCs w:val="24"/>
        </w:rPr>
        <w:t>amphotericin</w:t>
      </w:r>
      <w:proofErr w:type="spellEnd"/>
      <w:r w:rsidRPr="006F6EE5">
        <w:rPr>
          <w:sz w:val="24"/>
          <w:szCs w:val="24"/>
        </w:rPr>
        <w:t> B-</w:t>
      </w:r>
      <w:proofErr w:type="spellStart"/>
      <w:r w:rsidRPr="006F6EE5">
        <w:rPr>
          <w:sz w:val="24"/>
          <w:szCs w:val="24"/>
        </w:rPr>
        <w:t>desoxycholat</w:t>
      </w:r>
      <w:proofErr w:type="spellEnd"/>
      <w:r w:rsidRPr="006F6EE5">
        <w:rPr>
          <w:sz w:val="24"/>
          <w:szCs w:val="24"/>
        </w:rPr>
        <w:t xml:space="preserve"> (se pkt. 4.5).</w:t>
      </w:r>
    </w:p>
    <w:p w14:paraId="59AC20D3" w14:textId="77777777" w:rsidR="00150AB9" w:rsidRPr="006F6EE5" w:rsidRDefault="00150AB9" w:rsidP="006F6EE5">
      <w:pPr>
        <w:ind w:left="851"/>
        <w:rPr>
          <w:sz w:val="24"/>
          <w:szCs w:val="24"/>
        </w:rPr>
      </w:pPr>
    </w:p>
    <w:p w14:paraId="3B7412A6" w14:textId="77777777" w:rsidR="00150AB9" w:rsidRPr="006F6EE5" w:rsidRDefault="00150AB9" w:rsidP="006F6EE5">
      <w:pPr>
        <w:ind w:left="851"/>
        <w:rPr>
          <w:sz w:val="24"/>
          <w:szCs w:val="24"/>
        </w:rPr>
      </w:pPr>
      <w:r w:rsidRPr="006F6EE5">
        <w:rPr>
          <w:sz w:val="24"/>
          <w:szCs w:val="24"/>
        </w:rPr>
        <w:t xml:space="preserve">Patienter, som får </w:t>
      </w:r>
      <w:proofErr w:type="spellStart"/>
      <w:r w:rsidRPr="006F6EE5">
        <w:rPr>
          <w:sz w:val="24"/>
          <w:szCs w:val="24"/>
        </w:rPr>
        <w:t>sirolimus</w:t>
      </w:r>
      <w:proofErr w:type="spellEnd"/>
      <w:r w:rsidRPr="006F6EE5">
        <w:rPr>
          <w:sz w:val="24"/>
          <w:szCs w:val="24"/>
        </w:rPr>
        <w:t xml:space="preserve">, </w:t>
      </w:r>
      <w:proofErr w:type="spellStart"/>
      <w:r w:rsidRPr="006F6EE5">
        <w:rPr>
          <w:sz w:val="24"/>
          <w:szCs w:val="24"/>
        </w:rPr>
        <w:t>nifedipin</w:t>
      </w:r>
      <w:proofErr w:type="spellEnd"/>
      <w:r w:rsidRPr="006F6EE5">
        <w:rPr>
          <w:sz w:val="24"/>
          <w:szCs w:val="24"/>
        </w:rPr>
        <w:t xml:space="preserve"> eller </w:t>
      </w:r>
      <w:proofErr w:type="spellStart"/>
      <w:r w:rsidRPr="006F6EE5">
        <w:rPr>
          <w:sz w:val="24"/>
          <w:szCs w:val="24"/>
        </w:rPr>
        <w:t>itraconazol</w:t>
      </w:r>
      <w:proofErr w:type="spellEnd"/>
      <w:r w:rsidRPr="006F6EE5">
        <w:rPr>
          <w:sz w:val="24"/>
          <w:szCs w:val="24"/>
        </w:rPr>
        <w:t xml:space="preserve"> i kombination med </w:t>
      </w:r>
      <w:proofErr w:type="spellStart"/>
      <w:r w:rsidRPr="006F6EE5">
        <w:rPr>
          <w:sz w:val="24"/>
          <w:szCs w:val="24"/>
        </w:rPr>
        <w:t>micafungin</w:t>
      </w:r>
      <w:proofErr w:type="spellEnd"/>
      <w:r w:rsidRPr="006F6EE5">
        <w:rPr>
          <w:sz w:val="24"/>
          <w:szCs w:val="24"/>
        </w:rPr>
        <w:t xml:space="preserve">, bør monitoreres for </w:t>
      </w:r>
      <w:proofErr w:type="spellStart"/>
      <w:r w:rsidRPr="006F6EE5">
        <w:rPr>
          <w:sz w:val="24"/>
          <w:szCs w:val="24"/>
        </w:rPr>
        <w:t>sirolimus</w:t>
      </w:r>
      <w:proofErr w:type="spellEnd"/>
      <w:r w:rsidRPr="006F6EE5">
        <w:rPr>
          <w:sz w:val="24"/>
          <w:szCs w:val="24"/>
        </w:rPr>
        <w:t xml:space="preserve">-, </w:t>
      </w:r>
      <w:proofErr w:type="spellStart"/>
      <w:r w:rsidRPr="006F6EE5">
        <w:rPr>
          <w:sz w:val="24"/>
          <w:szCs w:val="24"/>
        </w:rPr>
        <w:t>nifedipin</w:t>
      </w:r>
      <w:proofErr w:type="spellEnd"/>
      <w:r w:rsidRPr="006F6EE5">
        <w:rPr>
          <w:sz w:val="24"/>
          <w:szCs w:val="24"/>
        </w:rPr>
        <w:t xml:space="preserve">- eller </w:t>
      </w:r>
      <w:proofErr w:type="spellStart"/>
      <w:r w:rsidRPr="006F6EE5">
        <w:rPr>
          <w:sz w:val="24"/>
          <w:szCs w:val="24"/>
        </w:rPr>
        <w:t>itraconazol</w:t>
      </w:r>
      <w:proofErr w:type="spellEnd"/>
      <w:r w:rsidRPr="006F6EE5">
        <w:rPr>
          <w:sz w:val="24"/>
          <w:szCs w:val="24"/>
        </w:rPr>
        <w:t xml:space="preserve">-toksicitet, og dosis af </w:t>
      </w:r>
      <w:proofErr w:type="spellStart"/>
      <w:r w:rsidRPr="006F6EE5">
        <w:rPr>
          <w:sz w:val="24"/>
          <w:szCs w:val="24"/>
        </w:rPr>
        <w:t>sirolimus</w:t>
      </w:r>
      <w:proofErr w:type="spellEnd"/>
      <w:r w:rsidRPr="006F6EE5">
        <w:rPr>
          <w:sz w:val="24"/>
          <w:szCs w:val="24"/>
        </w:rPr>
        <w:t xml:space="preserve">, </w:t>
      </w:r>
      <w:proofErr w:type="spellStart"/>
      <w:r w:rsidRPr="006F6EE5">
        <w:rPr>
          <w:sz w:val="24"/>
          <w:szCs w:val="24"/>
        </w:rPr>
        <w:t>nifedipin</w:t>
      </w:r>
      <w:proofErr w:type="spellEnd"/>
      <w:r w:rsidRPr="006F6EE5">
        <w:rPr>
          <w:sz w:val="24"/>
          <w:szCs w:val="24"/>
        </w:rPr>
        <w:t xml:space="preserve"> eller </w:t>
      </w:r>
      <w:proofErr w:type="spellStart"/>
      <w:r w:rsidRPr="006F6EE5">
        <w:rPr>
          <w:sz w:val="24"/>
          <w:szCs w:val="24"/>
        </w:rPr>
        <w:t>itraconazol</w:t>
      </w:r>
      <w:proofErr w:type="spellEnd"/>
      <w:r w:rsidRPr="006F6EE5">
        <w:rPr>
          <w:sz w:val="24"/>
          <w:szCs w:val="24"/>
        </w:rPr>
        <w:t xml:space="preserve"> skal om nødvendigt reduceres (se pkt. 4.5).</w:t>
      </w:r>
    </w:p>
    <w:p w14:paraId="6EFC3588" w14:textId="77777777" w:rsidR="00150AB9" w:rsidRPr="006F6EE5" w:rsidRDefault="00150AB9" w:rsidP="006F6EE5">
      <w:pPr>
        <w:ind w:left="851"/>
        <w:rPr>
          <w:sz w:val="24"/>
          <w:szCs w:val="24"/>
        </w:rPr>
      </w:pPr>
    </w:p>
    <w:p w14:paraId="5C9E8A55" w14:textId="77777777" w:rsidR="00150AB9" w:rsidRPr="006F6EE5" w:rsidRDefault="00150AB9" w:rsidP="006F6EE5">
      <w:pPr>
        <w:ind w:left="851"/>
        <w:rPr>
          <w:sz w:val="24"/>
          <w:szCs w:val="24"/>
        </w:rPr>
      </w:pPr>
      <w:r w:rsidRPr="006F6EE5">
        <w:rPr>
          <w:sz w:val="24"/>
          <w:szCs w:val="24"/>
          <w:u w:val="single"/>
        </w:rPr>
        <w:t>Pædiatrisk population</w:t>
      </w:r>
    </w:p>
    <w:p w14:paraId="492DB652" w14:textId="77777777" w:rsidR="00150AB9" w:rsidRPr="006F6EE5" w:rsidRDefault="00150AB9" w:rsidP="006F6EE5">
      <w:pPr>
        <w:ind w:left="851"/>
        <w:rPr>
          <w:sz w:val="24"/>
          <w:szCs w:val="24"/>
        </w:rPr>
      </w:pPr>
    </w:p>
    <w:p w14:paraId="79B840A7" w14:textId="77777777" w:rsidR="00150AB9" w:rsidRPr="006F6EE5" w:rsidRDefault="00150AB9" w:rsidP="006F6EE5">
      <w:pPr>
        <w:ind w:left="851"/>
        <w:rPr>
          <w:sz w:val="24"/>
          <w:szCs w:val="24"/>
        </w:rPr>
      </w:pPr>
      <w:r w:rsidRPr="006F6EE5">
        <w:rPr>
          <w:sz w:val="24"/>
          <w:szCs w:val="24"/>
        </w:rPr>
        <w:t>Visse bivirkninger var hyppigere hos pædiatriske patienter end hos voksne (se pkt. 4.8).</w:t>
      </w:r>
    </w:p>
    <w:p w14:paraId="2C9530D8" w14:textId="77777777" w:rsidR="00150AB9" w:rsidRPr="006F6EE5" w:rsidRDefault="00150AB9" w:rsidP="006F6EE5">
      <w:pPr>
        <w:ind w:left="851"/>
        <w:rPr>
          <w:sz w:val="24"/>
          <w:szCs w:val="24"/>
        </w:rPr>
      </w:pPr>
    </w:p>
    <w:p w14:paraId="727F90C7" w14:textId="77777777" w:rsidR="00150AB9" w:rsidRPr="006F6EE5" w:rsidRDefault="00150AB9" w:rsidP="006F6EE5">
      <w:pPr>
        <w:ind w:left="851"/>
        <w:rPr>
          <w:sz w:val="24"/>
          <w:szCs w:val="24"/>
        </w:rPr>
      </w:pPr>
      <w:r w:rsidRPr="006F6EE5">
        <w:rPr>
          <w:sz w:val="24"/>
          <w:szCs w:val="24"/>
        </w:rPr>
        <w:t>Dette lægemiddel indeholder mindre end 1 mmol (23 mg) natrium pr. dosis, dvs. det er i det væsentlige natriumfrit.</w:t>
      </w:r>
    </w:p>
    <w:p w14:paraId="224DC388" w14:textId="77777777" w:rsidR="009260DE" w:rsidRPr="006F6EE5" w:rsidRDefault="009260DE" w:rsidP="009260DE">
      <w:pPr>
        <w:tabs>
          <w:tab w:val="left" w:pos="851"/>
        </w:tabs>
        <w:ind w:left="851"/>
        <w:rPr>
          <w:sz w:val="24"/>
          <w:szCs w:val="24"/>
        </w:rPr>
      </w:pPr>
    </w:p>
    <w:p w14:paraId="1C530882" w14:textId="77777777" w:rsidR="009260DE" w:rsidRPr="006F6EE5" w:rsidRDefault="009260DE" w:rsidP="009260DE">
      <w:pPr>
        <w:tabs>
          <w:tab w:val="left" w:pos="851"/>
        </w:tabs>
        <w:ind w:left="851" w:hanging="851"/>
        <w:rPr>
          <w:b/>
          <w:sz w:val="24"/>
          <w:szCs w:val="24"/>
        </w:rPr>
      </w:pPr>
      <w:r w:rsidRPr="006F6EE5">
        <w:rPr>
          <w:b/>
          <w:sz w:val="24"/>
          <w:szCs w:val="24"/>
        </w:rPr>
        <w:t>4.5</w:t>
      </w:r>
      <w:r w:rsidRPr="006F6EE5">
        <w:rPr>
          <w:b/>
          <w:sz w:val="24"/>
          <w:szCs w:val="24"/>
        </w:rPr>
        <w:tab/>
        <w:t>Interaktion med andre lægemidler og andre former for interaktion</w:t>
      </w:r>
    </w:p>
    <w:p w14:paraId="4114217D" w14:textId="77777777" w:rsidR="00150AB9" w:rsidRPr="006F6EE5" w:rsidRDefault="00150AB9" w:rsidP="006F6EE5">
      <w:pPr>
        <w:ind w:left="851"/>
        <w:rPr>
          <w:sz w:val="24"/>
          <w:szCs w:val="24"/>
        </w:rPr>
      </w:pPr>
      <w:proofErr w:type="spellStart"/>
      <w:r w:rsidRPr="006F6EE5">
        <w:rPr>
          <w:sz w:val="24"/>
          <w:szCs w:val="24"/>
        </w:rPr>
        <w:t>Micafungin</w:t>
      </w:r>
      <w:proofErr w:type="spellEnd"/>
      <w:r w:rsidRPr="006F6EE5">
        <w:rPr>
          <w:sz w:val="24"/>
          <w:szCs w:val="24"/>
        </w:rPr>
        <w:t xml:space="preserve"> har et lavt interaktionspotentiale med lægemidler, som omdannes via CYP3A-medierede nedbrydningsveje.</w:t>
      </w:r>
    </w:p>
    <w:p w14:paraId="3C55A0C9" w14:textId="77777777" w:rsidR="00150AB9" w:rsidRPr="006F6EE5" w:rsidRDefault="00150AB9" w:rsidP="006F6EE5">
      <w:pPr>
        <w:ind w:left="851"/>
        <w:rPr>
          <w:sz w:val="24"/>
          <w:szCs w:val="24"/>
        </w:rPr>
      </w:pPr>
    </w:p>
    <w:p w14:paraId="3C0619D5" w14:textId="130392E5" w:rsidR="00150AB9" w:rsidRPr="006F6EE5" w:rsidRDefault="00150AB9" w:rsidP="006F6EE5">
      <w:pPr>
        <w:ind w:left="851"/>
        <w:rPr>
          <w:sz w:val="24"/>
          <w:szCs w:val="24"/>
        </w:rPr>
      </w:pPr>
      <w:r w:rsidRPr="006F6EE5">
        <w:rPr>
          <w:sz w:val="24"/>
          <w:szCs w:val="24"/>
        </w:rPr>
        <w:t>Der er udført interaktionsstudier hos raske forsøgspersoner for at undersøge interaktions</w:t>
      </w:r>
      <w:r w:rsidR="006F6EE5">
        <w:rPr>
          <w:sz w:val="24"/>
          <w:szCs w:val="24"/>
        </w:rPr>
        <w:softHyphen/>
      </w:r>
      <w:r w:rsidRPr="006F6EE5">
        <w:rPr>
          <w:sz w:val="24"/>
          <w:szCs w:val="24"/>
        </w:rPr>
        <w:t xml:space="preserve">potentialet mellem </w:t>
      </w:r>
      <w:proofErr w:type="spellStart"/>
      <w:r w:rsidRPr="006F6EE5">
        <w:rPr>
          <w:sz w:val="24"/>
          <w:szCs w:val="24"/>
        </w:rPr>
        <w:t>micafungin</w:t>
      </w:r>
      <w:proofErr w:type="spellEnd"/>
      <w:r w:rsidRPr="006F6EE5">
        <w:rPr>
          <w:sz w:val="24"/>
          <w:szCs w:val="24"/>
        </w:rPr>
        <w:t xml:space="preserve"> og </w:t>
      </w:r>
      <w:proofErr w:type="spellStart"/>
      <w:r w:rsidRPr="006F6EE5">
        <w:rPr>
          <w:sz w:val="24"/>
          <w:szCs w:val="24"/>
        </w:rPr>
        <w:t>mycophenolatmofetil</w:t>
      </w:r>
      <w:proofErr w:type="spellEnd"/>
      <w:r w:rsidRPr="006F6EE5">
        <w:rPr>
          <w:sz w:val="24"/>
          <w:szCs w:val="24"/>
        </w:rPr>
        <w:t xml:space="preserve">, </w:t>
      </w:r>
      <w:proofErr w:type="spellStart"/>
      <w:r w:rsidRPr="006F6EE5">
        <w:rPr>
          <w:sz w:val="24"/>
          <w:szCs w:val="24"/>
        </w:rPr>
        <w:t>ciclosporin</w:t>
      </w:r>
      <w:proofErr w:type="spellEnd"/>
      <w:r w:rsidRPr="006F6EE5">
        <w:rPr>
          <w:sz w:val="24"/>
          <w:szCs w:val="24"/>
        </w:rPr>
        <w:t xml:space="preserve">, </w:t>
      </w:r>
      <w:proofErr w:type="spellStart"/>
      <w:r w:rsidRPr="006F6EE5">
        <w:rPr>
          <w:sz w:val="24"/>
          <w:szCs w:val="24"/>
        </w:rPr>
        <w:t>tacrolimus</w:t>
      </w:r>
      <w:proofErr w:type="spellEnd"/>
      <w:r w:rsidRPr="006F6EE5">
        <w:rPr>
          <w:sz w:val="24"/>
          <w:szCs w:val="24"/>
        </w:rPr>
        <w:t xml:space="preserve">, </w:t>
      </w:r>
      <w:proofErr w:type="spellStart"/>
      <w:r w:rsidRPr="006F6EE5">
        <w:rPr>
          <w:sz w:val="24"/>
          <w:szCs w:val="24"/>
        </w:rPr>
        <w:t>prednisolon</w:t>
      </w:r>
      <w:proofErr w:type="spellEnd"/>
      <w:r w:rsidRPr="006F6EE5">
        <w:rPr>
          <w:sz w:val="24"/>
          <w:szCs w:val="24"/>
        </w:rPr>
        <w:t xml:space="preserve">, </w:t>
      </w:r>
      <w:proofErr w:type="spellStart"/>
      <w:r w:rsidRPr="006F6EE5">
        <w:rPr>
          <w:sz w:val="24"/>
          <w:szCs w:val="24"/>
        </w:rPr>
        <w:t>sirolimus</w:t>
      </w:r>
      <w:proofErr w:type="spellEnd"/>
      <w:r w:rsidRPr="006F6EE5">
        <w:rPr>
          <w:sz w:val="24"/>
          <w:szCs w:val="24"/>
        </w:rPr>
        <w:t xml:space="preserve">, </w:t>
      </w:r>
      <w:proofErr w:type="spellStart"/>
      <w:r w:rsidRPr="006F6EE5">
        <w:rPr>
          <w:sz w:val="24"/>
          <w:szCs w:val="24"/>
        </w:rPr>
        <w:t>nifedipin</w:t>
      </w:r>
      <w:proofErr w:type="spellEnd"/>
      <w:r w:rsidRPr="006F6EE5">
        <w:rPr>
          <w:sz w:val="24"/>
          <w:szCs w:val="24"/>
        </w:rPr>
        <w:t xml:space="preserve">, </w:t>
      </w:r>
      <w:proofErr w:type="spellStart"/>
      <w:r w:rsidRPr="006F6EE5">
        <w:rPr>
          <w:sz w:val="24"/>
          <w:szCs w:val="24"/>
        </w:rPr>
        <w:t>fluconazol</w:t>
      </w:r>
      <w:proofErr w:type="spellEnd"/>
      <w:r w:rsidRPr="006F6EE5">
        <w:rPr>
          <w:sz w:val="24"/>
          <w:szCs w:val="24"/>
        </w:rPr>
        <w:t xml:space="preserve">, </w:t>
      </w:r>
      <w:proofErr w:type="spellStart"/>
      <w:r w:rsidRPr="006F6EE5">
        <w:rPr>
          <w:sz w:val="24"/>
          <w:szCs w:val="24"/>
        </w:rPr>
        <w:t>ritonavir</w:t>
      </w:r>
      <w:proofErr w:type="spellEnd"/>
      <w:r w:rsidRPr="006F6EE5">
        <w:rPr>
          <w:sz w:val="24"/>
          <w:szCs w:val="24"/>
        </w:rPr>
        <w:t xml:space="preserve">, </w:t>
      </w:r>
      <w:proofErr w:type="spellStart"/>
      <w:r w:rsidRPr="006F6EE5">
        <w:rPr>
          <w:sz w:val="24"/>
          <w:szCs w:val="24"/>
        </w:rPr>
        <w:t>rifampicin</w:t>
      </w:r>
      <w:proofErr w:type="spellEnd"/>
      <w:r w:rsidRPr="006F6EE5">
        <w:rPr>
          <w:sz w:val="24"/>
          <w:szCs w:val="24"/>
        </w:rPr>
        <w:t xml:space="preserve">, </w:t>
      </w:r>
      <w:proofErr w:type="spellStart"/>
      <w:r w:rsidRPr="006F6EE5">
        <w:rPr>
          <w:sz w:val="24"/>
          <w:szCs w:val="24"/>
        </w:rPr>
        <w:t>itraconazol</w:t>
      </w:r>
      <w:proofErr w:type="spellEnd"/>
      <w:r w:rsidRPr="006F6EE5">
        <w:rPr>
          <w:sz w:val="24"/>
          <w:szCs w:val="24"/>
        </w:rPr>
        <w:t xml:space="preserve">, </w:t>
      </w:r>
      <w:proofErr w:type="spellStart"/>
      <w:r w:rsidRPr="006F6EE5">
        <w:rPr>
          <w:sz w:val="24"/>
          <w:szCs w:val="24"/>
        </w:rPr>
        <w:t>voriconazol</w:t>
      </w:r>
      <w:proofErr w:type="spellEnd"/>
      <w:r w:rsidRPr="006F6EE5">
        <w:rPr>
          <w:sz w:val="24"/>
          <w:szCs w:val="24"/>
        </w:rPr>
        <w:t xml:space="preserve"> og </w:t>
      </w:r>
      <w:proofErr w:type="spellStart"/>
      <w:r w:rsidRPr="006F6EE5">
        <w:rPr>
          <w:sz w:val="24"/>
          <w:szCs w:val="24"/>
        </w:rPr>
        <w:t>amphotericin</w:t>
      </w:r>
      <w:proofErr w:type="spellEnd"/>
      <w:r w:rsidRPr="006F6EE5">
        <w:rPr>
          <w:sz w:val="24"/>
          <w:szCs w:val="24"/>
        </w:rPr>
        <w:t xml:space="preserve"> B. I disse studier blev der ikke fundet bevis for, at farmakokinetikken af </w:t>
      </w:r>
      <w:proofErr w:type="spellStart"/>
      <w:r w:rsidRPr="006F6EE5">
        <w:rPr>
          <w:sz w:val="24"/>
          <w:szCs w:val="24"/>
        </w:rPr>
        <w:t>micafungin</w:t>
      </w:r>
      <w:proofErr w:type="spellEnd"/>
      <w:r w:rsidRPr="006F6EE5">
        <w:rPr>
          <w:sz w:val="24"/>
          <w:szCs w:val="24"/>
        </w:rPr>
        <w:t xml:space="preserve"> blev påvirket. Dosisjustering af </w:t>
      </w:r>
      <w:proofErr w:type="spellStart"/>
      <w:r w:rsidRPr="006F6EE5">
        <w:rPr>
          <w:sz w:val="24"/>
          <w:szCs w:val="24"/>
        </w:rPr>
        <w:t>micafungin</w:t>
      </w:r>
      <w:proofErr w:type="spellEnd"/>
      <w:r w:rsidRPr="006F6EE5">
        <w:rPr>
          <w:sz w:val="24"/>
          <w:szCs w:val="24"/>
        </w:rPr>
        <w:t xml:space="preserve"> er ikke nødvendig ved samtidig administration af disse lægemidler. Eksponering (AUC) for </w:t>
      </w:r>
      <w:proofErr w:type="spellStart"/>
      <w:r w:rsidRPr="006F6EE5">
        <w:rPr>
          <w:sz w:val="24"/>
          <w:szCs w:val="24"/>
        </w:rPr>
        <w:t>itraconazol</w:t>
      </w:r>
      <w:proofErr w:type="spellEnd"/>
      <w:r w:rsidRPr="006F6EE5">
        <w:rPr>
          <w:sz w:val="24"/>
          <w:szCs w:val="24"/>
        </w:rPr>
        <w:t xml:space="preserve">, </w:t>
      </w:r>
      <w:proofErr w:type="spellStart"/>
      <w:r w:rsidRPr="006F6EE5">
        <w:rPr>
          <w:sz w:val="24"/>
          <w:szCs w:val="24"/>
        </w:rPr>
        <w:t>sirolimus</w:t>
      </w:r>
      <w:proofErr w:type="spellEnd"/>
      <w:r w:rsidRPr="006F6EE5">
        <w:rPr>
          <w:sz w:val="24"/>
          <w:szCs w:val="24"/>
        </w:rPr>
        <w:t xml:space="preserve"> og </w:t>
      </w:r>
      <w:proofErr w:type="spellStart"/>
      <w:r w:rsidRPr="006F6EE5">
        <w:rPr>
          <w:sz w:val="24"/>
          <w:szCs w:val="24"/>
        </w:rPr>
        <w:t>nifedipin</w:t>
      </w:r>
      <w:proofErr w:type="spellEnd"/>
      <w:r w:rsidRPr="006F6EE5">
        <w:rPr>
          <w:sz w:val="24"/>
          <w:szCs w:val="24"/>
        </w:rPr>
        <w:t xml:space="preserve"> viste en let øgning i forbindelse med </w:t>
      </w:r>
      <w:proofErr w:type="spellStart"/>
      <w:r w:rsidRPr="006F6EE5">
        <w:rPr>
          <w:sz w:val="24"/>
          <w:szCs w:val="24"/>
        </w:rPr>
        <w:t>micafungin</w:t>
      </w:r>
      <w:proofErr w:type="spellEnd"/>
      <w:r w:rsidRPr="006F6EE5">
        <w:rPr>
          <w:sz w:val="24"/>
          <w:szCs w:val="24"/>
        </w:rPr>
        <w:t xml:space="preserve"> (henholdsvis 22 %, 21 % og 18 %).</w:t>
      </w:r>
    </w:p>
    <w:p w14:paraId="5119DFE9" w14:textId="77777777" w:rsidR="00150AB9" w:rsidRPr="006F6EE5" w:rsidRDefault="00150AB9" w:rsidP="006F6EE5">
      <w:pPr>
        <w:ind w:left="851"/>
        <w:rPr>
          <w:sz w:val="24"/>
          <w:szCs w:val="24"/>
        </w:rPr>
      </w:pPr>
    </w:p>
    <w:p w14:paraId="68AFDE2F" w14:textId="77777777" w:rsidR="00150AB9" w:rsidRPr="006F6EE5" w:rsidRDefault="00150AB9" w:rsidP="006F6EE5">
      <w:pPr>
        <w:ind w:left="851"/>
        <w:rPr>
          <w:sz w:val="24"/>
          <w:szCs w:val="24"/>
        </w:rPr>
      </w:pPr>
      <w:r w:rsidRPr="006F6EE5">
        <w:rPr>
          <w:sz w:val="24"/>
          <w:szCs w:val="24"/>
        </w:rPr>
        <w:t xml:space="preserve">Samtidig administration af </w:t>
      </w:r>
      <w:proofErr w:type="spellStart"/>
      <w:r w:rsidRPr="006F6EE5">
        <w:rPr>
          <w:sz w:val="24"/>
          <w:szCs w:val="24"/>
        </w:rPr>
        <w:t>micafungin</w:t>
      </w:r>
      <w:proofErr w:type="spellEnd"/>
      <w:r w:rsidRPr="006F6EE5">
        <w:rPr>
          <w:sz w:val="24"/>
          <w:szCs w:val="24"/>
        </w:rPr>
        <w:t xml:space="preserve"> og </w:t>
      </w:r>
      <w:proofErr w:type="spellStart"/>
      <w:r w:rsidRPr="006F6EE5">
        <w:rPr>
          <w:sz w:val="24"/>
          <w:szCs w:val="24"/>
        </w:rPr>
        <w:t>amphotericin</w:t>
      </w:r>
      <w:proofErr w:type="spellEnd"/>
      <w:r w:rsidRPr="006F6EE5">
        <w:rPr>
          <w:sz w:val="24"/>
          <w:szCs w:val="24"/>
        </w:rPr>
        <w:t> B-</w:t>
      </w:r>
      <w:proofErr w:type="spellStart"/>
      <w:r w:rsidRPr="006F6EE5">
        <w:rPr>
          <w:sz w:val="24"/>
          <w:szCs w:val="24"/>
        </w:rPr>
        <w:t>desoxycholat</w:t>
      </w:r>
      <w:proofErr w:type="spellEnd"/>
      <w:r w:rsidRPr="006F6EE5">
        <w:rPr>
          <w:sz w:val="24"/>
          <w:szCs w:val="24"/>
        </w:rPr>
        <w:t xml:space="preserve"> var forbundet med en 30 % øgning i </w:t>
      </w:r>
      <w:proofErr w:type="spellStart"/>
      <w:r w:rsidRPr="006F6EE5">
        <w:rPr>
          <w:sz w:val="24"/>
          <w:szCs w:val="24"/>
        </w:rPr>
        <w:t>amphotericin</w:t>
      </w:r>
      <w:proofErr w:type="spellEnd"/>
      <w:r w:rsidRPr="006F6EE5">
        <w:rPr>
          <w:sz w:val="24"/>
          <w:szCs w:val="24"/>
        </w:rPr>
        <w:t> B-</w:t>
      </w:r>
      <w:proofErr w:type="spellStart"/>
      <w:r w:rsidRPr="006F6EE5">
        <w:rPr>
          <w:sz w:val="24"/>
          <w:szCs w:val="24"/>
        </w:rPr>
        <w:t>desoxycholat</w:t>
      </w:r>
      <w:proofErr w:type="spellEnd"/>
      <w:r w:rsidRPr="006F6EE5">
        <w:rPr>
          <w:sz w:val="24"/>
          <w:szCs w:val="24"/>
        </w:rPr>
        <w:t xml:space="preserve">-eksponeringen. Da dette kan have klinisk betydning, bør samtidig administration kun ske, når fordelene klart opvejer risiciene og under omhyggelig monitorering af toksiciteten af </w:t>
      </w:r>
      <w:proofErr w:type="spellStart"/>
      <w:r w:rsidRPr="006F6EE5">
        <w:rPr>
          <w:sz w:val="24"/>
          <w:szCs w:val="24"/>
        </w:rPr>
        <w:t>amphotericin</w:t>
      </w:r>
      <w:proofErr w:type="spellEnd"/>
      <w:r w:rsidRPr="006F6EE5">
        <w:rPr>
          <w:sz w:val="24"/>
          <w:szCs w:val="24"/>
        </w:rPr>
        <w:t> B-</w:t>
      </w:r>
      <w:proofErr w:type="spellStart"/>
      <w:r w:rsidRPr="006F6EE5">
        <w:rPr>
          <w:sz w:val="24"/>
          <w:szCs w:val="24"/>
        </w:rPr>
        <w:t>desoxycholat</w:t>
      </w:r>
      <w:proofErr w:type="spellEnd"/>
      <w:r w:rsidRPr="006F6EE5">
        <w:rPr>
          <w:sz w:val="24"/>
          <w:szCs w:val="24"/>
        </w:rPr>
        <w:t xml:space="preserve"> (se pkt. 4.4).</w:t>
      </w:r>
    </w:p>
    <w:p w14:paraId="3DEBAA89" w14:textId="77777777" w:rsidR="00150AB9" w:rsidRPr="006F6EE5" w:rsidRDefault="00150AB9" w:rsidP="006F6EE5">
      <w:pPr>
        <w:ind w:left="851"/>
        <w:rPr>
          <w:sz w:val="24"/>
          <w:szCs w:val="24"/>
        </w:rPr>
      </w:pPr>
    </w:p>
    <w:p w14:paraId="14FA0E1B" w14:textId="77777777" w:rsidR="00150AB9" w:rsidRPr="006F6EE5" w:rsidRDefault="00150AB9" w:rsidP="006F6EE5">
      <w:pPr>
        <w:ind w:left="851"/>
        <w:rPr>
          <w:sz w:val="24"/>
          <w:szCs w:val="24"/>
        </w:rPr>
      </w:pPr>
      <w:r w:rsidRPr="006F6EE5">
        <w:rPr>
          <w:sz w:val="24"/>
          <w:szCs w:val="24"/>
        </w:rPr>
        <w:t xml:space="preserve">Patienter, som får </w:t>
      </w:r>
      <w:proofErr w:type="spellStart"/>
      <w:r w:rsidRPr="006F6EE5">
        <w:rPr>
          <w:sz w:val="24"/>
          <w:szCs w:val="24"/>
        </w:rPr>
        <w:t>sirolimus</w:t>
      </w:r>
      <w:proofErr w:type="spellEnd"/>
      <w:r w:rsidRPr="006F6EE5">
        <w:rPr>
          <w:sz w:val="24"/>
          <w:szCs w:val="24"/>
        </w:rPr>
        <w:t xml:space="preserve">, </w:t>
      </w:r>
      <w:proofErr w:type="spellStart"/>
      <w:r w:rsidRPr="006F6EE5">
        <w:rPr>
          <w:sz w:val="24"/>
          <w:szCs w:val="24"/>
        </w:rPr>
        <w:t>nifedipin</w:t>
      </w:r>
      <w:proofErr w:type="spellEnd"/>
      <w:r w:rsidRPr="006F6EE5">
        <w:rPr>
          <w:sz w:val="24"/>
          <w:szCs w:val="24"/>
        </w:rPr>
        <w:t xml:space="preserve"> eller </w:t>
      </w:r>
      <w:proofErr w:type="spellStart"/>
      <w:r w:rsidRPr="006F6EE5">
        <w:rPr>
          <w:sz w:val="24"/>
          <w:szCs w:val="24"/>
        </w:rPr>
        <w:t>itraconazol</w:t>
      </w:r>
      <w:proofErr w:type="spellEnd"/>
      <w:r w:rsidRPr="006F6EE5">
        <w:rPr>
          <w:sz w:val="24"/>
          <w:szCs w:val="24"/>
        </w:rPr>
        <w:t xml:space="preserve"> i kombination med </w:t>
      </w:r>
      <w:proofErr w:type="spellStart"/>
      <w:r w:rsidRPr="006F6EE5">
        <w:rPr>
          <w:sz w:val="24"/>
          <w:szCs w:val="24"/>
        </w:rPr>
        <w:t>micafungin</w:t>
      </w:r>
      <w:proofErr w:type="spellEnd"/>
      <w:r w:rsidRPr="006F6EE5">
        <w:rPr>
          <w:sz w:val="24"/>
          <w:szCs w:val="24"/>
        </w:rPr>
        <w:t xml:space="preserve">, bør monitoreres for </w:t>
      </w:r>
      <w:proofErr w:type="spellStart"/>
      <w:r w:rsidRPr="006F6EE5">
        <w:rPr>
          <w:sz w:val="24"/>
          <w:szCs w:val="24"/>
        </w:rPr>
        <w:t>sirolimus</w:t>
      </w:r>
      <w:proofErr w:type="spellEnd"/>
      <w:r w:rsidRPr="006F6EE5">
        <w:rPr>
          <w:sz w:val="24"/>
          <w:szCs w:val="24"/>
        </w:rPr>
        <w:t xml:space="preserve">-, </w:t>
      </w:r>
      <w:proofErr w:type="spellStart"/>
      <w:r w:rsidRPr="006F6EE5">
        <w:rPr>
          <w:sz w:val="24"/>
          <w:szCs w:val="24"/>
        </w:rPr>
        <w:t>nifedipin</w:t>
      </w:r>
      <w:proofErr w:type="spellEnd"/>
      <w:r w:rsidRPr="006F6EE5">
        <w:rPr>
          <w:sz w:val="24"/>
          <w:szCs w:val="24"/>
        </w:rPr>
        <w:t xml:space="preserve">- eller </w:t>
      </w:r>
      <w:proofErr w:type="spellStart"/>
      <w:r w:rsidRPr="006F6EE5">
        <w:rPr>
          <w:sz w:val="24"/>
          <w:szCs w:val="24"/>
        </w:rPr>
        <w:t>itraconazol</w:t>
      </w:r>
      <w:proofErr w:type="spellEnd"/>
      <w:r w:rsidRPr="006F6EE5">
        <w:rPr>
          <w:sz w:val="24"/>
          <w:szCs w:val="24"/>
        </w:rPr>
        <w:t xml:space="preserve">-toksicitet, og dosis af </w:t>
      </w:r>
      <w:proofErr w:type="spellStart"/>
      <w:r w:rsidRPr="006F6EE5">
        <w:rPr>
          <w:sz w:val="24"/>
          <w:szCs w:val="24"/>
        </w:rPr>
        <w:t>sirolimus</w:t>
      </w:r>
      <w:proofErr w:type="spellEnd"/>
      <w:r w:rsidRPr="006F6EE5">
        <w:rPr>
          <w:sz w:val="24"/>
          <w:szCs w:val="24"/>
        </w:rPr>
        <w:t xml:space="preserve">, </w:t>
      </w:r>
      <w:proofErr w:type="spellStart"/>
      <w:r w:rsidRPr="006F6EE5">
        <w:rPr>
          <w:sz w:val="24"/>
          <w:szCs w:val="24"/>
        </w:rPr>
        <w:t>nifedipin</w:t>
      </w:r>
      <w:proofErr w:type="spellEnd"/>
      <w:r w:rsidRPr="006F6EE5">
        <w:rPr>
          <w:sz w:val="24"/>
          <w:szCs w:val="24"/>
        </w:rPr>
        <w:t xml:space="preserve"> eller </w:t>
      </w:r>
      <w:proofErr w:type="spellStart"/>
      <w:r w:rsidRPr="006F6EE5">
        <w:rPr>
          <w:sz w:val="24"/>
          <w:szCs w:val="24"/>
        </w:rPr>
        <w:t>itraconazol</w:t>
      </w:r>
      <w:proofErr w:type="spellEnd"/>
      <w:r w:rsidRPr="006F6EE5">
        <w:rPr>
          <w:sz w:val="24"/>
          <w:szCs w:val="24"/>
        </w:rPr>
        <w:t xml:space="preserve"> bør om nødvendigt reduceres (se pkt. 4.4).</w:t>
      </w:r>
    </w:p>
    <w:p w14:paraId="3FC59D8E" w14:textId="77777777" w:rsidR="009260DE" w:rsidRPr="006F6EE5" w:rsidRDefault="009260DE" w:rsidP="009260DE">
      <w:pPr>
        <w:tabs>
          <w:tab w:val="left" w:pos="851"/>
        </w:tabs>
        <w:ind w:left="851"/>
        <w:rPr>
          <w:sz w:val="24"/>
          <w:szCs w:val="24"/>
        </w:rPr>
      </w:pPr>
    </w:p>
    <w:p w14:paraId="1B3A1479" w14:textId="77777777" w:rsidR="009260DE" w:rsidRPr="006F6EE5" w:rsidRDefault="009260DE" w:rsidP="009260DE">
      <w:pPr>
        <w:tabs>
          <w:tab w:val="left" w:pos="851"/>
        </w:tabs>
        <w:ind w:left="851" w:hanging="851"/>
        <w:rPr>
          <w:b/>
          <w:sz w:val="24"/>
          <w:szCs w:val="24"/>
        </w:rPr>
      </w:pPr>
      <w:r w:rsidRPr="006F6EE5">
        <w:rPr>
          <w:b/>
          <w:sz w:val="24"/>
          <w:szCs w:val="24"/>
        </w:rPr>
        <w:t>4.6</w:t>
      </w:r>
      <w:r w:rsidRPr="006F6EE5">
        <w:rPr>
          <w:b/>
          <w:sz w:val="24"/>
          <w:szCs w:val="24"/>
        </w:rPr>
        <w:tab/>
      </w:r>
      <w:r w:rsidR="0071241E" w:rsidRPr="006F6EE5">
        <w:rPr>
          <w:b/>
          <w:sz w:val="24"/>
          <w:szCs w:val="24"/>
        </w:rPr>
        <w:t>Fertilitet, g</w:t>
      </w:r>
      <w:r w:rsidRPr="006F6EE5">
        <w:rPr>
          <w:b/>
          <w:sz w:val="24"/>
          <w:szCs w:val="24"/>
        </w:rPr>
        <w:t>raviditet og amning</w:t>
      </w:r>
    </w:p>
    <w:p w14:paraId="74875200" w14:textId="77777777" w:rsidR="006F6EE5" w:rsidRDefault="006F6EE5" w:rsidP="006F6EE5">
      <w:pPr>
        <w:ind w:left="851"/>
        <w:rPr>
          <w:sz w:val="24"/>
          <w:szCs w:val="24"/>
        </w:rPr>
      </w:pPr>
    </w:p>
    <w:p w14:paraId="6AD8451A" w14:textId="0B270F6C" w:rsidR="00150AB9" w:rsidRPr="006F6EE5" w:rsidRDefault="00150AB9" w:rsidP="006F6EE5">
      <w:pPr>
        <w:ind w:left="851"/>
        <w:rPr>
          <w:sz w:val="24"/>
          <w:szCs w:val="24"/>
          <w:u w:val="single"/>
        </w:rPr>
      </w:pPr>
      <w:r w:rsidRPr="006F6EE5">
        <w:rPr>
          <w:sz w:val="24"/>
          <w:szCs w:val="24"/>
          <w:u w:val="single"/>
        </w:rPr>
        <w:t>Graviditet</w:t>
      </w:r>
    </w:p>
    <w:p w14:paraId="05DFDA2E" w14:textId="77777777" w:rsidR="00150AB9" w:rsidRPr="006F6EE5" w:rsidRDefault="00150AB9" w:rsidP="006F6EE5">
      <w:pPr>
        <w:ind w:left="851"/>
        <w:rPr>
          <w:sz w:val="24"/>
          <w:szCs w:val="24"/>
        </w:rPr>
      </w:pPr>
    </w:p>
    <w:p w14:paraId="77C1C131" w14:textId="77777777" w:rsidR="00150AB9" w:rsidRPr="006F6EE5" w:rsidRDefault="00150AB9" w:rsidP="006F6EE5">
      <w:pPr>
        <w:ind w:left="851"/>
        <w:rPr>
          <w:sz w:val="24"/>
          <w:szCs w:val="24"/>
        </w:rPr>
      </w:pPr>
      <w:r w:rsidRPr="006F6EE5">
        <w:rPr>
          <w:sz w:val="24"/>
          <w:szCs w:val="24"/>
        </w:rPr>
        <w:t xml:space="preserve">Der er ikke data fra anvendelse af </w:t>
      </w:r>
      <w:proofErr w:type="spellStart"/>
      <w:r w:rsidRPr="006F6EE5">
        <w:rPr>
          <w:sz w:val="24"/>
          <w:szCs w:val="24"/>
        </w:rPr>
        <w:t>micafungin</w:t>
      </w:r>
      <w:proofErr w:type="spellEnd"/>
      <w:r w:rsidRPr="006F6EE5">
        <w:rPr>
          <w:sz w:val="24"/>
          <w:szCs w:val="24"/>
        </w:rPr>
        <w:t xml:space="preserve"> til gravide kvinder. Dyrestudier har vist, at </w:t>
      </w:r>
      <w:proofErr w:type="spellStart"/>
      <w:r w:rsidRPr="006F6EE5">
        <w:rPr>
          <w:sz w:val="24"/>
          <w:szCs w:val="24"/>
        </w:rPr>
        <w:t>micafungin</w:t>
      </w:r>
      <w:proofErr w:type="spellEnd"/>
      <w:r w:rsidRPr="006F6EE5">
        <w:rPr>
          <w:sz w:val="24"/>
          <w:szCs w:val="24"/>
        </w:rPr>
        <w:t xml:space="preserve"> passerer placentabarrieren, og der blev påvist reproduktionstoksicitet (se pkt. 5.3). Risikoen for mennesker er ukendt.</w:t>
      </w:r>
    </w:p>
    <w:p w14:paraId="5F1D74A0" w14:textId="1F67C3F1" w:rsidR="00150AB9" w:rsidRPr="006F6EE5" w:rsidRDefault="00150AB9" w:rsidP="006F6EE5">
      <w:pPr>
        <w:ind w:left="851"/>
        <w:rPr>
          <w:sz w:val="24"/>
          <w:szCs w:val="24"/>
        </w:rPr>
      </w:pPr>
      <w:proofErr w:type="spellStart"/>
      <w:r w:rsidRPr="006F6EE5">
        <w:rPr>
          <w:sz w:val="24"/>
          <w:szCs w:val="24"/>
        </w:rPr>
        <w:t>Micafungin</w:t>
      </w:r>
      <w:proofErr w:type="spellEnd"/>
      <w:r w:rsidRPr="006F6EE5">
        <w:rPr>
          <w:sz w:val="24"/>
          <w:szCs w:val="24"/>
        </w:rPr>
        <w:t xml:space="preserve"> </w:t>
      </w:r>
      <w:r w:rsidR="006F6EE5">
        <w:rPr>
          <w:sz w:val="24"/>
          <w:szCs w:val="24"/>
        </w:rPr>
        <w:t>"</w:t>
      </w:r>
      <w:proofErr w:type="spellStart"/>
      <w:r w:rsidRPr="006F6EE5">
        <w:rPr>
          <w:sz w:val="24"/>
          <w:szCs w:val="24"/>
        </w:rPr>
        <w:t>Hikma</w:t>
      </w:r>
      <w:proofErr w:type="spellEnd"/>
      <w:r w:rsidR="006F6EE5">
        <w:rPr>
          <w:sz w:val="24"/>
          <w:szCs w:val="24"/>
        </w:rPr>
        <w:t>"</w:t>
      </w:r>
      <w:r w:rsidRPr="006F6EE5">
        <w:rPr>
          <w:sz w:val="24"/>
          <w:szCs w:val="24"/>
        </w:rPr>
        <w:t xml:space="preserve"> bør ikke anvendes under graviditet, medmindre det er på tvingende indikation.</w:t>
      </w:r>
    </w:p>
    <w:p w14:paraId="081019D6" w14:textId="77777777" w:rsidR="00150AB9" w:rsidRPr="006F6EE5" w:rsidRDefault="00150AB9" w:rsidP="006F6EE5">
      <w:pPr>
        <w:ind w:left="851"/>
        <w:rPr>
          <w:sz w:val="24"/>
          <w:szCs w:val="24"/>
        </w:rPr>
      </w:pPr>
    </w:p>
    <w:p w14:paraId="6CBBD5F2" w14:textId="77777777" w:rsidR="00150AB9" w:rsidRPr="006F6EE5" w:rsidRDefault="00150AB9" w:rsidP="006F6EE5">
      <w:pPr>
        <w:ind w:left="851"/>
        <w:rPr>
          <w:sz w:val="24"/>
          <w:szCs w:val="24"/>
          <w:u w:val="single"/>
        </w:rPr>
      </w:pPr>
      <w:r w:rsidRPr="006F6EE5">
        <w:rPr>
          <w:sz w:val="24"/>
          <w:szCs w:val="24"/>
          <w:u w:val="single"/>
        </w:rPr>
        <w:t>Amning</w:t>
      </w:r>
    </w:p>
    <w:p w14:paraId="7D0B8F62" w14:textId="77777777" w:rsidR="00150AB9" w:rsidRPr="006F6EE5" w:rsidRDefault="00150AB9" w:rsidP="006F6EE5">
      <w:pPr>
        <w:ind w:left="851"/>
        <w:rPr>
          <w:sz w:val="24"/>
          <w:szCs w:val="24"/>
        </w:rPr>
      </w:pPr>
    </w:p>
    <w:p w14:paraId="3F88A726" w14:textId="567252A9" w:rsidR="00150AB9" w:rsidRPr="006F6EE5" w:rsidRDefault="00150AB9" w:rsidP="006F6EE5">
      <w:pPr>
        <w:ind w:left="851"/>
        <w:rPr>
          <w:sz w:val="24"/>
          <w:szCs w:val="24"/>
        </w:rPr>
      </w:pPr>
      <w:r w:rsidRPr="006F6EE5">
        <w:rPr>
          <w:sz w:val="24"/>
          <w:szCs w:val="24"/>
        </w:rPr>
        <w:t xml:space="preserve">Det er ukendt, om </w:t>
      </w:r>
      <w:proofErr w:type="spellStart"/>
      <w:r w:rsidRPr="006F6EE5">
        <w:rPr>
          <w:sz w:val="24"/>
          <w:szCs w:val="24"/>
        </w:rPr>
        <w:t>micafungin</w:t>
      </w:r>
      <w:proofErr w:type="spellEnd"/>
      <w:r w:rsidRPr="006F6EE5">
        <w:rPr>
          <w:sz w:val="24"/>
          <w:szCs w:val="24"/>
        </w:rPr>
        <w:t xml:space="preserve"> udskilles i human mælk. Dyrestudier har vist, at </w:t>
      </w:r>
      <w:proofErr w:type="spellStart"/>
      <w:r w:rsidRPr="006F6EE5">
        <w:rPr>
          <w:sz w:val="24"/>
          <w:szCs w:val="24"/>
        </w:rPr>
        <w:t>micafungin</w:t>
      </w:r>
      <w:proofErr w:type="spellEnd"/>
      <w:r w:rsidRPr="006F6EE5">
        <w:rPr>
          <w:sz w:val="24"/>
          <w:szCs w:val="24"/>
        </w:rPr>
        <w:t xml:space="preserve"> udskilles i mælk. Det skal besluttes, om amning skal fortsætte/ophøre eller behandling med </w:t>
      </w:r>
      <w:proofErr w:type="spellStart"/>
      <w:r w:rsidRPr="006F6EE5">
        <w:rPr>
          <w:sz w:val="24"/>
          <w:szCs w:val="24"/>
        </w:rPr>
        <w:t>Micafungin</w:t>
      </w:r>
      <w:proofErr w:type="spellEnd"/>
      <w:r w:rsidRPr="006F6EE5">
        <w:rPr>
          <w:sz w:val="24"/>
          <w:szCs w:val="24"/>
        </w:rPr>
        <w:t xml:space="preserve"> </w:t>
      </w:r>
      <w:r w:rsidR="006F6EE5">
        <w:rPr>
          <w:sz w:val="24"/>
          <w:szCs w:val="24"/>
        </w:rPr>
        <w:t>"</w:t>
      </w:r>
      <w:proofErr w:type="spellStart"/>
      <w:r w:rsidRPr="006F6EE5">
        <w:rPr>
          <w:sz w:val="24"/>
          <w:szCs w:val="24"/>
        </w:rPr>
        <w:t>Hikma</w:t>
      </w:r>
      <w:proofErr w:type="spellEnd"/>
      <w:r w:rsidR="006F6EE5">
        <w:rPr>
          <w:sz w:val="24"/>
          <w:szCs w:val="24"/>
        </w:rPr>
        <w:t>"</w:t>
      </w:r>
      <w:r w:rsidRPr="006F6EE5">
        <w:rPr>
          <w:sz w:val="24"/>
          <w:szCs w:val="24"/>
        </w:rPr>
        <w:t xml:space="preserve"> skal fortsætte/ophøre, idet der tages højde for fordelene ved amning for barnet i forhold til de terapeutiske fordele ved behandling med </w:t>
      </w:r>
      <w:proofErr w:type="spellStart"/>
      <w:r w:rsidRPr="006F6EE5">
        <w:rPr>
          <w:sz w:val="24"/>
          <w:szCs w:val="24"/>
        </w:rPr>
        <w:t>Micafungin</w:t>
      </w:r>
      <w:proofErr w:type="spellEnd"/>
      <w:r w:rsidRPr="006F6EE5">
        <w:rPr>
          <w:sz w:val="24"/>
          <w:szCs w:val="24"/>
        </w:rPr>
        <w:t xml:space="preserve"> </w:t>
      </w:r>
      <w:r w:rsidR="006F6EE5">
        <w:rPr>
          <w:sz w:val="24"/>
          <w:szCs w:val="24"/>
        </w:rPr>
        <w:t>"</w:t>
      </w:r>
      <w:proofErr w:type="spellStart"/>
      <w:r w:rsidRPr="006F6EE5">
        <w:rPr>
          <w:sz w:val="24"/>
          <w:szCs w:val="24"/>
        </w:rPr>
        <w:t>Hikma</w:t>
      </w:r>
      <w:proofErr w:type="spellEnd"/>
      <w:r w:rsidR="006F6EE5">
        <w:rPr>
          <w:sz w:val="24"/>
          <w:szCs w:val="24"/>
        </w:rPr>
        <w:t>"</w:t>
      </w:r>
      <w:r w:rsidRPr="006F6EE5">
        <w:rPr>
          <w:sz w:val="24"/>
          <w:szCs w:val="24"/>
        </w:rPr>
        <w:t xml:space="preserve"> for moderen.</w:t>
      </w:r>
    </w:p>
    <w:p w14:paraId="78814314" w14:textId="77777777" w:rsidR="00150AB9" w:rsidRPr="006F6EE5" w:rsidRDefault="00150AB9" w:rsidP="006F6EE5">
      <w:pPr>
        <w:ind w:left="851"/>
        <w:rPr>
          <w:sz w:val="24"/>
          <w:szCs w:val="24"/>
        </w:rPr>
      </w:pPr>
    </w:p>
    <w:p w14:paraId="11F75426" w14:textId="77777777" w:rsidR="00150AB9" w:rsidRPr="006F6EE5" w:rsidRDefault="00150AB9" w:rsidP="006F6EE5">
      <w:pPr>
        <w:ind w:left="851"/>
        <w:rPr>
          <w:sz w:val="24"/>
          <w:szCs w:val="24"/>
          <w:u w:val="single"/>
        </w:rPr>
      </w:pPr>
      <w:r w:rsidRPr="006F6EE5">
        <w:rPr>
          <w:sz w:val="24"/>
          <w:szCs w:val="24"/>
          <w:u w:val="single"/>
        </w:rPr>
        <w:t>Fertilitet</w:t>
      </w:r>
    </w:p>
    <w:p w14:paraId="5863EF46" w14:textId="77777777" w:rsidR="00150AB9" w:rsidRPr="006F6EE5" w:rsidRDefault="00150AB9" w:rsidP="006F6EE5">
      <w:pPr>
        <w:ind w:left="851"/>
        <w:rPr>
          <w:sz w:val="24"/>
          <w:szCs w:val="24"/>
        </w:rPr>
      </w:pPr>
    </w:p>
    <w:p w14:paraId="0CDF367C" w14:textId="77777777" w:rsidR="00150AB9" w:rsidRPr="006F6EE5" w:rsidRDefault="00150AB9" w:rsidP="006F6EE5">
      <w:pPr>
        <w:ind w:left="851"/>
        <w:rPr>
          <w:sz w:val="24"/>
          <w:szCs w:val="24"/>
        </w:rPr>
      </w:pPr>
      <w:r w:rsidRPr="006F6EE5">
        <w:rPr>
          <w:sz w:val="24"/>
          <w:szCs w:val="24"/>
        </w:rPr>
        <w:t xml:space="preserve">Testikeltoksicitet blev observeret i dyrestudier (se pkt. 5.3). </w:t>
      </w:r>
      <w:proofErr w:type="spellStart"/>
      <w:r w:rsidRPr="006F6EE5">
        <w:rPr>
          <w:sz w:val="24"/>
          <w:szCs w:val="24"/>
        </w:rPr>
        <w:t>Micafungin</w:t>
      </w:r>
      <w:proofErr w:type="spellEnd"/>
      <w:r w:rsidRPr="006F6EE5">
        <w:rPr>
          <w:sz w:val="24"/>
          <w:szCs w:val="24"/>
        </w:rPr>
        <w:t xml:space="preserve"> kan muligvis påvirke fertiliteten hos mænd.</w:t>
      </w:r>
    </w:p>
    <w:p w14:paraId="398E237E" w14:textId="77777777" w:rsidR="009260DE" w:rsidRPr="006F6EE5" w:rsidRDefault="009260DE" w:rsidP="009260DE">
      <w:pPr>
        <w:tabs>
          <w:tab w:val="left" w:pos="851"/>
        </w:tabs>
        <w:ind w:left="851"/>
        <w:rPr>
          <w:sz w:val="24"/>
          <w:szCs w:val="24"/>
        </w:rPr>
      </w:pPr>
    </w:p>
    <w:p w14:paraId="1CF46C52" w14:textId="77777777" w:rsidR="009260DE" w:rsidRPr="006F6EE5" w:rsidRDefault="009260DE" w:rsidP="009260DE">
      <w:pPr>
        <w:tabs>
          <w:tab w:val="left" w:pos="851"/>
        </w:tabs>
        <w:ind w:left="851" w:hanging="851"/>
        <w:rPr>
          <w:b/>
          <w:sz w:val="24"/>
          <w:szCs w:val="24"/>
        </w:rPr>
      </w:pPr>
      <w:r w:rsidRPr="006F6EE5">
        <w:rPr>
          <w:b/>
          <w:sz w:val="24"/>
          <w:szCs w:val="24"/>
        </w:rPr>
        <w:t>4.7</w:t>
      </w:r>
      <w:r w:rsidRPr="006F6EE5">
        <w:rPr>
          <w:b/>
          <w:sz w:val="24"/>
          <w:szCs w:val="24"/>
        </w:rPr>
        <w:tab/>
        <w:t xml:space="preserve">Virkning på evnen til at føre motorkøretøj </w:t>
      </w:r>
      <w:r w:rsidR="0071241E" w:rsidRPr="006F6EE5">
        <w:rPr>
          <w:b/>
          <w:sz w:val="24"/>
          <w:szCs w:val="24"/>
        </w:rPr>
        <w:t>og</w:t>
      </w:r>
      <w:r w:rsidRPr="006F6EE5">
        <w:rPr>
          <w:b/>
          <w:sz w:val="24"/>
          <w:szCs w:val="24"/>
        </w:rPr>
        <w:t xml:space="preserve"> betjene maskiner</w:t>
      </w:r>
    </w:p>
    <w:p w14:paraId="6231E2DD" w14:textId="77777777" w:rsidR="00150AB9" w:rsidRPr="006F6EE5" w:rsidRDefault="00150AB9" w:rsidP="006F6EE5">
      <w:pPr>
        <w:ind w:left="851"/>
        <w:rPr>
          <w:sz w:val="24"/>
          <w:szCs w:val="24"/>
        </w:rPr>
      </w:pPr>
      <w:r w:rsidRPr="006F6EE5">
        <w:rPr>
          <w:sz w:val="24"/>
          <w:szCs w:val="24"/>
        </w:rPr>
        <w:t>Ikke mærkning.</w:t>
      </w:r>
    </w:p>
    <w:p w14:paraId="2ED921DC" w14:textId="77777777" w:rsidR="00150AB9" w:rsidRPr="006F6EE5" w:rsidRDefault="00150AB9" w:rsidP="006F6EE5">
      <w:pPr>
        <w:ind w:left="851"/>
        <w:rPr>
          <w:sz w:val="24"/>
          <w:szCs w:val="24"/>
        </w:rPr>
      </w:pPr>
      <w:proofErr w:type="spellStart"/>
      <w:r w:rsidRPr="006F6EE5">
        <w:rPr>
          <w:sz w:val="24"/>
          <w:szCs w:val="24"/>
        </w:rPr>
        <w:t>Micafungin</w:t>
      </w:r>
      <w:proofErr w:type="spellEnd"/>
      <w:r w:rsidRPr="006F6EE5">
        <w:rPr>
          <w:sz w:val="24"/>
          <w:szCs w:val="24"/>
        </w:rPr>
        <w:t xml:space="preserve"> påvirker ikke eller kun i ubetydelig grad evnen til at føre motorkøretøj og betjene maskiner. Patienter bør imidlertid informeres om, at svimmelhed er indberettet under behandling med </w:t>
      </w:r>
      <w:proofErr w:type="spellStart"/>
      <w:r w:rsidRPr="006F6EE5">
        <w:rPr>
          <w:sz w:val="24"/>
          <w:szCs w:val="24"/>
        </w:rPr>
        <w:t>micafungin</w:t>
      </w:r>
      <w:proofErr w:type="spellEnd"/>
      <w:r w:rsidRPr="006F6EE5">
        <w:rPr>
          <w:sz w:val="24"/>
          <w:szCs w:val="24"/>
        </w:rPr>
        <w:t xml:space="preserve"> (se pkt. 4.8).</w:t>
      </w:r>
    </w:p>
    <w:p w14:paraId="6F68B453" w14:textId="77777777" w:rsidR="009260DE" w:rsidRPr="006F6EE5" w:rsidRDefault="009260DE" w:rsidP="009260DE">
      <w:pPr>
        <w:tabs>
          <w:tab w:val="left" w:pos="851"/>
        </w:tabs>
        <w:ind w:left="851"/>
        <w:rPr>
          <w:sz w:val="24"/>
          <w:szCs w:val="24"/>
        </w:rPr>
      </w:pPr>
    </w:p>
    <w:p w14:paraId="1EDACFA3" w14:textId="77777777" w:rsidR="009260DE" w:rsidRPr="006F6EE5" w:rsidRDefault="009260DE" w:rsidP="009260DE">
      <w:pPr>
        <w:tabs>
          <w:tab w:val="left" w:pos="851"/>
        </w:tabs>
        <w:ind w:left="851" w:hanging="851"/>
        <w:rPr>
          <w:b/>
          <w:sz w:val="24"/>
          <w:szCs w:val="24"/>
        </w:rPr>
      </w:pPr>
      <w:r w:rsidRPr="006F6EE5">
        <w:rPr>
          <w:b/>
          <w:sz w:val="24"/>
          <w:szCs w:val="24"/>
        </w:rPr>
        <w:t>4.8</w:t>
      </w:r>
      <w:r w:rsidRPr="006F6EE5">
        <w:rPr>
          <w:b/>
          <w:sz w:val="24"/>
          <w:szCs w:val="24"/>
        </w:rPr>
        <w:tab/>
        <w:t>Bivirkninger</w:t>
      </w:r>
    </w:p>
    <w:p w14:paraId="6C8ABD4B" w14:textId="77777777" w:rsidR="006F6EE5" w:rsidRDefault="006F6EE5" w:rsidP="006F6EE5">
      <w:pPr>
        <w:ind w:left="851"/>
        <w:rPr>
          <w:sz w:val="24"/>
          <w:szCs w:val="24"/>
        </w:rPr>
      </w:pPr>
    </w:p>
    <w:p w14:paraId="03EFB09E" w14:textId="0661AF32" w:rsidR="00150AB9" w:rsidRPr="006F6EE5" w:rsidRDefault="00150AB9" w:rsidP="006F6EE5">
      <w:pPr>
        <w:ind w:left="851"/>
        <w:rPr>
          <w:sz w:val="24"/>
          <w:szCs w:val="24"/>
          <w:u w:val="single"/>
        </w:rPr>
      </w:pPr>
      <w:r w:rsidRPr="006F6EE5">
        <w:rPr>
          <w:sz w:val="24"/>
          <w:szCs w:val="24"/>
          <w:u w:val="single"/>
        </w:rPr>
        <w:t>Resumé af sikkerhedsprofilen</w:t>
      </w:r>
    </w:p>
    <w:p w14:paraId="1D573EAB" w14:textId="77777777" w:rsidR="00150AB9" w:rsidRPr="006F6EE5" w:rsidRDefault="00150AB9" w:rsidP="006F6EE5">
      <w:pPr>
        <w:ind w:left="851"/>
        <w:rPr>
          <w:sz w:val="24"/>
          <w:szCs w:val="24"/>
        </w:rPr>
      </w:pPr>
    </w:p>
    <w:p w14:paraId="370BF279" w14:textId="77777777" w:rsidR="00150AB9" w:rsidRPr="006F6EE5" w:rsidRDefault="00150AB9" w:rsidP="006F6EE5">
      <w:pPr>
        <w:ind w:left="851"/>
        <w:rPr>
          <w:sz w:val="24"/>
          <w:szCs w:val="24"/>
        </w:rPr>
      </w:pPr>
      <w:r w:rsidRPr="006F6EE5">
        <w:rPr>
          <w:sz w:val="24"/>
          <w:szCs w:val="24"/>
        </w:rPr>
        <w:t xml:space="preserve">Baseret på erfaring fra kliniske studier oplevede i alt 32,2 % af patienterne bivirkninger. De hyppigst indberettede bivirkninger var kvalme (2,8 %), forhøjet alkalisk fosfatase i blodet (2,7 %), </w:t>
      </w:r>
      <w:proofErr w:type="spellStart"/>
      <w:r w:rsidRPr="006F6EE5">
        <w:rPr>
          <w:sz w:val="24"/>
          <w:szCs w:val="24"/>
        </w:rPr>
        <w:t>flebit</w:t>
      </w:r>
      <w:proofErr w:type="spellEnd"/>
      <w:r w:rsidRPr="006F6EE5">
        <w:rPr>
          <w:sz w:val="24"/>
          <w:szCs w:val="24"/>
        </w:rPr>
        <w:t xml:space="preserve"> (2,5 %, hovedsageligt hos hiv-inficerede patienter med perifert venekateter), opkastning (2,5 %) og forhøjet </w:t>
      </w:r>
      <w:proofErr w:type="spellStart"/>
      <w:r w:rsidRPr="006F6EE5">
        <w:rPr>
          <w:sz w:val="24"/>
          <w:szCs w:val="24"/>
        </w:rPr>
        <w:t>aspartataminotransferase</w:t>
      </w:r>
      <w:proofErr w:type="spellEnd"/>
      <w:r w:rsidRPr="006F6EE5">
        <w:rPr>
          <w:sz w:val="24"/>
          <w:szCs w:val="24"/>
        </w:rPr>
        <w:t xml:space="preserve"> (ASAT) (2,3 %).</w:t>
      </w:r>
    </w:p>
    <w:p w14:paraId="6061E951" w14:textId="77777777" w:rsidR="00150AB9" w:rsidRPr="006F6EE5" w:rsidRDefault="00150AB9" w:rsidP="006F6EE5">
      <w:pPr>
        <w:ind w:left="851"/>
        <w:rPr>
          <w:sz w:val="24"/>
          <w:szCs w:val="24"/>
        </w:rPr>
      </w:pPr>
    </w:p>
    <w:p w14:paraId="2740AEB4" w14:textId="77777777" w:rsidR="00150AB9" w:rsidRPr="006F6EE5" w:rsidRDefault="00150AB9" w:rsidP="006F6EE5">
      <w:pPr>
        <w:ind w:left="851"/>
        <w:rPr>
          <w:sz w:val="24"/>
          <w:szCs w:val="24"/>
          <w:u w:val="single"/>
        </w:rPr>
      </w:pPr>
      <w:r w:rsidRPr="006F6EE5">
        <w:rPr>
          <w:sz w:val="24"/>
          <w:szCs w:val="24"/>
          <w:u w:val="single"/>
        </w:rPr>
        <w:t>Skematisk oversigt over bivirkninger</w:t>
      </w:r>
    </w:p>
    <w:p w14:paraId="777B06E7" w14:textId="77777777" w:rsidR="00150AB9" w:rsidRPr="006F6EE5" w:rsidRDefault="00150AB9" w:rsidP="006F6EE5">
      <w:pPr>
        <w:ind w:left="851"/>
        <w:rPr>
          <w:sz w:val="24"/>
          <w:szCs w:val="24"/>
        </w:rPr>
      </w:pPr>
    </w:p>
    <w:p w14:paraId="45C4D21D" w14:textId="77777777" w:rsidR="00150AB9" w:rsidRPr="006F6EE5" w:rsidRDefault="00150AB9" w:rsidP="006F6EE5">
      <w:pPr>
        <w:ind w:left="851"/>
        <w:rPr>
          <w:sz w:val="24"/>
          <w:szCs w:val="24"/>
        </w:rPr>
      </w:pPr>
      <w:r w:rsidRPr="006F6EE5">
        <w:rPr>
          <w:sz w:val="24"/>
          <w:szCs w:val="24"/>
        </w:rPr>
        <w:t xml:space="preserve">I nedenstående tabel er bivirkningerne opstillet efter systemorganklasse i henhold til </w:t>
      </w:r>
      <w:proofErr w:type="spellStart"/>
      <w:r w:rsidRPr="006F6EE5">
        <w:rPr>
          <w:sz w:val="24"/>
          <w:szCs w:val="24"/>
        </w:rPr>
        <w:t>MedDRA</w:t>
      </w:r>
      <w:proofErr w:type="spellEnd"/>
      <w:r w:rsidRPr="006F6EE5">
        <w:rPr>
          <w:sz w:val="24"/>
          <w:szCs w:val="24"/>
        </w:rPr>
        <w:t>. Inden for hver enkelt frekvensgruppe er bivirkningerne opstillet, efter hvor alvorlige de er. De alvorligste bivirkninger er anført først.</w:t>
      </w:r>
    </w:p>
    <w:p w14:paraId="2ABD88AA" w14:textId="2B7B6F18" w:rsidR="00F852AA" w:rsidRDefault="00F852AA">
      <w:pPr>
        <w:rPr>
          <w:sz w:val="24"/>
          <w:szCs w:val="24"/>
        </w:rPr>
      </w:pPr>
      <w:r>
        <w:rPr>
          <w:sz w:val="24"/>
          <w:szCs w:val="24"/>
        </w:rPr>
        <w:br w:type="page"/>
      </w:r>
    </w:p>
    <w:p w14:paraId="3961BED1" w14:textId="77777777" w:rsidR="00150AB9" w:rsidRPr="006F6EE5" w:rsidRDefault="00150AB9" w:rsidP="006F6EE5">
      <w:pPr>
        <w:ind w:left="851"/>
        <w:rPr>
          <w:sz w:val="24"/>
          <w:szCs w:val="24"/>
        </w:rPr>
      </w:pPr>
    </w:p>
    <w:tbl>
      <w:tblPr>
        <w:tblStyle w:val="Tabel-Gitter"/>
        <w:tblW w:w="5000" w:type="pct"/>
        <w:tblInd w:w="0" w:type="dxa"/>
        <w:tblLook w:val="04A0" w:firstRow="1" w:lastRow="0" w:firstColumn="1" w:lastColumn="0" w:noHBand="0" w:noVBand="1"/>
      </w:tblPr>
      <w:tblGrid>
        <w:gridCol w:w="2084"/>
        <w:gridCol w:w="2062"/>
        <w:gridCol w:w="1825"/>
        <w:gridCol w:w="1729"/>
        <w:gridCol w:w="1928"/>
      </w:tblGrid>
      <w:tr w:rsidR="00150AB9" w:rsidRPr="00F852AA" w14:paraId="076C0D99" w14:textId="77777777" w:rsidTr="006F6EE5">
        <w:tc>
          <w:tcPr>
            <w:tcW w:w="1082" w:type="pct"/>
            <w:tcBorders>
              <w:top w:val="single" w:sz="4" w:space="0" w:color="auto"/>
              <w:left w:val="single" w:sz="4" w:space="0" w:color="auto"/>
              <w:bottom w:val="single" w:sz="4" w:space="0" w:color="auto"/>
              <w:right w:val="single" w:sz="4" w:space="0" w:color="auto"/>
            </w:tcBorders>
            <w:hideMark/>
          </w:tcPr>
          <w:p w14:paraId="4430AB56" w14:textId="77777777" w:rsidR="00150AB9" w:rsidRPr="00F852AA" w:rsidRDefault="00150AB9" w:rsidP="006F6EE5">
            <w:pPr>
              <w:jc w:val="center"/>
              <w:rPr>
                <w:b/>
                <w:sz w:val="22"/>
                <w:szCs w:val="22"/>
                <w:lang w:val="da-DK"/>
              </w:rPr>
            </w:pPr>
            <w:r w:rsidRPr="00F852AA">
              <w:rPr>
                <w:b/>
                <w:sz w:val="22"/>
                <w:szCs w:val="22"/>
                <w:lang w:val="da-DK"/>
              </w:rPr>
              <w:t>Systemorganklasse</w:t>
            </w:r>
          </w:p>
        </w:tc>
        <w:tc>
          <w:tcPr>
            <w:tcW w:w="1071" w:type="pct"/>
            <w:tcBorders>
              <w:top w:val="single" w:sz="4" w:space="0" w:color="auto"/>
              <w:left w:val="single" w:sz="4" w:space="0" w:color="auto"/>
              <w:bottom w:val="single" w:sz="4" w:space="0" w:color="auto"/>
              <w:right w:val="single" w:sz="4" w:space="0" w:color="auto"/>
            </w:tcBorders>
            <w:hideMark/>
          </w:tcPr>
          <w:p w14:paraId="1A29EA52" w14:textId="77777777" w:rsidR="00150AB9" w:rsidRPr="00F852AA" w:rsidRDefault="00150AB9" w:rsidP="006F6EE5">
            <w:pPr>
              <w:jc w:val="center"/>
              <w:rPr>
                <w:b/>
                <w:sz w:val="22"/>
                <w:szCs w:val="22"/>
                <w:lang w:val="da-DK"/>
              </w:rPr>
            </w:pPr>
            <w:r w:rsidRPr="00F852AA">
              <w:rPr>
                <w:b/>
                <w:sz w:val="22"/>
                <w:szCs w:val="22"/>
                <w:lang w:val="da-DK"/>
              </w:rPr>
              <w:t>Almindelig</w:t>
            </w:r>
          </w:p>
          <w:p w14:paraId="550F0ABA" w14:textId="77777777" w:rsidR="00150AB9" w:rsidRPr="00F852AA" w:rsidRDefault="00150AB9" w:rsidP="006F6EE5">
            <w:pPr>
              <w:jc w:val="center"/>
              <w:rPr>
                <w:sz w:val="22"/>
                <w:szCs w:val="22"/>
                <w:lang w:val="da-DK"/>
              </w:rPr>
            </w:pPr>
            <w:r w:rsidRPr="00F852AA">
              <w:rPr>
                <w:sz w:val="22"/>
                <w:szCs w:val="22"/>
                <w:lang w:val="da-DK"/>
              </w:rPr>
              <w:t>≥ 1/100 til &lt; 1/10</w:t>
            </w:r>
          </w:p>
        </w:tc>
        <w:tc>
          <w:tcPr>
            <w:tcW w:w="948" w:type="pct"/>
            <w:tcBorders>
              <w:top w:val="single" w:sz="4" w:space="0" w:color="auto"/>
              <w:left w:val="single" w:sz="4" w:space="0" w:color="auto"/>
              <w:bottom w:val="single" w:sz="4" w:space="0" w:color="auto"/>
              <w:right w:val="single" w:sz="4" w:space="0" w:color="auto"/>
            </w:tcBorders>
            <w:hideMark/>
          </w:tcPr>
          <w:p w14:paraId="3D1B7197" w14:textId="77777777" w:rsidR="00150AB9" w:rsidRPr="00F852AA" w:rsidRDefault="00150AB9" w:rsidP="006F6EE5">
            <w:pPr>
              <w:jc w:val="center"/>
              <w:rPr>
                <w:b/>
                <w:sz w:val="22"/>
                <w:szCs w:val="22"/>
                <w:lang w:val="da-DK"/>
              </w:rPr>
            </w:pPr>
            <w:r w:rsidRPr="00F852AA">
              <w:rPr>
                <w:b/>
                <w:sz w:val="22"/>
                <w:szCs w:val="22"/>
                <w:lang w:val="da-DK"/>
              </w:rPr>
              <w:t>Ikke almindelig</w:t>
            </w:r>
          </w:p>
          <w:p w14:paraId="60E17689" w14:textId="77777777" w:rsidR="00150AB9" w:rsidRPr="00F852AA" w:rsidRDefault="00150AB9" w:rsidP="006F6EE5">
            <w:pPr>
              <w:jc w:val="center"/>
              <w:rPr>
                <w:sz w:val="22"/>
                <w:szCs w:val="22"/>
                <w:lang w:val="da-DK"/>
              </w:rPr>
            </w:pPr>
            <w:r w:rsidRPr="00F852AA">
              <w:rPr>
                <w:sz w:val="22"/>
                <w:szCs w:val="22"/>
                <w:lang w:val="da-DK"/>
              </w:rPr>
              <w:t>≥ 1/1.000 til &lt; 1/100</w:t>
            </w:r>
          </w:p>
        </w:tc>
        <w:tc>
          <w:tcPr>
            <w:tcW w:w="898" w:type="pct"/>
            <w:tcBorders>
              <w:top w:val="single" w:sz="4" w:space="0" w:color="auto"/>
              <w:left w:val="single" w:sz="4" w:space="0" w:color="auto"/>
              <w:bottom w:val="single" w:sz="4" w:space="0" w:color="auto"/>
              <w:right w:val="single" w:sz="4" w:space="0" w:color="auto"/>
            </w:tcBorders>
            <w:hideMark/>
          </w:tcPr>
          <w:p w14:paraId="448D46F4" w14:textId="77777777" w:rsidR="00150AB9" w:rsidRPr="00F852AA" w:rsidRDefault="00150AB9" w:rsidP="006F6EE5">
            <w:pPr>
              <w:jc w:val="center"/>
              <w:rPr>
                <w:b/>
                <w:sz w:val="22"/>
                <w:szCs w:val="22"/>
                <w:lang w:val="da-DK"/>
              </w:rPr>
            </w:pPr>
            <w:r w:rsidRPr="00F852AA">
              <w:rPr>
                <w:b/>
                <w:sz w:val="22"/>
                <w:szCs w:val="22"/>
                <w:lang w:val="da-DK"/>
              </w:rPr>
              <w:t>Sjælden</w:t>
            </w:r>
          </w:p>
          <w:p w14:paraId="7AE7C8AB" w14:textId="77777777" w:rsidR="00150AB9" w:rsidRPr="00F852AA" w:rsidRDefault="00150AB9" w:rsidP="006F6EE5">
            <w:pPr>
              <w:jc w:val="center"/>
              <w:rPr>
                <w:sz w:val="22"/>
                <w:szCs w:val="22"/>
                <w:lang w:val="da-DK"/>
              </w:rPr>
            </w:pPr>
            <w:r w:rsidRPr="00F852AA">
              <w:rPr>
                <w:sz w:val="22"/>
                <w:szCs w:val="22"/>
                <w:lang w:val="da-DK"/>
              </w:rPr>
              <w:t>≥ 1/10.000 til &lt; 1/1.000</w:t>
            </w:r>
          </w:p>
        </w:tc>
        <w:tc>
          <w:tcPr>
            <w:tcW w:w="1001" w:type="pct"/>
            <w:tcBorders>
              <w:top w:val="single" w:sz="4" w:space="0" w:color="auto"/>
              <w:left w:val="single" w:sz="4" w:space="0" w:color="auto"/>
              <w:bottom w:val="single" w:sz="4" w:space="0" w:color="auto"/>
              <w:right w:val="single" w:sz="4" w:space="0" w:color="auto"/>
            </w:tcBorders>
            <w:hideMark/>
          </w:tcPr>
          <w:p w14:paraId="290A33A5" w14:textId="54B57A2F" w:rsidR="00150AB9" w:rsidRPr="00F852AA" w:rsidRDefault="00150AB9" w:rsidP="006F6EE5">
            <w:pPr>
              <w:jc w:val="center"/>
              <w:rPr>
                <w:sz w:val="22"/>
                <w:szCs w:val="22"/>
                <w:lang w:val="da-DK"/>
              </w:rPr>
            </w:pPr>
            <w:r w:rsidRPr="00F852AA">
              <w:rPr>
                <w:b/>
                <w:sz w:val="22"/>
                <w:szCs w:val="22"/>
                <w:lang w:val="da-DK"/>
              </w:rPr>
              <w:t>Ikke kendt</w:t>
            </w:r>
            <w:r w:rsidRPr="00F852AA">
              <w:rPr>
                <w:sz w:val="22"/>
                <w:szCs w:val="22"/>
                <w:lang w:val="da-DK"/>
              </w:rPr>
              <w:t xml:space="preserve"> (kan ikke estimeres ud fra forhånden</w:t>
            </w:r>
            <w:r w:rsidR="00D45693">
              <w:rPr>
                <w:sz w:val="22"/>
                <w:szCs w:val="22"/>
                <w:lang w:val="da-DK"/>
              </w:rPr>
              <w:softHyphen/>
            </w:r>
            <w:r w:rsidRPr="00F852AA">
              <w:rPr>
                <w:sz w:val="22"/>
                <w:szCs w:val="22"/>
                <w:lang w:val="da-DK"/>
              </w:rPr>
              <w:t>værende data</w:t>
            </w:r>
          </w:p>
        </w:tc>
      </w:tr>
      <w:tr w:rsidR="00150AB9" w:rsidRPr="00F852AA" w14:paraId="66C80A97" w14:textId="77777777" w:rsidTr="006F6EE5">
        <w:tc>
          <w:tcPr>
            <w:tcW w:w="1082" w:type="pct"/>
            <w:tcBorders>
              <w:top w:val="single" w:sz="4" w:space="0" w:color="auto"/>
              <w:left w:val="single" w:sz="4" w:space="0" w:color="auto"/>
              <w:bottom w:val="single" w:sz="4" w:space="0" w:color="auto"/>
              <w:right w:val="single" w:sz="4" w:space="0" w:color="auto"/>
            </w:tcBorders>
            <w:hideMark/>
          </w:tcPr>
          <w:p w14:paraId="57525317" w14:textId="77777777" w:rsidR="00150AB9" w:rsidRPr="00F852AA" w:rsidRDefault="00150AB9" w:rsidP="006F6EE5">
            <w:pPr>
              <w:rPr>
                <w:sz w:val="22"/>
                <w:szCs w:val="22"/>
                <w:lang w:val="da-DK"/>
              </w:rPr>
            </w:pPr>
            <w:r w:rsidRPr="00F852AA">
              <w:rPr>
                <w:sz w:val="22"/>
                <w:szCs w:val="22"/>
                <w:lang w:val="da-DK"/>
              </w:rPr>
              <w:t>Blod og lymfesystem</w:t>
            </w:r>
          </w:p>
        </w:tc>
        <w:tc>
          <w:tcPr>
            <w:tcW w:w="1071" w:type="pct"/>
            <w:tcBorders>
              <w:top w:val="single" w:sz="4" w:space="0" w:color="auto"/>
              <w:left w:val="single" w:sz="4" w:space="0" w:color="auto"/>
              <w:bottom w:val="single" w:sz="4" w:space="0" w:color="auto"/>
              <w:right w:val="single" w:sz="4" w:space="0" w:color="auto"/>
            </w:tcBorders>
            <w:hideMark/>
          </w:tcPr>
          <w:p w14:paraId="0C4A6F27" w14:textId="77777777" w:rsidR="00150AB9" w:rsidRPr="00F852AA" w:rsidRDefault="00150AB9" w:rsidP="006F6EE5">
            <w:pPr>
              <w:rPr>
                <w:sz w:val="22"/>
                <w:szCs w:val="22"/>
                <w:lang w:val="da-DK"/>
              </w:rPr>
            </w:pPr>
            <w:proofErr w:type="spellStart"/>
            <w:r w:rsidRPr="00F852AA">
              <w:rPr>
                <w:sz w:val="22"/>
                <w:szCs w:val="22"/>
                <w:lang w:val="da-DK"/>
              </w:rPr>
              <w:t>leukopeni</w:t>
            </w:r>
            <w:proofErr w:type="spellEnd"/>
            <w:r w:rsidRPr="00F852AA">
              <w:rPr>
                <w:sz w:val="22"/>
                <w:szCs w:val="22"/>
                <w:lang w:val="da-DK"/>
              </w:rPr>
              <w:t xml:space="preserve">, </w:t>
            </w:r>
            <w:proofErr w:type="spellStart"/>
            <w:r w:rsidRPr="00F852AA">
              <w:rPr>
                <w:sz w:val="22"/>
                <w:szCs w:val="22"/>
                <w:lang w:val="da-DK"/>
              </w:rPr>
              <w:t>neutropeni</w:t>
            </w:r>
            <w:proofErr w:type="spellEnd"/>
            <w:r w:rsidRPr="00F852AA">
              <w:rPr>
                <w:sz w:val="22"/>
                <w:szCs w:val="22"/>
                <w:lang w:val="da-DK"/>
              </w:rPr>
              <w:t>, anæmi</w:t>
            </w:r>
          </w:p>
        </w:tc>
        <w:tc>
          <w:tcPr>
            <w:tcW w:w="948" w:type="pct"/>
            <w:tcBorders>
              <w:top w:val="single" w:sz="4" w:space="0" w:color="auto"/>
              <w:left w:val="single" w:sz="4" w:space="0" w:color="auto"/>
              <w:bottom w:val="single" w:sz="4" w:space="0" w:color="auto"/>
              <w:right w:val="single" w:sz="4" w:space="0" w:color="auto"/>
            </w:tcBorders>
            <w:hideMark/>
          </w:tcPr>
          <w:p w14:paraId="1E96DDD2" w14:textId="77777777" w:rsidR="00150AB9" w:rsidRPr="00F852AA" w:rsidRDefault="00150AB9" w:rsidP="006F6EE5">
            <w:pPr>
              <w:rPr>
                <w:sz w:val="22"/>
                <w:szCs w:val="22"/>
                <w:lang w:val="da-DK"/>
              </w:rPr>
            </w:pPr>
            <w:proofErr w:type="spellStart"/>
            <w:r w:rsidRPr="00F852AA">
              <w:rPr>
                <w:sz w:val="22"/>
                <w:szCs w:val="22"/>
                <w:lang w:val="da-DK"/>
              </w:rPr>
              <w:t>pancytopeni</w:t>
            </w:r>
            <w:proofErr w:type="spellEnd"/>
            <w:r w:rsidRPr="00F852AA">
              <w:rPr>
                <w:sz w:val="22"/>
                <w:szCs w:val="22"/>
                <w:lang w:val="da-DK"/>
              </w:rPr>
              <w:t xml:space="preserve">, </w:t>
            </w:r>
            <w:proofErr w:type="spellStart"/>
            <w:r w:rsidRPr="00F852AA">
              <w:rPr>
                <w:sz w:val="22"/>
                <w:szCs w:val="22"/>
                <w:lang w:val="da-DK"/>
              </w:rPr>
              <w:t>trombocytopeni</w:t>
            </w:r>
            <w:proofErr w:type="spellEnd"/>
            <w:r w:rsidRPr="00F852AA">
              <w:rPr>
                <w:sz w:val="22"/>
                <w:szCs w:val="22"/>
                <w:lang w:val="da-DK"/>
              </w:rPr>
              <w:t xml:space="preserve">, </w:t>
            </w:r>
            <w:proofErr w:type="spellStart"/>
            <w:r w:rsidRPr="00F852AA">
              <w:rPr>
                <w:sz w:val="22"/>
                <w:szCs w:val="22"/>
                <w:lang w:val="da-DK"/>
              </w:rPr>
              <w:t>eosinofili</w:t>
            </w:r>
            <w:proofErr w:type="spellEnd"/>
            <w:r w:rsidRPr="00F852AA">
              <w:rPr>
                <w:sz w:val="22"/>
                <w:szCs w:val="22"/>
                <w:lang w:val="da-DK"/>
              </w:rPr>
              <w:t>, hypoalbuminæmi</w:t>
            </w:r>
          </w:p>
        </w:tc>
        <w:tc>
          <w:tcPr>
            <w:tcW w:w="898" w:type="pct"/>
            <w:tcBorders>
              <w:top w:val="single" w:sz="4" w:space="0" w:color="auto"/>
              <w:left w:val="single" w:sz="4" w:space="0" w:color="auto"/>
              <w:bottom w:val="single" w:sz="4" w:space="0" w:color="auto"/>
              <w:right w:val="single" w:sz="4" w:space="0" w:color="auto"/>
            </w:tcBorders>
            <w:hideMark/>
          </w:tcPr>
          <w:p w14:paraId="1CC8930A" w14:textId="77777777" w:rsidR="00150AB9" w:rsidRPr="00F852AA" w:rsidRDefault="00150AB9" w:rsidP="006F6EE5">
            <w:pPr>
              <w:rPr>
                <w:sz w:val="22"/>
                <w:szCs w:val="22"/>
                <w:lang w:val="da-DK"/>
              </w:rPr>
            </w:pPr>
            <w:proofErr w:type="spellStart"/>
            <w:r w:rsidRPr="00F852AA">
              <w:rPr>
                <w:sz w:val="22"/>
                <w:szCs w:val="22"/>
                <w:lang w:val="da-DK"/>
              </w:rPr>
              <w:t>hæmolytisk</w:t>
            </w:r>
            <w:proofErr w:type="spellEnd"/>
            <w:r w:rsidRPr="00F852AA">
              <w:rPr>
                <w:sz w:val="22"/>
                <w:szCs w:val="22"/>
                <w:lang w:val="da-DK"/>
              </w:rPr>
              <w:t xml:space="preserve"> anæmi, </w:t>
            </w:r>
            <w:proofErr w:type="spellStart"/>
            <w:r w:rsidRPr="00F852AA">
              <w:rPr>
                <w:sz w:val="22"/>
                <w:szCs w:val="22"/>
                <w:lang w:val="da-DK"/>
              </w:rPr>
              <w:t>hæmolyse</w:t>
            </w:r>
            <w:proofErr w:type="spellEnd"/>
            <w:r w:rsidRPr="00F852AA">
              <w:rPr>
                <w:sz w:val="22"/>
                <w:szCs w:val="22"/>
                <w:lang w:val="da-DK"/>
              </w:rPr>
              <w:t xml:space="preserve"> (se pkt. 4.4)</w:t>
            </w:r>
          </w:p>
        </w:tc>
        <w:tc>
          <w:tcPr>
            <w:tcW w:w="1001" w:type="pct"/>
            <w:tcBorders>
              <w:top w:val="single" w:sz="4" w:space="0" w:color="auto"/>
              <w:left w:val="single" w:sz="4" w:space="0" w:color="auto"/>
              <w:bottom w:val="single" w:sz="4" w:space="0" w:color="auto"/>
              <w:right w:val="single" w:sz="4" w:space="0" w:color="auto"/>
            </w:tcBorders>
            <w:hideMark/>
          </w:tcPr>
          <w:p w14:paraId="55BDA0A0" w14:textId="77777777" w:rsidR="00150AB9" w:rsidRPr="00F852AA" w:rsidRDefault="00150AB9" w:rsidP="006F6EE5">
            <w:pPr>
              <w:rPr>
                <w:sz w:val="22"/>
                <w:szCs w:val="22"/>
                <w:lang w:val="da-DK"/>
              </w:rPr>
            </w:pPr>
            <w:r w:rsidRPr="00F852AA">
              <w:rPr>
                <w:sz w:val="22"/>
                <w:szCs w:val="22"/>
                <w:lang w:val="da-DK"/>
              </w:rPr>
              <w:t xml:space="preserve">dissemineret </w:t>
            </w:r>
            <w:proofErr w:type="spellStart"/>
            <w:r w:rsidRPr="00F852AA">
              <w:rPr>
                <w:sz w:val="22"/>
                <w:szCs w:val="22"/>
                <w:lang w:val="da-DK"/>
              </w:rPr>
              <w:t>intravaskulær</w:t>
            </w:r>
            <w:proofErr w:type="spellEnd"/>
            <w:r w:rsidRPr="00F852AA">
              <w:rPr>
                <w:sz w:val="22"/>
                <w:szCs w:val="22"/>
                <w:lang w:val="da-DK"/>
              </w:rPr>
              <w:t xml:space="preserve"> koagulation</w:t>
            </w:r>
          </w:p>
        </w:tc>
      </w:tr>
      <w:tr w:rsidR="00150AB9" w:rsidRPr="00F852AA" w14:paraId="71603A03" w14:textId="77777777" w:rsidTr="006F6EE5">
        <w:tc>
          <w:tcPr>
            <w:tcW w:w="1082" w:type="pct"/>
            <w:tcBorders>
              <w:top w:val="single" w:sz="4" w:space="0" w:color="auto"/>
              <w:left w:val="single" w:sz="4" w:space="0" w:color="auto"/>
              <w:bottom w:val="single" w:sz="4" w:space="0" w:color="auto"/>
              <w:right w:val="single" w:sz="4" w:space="0" w:color="auto"/>
            </w:tcBorders>
            <w:hideMark/>
          </w:tcPr>
          <w:p w14:paraId="234B3559" w14:textId="77777777" w:rsidR="00150AB9" w:rsidRPr="00F852AA" w:rsidRDefault="00150AB9" w:rsidP="006F6EE5">
            <w:pPr>
              <w:rPr>
                <w:sz w:val="22"/>
                <w:szCs w:val="22"/>
                <w:lang w:val="da-DK"/>
              </w:rPr>
            </w:pPr>
            <w:r w:rsidRPr="00F852AA">
              <w:rPr>
                <w:sz w:val="22"/>
                <w:szCs w:val="22"/>
                <w:lang w:val="da-DK"/>
              </w:rPr>
              <w:t>Immunsystemet</w:t>
            </w:r>
          </w:p>
        </w:tc>
        <w:tc>
          <w:tcPr>
            <w:tcW w:w="1071" w:type="pct"/>
            <w:tcBorders>
              <w:top w:val="single" w:sz="4" w:space="0" w:color="auto"/>
              <w:left w:val="single" w:sz="4" w:space="0" w:color="auto"/>
              <w:bottom w:val="single" w:sz="4" w:space="0" w:color="auto"/>
              <w:right w:val="single" w:sz="4" w:space="0" w:color="auto"/>
            </w:tcBorders>
          </w:tcPr>
          <w:p w14:paraId="174A5FCA" w14:textId="77777777" w:rsidR="00150AB9" w:rsidRPr="00F852AA" w:rsidRDefault="00150AB9" w:rsidP="006F6EE5">
            <w:pPr>
              <w:rPr>
                <w:sz w:val="22"/>
                <w:szCs w:val="22"/>
                <w:lang w:val="da-DK"/>
              </w:rPr>
            </w:pPr>
          </w:p>
        </w:tc>
        <w:tc>
          <w:tcPr>
            <w:tcW w:w="948" w:type="pct"/>
            <w:tcBorders>
              <w:top w:val="single" w:sz="4" w:space="0" w:color="auto"/>
              <w:left w:val="single" w:sz="4" w:space="0" w:color="auto"/>
              <w:bottom w:val="single" w:sz="4" w:space="0" w:color="auto"/>
              <w:right w:val="single" w:sz="4" w:space="0" w:color="auto"/>
            </w:tcBorders>
            <w:hideMark/>
          </w:tcPr>
          <w:p w14:paraId="1B4994AA" w14:textId="77777777" w:rsidR="00150AB9" w:rsidRPr="00F852AA" w:rsidRDefault="00150AB9" w:rsidP="006F6EE5">
            <w:pPr>
              <w:rPr>
                <w:sz w:val="22"/>
                <w:szCs w:val="22"/>
                <w:lang w:val="da-DK"/>
              </w:rPr>
            </w:pPr>
            <w:proofErr w:type="spellStart"/>
            <w:r w:rsidRPr="00F852AA">
              <w:rPr>
                <w:sz w:val="22"/>
                <w:szCs w:val="22"/>
                <w:lang w:val="da-DK"/>
              </w:rPr>
              <w:t>anafylaktisk</w:t>
            </w:r>
            <w:proofErr w:type="spellEnd"/>
            <w:r w:rsidRPr="00F852AA">
              <w:rPr>
                <w:sz w:val="22"/>
                <w:szCs w:val="22"/>
                <w:lang w:val="da-DK"/>
              </w:rPr>
              <w:t xml:space="preserve"> / </w:t>
            </w:r>
            <w:proofErr w:type="spellStart"/>
            <w:r w:rsidRPr="00F852AA">
              <w:rPr>
                <w:sz w:val="22"/>
                <w:szCs w:val="22"/>
                <w:lang w:val="da-DK"/>
              </w:rPr>
              <w:t>anafylaktoid</w:t>
            </w:r>
            <w:proofErr w:type="spellEnd"/>
            <w:r w:rsidRPr="00F852AA">
              <w:rPr>
                <w:sz w:val="22"/>
                <w:szCs w:val="22"/>
                <w:lang w:val="da-DK"/>
              </w:rPr>
              <w:t xml:space="preserve"> reaktion (se pkt. 4.4), overfølsomhed</w:t>
            </w:r>
          </w:p>
        </w:tc>
        <w:tc>
          <w:tcPr>
            <w:tcW w:w="898" w:type="pct"/>
            <w:tcBorders>
              <w:top w:val="single" w:sz="4" w:space="0" w:color="auto"/>
              <w:left w:val="single" w:sz="4" w:space="0" w:color="auto"/>
              <w:bottom w:val="single" w:sz="4" w:space="0" w:color="auto"/>
              <w:right w:val="single" w:sz="4" w:space="0" w:color="auto"/>
            </w:tcBorders>
          </w:tcPr>
          <w:p w14:paraId="70D8EDC9" w14:textId="77777777" w:rsidR="00150AB9" w:rsidRPr="00F852AA" w:rsidRDefault="00150AB9" w:rsidP="006F6EE5">
            <w:pPr>
              <w:rPr>
                <w:sz w:val="22"/>
                <w:szCs w:val="22"/>
                <w:lang w:val="da-DK"/>
              </w:rPr>
            </w:pPr>
          </w:p>
        </w:tc>
        <w:tc>
          <w:tcPr>
            <w:tcW w:w="1001" w:type="pct"/>
            <w:tcBorders>
              <w:top w:val="single" w:sz="4" w:space="0" w:color="auto"/>
              <w:left w:val="single" w:sz="4" w:space="0" w:color="auto"/>
              <w:bottom w:val="single" w:sz="4" w:space="0" w:color="auto"/>
              <w:right w:val="single" w:sz="4" w:space="0" w:color="auto"/>
            </w:tcBorders>
            <w:hideMark/>
          </w:tcPr>
          <w:p w14:paraId="4D27226B" w14:textId="77777777" w:rsidR="00150AB9" w:rsidRPr="00F852AA" w:rsidRDefault="00150AB9" w:rsidP="006F6EE5">
            <w:pPr>
              <w:rPr>
                <w:sz w:val="22"/>
                <w:szCs w:val="22"/>
                <w:lang w:val="da-DK"/>
              </w:rPr>
            </w:pPr>
            <w:proofErr w:type="spellStart"/>
            <w:r w:rsidRPr="00F852AA">
              <w:rPr>
                <w:sz w:val="22"/>
                <w:szCs w:val="22"/>
                <w:lang w:val="da-DK"/>
              </w:rPr>
              <w:t>anafylaktisk</w:t>
            </w:r>
            <w:proofErr w:type="spellEnd"/>
            <w:r w:rsidRPr="00F852AA">
              <w:rPr>
                <w:sz w:val="22"/>
                <w:szCs w:val="22"/>
                <w:lang w:val="da-DK"/>
              </w:rPr>
              <w:t xml:space="preserve"> og </w:t>
            </w:r>
            <w:proofErr w:type="spellStart"/>
            <w:r w:rsidRPr="00F852AA">
              <w:rPr>
                <w:sz w:val="22"/>
                <w:szCs w:val="22"/>
                <w:lang w:val="da-DK"/>
              </w:rPr>
              <w:t>anafylaktoidt</w:t>
            </w:r>
            <w:proofErr w:type="spellEnd"/>
            <w:r w:rsidRPr="00F852AA">
              <w:rPr>
                <w:sz w:val="22"/>
                <w:szCs w:val="22"/>
                <w:lang w:val="da-DK"/>
              </w:rPr>
              <w:t xml:space="preserve"> </w:t>
            </w:r>
            <w:proofErr w:type="spellStart"/>
            <w:r w:rsidRPr="00F852AA">
              <w:rPr>
                <w:sz w:val="22"/>
                <w:szCs w:val="22"/>
                <w:lang w:val="da-DK"/>
              </w:rPr>
              <w:t>shock</w:t>
            </w:r>
            <w:proofErr w:type="spellEnd"/>
            <w:r w:rsidRPr="00F852AA">
              <w:rPr>
                <w:sz w:val="22"/>
                <w:szCs w:val="22"/>
                <w:lang w:val="da-DK"/>
              </w:rPr>
              <w:t xml:space="preserve"> (se pkt. 4.4)</w:t>
            </w:r>
          </w:p>
        </w:tc>
      </w:tr>
      <w:tr w:rsidR="00150AB9" w:rsidRPr="00F852AA" w14:paraId="40717F32" w14:textId="77777777" w:rsidTr="006F6EE5">
        <w:tc>
          <w:tcPr>
            <w:tcW w:w="1082" w:type="pct"/>
            <w:tcBorders>
              <w:top w:val="single" w:sz="4" w:space="0" w:color="auto"/>
              <w:left w:val="single" w:sz="4" w:space="0" w:color="auto"/>
              <w:bottom w:val="single" w:sz="4" w:space="0" w:color="auto"/>
              <w:right w:val="single" w:sz="4" w:space="0" w:color="auto"/>
            </w:tcBorders>
            <w:hideMark/>
          </w:tcPr>
          <w:p w14:paraId="139E6873" w14:textId="77777777" w:rsidR="00150AB9" w:rsidRPr="00F852AA" w:rsidRDefault="00150AB9" w:rsidP="006F6EE5">
            <w:pPr>
              <w:rPr>
                <w:sz w:val="22"/>
                <w:szCs w:val="22"/>
                <w:lang w:val="da-DK"/>
              </w:rPr>
            </w:pPr>
            <w:r w:rsidRPr="00F852AA">
              <w:rPr>
                <w:sz w:val="22"/>
                <w:szCs w:val="22"/>
                <w:lang w:val="da-DK"/>
              </w:rPr>
              <w:t>Det endokrine system</w:t>
            </w:r>
          </w:p>
        </w:tc>
        <w:tc>
          <w:tcPr>
            <w:tcW w:w="1071" w:type="pct"/>
            <w:tcBorders>
              <w:top w:val="single" w:sz="4" w:space="0" w:color="auto"/>
              <w:left w:val="single" w:sz="4" w:space="0" w:color="auto"/>
              <w:bottom w:val="single" w:sz="4" w:space="0" w:color="auto"/>
              <w:right w:val="single" w:sz="4" w:space="0" w:color="auto"/>
            </w:tcBorders>
          </w:tcPr>
          <w:p w14:paraId="3F19B1DC" w14:textId="77777777" w:rsidR="00150AB9" w:rsidRPr="00F852AA" w:rsidRDefault="00150AB9" w:rsidP="006F6EE5">
            <w:pPr>
              <w:rPr>
                <w:sz w:val="22"/>
                <w:szCs w:val="22"/>
                <w:lang w:val="da-DK"/>
              </w:rPr>
            </w:pPr>
          </w:p>
        </w:tc>
        <w:tc>
          <w:tcPr>
            <w:tcW w:w="948" w:type="pct"/>
            <w:tcBorders>
              <w:top w:val="single" w:sz="4" w:space="0" w:color="auto"/>
              <w:left w:val="single" w:sz="4" w:space="0" w:color="auto"/>
              <w:bottom w:val="single" w:sz="4" w:space="0" w:color="auto"/>
              <w:right w:val="single" w:sz="4" w:space="0" w:color="auto"/>
            </w:tcBorders>
            <w:hideMark/>
          </w:tcPr>
          <w:p w14:paraId="57C91398" w14:textId="77777777" w:rsidR="00150AB9" w:rsidRPr="00F852AA" w:rsidRDefault="00150AB9" w:rsidP="006F6EE5">
            <w:pPr>
              <w:rPr>
                <w:sz w:val="22"/>
                <w:szCs w:val="22"/>
                <w:lang w:val="da-DK"/>
              </w:rPr>
            </w:pPr>
            <w:proofErr w:type="spellStart"/>
            <w:r w:rsidRPr="00F852AA">
              <w:rPr>
                <w:sz w:val="22"/>
                <w:szCs w:val="22"/>
                <w:lang w:val="da-DK"/>
              </w:rPr>
              <w:t>hyperhidrose</w:t>
            </w:r>
            <w:proofErr w:type="spellEnd"/>
          </w:p>
        </w:tc>
        <w:tc>
          <w:tcPr>
            <w:tcW w:w="898" w:type="pct"/>
            <w:tcBorders>
              <w:top w:val="single" w:sz="4" w:space="0" w:color="auto"/>
              <w:left w:val="single" w:sz="4" w:space="0" w:color="auto"/>
              <w:bottom w:val="single" w:sz="4" w:space="0" w:color="auto"/>
              <w:right w:val="single" w:sz="4" w:space="0" w:color="auto"/>
            </w:tcBorders>
          </w:tcPr>
          <w:p w14:paraId="5801A3C8" w14:textId="77777777" w:rsidR="00150AB9" w:rsidRPr="00F852AA" w:rsidRDefault="00150AB9" w:rsidP="006F6EE5">
            <w:pPr>
              <w:rPr>
                <w:sz w:val="22"/>
                <w:szCs w:val="22"/>
                <w:lang w:val="da-DK"/>
              </w:rPr>
            </w:pPr>
          </w:p>
        </w:tc>
        <w:tc>
          <w:tcPr>
            <w:tcW w:w="1001" w:type="pct"/>
            <w:tcBorders>
              <w:top w:val="single" w:sz="4" w:space="0" w:color="auto"/>
              <w:left w:val="single" w:sz="4" w:space="0" w:color="auto"/>
              <w:bottom w:val="single" w:sz="4" w:space="0" w:color="auto"/>
              <w:right w:val="single" w:sz="4" w:space="0" w:color="auto"/>
            </w:tcBorders>
          </w:tcPr>
          <w:p w14:paraId="51F50945" w14:textId="77777777" w:rsidR="00150AB9" w:rsidRPr="00F852AA" w:rsidRDefault="00150AB9" w:rsidP="006F6EE5">
            <w:pPr>
              <w:rPr>
                <w:sz w:val="22"/>
                <w:szCs w:val="22"/>
                <w:lang w:val="da-DK"/>
              </w:rPr>
            </w:pPr>
          </w:p>
        </w:tc>
      </w:tr>
      <w:tr w:rsidR="00150AB9" w:rsidRPr="00F852AA" w14:paraId="66491F0D" w14:textId="77777777" w:rsidTr="006F6EE5">
        <w:tc>
          <w:tcPr>
            <w:tcW w:w="1082" w:type="pct"/>
            <w:tcBorders>
              <w:top w:val="single" w:sz="4" w:space="0" w:color="auto"/>
              <w:left w:val="single" w:sz="4" w:space="0" w:color="auto"/>
              <w:bottom w:val="single" w:sz="4" w:space="0" w:color="auto"/>
              <w:right w:val="single" w:sz="4" w:space="0" w:color="auto"/>
            </w:tcBorders>
            <w:hideMark/>
          </w:tcPr>
          <w:p w14:paraId="5D2986EA" w14:textId="77777777" w:rsidR="00150AB9" w:rsidRPr="00F852AA" w:rsidRDefault="00150AB9" w:rsidP="006F6EE5">
            <w:pPr>
              <w:rPr>
                <w:sz w:val="22"/>
                <w:szCs w:val="22"/>
                <w:lang w:val="da-DK"/>
              </w:rPr>
            </w:pPr>
            <w:r w:rsidRPr="00F852AA">
              <w:rPr>
                <w:sz w:val="22"/>
                <w:szCs w:val="22"/>
                <w:lang w:val="da-DK"/>
              </w:rPr>
              <w:t>Metabolisme og ernæring</w:t>
            </w:r>
          </w:p>
        </w:tc>
        <w:tc>
          <w:tcPr>
            <w:tcW w:w="1071" w:type="pct"/>
            <w:tcBorders>
              <w:top w:val="single" w:sz="4" w:space="0" w:color="auto"/>
              <w:left w:val="single" w:sz="4" w:space="0" w:color="auto"/>
              <w:bottom w:val="single" w:sz="4" w:space="0" w:color="auto"/>
              <w:right w:val="single" w:sz="4" w:space="0" w:color="auto"/>
            </w:tcBorders>
            <w:hideMark/>
          </w:tcPr>
          <w:p w14:paraId="1D29B27A" w14:textId="77777777" w:rsidR="00150AB9" w:rsidRPr="00F852AA" w:rsidRDefault="00150AB9" w:rsidP="006F6EE5">
            <w:pPr>
              <w:rPr>
                <w:sz w:val="22"/>
                <w:szCs w:val="22"/>
                <w:lang w:val="da-DK"/>
              </w:rPr>
            </w:pPr>
            <w:proofErr w:type="spellStart"/>
            <w:r w:rsidRPr="00F852AA">
              <w:rPr>
                <w:sz w:val="22"/>
                <w:szCs w:val="22"/>
                <w:lang w:val="da-DK"/>
              </w:rPr>
              <w:t>hypokaliæmi</w:t>
            </w:r>
            <w:proofErr w:type="spellEnd"/>
            <w:r w:rsidRPr="00F852AA">
              <w:rPr>
                <w:sz w:val="22"/>
                <w:szCs w:val="22"/>
                <w:lang w:val="da-DK"/>
              </w:rPr>
              <w:t xml:space="preserve">, </w:t>
            </w:r>
            <w:proofErr w:type="spellStart"/>
            <w:r w:rsidRPr="00F852AA">
              <w:rPr>
                <w:sz w:val="22"/>
                <w:szCs w:val="22"/>
                <w:lang w:val="da-DK"/>
              </w:rPr>
              <w:t>hypomagnesiæmi</w:t>
            </w:r>
            <w:proofErr w:type="spellEnd"/>
            <w:r w:rsidRPr="00F852AA">
              <w:rPr>
                <w:sz w:val="22"/>
                <w:szCs w:val="22"/>
                <w:lang w:val="da-DK"/>
              </w:rPr>
              <w:t xml:space="preserve">, </w:t>
            </w:r>
            <w:proofErr w:type="spellStart"/>
            <w:r w:rsidRPr="00F852AA">
              <w:rPr>
                <w:sz w:val="22"/>
                <w:szCs w:val="22"/>
                <w:lang w:val="da-DK"/>
              </w:rPr>
              <w:t>hypocalcæmi</w:t>
            </w:r>
            <w:proofErr w:type="spellEnd"/>
          </w:p>
        </w:tc>
        <w:tc>
          <w:tcPr>
            <w:tcW w:w="948" w:type="pct"/>
            <w:tcBorders>
              <w:top w:val="single" w:sz="4" w:space="0" w:color="auto"/>
              <w:left w:val="single" w:sz="4" w:space="0" w:color="auto"/>
              <w:bottom w:val="single" w:sz="4" w:space="0" w:color="auto"/>
              <w:right w:val="single" w:sz="4" w:space="0" w:color="auto"/>
            </w:tcBorders>
            <w:hideMark/>
          </w:tcPr>
          <w:p w14:paraId="63B0A246" w14:textId="77777777" w:rsidR="00150AB9" w:rsidRPr="00F852AA" w:rsidRDefault="00150AB9" w:rsidP="006F6EE5">
            <w:pPr>
              <w:rPr>
                <w:sz w:val="22"/>
                <w:szCs w:val="22"/>
                <w:lang w:val="da-DK"/>
              </w:rPr>
            </w:pPr>
            <w:proofErr w:type="spellStart"/>
            <w:r w:rsidRPr="00F852AA">
              <w:rPr>
                <w:sz w:val="22"/>
                <w:szCs w:val="22"/>
                <w:lang w:val="da-DK"/>
              </w:rPr>
              <w:t>hyponatriæmi</w:t>
            </w:r>
            <w:proofErr w:type="spellEnd"/>
            <w:r w:rsidRPr="00F852AA">
              <w:rPr>
                <w:sz w:val="22"/>
                <w:szCs w:val="22"/>
                <w:lang w:val="da-DK"/>
              </w:rPr>
              <w:t xml:space="preserve">, </w:t>
            </w:r>
            <w:proofErr w:type="spellStart"/>
            <w:r w:rsidRPr="00F852AA">
              <w:rPr>
                <w:sz w:val="22"/>
                <w:szCs w:val="22"/>
                <w:lang w:val="da-DK"/>
              </w:rPr>
              <w:t>hyperkaliæmi</w:t>
            </w:r>
            <w:proofErr w:type="spellEnd"/>
            <w:r w:rsidRPr="00F852AA">
              <w:rPr>
                <w:sz w:val="22"/>
                <w:szCs w:val="22"/>
                <w:lang w:val="da-DK"/>
              </w:rPr>
              <w:t xml:space="preserve">, </w:t>
            </w:r>
            <w:proofErr w:type="spellStart"/>
            <w:r w:rsidRPr="00F852AA">
              <w:rPr>
                <w:sz w:val="22"/>
                <w:szCs w:val="22"/>
                <w:lang w:val="da-DK"/>
              </w:rPr>
              <w:t>hypofosfatæmi</w:t>
            </w:r>
            <w:proofErr w:type="spellEnd"/>
            <w:r w:rsidRPr="00F852AA">
              <w:rPr>
                <w:sz w:val="22"/>
                <w:szCs w:val="22"/>
                <w:lang w:val="da-DK"/>
              </w:rPr>
              <w:t>, anoreksi</w:t>
            </w:r>
          </w:p>
        </w:tc>
        <w:tc>
          <w:tcPr>
            <w:tcW w:w="898" w:type="pct"/>
            <w:tcBorders>
              <w:top w:val="single" w:sz="4" w:space="0" w:color="auto"/>
              <w:left w:val="single" w:sz="4" w:space="0" w:color="auto"/>
              <w:bottom w:val="single" w:sz="4" w:space="0" w:color="auto"/>
              <w:right w:val="single" w:sz="4" w:space="0" w:color="auto"/>
            </w:tcBorders>
          </w:tcPr>
          <w:p w14:paraId="0A4E3ADD" w14:textId="77777777" w:rsidR="00150AB9" w:rsidRPr="00F852AA" w:rsidRDefault="00150AB9" w:rsidP="006F6EE5">
            <w:pPr>
              <w:rPr>
                <w:sz w:val="22"/>
                <w:szCs w:val="22"/>
                <w:lang w:val="da-DK"/>
              </w:rPr>
            </w:pPr>
          </w:p>
        </w:tc>
        <w:tc>
          <w:tcPr>
            <w:tcW w:w="1001" w:type="pct"/>
            <w:tcBorders>
              <w:top w:val="single" w:sz="4" w:space="0" w:color="auto"/>
              <w:left w:val="single" w:sz="4" w:space="0" w:color="auto"/>
              <w:bottom w:val="single" w:sz="4" w:space="0" w:color="auto"/>
              <w:right w:val="single" w:sz="4" w:space="0" w:color="auto"/>
            </w:tcBorders>
          </w:tcPr>
          <w:p w14:paraId="7634E52E" w14:textId="77777777" w:rsidR="00150AB9" w:rsidRPr="00F852AA" w:rsidRDefault="00150AB9" w:rsidP="006F6EE5">
            <w:pPr>
              <w:rPr>
                <w:sz w:val="22"/>
                <w:szCs w:val="22"/>
                <w:lang w:val="da-DK"/>
              </w:rPr>
            </w:pPr>
          </w:p>
        </w:tc>
      </w:tr>
      <w:tr w:rsidR="00150AB9" w:rsidRPr="00F852AA" w14:paraId="55A5E196" w14:textId="77777777" w:rsidTr="006F6EE5">
        <w:tc>
          <w:tcPr>
            <w:tcW w:w="1082" w:type="pct"/>
            <w:tcBorders>
              <w:top w:val="single" w:sz="4" w:space="0" w:color="auto"/>
              <w:left w:val="single" w:sz="4" w:space="0" w:color="auto"/>
              <w:bottom w:val="single" w:sz="4" w:space="0" w:color="auto"/>
              <w:right w:val="single" w:sz="4" w:space="0" w:color="auto"/>
            </w:tcBorders>
            <w:hideMark/>
          </w:tcPr>
          <w:p w14:paraId="1E3933FB" w14:textId="77777777" w:rsidR="00150AB9" w:rsidRPr="00F852AA" w:rsidRDefault="00150AB9" w:rsidP="006F6EE5">
            <w:pPr>
              <w:rPr>
                <w:sz w:val="22"/>
                <w:szCs w:val="22"/>
                <w:lang w:val="da-DK"/>
              </w:rPr>
            </w:pPr>
            <w:r w:rsidRPr="00F852AA">
              <w:rPr>
                <w:sz w:val="22"/>
                <w:szCs w:val="22"/>
                <w:lang w:val="da-DK"/>
              </w:rPr>
              <w:t>Psykiske forstyrrelser</w:t>
            </w:r>
          </w:p>
        </w:tc>
        <w:tc>
          <w:tcPr>
            <w:tcW w:w="1071" w:type="pct"/>
            <w:tcBorders>
              <w:top w:val="single" w:sz="4" w:space="0" w:color="auto"/>
              <w:left w:val="single" w:sz="4" w:space="0" w:color="auto"/>
              <w:bottom w:val="single" w:sz="4" w:space="0" w:color="auto"/>
              <w:right w:val="single" w:sz="4" w:space="0" w:color="auto"/>
            </w:tcBorders>
          </w:tcPr>
          <w:p w14:paraId="138BDA23" w14:textId="77777777" w:rsidR="00150AB9" w:rsidRPr="00F852AA" w:rsidRDefault="00150AB9" w:rsidP="006F6EE5">
            <w:pPr>
              <w:rPr>
                <w:sz w:val="22"/>
                <w:szCs w:val="22"/>
                <w:lang w:val="da-DK"/>
              </w:rPr>
            </w:pPr>
          </w:p>
        </w:tc>
        <w:tc>
          <w:tcPr>
            <w:tcW w:w="948" w:type="pct"/>
            <w:tcBorders>
              <w:top w:val="single" w:sz="4" w:space="0" w:color="auto"/>
              <w:left w:val="single" w:sz="4" w:space="0" w:color="auto"/>
              <w:bottom w:val="single" w:sz="4" w:space="0" w:color="auto"/>
              <w:right w:val="single" w:sz="4" w:space="0" w:color="auto"/>
            </w:tcBorders>
            <w:hideMark/>
          </w:tcPr>
          <w:p w14:paraId="773C1BCC" w14:textId="77777777" w:rsidR="00150AB9" w:rsidRPr="00F852AA" w:rsidRDefault="00150AB9" w:rsidP="006F6EE5">
            <w:pPr>
              <w:rPr>
                <w:sz w:val="22"/>
                <w:szCs w:val="22"/>
                <w:lang w:val="da-DK"/>
              </w:rPr>
            </w:pPr>
            <w:proofErr w:type="spellStart"/>
            <w:r w:rsidRPr="00F852AA">
              <w:rPr>
                <w:sz w:val="22"/>
                <w:szCs w:val="22"/>
                <w:lang w:val="da-DK"/>
              </w:rPr>
              <w:t>insomni</w:t>
            </w:r>
            <w:proofErr w:type="spellEnd"/>
            <w:r w:rsidRPr="00F852AA">
              <w:rPr>
                <w:sz w:val="22"/>
                <w:szCs w:val="22"/>
                <w:lang w:val="da-DK"/>
              </w:rPr>
              <w:t>, angst, forvirring</w:t>
            </w:r>
          </w:p>
        </w:tc>
        <w:tc>
          <w:tcPr>
            <w:tcW w:w="898" w:type="pct"/>
            <w:tcBorders>
              <w:top w:val="single" w:sz="4" w:space="0" w:color="auto"/>
              <w:left w:val="single" w:sz="4" w:space="0" w:color="auto"/>
              <w:bottom w:val="single" w:sz="4" w:space="0" w:color="auto"/>
              <w:right w:val="single" w:sz="4" w:space="0" w:color="auto"/>
            </w:tcBorders>
          </w:tcPr>
          <w:p w14:paraId="58034BF5" w14:textId="77777777" w:rsidR="00150AB9" w:rsidRPr="00F852AA" w:rsidRDefault="00150AB9" w:rsidP="006F6EE5">
            <w:pPr>
              <w:rPr>
                <w:sz w:val="22"/>
                <w:szCs w:val="22"/>
                <w:lang w:val="da-DK"/>
              </w:rPr>
            </w:pPr>
          </w:p>
        </w:tc>
        <w:tc>
          <w:tcPr>
            <w:tcW w:w="1001" w:type="pct"/>
            <w:tcBorders>
              <w:top w:val="single" w:sz="4" w:space="0" w:color="auto"/>
              <w:left w:val="single" w:sz="4" w:space="0" w:color="auto"/>
              <w:bottom w:val="single" w:sz="4" w:space="0" w:color="auto"/>
              <w:right w:val="single" w:sz="4" w:space="0" w:color="auto"/>
            </w:tcBorders>
          </w:tcPr>
          <w:p w14:paraId="1185D0BF" w14:textId="77777777" w:rsidR="00150AB9" w:rsidRPr="00F852AA" w:rsidRDefault="00150AB9" w:rsidP="006F6EE5">
            <w:pPr>
              <w:rPr>
                <w:sz w:val="22"/>
                <w:szCs w:val="22"/>
                <w:lang w:val="da-DK"/>
              </w:rPr>
            </w:pPr>
          </w:p>
        </w:tc>
      </w:tr>
      <w:tr w:rsidR="00150AB9" w:rsidRPr="00F852AA" w14:paraId="1DC9FD34" w14:textId="77777777" w:rsidTr="006F6EE5">
        <w:tc>
          <w:tcPr>
            <w:tcW w:w="1082" w:type="pct"/>
            <w:tcBorders>
              <w:top w:val="single" w:sz="4" w:space="0" w:color="auto"/>
              <w:left w:val="single" w:sz="4" w:space="0" w:color="auto"/>
              <w:bottom w:val="single" w:sz="4" w:space="0" w:color="auto"/>
              <w:right w:val="single" w:sz="4" w:space="0" w:color="auto"/>
            </w:tcBorders>
            <w:hideMark/>
          </w:tcPr>
          <w:p w14:paraId="57CC2C28" w14:textId="77777777" w:rsidR="00150AB9" w:rsidRPr="00F852AA" w:rsidRDefault="00150AB9" w:rsidP="006F6EE5">
            <w:pPr>
              <w:rPr>
                <w:sz w:val="22"/>
                <w:szCs w:val="22"/>
                <w:lang w:val="da-DK"/>
              </w:rPr>
            </w:pPr>
            <w:r w:rsidRPr="00F852AA">
              <w:rPr>
                <w:sz w:val="22"/>
                <w:szCs w:val="22"/>
                <w:lang w:val="da-DK"/>
              </w:rPr>
              <w:t>Nervesystemet</w:t>
            </w:r>
          </w:p>
        </w:tc>
        <w:tc>
          <w:tcPr>
            <w:tcW w:w="1071" w:type="pct"/>
            <w:tcBorders>
              <w:top w:val="single" w:sz="4" w:space="0" w:color="auto"/>
              <w:left w:val="single" w:sz="4" w:space="0" w:color="auto"/>
              <w:bottom w:val="single" w:sz="4" w:space="0" w:color="auto"/>
              <w:right w:val="single" w:sz="4" w:space="0" w:color="auto"/>
            </w:tcBorders>
            <w:hideMark/>
          </w:tcPr>
          <w:p w14:paraId="4EC6CD40" w14:textId="77777777" w:rsidR="00150AB9" w:rsidRPr="00F852AA" w:rsidRDefault="00150AB9" w:rsidP="006F6EE5">
            <w:pPr>
              <w:rPr>
                <w:sz w:val="22"/>
                <w:szCs w:val="22"/>
                <w:lang w:val="da-DK"/>
              </w:rPr>
            </w:pPr>
            <w:r w:rsidRPr="00F852AA">
              <w:rPr>
                <w:sz w:val="22"/>
                <w:szCs w:val="22"/>
                <w:lang w:val="da-DK"/>
              </w:rPr>
              <w:t>hovedpine</w:t>
            </w:r>
          </w:p>
        </w:tc>
        <w:tc>
          <w:tcPr>
            <w:tcW w:w="948" w:type="pct"/>
            <w:tcBorders>
              <w:top w:val="single" w:sz="4" w:space="0" w:color="auto"/>
              <w:left w:val="single" w:sz="4" w:space="0" w:color="auto"/>
              <w:bottom w:val="single" w:sz="4" w:space="0" w:color="auto"/>
              <w:right w:val="single" w:sz="4" w:space="0" w:color="auto"/>
            </w:tcBorders>
            <w:hideMark/>
          </w:tcPr>
          <w:p w14:paraId="3BBCFE78" w14:textId="77777777" w:rsidR="00150AB9" w:rsidRPr="00F852AA" w:rsidRDefault="00150AB9" w:rsidP="006F6EE5">
            <w:pPr>
              <w:rPr>
                <w:sz w:val="22"/>
                <w:szCs w:val="22"/>
                <w:lang w:val="da-DK"/>
              </w:rPr>
            </w:pPr>
            <w:r w:rsidRPr="00F852AA">
              <w:rPr>
                <w:sz w:val="22"/>
                <w:szCs w:val="22"/>
                <w:lang w:val="da-DK"/>
              </w:rPr>
              <w:t xml:space="preserve">døsighed, </w:t>
            </w:r>
            <w:proofErr w:type="spellStart"/>
            <w:r w:rsidRPr="00F852AA">
              <w:rPr>
                <w:sz w:val="22"/>
                <w:szCs w:val="22"/>
                <w:lang w:val="da-DK"/>
              </w:rPr>
              <w:t>tremor</w:t>
            </w:r>
            <w:proofErr w:type="spellEnd"/>
            <w:r w:rsidRPr="00F852AA">
              <w:rPr>
                <w:sz w:val="22"/>
                <w:szCs w:val="22"/>
                <w:lang w:val="da-DK"/>
              </w:rPr>
              <w:t>, svimmelhed, ændret smagssans</w:t>
            </w:r>
          </w:p>
        </w:tc>
        <w:tc>
          <w:tcPr>
            <w:tcW w:w="898" w:type="pct"/>
            <w:tcBorders>
              <w:top w:val="single" w:sz="4" w:space="0" w:color="auto"/>
              <w:left w:val="single" w:sz="4" w:space="0" w:color="auto"/>
              <w:bottom w:val="single" w:sz="4" w:space="0" w:color="auto"/>
              <w:right w:val="single" w:sz="4" w:space="0" w:color="auto"/>
            </w:tcBorders>
          </w:tcPr>
          <w:p w14:paraId="5C7B22D9" w14:textId="77777777" w:rsidR="00150AB9" w:rsidRPr="00F852AA" w:rsidRDefault="00150AB9" w:rsidP="006F6EE5">
            <w:pPr>
              <w:rPr>
                <w:sz w:val="22"/>
                <w:szCs w:val="22"/>
                <w:lang w:val="da-DK"/>
              </w:rPr>
            </w:pPr>
          </w:p>
        </w:tc>
        <w:tc>
          <w:tcPr>
            <w:tcW w:w="1001" w:type="pct"/>
            <w:tcBorders>
              <w:top w:val="single" w:sz="4" w:space="0" w:color="auto"/>
              <w:left w:val="single" w:sz="4" w:space="0" w:color="auto"/>
              <w:bottom w:val="single" w:sz="4" w:space="0" w:color="auto"/>
              <w:right w:val="single" w:sz="4" w:space="0" w:color="auto"/>
            </w:tcBorders>
          </w:tcPr>
          <w:p w14:paraId="7AF4D631" w14:textId="77777777" w:rsidR="00150AB9" w:rsidRPr="00F852AA" w:rsidRDefault="00150AB9" w:rsidP="006F6EE5">
            <w:pPr>
              <w:rPr>
                <w:sz w:val="22"/>
                <w:szCs w:val="22"/>
                <w:lang w:val="da-DK"/>
              </w:rPr>
            </w:pPr>
          </w:p>
        </w:tc>
      </w:tr>
      <w:tr w:rsidR="00150AB9" w:rsidRPr="00F852AA" w14:paraId="5D208B37" w14:textId="77777777" w:rsidTr="006F6EE5">
        <w:tc>
          <w:tcPr>
            <w:tcW w:w="1082" w:type="pct"/>
            <w:tcBorders>
              <w:top w:val="single" w:sz="4" w:space="0" w:color="auto"/>
              <w:left w:val="single" w:sz="4" w:space="0" w:color="auto"/>
              <w:bottom w:val="single" w:sz="4" w:space="0" w:color="auto"/>
              <w:right w:val="single" w:sz="4" w:space="0" w:color="auto"/>
            </w:tcBorders>
            <w:hideMark/>
          </w:tcPr>
          <w:p w14:paraId="690380D7" w14:textId="77777777" w:rsidR="00150AB9" w:rsidRPr="00F852AA" w:rsidRDefault="00150AB9" w:rsidP="006F6EE5">
            <w:pPr>
              <w:rPr>
                <w:sz w:val="22"/>
                <w:szCs w:val="22"/>
                <w:lang w:val="da-DK"/>
              </w:rPr>
            </w:pPr>
            <w:r w:rsidRPr="00F852AA">
              <w:rPr>
                <w:sz w:val="22"/>
                <w:szCs w:val="22"/>
                <w:lang w:val="da-DK"/>
              </w:rPr>
              <w:t>Hjerte</w:t>
            </w:r>
          </w:p>
        </w:tc>
        <w:tc>
          <w:tcPr>
            <w:tcW w:w="1071" w:type="pct"/>
            <w:tcBorders>
              <w:top w:val="single" w:sz="4" w:space="0" w:color="auto"/>
              <w:left w:val="single" w:sz="4" w:space="0" w:color="auto"/>
              <w:bottom w:val="single" w:sz="4" w:space="0" w:color="auto"/>
              <w:right w:val="single" w:sz="4" w:space="0" w:color="auto"/>
            </w:tcBorders>
          </w:tcPr>
          <w:p w14:paraId="4672A6D9" w14:textId="77777777" w:rsidR="00150AB9" w:rsidRPr="00F852AA" w:rsidRDefault="00150AB9" w:rsidP="006F6EE5">
            <w:pPr>
              <w:rPr>
                <w:sz w:val="22"/>
                <w:szCs w:val="22"/>
                <w:lang w:val="da-DK"/>
              </w:rPr>
            </w:pPr>
          </w:p>
        </w:tc>
        <w:tc>
          <w:tcPr>
            <w:tcW w:w="948" w:type="pct"/>
            <w:tcBorders>
              <w:top w:val="single" w:sz="4" w:space="0" w:color="auto"/>
              <w:left w:val="single" w:sz="4" w:space="0" w:color="auto"/>
              <w:bottom w:val="single" w:sz="4" w:space="0" w:color="auto"/>
              <w:right w:val="single" w:sz="4" w:space="0" w:color="auto"/>
            </w:tcBorders>
            <w:hideMark/>
          </w:tcPr>
          <w:p w14:paraId="3777BE81" w14:textId="77777777" w:rsidR="00150AB9" w:rsidRPr="00F852AA" w:rsidRDefault="00150AB9" w:rsidP="006F6EE5">
            <w:pPr>
              <w:rPr>
                <w:sz w:val="22"/>
                <w:szCs w:val="22"/>
                <w:lang w:val="da-DK"/>
              </w:rPr>
            </w:pPr>
            <w:proofErr w:type="spellStart"/>
            <w:r w:rsidRPr="00F852AA">
              <w:rPr>
                <w:sz w:val="22"/>
                <w:szCs w:val="22"/>
                <w:lang w:val="da-DK"/>
              </w:rPr>
              <w:t>takykardi</w:t>
            </w:r>
            <w:proofErr w:type="spellEnd"/>
            <w:r w:rsidRPr="00F852AA">
              <w:rPr>
                <w:sz w:val="22"/>
                <w:szCs w:val="22"/>
                <w:lang w:val="da-DK"/>
              </w:rPr>
              <w:t xml:space="preserve">, </w:t>
            </w:r>
            <w:proofErr w:type="spellStart"/>
            <w:r w:rsidRPr="00F852AA">
              <w:rPr>
                <w:sz w:val="22"/>
                <w:szCs w:val="22"/>
                <w:lang w:val="da-DK"/>
              </w:rPr>
              <w:t>palpitationer</w:t>
            </w:r>
            <w:proofErr w:type="spellEnd"/>
            <w:r w:rsidRPr="00F852AA">
              <w:rPr>
                <w:sz w:val="22"/>
                <w:szCs w:val="22"/>
                <w:lang w:val="da-DK"/>
              </w:rPr>
              <w:t>, bradykardi</w:t>
            </w:r>
          </w:p>
        </w:tc>
        <w:tc>
          <w:tcPr>
            <w:tcW w:w="898" w:type="pct"/>
            <w:tcBorders>
              <w:top w:val="single" w:sz="4" w:space="0" w:color="auto"/>
              <w:left w:val="single" w:sz="4" w:space="0" w:color="auto"/>
              <w:bottom w:val="single" w:sz="4" w:space="0" w:color="auto"/>
              <w:right w:val="single" w:sz="4" w:space="0" w:color="auto"/>
            </w:tcBorders>
          </w:tcPr>
          <w:p w14:paraId="07D43561" w14:textId="77777777" w:rsidR="00150AB9" w:rsidRPr="00F852AA" w:rsidRDefault="00150AB9" w:rsidP="006F6EE5">
            <w:pPr>
              <w:rPr>
                <w:sz w:val="22"/>
                <w:szCs w:val="22"/>
                <w:lang w:val="da-DK"/>
              </w:rPr>
            </w:pPr>
          </w:p>
        </w:tc>
        <w:tc>
          <w:tcPr>
            <w:tcW w:w="1001" w:type="pct"/>
            <w:tcBorders>
              <w:top w:val="single" w:sz="4" w:space="0" w:color="auto"/>
              <w:left w:val="single" w:sz="4" w:space="0" w:color="auto"/>
              <w:bottom w:val="single" w:sz="4" w:space="0" w:color="auto"/>
              <w:right w:val="single" w:sz="4" w:space="0" w:color="auto"/>
            </w:tcBorders>
          </w:tcPr>
          <w:p w14:paraId="73108DE5" w14:textId="77777777" w:rsidR="00150AB9" w:rsidRPr="00F852AA" w:rsidRDefault="00150AB9" w:rsidP="006F6EE5">
            <w:pPr>
              <w:rPr>
                <w:sz w:val="22"/>
                <w:szCs w:val="22"/>
                <w:lang w:val="da-DK"/>
              </w:rPr>
            </w:pPr>
          </w:p>
        </w:tc>
      </w:tr>
      <w:tr w:rsidR="00150AB9" w:rsidRPr="00F852AA" w14:paraId="5FE2CD83" w14:textId="77777777" w:rsidTr="006F6EE5">
        <w:tc>
          <w:tcPr>
            <w:tcW w:w="1082" w:type="pct"/>
            <w:tcBorders>
              <w:top w:val="single" w:sz="4" w:space="0" w:color="auto"/>
              <w:left w:val="single" w:sz="4" w:space="0" w:color="auto"/>
              <w:bottom w:val="single" w:sz="4" w:space="0" w:color="auto"/>
              <w:right w:val="single" w:sz="4" w:space="0" w:color="auto"/>
            </w:tcBorders>
            <w:hideMark/>
          </w:tcPr>
          <w:p w14:paraId="4489B517" w14:textId="77777777" w:rsidR="00150AB9" w:rsidRPr="00F852AA" w:rsidRDefault="00150AB9" w:rsidP="006F6EE5">
            <w:pPr>
              <w:rPr>
                <w:sz w:val="22"/>
                <w:szCs w:val="22"/>
                <w:lang w:val="da-DK"/>
              </w:rPr>
            </w:pPr>
            <w:proofErr w:type="spellStart"/>
            <w:r w:rsidRPr="00F852AA">
              <w:rPr>
                <w:sz w:val="22"/>
                <w:szCs w:val="22"/>
                <w:lang w:val="da-DK"/>
              </w:rPr>
              <w:t>Vaskulære</w:t>
            </w:r>
            <w:proofErr w:type="spellEnd"/>
            <w:r w:rsidRPr="00F852AA">
              <w:rPr>
                <w:sz w:val="22"/>
                <w:szCs w:val="22"/>
                <w:lang w:val="da-DK"/>
              </w:rPr>
              <w:t xml:space="preserve"> sygdomme</w:t>
            </w:r>
          </w:p>
        </w:tc>
        <w:tc>
          <w:tcPr>
            <w:tcW w:w="1071" w:type="pct"/>
            <w:tcBorders>
              <w:top w:val="single" w:sz="4" w:space="0" w:color="auto"/>
              <w:left w:val="single" w:sz="4" w:space="0" w:color="auto"/>
              <w:bottom w:val="single" w:sz="4" w:space="0" w:color="auto"/>
              <w:right w:val="single" w:sz="4" w:space="0" w:color="auto"/>
            </w:tcBorders>
            <w:hideMark/>
          </w:tcPr>
          <w:p w14:paraId="71F513B6" w14:textId="77777777" w:rsidR="00150AB9" w:rsidRPr="00F852AA" w:rsidRDefault="00150AB9" w:rsidP="006F6EE5">
            <w:pPr>
              <w:rPr>
                <w:sz w:val="22"/>
                <w:szCs w:val="22"/>
                <w:lang w:val="da-DK"/>
              </w:rPr>
            </w:pPr>
            <w:proofErr w:type="spellStart"/>
            <w:r w:rsidRPr="00F852AA">
              <w:rPr>
                <w:sz w:val="22"/>
                <w:szCs w:val="22"/>
                <w:lang w:val="da-DK"/>
              </w:rPr>
              <w:t>flebit</w:t>
            </w:r>
            <w:proofErr w:type="spellEnd"/>
          </w:p>
        </w:tc>
        <w:tc>
          <w:tcPr>
            <w:tcW w:w="948" w:type="pct"/>
            <w:tcBorders>
              <w:top w:val="single" w:sz="4" w:space="0" w:color="auto"/>
              <w:left w:val="single" w:sz="4" w:space="0" w:color="auto"/>
              <w:bottom w:val="single" w:sz="4" w:space="0" w:color="auto"/>
              <w:right w:val="single" w:sz="4" w:space="0" w:color="auto"/>
            </w:tcBorders>
            <w:hideMark/>
          </w:tcPr>
          <w:p w14:paraId="62021D95" w14:textId="77777777" w:rsidR="00150AB9" w:rsidRPr="00F852AA" w:rsidRDefault="00150AB9" w:rsidP="006F6EE5">
            <w:pPr>
              <w:rPr>
                <w:sz w:val="22"/>
                <w:szCs w:val="22"/>
                <w:lang w:val="da-DK"/>
              </w:rPr>
            </w:pPr>
            <w:r w:rsidRPr="00F852AA">
              <w:rPr>
                <w:sz w:val="22"/>
                <w:szCs w:val="22"/>
                <w:lang w:val="da-DK"/>
              </w:rPr>
              <w:t>hypotension, hypertension, rødmen</w:t>
            </w:r>
          </w:p>
        </w:tc>
        <w:tc>
          <w:tcPr>
            <w:tcW w:w="898" w:type="pct"/>
            <w:tcBorders>
              <w:top w:val="single" w:sz="4" w:space="0" w:color="auto"/>
              <w:left w:val="single" w:sz="4" w:space="0" w:color="auto"/>
              <w:bottom w:val="single" w:sz="4" w:space="0" w:color="auto"/>
              <w:right w:val="single" w:sz="4" w:space="0" w:color="auto"/>
            </w:tcBorders>
          </w:tcPr>
          <w:p w14:paraId="0635CFB3" w14:textId="77777777" w:rsidR="00150AB9" w:rsidRPr="00F852AA" w:rsidRDefault="00150AB9" w:rsidP="006F6EE5">
            <w:pPr>
              <w:rPr>
                <w:sz w:val="22"/>
                <w:szCs w:val="22"/>
                <w:lang w:val="da-DK"/>
              </w:rPr>
            </w:pPr>
          </w:p>
        </w:tc>
        <w:tc>
          <w:tcPr>
            <w:tcW w:w="1001" w:type="pct"/>
            <w:tcBorders>
              <w:top w:val="single" w:sz="4" w:space="0" w:color="auto"/>
              <w:left w:val="single" w:sz="4" w:space="0" w:color="auto"/>
              <w:bottom w:val="single" w:sz="4" w:space="0" w:color="auto"/>
              <w:right w:val="single" w:sz="4" w:space="0" w:color="auto"/>
            </w:tcBorders>
            <w:hideMark/>
          </w:tcPr>
          <w:p w14:paraId="596DAF16" w14:textId="77777777" w:rsidR="00150AB9" w:rsidRPr="00F852AA" w:rsidRDefault="00150AB9" w:rsidP="006F6EE5">
            <w:pPr>
              <w:rPr>
                <w:sz w:val="22"/>
                <w:szCs w:val="22"/>
                <w:lang w:val="da-DK"/>
              </w:rPr>
            </w:pPr>
            <w:proofErr w:type="spellStart"/>
            <w:r w:rsidRPr="00F852AA">
              <w:rPr>
                <w:sz w:val="22"/>
                <w:szCs w:val="22"/>
                <w:lang w:val="da-DK"/>
              </w:rPr>
              <w:t>shock</w:t>
            </w:r>
            <w:proofErr w:type="spellEnd"/>
          </w:p>
        </w:tc>
      </w:tr>
      <w:tr w:rsidR="00150AB9" w:rsidRPr="00F852AA" w14:paraId="342C4FAD" w14:textId="77777777" w:rsidTr="006F6EE5">
        <w:tc>
          <w:tcPr>
            <w:tcW w:w="1082" w:type="pct"/>
            <w:tcBorders>
              <w:top w:val="single" w:sz="4" w:space="0" w:color="auto"/>
              <w:left w:val="single" w:sz="4" w:space="0" w:color="auto"/>
              <w:bottom w:val="single" w:sz="4" w:space="0" w:color="auto"/>
              <w:right w:val="single" w:sz="4" w:space="0" w:color="auto"/>
            </w:tcBorders>
            <w:hideMark/>
          </w:tcPr>
          <w:p w14:paraId="1AF2F15C" w14:textId="77777777" w:rsidR="00150AB9" w:rsidRPr="00F852AA" w:rsidRDefault="00150AB9" w:rsidP="006F6EE5">
            <w:pPr>
              <w:rPr>
                <w:sz w:val="22"/>
                <w:szCs w:val="22"/>
                <w:lang w:val="da-DK"/>
              </w:rPr>
            </w:pPr>
            <w:r w:rsidRPr="00F852AA">
              <w:rPr>
                <w:sz w:val="22"/>
                <w:szCs w:val="22"/>
                <w:lang w:val="da-DK"/>
              </w:rPr>
              <w:t xml:space="preserve">Luftveje, thorax og </w:t>
            </w:r>
            <w:proofErr w:type="spellStart"/>
            <w:r w:rsidRPr="00F852AA">
              <w:rPr>
                <w:sz w:val="22"/>
                <w:szCs w:val="22"/>
                <w:lang w:val="da-DK"/>
              </w:rPr>
              <w:t>mediastinum</w:t>
            </w:r>
            <w:proofErr w:type="spellEnd"/>
          </w:p>
        </w:tc>
        <w:tc>
          <w:tcPr>
            <w:tcW w:w="1071" w:type="pct"/>
            <w:tcBorders>
              <w:top w:val="single" w:sz="4" w:space="0" w:color="auto"/>
              <w:left w:val="single" w:sz="4" w:space="0" w:color="auto"/>
              <w:bottom w:val="single" w:sz="4" w:space="0" w:color="auto"/>
              <w:right w:val="single" w:sz="4" w:space="0" w:color="auto"/>
            </w:tcBorders>
          </w:tcPr>
          <w:p w14:paraId="752216EF" w14:textId="77777777" w:rsidR="00150AB9" w:rsidRPr="00F852AA" w:rsidRDefault="00150AB9" w:rsidP="006F6EE5">
            <w:pPr>
              <w:rPr>
                <w:sz w:val="22"/>
                <w:szCs w:val="22"/>
                <w:lang w:val="da-DK"/>
              </w:rPr>
            </w:pPr>
          </w:p>
        </w:tc>
        <w:tc>
          <w:tcPr>
            <w:tcW w:w="948" w:type="pct"/>
            <w:tcBorders>
              <w:top w:val="single" w:sz="4" w:space="0" w:color="auto"/>
              <w:left w:val="single" w:sz="4" w:space="0" w:color="auto"/>
              <w:bottom w:val="single" w:sz="4" w:space="0" w:color="auto"/>
              <w:right w:val="single" w:sz="4" w:space="0" w:color="auto"/>
            </w:tcBorders>
            <w:hideMark/>
          </w:tcPr>
          <w:p w14:paraId="37D6B7BA" w14:textId="77777777" w:rsidR="00150AB9" w:rsidRPr="00F852AA" w:rsidRDefault="00150AB9" w:rsidP="006F6EE5">
            <w:pPr>
              <w:rPr>
                <w:sz w:val="22"/>
                <w:szCs w:val="22"/>
                <w:lang w:val="da-DK"/>
              </w:rPr>
            </w:pPr>
            <w:r w:rsidRPr="00F852AA">
              <w:rPr>
                <w:sz w:val="22"/>
                <w:szCs w:val="22"/>
                <w:lang w:val="da-DK"/>
              </w:rPr>
              <w:t>dyspnø</w:t>
            </w:r>
          </w:p>
        </w:tc>
        <w:tc>
          <w:tcPr>
            <w:tcW w:w="898" w:type="pct"/>
            <w:tcBorders>
              <w:top w:val="single" w:sz="4" w:space="0" w:color="auto"/>
              <w:left w:val="single" w:sz="4" w:space="0" w:color="auto"/>
              <w:bottom w:val="single" w:sz="4" w:space="0" w:color="auto"/>
              <w:right w:val="single" w:sz="4" w:space="0" w:color="auto"/>
            </w:tcBorders>
          </w:tcPr>
          <w:p w14:paraId="4353196F" w14:textId="77777777" w:rsidR="00150AB9" w:rsidRPr="00F852AA" w:rsidRDefault="00150AB9" w:rsidP="006F6EE5">
            <w:pPr>
              <w:rPr>
                <w:sz w:val="22"/>
                <w:szCs w:val="22"/>
                <w:lang w:val="da-DK"/>
              </w:rPr>
            </w:pPr>
          </w:p>
        </w:tc>
        <w:tc>
          <w:tcPr>
            <w:tcW w:w="1001" w:type="pct"/>
            <w:tcBorders>
              <w:top w:val="single" w:sz="4" w:space="0" w:color="auto"/>
              <w:left w:val="single" w:sz="4" w:space="0" w:color="auto"/>
              <w:bottom w:val="single" w:sz="4" w:space="0" w:color="auto"/>
              <w:right w:val="single" w:sz="4" w:space="0" w:color="auto"/>
            </w:tcBorders>
          </w:tcPr>
          <w:p w14:paraId="6603A05F" w14:textId="77777777" w:rsidR="00150AB9" w:rsidRPr="00F852AA" w:rsidRDefault="00150AB9" w:rsidP="006F6EE5">
            <w:pPr>
              <w:rPr>
                <w:sz w:val="22"/>
                <w:szCs w:val="22"/>
                <w:lang w:val="da-DK"/>
              </w:rPr>
            </w:pPr>
          </w:p>
        </w:tc>
      </w:tr>
      <w:tr w:rsidR="00150AB9" w:rsidRPr="00F852AA" w14:paraId="26752B3E" w14:textId="77777777" w:rsidTr="006F6EE5">
        <w:tc>
          <w:tcPr>
            <w:tcW w:w="1082" w:type="pct"/>
            <w:tcBorders>
              <w:top w:val="single" w:sz="4" w:space="0" w:color="auto"/>
              <w:left w:val="single" w:sz="4" w:space="0" w:color="auto"/>
              <w:bottom w:val="single" w:sz="4" w:space="0" w:color="auto"/>
              <w:right w:val="single" w:sz="4" w:space="0" w:color="auto"/>
            </w:tcBorders>
            <w:hideMark/>
          </w:tcPr>
          <w:p w14:paraId="22F980A8" w14:textId="77777777" w:rsidR="00150AB9" w:rsidRPr="00F852AA" w:rsidRDefault="00150AB9" w:rsidP="006F6EE5">
            <w:pPr>
              <w:rPr>
                <w:sz w:val="22"/>
                <w:szCs w:val="22"/>
                <w:lang w:val="da-DK"/>
              </w:rPr>
            </w:pPr>
            <w:r w:rsidRPr="00F852AA">
              <w:rPr>
                <w:sz w:val="22"/>
                <w:szCs w:val="22"/>
                <w:lang w:val="da-DK"/>
              </w:rPr>
              <w:t>Mave-tarm-kanalen</w:t>
            </w:r>
          </w:p>
        </w:tc>
        <w:tc>
          <w:tcPr>
            <w:tcW w:w="1071" w:type="pct"/>
            <w:tcBorders>
              <w:top w:val="single" w:sz="4" w:space="0" w:color="auto"/>
              <w:left w:val="single" w:sz="4" w:space="0" w:color="auto"/>
              <w:bottom w:val="single" w:sz="4" w:space="0" w:color="auto"/>
              <w:right w:val="single" w:sz="4" w:space="0" w:color="auto"/>
            </w:tcBorders>
            <w:hideMark/>
          </w:tcPr>
          <w:p w14:paraId="58C97A95" w14:textId="77777777" w:rsidR="00150AB9" w:rsidRPr="00F852AA" w:rsidRDefault="00150AB9" w:rsidP="006F6EE5">
            <w:pPr>
              <w:rPr>
                <w:sz w:val="22"/>
                <w:szCs w:val="22"/>
                <w:lang w:val="da-DK"/>
              </w:rPr>
            </w:pPr>
            <w:r w:rsidRPr="00F852AA">
              <w:rPr>
                <w:sz w:val="22"/>
                <w:szCs w:val="22"/>
                <w:lang w:val="da-DK"/>
              </w:rPr>
              <w:t xml:space="preserve">kvalme, opkastning, diarré, </w:t>
            </w:r>
            <w:proofErr w:type="spellStart"/>
            <w:r w:rsidRPr="00F852AA">
              <w:rPr>
                <w:sz w:val="22"/>
                <w:szCs w:val="22"/>
                <w:lang w:val="da-DK"/>
              </w:rPr>
              <w:t>abdominalsmerter</w:t>
            </w:r>
            <w:proofErr w:type="spellEnd"/>
          </w:p>
        </w:tc>
        <w:tc>
          <w:tcPr>
            <w:tcW w:w="948" w:type="pct"/>
            <w:tcBorders>
              <w:top w:val="single" w:sz="4" w:space="0" w:color="auto"/>
              <w:left w:val="single" w:sz="4" w:space="0" w:color="auto"/>
              <w:bottom w:val="single" w:sz="4" w:space="0" w:color="auto"/>
              <w:right w:val="single" w:sz="4" w:space="0" w:color="auto"/>
            </w:tcBorders>
            <w:hideMark/>
          </w:tcPr>
          <w:p w14:paraId="44707FE5" w14:textId="77777777" w:rsidR="00150AB9" w:rsidRPr="00F852AA" w:rsidRDefault="00150AB9" w:rsidP="006F6EE5">
            <w:pPr>
              <w:rPr>
                <w:sz w:val="22"/>
                <w:szCs w:val="22"/>
                <w:lang w:val="da-DK"/>
              </w:rPr>
            </w:pPr>
            <w:r w:rsidRPr="00F852AA">
              <w:rPr>
                <w:sz w:val="22"/>
                <w:szCs w:val="22"/>
                <w:lang w:val="da-DK"/>
              </w:rPr>
              <w:t>dyspepsi, obstipation</w:t>
            </w:r>
          </w:p>
        </w:tc>
        <w:tc>
          <w:tcPr>
            <w:tcW w:w="898" w:type="pct"/>
            <w:tcBorders>
              <w:top w:val="single" w:sz="4" w:space="0" w:color="auto"/>
              <w:left w:val="single" w:sz="4" w:space="0" w:color="auto"/>
              <w:bottom w:val="single" w:sz="4" w:space="0" w:color="auto"/>
              <w:right w:val="single" w:sz="4" w:space="0" w:color="auto"/>
            </w:tcBorders>
          </w:tcPr>
          <w:p w14:paraId="2AE73EE6" w14:textId="77777777" w:rsidR="00150AB9" w:rsidRPr="00F852AA" w:rsidRDefault="00150AB9" w:rsidP="006F6EE5">
            <w:pPr>
              <w:rPr>
                <w:sz w:val="22"/>
                <w:szCs w:val="22"/>
                <w:lang w:val="da-DK"/>
              </w:rPr>
            </w:pPr>
          </w:p>
        </w:tc>
        <w:tc>
          <w:tcPr>
            <w:tcW w:w="1001" w:type="pct"/>
            <w:tcBorders>
              <w:top w:val="single" w:sz="4" w:space="0" w:color="auto"/>
              <w:left w:val="single" w:sz="4" w:space="0" w:color="auto"/>
              <w:bottom w:val="single" w:sz="4" w:space="0" w:color="auto"/>
              <w:right w:val="single" w:sz="4" w:space="0" w:color="auto"/>
            </w:tcBorders>
          </w:tcPr>
          <w:p w14:paraId="0464B4B5" w14:textId="77777777" w:rsidR="00150AB9" w:rsidRPr="00F852AA" w:rsidRDefault="00150AB9" w:rsidP="006F6EE5">
            <w:pPr>
              <w:rPr>
                <w:sz w:val="22"/>
                <w:szCs w:val="22"/>
                <w:lang w:val="da-DK"/>
              </w:rPr>
            </w:pPr>
          </w:p>
        </w:tc>
      </w:tr>
      <w:tr w:rsidR="00150AB9" w:rsidRPr="00F852AA" w14:paraId="4302F731" w14:textId="77777777" w:rsidTr="006F6EE5">
        <w:tc>
          <w:tcPr>
            <w:tcW w:w="1082" w:type="pct"/>
            <w:tcBorders>
              <w:top w:val="single" w:sz="4" w:space="0" w:color="auto"/>
              <w:left w:val="single" w:sz="4" w:space="0" w:color="auto"/>
              <w:bottom w:val="single" w:sz="4" w:space="0" w:color="auto"/>
              <w:right w:val="single" w:sz="4" w:space="0" w:color="auto"/>
            </w:tcBorders>
            <w:hideMark/>
          </w:tcPr>
          <w:p w14:paraId="7808B8CB" w14:textId="77777777" w:rsidR="00150AB9" w:rsidRPr="00F852AA" w:rsidRDefault="00150AB9" w:rsidP="006F6EE5">
            <w:pPr>
              <w:rPr>
                <w:sz w:val="22"/>
                <w:szCs w:val="22"/>
                <w:lang w:val="da-DK"/>
              </w:rPr>
            </w:pPr>
            <w:r w:rsidRPr="00F852AA">
              <w:rPr>
                <w:sz w:val="22"/>
                <w:szCs w:val="22"/>
                <w:lang w:val="da-DK"/>
              </w:rPr>
              <w:t>Lever og galdeveje</w:t>
            </w:r>
          </w:p>
        </w:tc>
        <w:tc>
          <w:tcPr>
            <w:tcW w:w="1071" w:type="pct"/>
            <w:tcBorders>
              <w:top w:val="single" w:sz="4" w:space="0" w:color="auto"/>
              <w:left w:val="single" w:sz="4" w:space="0" w:color="auto"/>
              <w:bottom w:val="single" w:sz="4" w:space="0" w:color="auto"/>
              <w:right w:val="single" w:sz="4" w:space="0" w:color="auto"/>
            </w:tcBorders>
            <w:hideMark/>
          </w:tcPr>
          <w:p w14:paraId="01A64AB2" w14:textId="77777777" w:rsidR="00150AB9" w:rsidRPr="00F852AA" w:rsidRDefault="00150AB9" w:rsidP="006F6EE5">
            <w:pPr>
              <w:rPr>
                <w:sz w:val="22"/>
                <w:szCs w:val="22"/>
                <w:lang w:val="da-DK"/>
              </w:rPr>
            </w:pPr>
            <w:r w:rsidRPr="00F852AA">
              <w:rPr>
                <w:sz w:val="22"/>
                <w:szCs w:val="22"/>
                <w:lang w:val="da-DK"/>
              </w:rPr>
              <w:t xml:space="preserve">forhøjet alkalisk fosfatase i blodet, forhøjet </w:t>
            </w:r>
            <w:proofErr w:type="spellStart"/>
            <w:r w:rsidRPr="00F852AA">
              <w:rPr>
                <w:sz w:val="22"/>
                <w:szCs w:val="22"/>
                <w:lang w:val="da-DK"/>
              </w:rPr>
              <w:t>aspartatamino</w:t>
            </w:r>
            <w:proofErr w:type="spellEnd"/>
            <w:r w:rsidRPr="00F852AA">
              <w:rPr>
                <w:sz w:val="22"/>
                <w:szCs w:val="22"/>
                <w:lang w:val="da-DK"/>
              </w:rPr>
              <w:t xml:space="preserve">-transferase (ASAT), forhøjet </w:t>
            </w:r>
            <w:proofErr w:type="spellStart"/>
            <w:r w:rsidRPr="00F852AA">
              <w:rPr>
                <w:sz w:val="22"/>
                <w:szCs w:val="22"/>
                <w:lang w:val="da-DK"/>
              </w:rPr>
              <w:t>alaninamino</w:t>
            </w:r>
            <w:proofErr w:type="spellEnd"/>
            <w:r w:rsidRPr="00F852AA">
              <w:rPr>
                <w:sz w:val="22"/>
                <w:szCs w:val="22"/>
                <w:lang w:val="da-DK"/>
              </w:rPr>
              <w:t xml:space="preserve">-transferase (ALAT), forhøjet blodbilirubin (inklusive </w:t>
            </w:r>
            <w:proofErr w:type="spellStart"/>
            <w:r w:rsidRPr="00F852AA">
              <w:rPr>
                <w:sz w:val="22"/>
                <w:szCs w:val="22"/>
                <w:lang w:val="da-DK"/>
              </w:rPr>
              <w:t>hyperbilirubinæmi</w:t>
            </w:r>
            <w:proofErr w:type="spellEnd"/>
            <w:r w:rsidRPr="00F852AA">
              <w:rPr>
                <w:sz w:val="22"/>
                <w:szCs w:val="22"/>
                <w:lang w:val="da-DK"/>
              </w:rPr>
              <w:t>), unormal leverfunktionstest</w:t>
            </w:r>
          </w:p>
        </w:tc>
        <w:tc>
          <w:tcPr>
            <w:tcW w:w="948" w:type="pct"/>
            <w:tcBorders>
              <w:top w:val="single" w:sz="4" w:space="0" w:color="auto"/>
              <w:left w:val="single" w:sz="4" w:space="0" w:color="auto"/>
              <w:bottom w:val="single" w:sz="4" w:space="0" w:color="auto"/>
              <w:right w:val="single" w:sz="4" w:space="0" w:color="auto"/>
            </w:tcBorders>
            <w:hideMark/>
          </w:tcPr>
          <w:p w14:paraId="638C4762" w14:textId="77777777" w:rsidR="00150AB9" w:rsidRPr="00F852AA" w:rsidRDefault="00150AB9" w:rsidP="006F6EE5">
            <w:pPr>
              <w:rPr>
                <w:sz w:val="22"/>
                <w:szCs w:val="22"/>
                <w:lang w:val="da-DK"/>
              </w:rPr>
            </w:pPr>
            <w:r w:rsidRPr="00F852AA">
              <w:rPr>
                <w:sz w:val="22"/>
                <w:szCs w:val="22"/>
                <w:lang w:val="da-DK"/>
              </w:rPr>
              <w:t xml:space="preserve">leversvigt (se pkt. 4.4), forhøjet </w:t>
            </w:r>
            <w:proofErr w:type="spellStart"/>
            <w:r w:rsidRPr="00F852AA">
              <w:rPr>
                <w:sz w:val="22"/>
                <w:szCs w:val="22"/>
                <w:lang w:val="da-DK"/>
              </w:rPr>
              <w:t>gammaglutamyl</w:t>
            </w:r>
            <w:proofErr w:type="spellEnd"/>
            <w:r w:rsidRPr="00F852AA">
              <w:rPr>
                <w:sz w:val="22"/>
                <w:szCs w:val="22"/>
                <w:lang w:val="da-DK"/>
              </w:rPr>
              <w:t>-transferase,</w:t>
            </w:r>
          </w:p>
          <w:p w14:paraId="179B67B3" w14:textId="77777777" w:rsidR="00150AB9" w:rsidRPr="00F852AA" w:rsidRDefault="00150AB9" w:rsidP="006F6EE5">
            <w:pPr>
              <w:rPr>
                <w:sz w:val="22"/>
                <w:szCs w:val="22"/>
                <w:lang w:val="da-DK"/>
              </w:rPr>
            </w:pPr>
            <w:proofErr w:type="spellStart"/>
            <w:r w:rsidRPr="00F852AA">
              <w:rPr>
                <w:sz w:val="22"/>
                <w:szCs w:val="22"/>
                <w:lang w:val="da-DK"/>
              </w:rPr>
              <w:t>ikterus</w:t>
            </w:r>
            <w:proofErr w:type="spellEnd"/>
            <w:r w:rsidRPr="00F852AA">
              <w:rPr>
                <w:sz w:val="22"/>
                <w:szCs w:val="22"/>
                <w:lang w:val="da-DK"/>
              </w:rPr>
              <w:t xml:space="preserve">, </w:t>
            </w:r>
            <w:proofErr w:type="spellStart"/>
            <w:r w:rsidRPr="00F852AA">
              <w:rPr>
                <w:sz w:val="22"/>
                <w:szCs w:val="22"/>
                <w:lang w:val="da-DK"/>
              </w:rPr>
              <w:t>kolestase</w:t>
            </w:r>
            <w:proofErr w:type="spellEnd"/>
            <w:r w:rsidRPr="00F852AA">
              <w:rPr>
                <w:sz w:val="22"/>
                <w:szCs w:val="22"/>
                <w:lang w:val="da-DK"/>
              </w:rPr>
              <w:t xml:space="preserve">, </w:t>
            </w:r>
            <w:proofErr w:type="spellStart"/>
            <w:r w:rsidRPr="00F852AA">
              <w:rPr>
                <w:sz w:val="22"/>
                <w:szCs w:val="22"/>
                <w:lang w:val="da-DK"/>
              </w:rPr>
              <w:t>hepatomegali</w:t>
            </w:r>
            <w:proofErr w:type="spellEnd"/>
            <w:r w:rsidRPr="00F852AA">
              <w:rPr>
                <w:sz w:val="22"/>
                <w:szCs w:val="22"/>
                <w:lang w:val="da-DK"/>
              </w:rPr>
              <w:t>, hepatitis</w:t>
            </w:r>
          </w:p>
        </w:tc>
        <w:tc>
          <w:tcPr>
            <w:tcW w:w="898" w:type="pct"/>
            <w:tcBorders>
              <w:top w:val="single" w:sz="4" w:space="0" w:color="auto"/>
              <w:left w:val="single" w:sz="4" w:space="0" w:color="auto"/>
              <w:bottom w:val="single" w:sz="4" w:space="0" w:color="auto"/>
              <w:right w:val="single" w:sz="4" w:space="0" w:color="auto"/>
            </w:tcBorders>
          </w:tcPr>
          <w:p w14:paraId="3FE60EF3" w14:textId="77777777" w:rsidR="00150AB9" w:rsidRPr="00F852AA" w:rsidRDefault="00150AB9" w:rsidP="006F6EE5">
            <w:pPr>
              <w:rPr>
                <w:sz w:val="22"/>
                <w:szCs w:val="22"/>
                <w:lang w:val="da-DK"/>
              </w:rPr>
            </w:pPr>
          </w:p>
        </w:tc>
        <w:tc>
          <w:tcPr>
            <w:tcW w:w="1001" w:type="pct"/>
            <w:tcBorders>
              <w:top w:val="single" w:sz="4" w:space="0" w:color="auto"/>
              <w:left w:val="single" w:sz="4" w:space="0" w:color="auto"/>
              <w:bottom w:val="single" w:sz="4" w:space="0" w:color="auto"/>
              <w:right w:val="single" w:sz="4" w:space="0" w:color="auto"/>
            </w:tcBorders>
            <w:hideMark/>
          </w:tcPr>
          <w:p w14:paraId="77D860B5" w14:textId="77777777" w:rsidR="00150AB9" w:rsidRPr="00F852AA" w:rsidRDefault="00150AB9" w:rsidP="006F6EE5">
            <w:pPr>
              <w:rPr>
                <w:sz w:val="22"/>
                <w:szCs w:val="22"/>
                <w:lang w:val="da-DK"/>
              </w:rPr>
            </w:pPr>
            <w:proofErr w:type="spellStart"/>
            <w:r w:rsidRPr="00F852AA">
              <w:rPr>
                <w:sz w:val="22"/>
                <w:szCs w:val="22"/>
                <w:lang w:val="da-DK"/>
              </w:rPr>
              <w:t>hepatocellulær</w:t>
            </w:r>
            <w:proofErr w:type="spellEnd"/>
            <w:r w:rsidRPr="00F852AA">
              <w:rPr>
                <w:sz w:val="22"/>
                <w:szCs w:val="22"/>
                <w:lang w:val="da-DK"/>
              </w:rPr>
              <w:t xml:space="preserve"> beskadigelse, inklusive letale tilfælde (se pkt. 4.4)</w:t>
            </w:r>
          </w:p>
        </w:tc>
      </w:tr>
      <w:tr w:rsidR="00150AB9" w:rsidRPr="00F852AA" w14:paraId="2DAECAFD" w14:textId="77777777" w:rsidTr="006F6EE5">
        <w:tc>
          <w:tcPr>
            <w:tcW w:w="1082" w:type="pct"/>
            <w:tcBorders>
              <w:top w:val="single" w:sz="4" w:space="0" w:color="auto"/>
              <w:left w:val="single" w:sz="4" w:space="0" w:color="auto"/>
              <w:bottom w:val="single" w:sz="4" w:space="0" w:color="auto"/>
              <w:right w:val="single" w:sz="4" w:space="0" w:color="auto"/>
            </w:tcBorders>
            <w:hideMark/>
          </w:tcPr>
          <w:p w14:paraId="63D1DAF4" w14:textId="77777777" w:rsidR="00150AB9" w:rsidRPr="00F852AA" w:rsidRDefault="00150AB9" w:rsidP="006F6EE5">
            <w:pPr>
              <w:rPr>
                <w:sz w:val="22"/>
                <w:szCs w:val="22"/>
                <w:lang w:val="da-DK"/>
              </w:rPr>
            </w:pPr>
            <w:r w:rsidRPr="00F852AA">
              <w:rPr>
                <w:sz w:val="22"/>
                <w:szCs w:val="22"/>
                <w:lang w:val="da-DK"/>
              </w:rPr>
              <w:t>Hud og subkutane væv</w:t>
            </w:r>
          </w:p>
        </w:tc>
        <w:tc>
          <w:tcPr>
            <w:tcW w:w="1071" w:type="pct"/>
            <w:tcBorders>
              <w:top w:val="single" w:sz="4" w:space="0" w:color="auto"/>
              <w:left w:val="single" w:sz="4" w:space="0" w:color="auto"/>
              <w:bottom w:val="single" w:sz="4" w:space="0" w:color="auto"/>
              <w:right w:val="single" w:sz="4" w:space="0" w:color="auto"/>
            </w:tcBorders>
            <w:hideMark/>
          </w:tcPr>
          <w:p w14:paraId="04C9BFC6" w14:textId="77777777" w:rsidR="00150AB9" w:rsidRPr="00F852AA" w:rsidRDefault="00150AB9" w:rsidP="006F6EE5">
            <w:pPr>
              <w:rPr>
                <w:sz w:val="22"/>
                <w:szCs w:val="22"/>
                <w:lang w:val="da-DK"/>
              </w:rPr>
            </w:pPr>
            <w:r w:rsidRPr="00F852AA">
              <w:rPr>
                <w:sz w:val="22"/>
                <w:szCs w:val="22"/>
                <w:lang w:val="da-DK"/>
              </w:rPr>
              <w:t>udslæt</w:t>
            </w:r>
          </w:p>
        </w:tc>
        <w:tc>
          <w:tcPr>
            <w:tcW w:w="948" w:type="pct"/>
            <w:tcBorders>
              <w:top w:val="single" w:sz="4" w:space="0" w:color="auto"/>
              <w:left w:val="single" w:sz="4" w:space="0" w:color="auto"/>
              <w:bottom w:val="single" w:sz="4" w:space="0" w:color="auto"/>
              <w:right w:val="single" w:sz="4" w:space="0" w:color="auto"/>
            </w:tcBorders>
            <w:hideMark/>
          </w:tcPr>
          <w:p w14:paraId="4ACECF71" w14:textId="77777777" w:rsidR="00150AB9" w:rsidRPr="00F852AA" w:rsidRDefault="00150AB9" w:rsidP="006F6EE5">
            <w:pPr>
              <w:rPr>
                <w:sz w:val="22"/>
                <w:szCs w:val="22"/>
                <w:lang w:val="da-DK"/>
              </w:rPr>
            </w:pPr>
            <w:proofErr w:type="spellStart"/>
            <w:r w:rsidRPr="00F852AA">
              <w:rPr>
                <w:sz w:val="22"/>
                <w:szCs w:val="22"/>
                <w:lang w:val="da-DK"/>
              </w:rPr>
              <w:t>urticaria</w:t>
            </w:r>
            <w:proofErr w:type="spellEnd"/>
            <w:r w:rsidRPr="00F852AA">
              <w:rPr>
                <w:sz w:val="22"/>
                <w:szCs w:val="22"/>
                <w:lang w:val="da-DK"/>
              </w:rPr>
              <w:t xml:space="preserve">, </w:t>
            </w:r>
            <w:proofErr w:type="spellStart"/>
            <w:r w:rsidRPr="00F852AA">
              <w:rPr>
                <w:sz w:val="22"/>
                <w:szCs w:val="22"/>
                <w:lang w:val="da-DK"/>
              </w:rPr>
              <w:t>pruritus</w:t>
            </w:r>
            <w:proofErr w:type="spellEnd"/>
            <w:r w:rsidRPr="00F852AA">
              <w:rPr>
                <w:sz w:val="22"/>
                <w:szCs w:val="22"/>
                <w:lang w:val="da-DK"/>
              </w:rPr>
              <w:t xml:space="preserve">, </w:t>
            </w:r>
            <w:proofErr w:type="spellStart"/>
            <w:r w:rsidRPr="00F852AA">
              <w:rPr>
                <w:sz w:val="22"/>
                <w:szCs w:val="22"/>
                <w:lang w:val="da-DK"/>
              </w:rPr>
              <w:t>erytem</w:t>
            </w:r>
            <w:proofErr w:type="spellEnd"/>
          </w:p>
        </w:tc>
        <w:tc>
          <w:tcPr>
            <w:tcW w:w="898" w:type="pct"/>
            <w:tcBorders>
              <w:top w:val="single" w:sz="4" w:space="0" w:color="auto"/>
              <w:left w:val="single" w:sz="4" w:space="0" w:color="auto"/>
              <w:bottom w:val="single" w:sz="4" w:space="0" w:color="auto"/>
              <w:right w:val="single" w:sz="4" w:space="0" w:color="auto"/>
            </w:tcBorders>
          </w:tcPr>
          <w:p w14:paraId="7AF90AF2" w14:textId="77777777" w:rsidR="00150AB9" w:rsidRPr="00F852AA" w:rsidRDefault="00150AB9" w:rsidP="006F6EE5">
            <w:pPr>
              <w:rPr>
                <w:sz w:val="22"/>
                <w:szCs w:val="22"/>
                <w:lang w:val="da-DK"/>
              </w:rPr>
            </w:pPr>
          </w:p>
        </w:tc>
        <w:tc>
          <w:tcPr>
            <w:tcW w:w="1001" w:type="pct"/>
            <w:tcBorders>
              <w:top w:val="single" w:sz="4" w:space="0" w:color="auto"/>
              <w:left w:val="single" w:sz="4" w:space="0" w:color="auto"/>
              <w:bottom w:val="single" w:sz="4" w:space="0" w:color="auto"/>
              <w:right w:val="single" w:sz="4" w:space="0" w:color="auto"/>
            </w:tcBorders>
            <w:hideMark/>
          </w:tcPr>
          <w:p w14:paraId="3F25F181" w14:textId="77777777" w:rsidR="00150AB9" w:rsidRPr="00F852AA" w:rsidRDefault="00150AB9" w:rsidP="006F6EE5">
            <w:pPr>
              <w:rPr>
                <w:sz w:val="22"/>
                <w:szCs w:val="22"/>
                <w:lang w:val="da-DK"/>
              </w:rPr>
            </w:pPr>
            <w:r w:rsidRPr="00F852AA">
              <w:rPr>
                <w:sz w:val="22"/>
                <w:szCs w:val="22"/>
                <w:lang w:val="da-DK"/>
              </w:rPr>
              <w:t xml:space="preserve">toksisk hududslæt, </w:t>
            </w:r>
            <w:proofErr w:type="spellStart"/>
            <w:r w:rsidRPr="00F852AA">
              <w:rPr>
                <w:sz w:val="22"/>
                <w:szCs w:val="22"/>
                <w:lang w:val="da-DK"/>
              </w:rPr>
              <w:t>erythema</w:t>
            </w:r>
            <w:proofErr w:type="spellEnd"/>
            <w:r w:rsidRPr="00F852AA">
              <w:rPr>
                <w:sz w:val="22"/>
                <w:szCs w:val="22"/>
                <w:lang w:val="da-DK"/>
              </w:rPr>
              <w:t xml:space="preserve"> multiforme, Stevens-Johnsons syndrom, toksisk </w:t>
            </w:r>
            <w:proofErr w:type="spellStart"/>
            <w:r w:rsidRPr="00F852AA">
              <w:rPr>
                <w:sz w:val="22"/>
                <w:szCs w:val="22"/>
                <w:lang w:val="da-DK"/>
              </w:rPr>
              <w:t>epidermal</w:t>
            </w:r>
            <w:proofErr w:type="spellEnd"/>
            <w:r w:rsidRPr="00F852AA">
              <w:rPr>
                <w:sz w:val="22"/>
                <w:szCs w:val="22"/>
                <w:lang w:val="da-DK"/>
              </w:rPr>
              <w:t xml:space="preserve"> </w:t>
            </w:r>
            <w:proofErr w:type="spellStart"/>
            <w:r w:rsidRPr="00F852AA">
              <w:rPr>
                <w:sz w:val="22"/>
                <w:szCs w:val="22"/>
                <w:lang w:val="da-DK"/>
              </w:rPr>
              <w:t>nekrolyse</w:t>
            </w:r>
            <w:proofErr w:type="spellEnd"/>
            <w:r w:rsidRPr="00F852AA">
              <w:rPr>
                <w:sz w:val="22"/>
                <w:szCs w:val="22"/>
                <w:lang w:val="da-DK"/>
              </w:rPr>
              <w:t xml:space="preserve"> (se pkt. 4.4)</w:t>
            </w:r>
          </w:p>
        </w:tc>
      </w:tr>
      <w:tr w:rsidR="00150AB9" w:rsidRPr="00F852AA" w14:paraId="2372BC56" w14:textId="77777777" w:rsidTr="006F6EE5">
        <w:tc>
          <w:tcPr>
            <w:tcW w:w="1082" w:type="pct"/>
            <w:tcBorders>
              <w:top w:val="single" w:sz="4" w:space="0" w:color="auto"/>
              <w:left w:val="single" w:sz="4" w:space="0" w:color="auto"/>
              <w:bottom w:val="single" w:sz="4" w:space="0" w:color="auto"/>
              <w:right w:val="single" w:sz="4" w:space="0" w:color="auto"/>
            </w:tcBorders>
            <w:hideMark/>
          </w:tcPr>
          <w:p w14:paraId="25AE1FAF" w14:textId="77777777" w:rsidR="00150AB9" w:rsidRPr="00F852AA" w:rsidRDefault="00150AB9" w:rsidP="006F6EE5">
            <w:pPr>
              <w:rPr>
                <w:sz w:val="22"/>
                <w:szCs w:val="22"/>
                <w:lang w:val="da-DK"/>
              </w:rPr>
            </w:pPr>
            <w:r w:rsidRPr="00F852AA">
              <w:rPr>
                <w:sz w:val="22"/>
                <w:szCs w:val="22"/>
                <w:lang w:val="da-DK"/>
              </w:rPr>
              <w:t>Nyrer og urinveje</w:t>
            </w:r>
          </w:p>
        </w:tc>
        <w:tc>
          <w:tcPr>
            <w:tcW w:w="1071" w:type="pct"/>
            <w:tcBorders>
              <w:top w:val="single" w:sz="4" w:space="0" w:color="auto"/>
              <w:left w:val="single" w:sz="4" w:space="0" w:color="auto"/>
              <w:bottom w:val="single" w:sz="4" w:space="0" w:color="auto"/>
              <w:right w:val="single" w:sz="4" w:space="0" w:color="auto"/>
            </w:tcBorders>
          </w:tcPr>
          <w:p w14:paraId="240232E6" w14:textId="77777777" w:rsidR="00150AB9" w:rsidRPr="00F852AA" w:rsidRDefault="00150AB9" w:rsidP="006F6EE5">
            <w:pPr>
              <w:rPr>
                <w:sz w:val="22"/>
                <w:szCs w:val="22"/>
                <w:lang w:val="da-DK"/>
              </w:rPr>
            </w:pPr>
          </w:p>
        </w:tc>
        <w:tc>
          <w:tcPr>
            <w:tcW w:w="948" w:type="pct"/>
            <w:tcBorders>
              <w:top w:val="single" w:sz="4" w:space="0" w:color="auto"/>
              <w:left w:val="single" w:sz="4" w:space="0" w:color="auto"/>
              <w:bottom w:val="single" w:sz="4" w:space="0" w:color="auto"/>
              <w:right w:val="single" w:sz="4" w:space="0" w:color="auto"/>
            </w:tcBorders>
            <w:hideMark/>
          </w:tcPr>
          <w:p w14:paraId="03676F7C" w14:textId="77777777" w:rsidR="00150AB9" w:rsidRPr="00F852AA" w:rsidRDefault="00150AB9" w:rsidP="006F6EE5">
            <w:pPr>
              <w:rPr>
                <w:sz w:val="22"/>
                <w:szCs w:val="22"/>
                <w:lang w:val="da-DK"/>
              </w:rPr>
            </w:pPr>
            <w:r w:rsidRPr="00F852AA">
              <w:rPr>
                <w:sz w:val="22"/>
                <w:szCs w:val="22"/>
                <w:lang w:val="da-DK"/>
              </w:rPr>
              <w:t xml:space="preserve">forhøjet </w:t>
            </w:r>
            <w:proofErr w:type="spellStart"/>
            <w:r w:rsidRPr="00F852AA">
              <w:rPr>
                <w:sz w:val="22"/>
                <w:szCs w:val="22"/>
                <w:lang w:val="da-DK"/>
              </w:rPr>
              <w:t>serumkreatinin</w:t>
            </w:r>
            <w:proofErr w:type="spellEnd"/>
            <w:r w:rsidRPr="00F852AA">
              <w:rPr>
                <w:sz w:val="22"/>
                <w:szCs w:val="22"/>
                <w:lang w:val="da-DK"/>
              </w:rPr>
              <w:t>, forhøjet urinstof i blodet, forværret nyresvigt</w:t>
            </w:r>
          </w:p>
        </w:tc>
        <w:tc>
          <w:tcPr>
            <w:tcW w:w="898" w:type="pct"/>
            <w:tcBorders>
              <w:top w:val="single" w:sz="4" w:space="0" w:color="auto"/>
              <w:left w:val="single" w:sz="4" w:space="0" w:color="auto"/>
              <w:bottom w:val="single" w:sz="4" w:space="0" w:color="auto"/>
              <w:right w:val="single" w:sz="4" w:space="0" w:color="auto"/>
            </w:tcBorders>
          </w:tcPr>
          <w:p w14:paraId="322C97ED" w14:textId="77777777" w:rsidR="00150AB9" w:rsidRPr="00F852AA" w:rsidRDefault="00150AB9" w:rsidP="006F6EE5">
            <w:pPr>
              <w:rPr>
                <w:sz w:val="22"/>
                <w:szCs w:val="22"/>
                <w:lang w:val="da-DK"/>
              </w:rPr>
            </w:pPr>
          </w:p>
        </w:tc>
        <w:tc>
          <w:tcPr>
            <w:tcW w:w="1001" w:type="pct"/>
            <w:tcBorders>
              <w:top w:val="single" w:sz="4" w:space="0" w:color="auto"/>
              <w:left w:val="single" w:sz="4" w:space="0" w:color="auto"/>
              <w:bottom w:val="single" w:sz="4" w:space="0" w:color="auto"/>
              <w:right w:val="single" w:sz="4" w:space="0" w:color="auto"/>
            </w:tcBorders>
            <w:hideMark/>
          </w:tcPr>
          <w:p w14:paraId="73CD3B8E" w14:textId="77777777" w:rsidR="00150AB9" w:rsidRPr="00F852AA" w:rsidRDefault="00150AB9" w:rsidP="006F6EE5">
            <w:pPr>
              <w:rPr>
                <w:sz w:val="22"/>
                <w:szCs w:val="22"/>
                <w:lang w:val="da-DK"/>
              </w:rPr>
            </w:pPr>
            <w:r w:rsidRPr="00F852AA">
              <w:rPr>
                <w:sz w:val="22"/>
                <w:szCs w:val="22"/>
                <w:lang w:val="da-DK"/>
              </w:rPr>
              <w:t>nedsat nyrefunktion (se pkt. 4.4), akut nyresvigt</w:t>
            </w:r>
          </w:p>
        </w:tc>
      </w:tr>
      <w:tr w:rsidR="00150AB9" w:rsidRPr="00F852AA" w14:paraId="21E2D050" w14:textId="77777777" w:rsidTr="006F6EE5">
        <w:tc>
          <w:tcPr>
            <w:tcW w:w="1082" w:type="pct"/>
            <w:tcBorders>
              <w:top w:val="single" w:sz="4" w:space="0" w:color="auto"/>
              <w:left w:val="single" w:sz="4" w:space="0" w:color="auto"/>
              <w:bottom w:val="single" w:sz="4" w:space="0" w:color="auto"/>
              <w:right w:val="single" w:sz="4" w:space="0" w:color="auto"/>
            </w:tcBorders>
            <w:hideMark/>
          </w:tcPr>
          <w:p w14:paraId="03AFEB90" w14:textId="77777777" w:rsidR="00150AB9" w:rsidRPr="00F852AA" w:rsidRDefault="00150AB9" w:rsidP="006F6EE5">
            <w:pPr>
              <w:rPr>
                <w:sz w:val="22"/>
                <w:szCs w:val="22"/>
                <w:lang w:val="da-DK"/>
              </w:rPr>
            </w:pPr>
            <w:r w:rsidRPr="00F852AA">
              <w:rPr>
                <w:sz w:val="22"/>
                <w:szCs w:val="22"/>
                <w:lang w:val="da-DK"/>
              </w:rPr>
              <w:t>Almene symptomer og reaktioner på administrations-stedet</w:t>
            </w:r>
          </w:p>
        </w:tc>
        <w:tc>
          <w:tcPr>
            <w:tcW w:w="1071" w:type="pct"/>
            <w:tcBorders>
              <w:top w:val="single" w:sz="4" w:space="0" w:color="auto"/>
              <w:left w:val="single" w:sz="4" w:space="0" w:color="auto"/>
              <w:bottom w:val="single" w:sz="4" w:space="0" w:color="auto"/>
              <w:right w:val="single" w:sz="4" w:space="0" w:color="auto"/>
            </w:tcBorders>
            <w:hideMark/>
          </w:tcPr>
          <w:p w14:paraId="0EECAF42" w14:textId="77777777" w:rsidR="00150AB9" w:rsidRPr="00F852AA" w:rsidRDefault="00150AB9" w:rsidP="006F6EE5">
            <w:pPr>
              <w:rPr>
                <w:sz w:val="22"/>
                <w:szCs w:val="22"/>
                <w:lang w:val="da-DK"/>
              </w:rPr>
            </w:pPr>
            <w:proofErr w:type="spellStart"/>
            <w:r w:rsidRPr="00F852AA">
              <w:rPr>
                <w:sz w:val="22"/>
                <w:szCs w:val="22"/>
                <w:lang w:val="da-DK"/>
              </w:rPr>
              <w:t>pyreksi</w:t>
            </w:r>
            <w:proofErr w:type="spellEnd"/>
            <w:r w:rsidRPr="00F852AA">
              <w:rPr>
                <w:sz w:val="22"/>
                <w:szCs w:val="22"/>
                <w:lang w:val="da-DK"/>
              </w:rPr>
              <w:t xml:space="preserve">, </w:t>
            </w:r>
            <w:proofErr w:type="spellStart"/>
            <w:r w:rsidRPr="00F852AA">
              <w:rPr>
                <w:sz w:val="22"/>
                <w:szCs w:val="22"/>
                <w:lang w:val="da-DK"/>
              </w:rPr>
              <w:t>rigor</w:t>
            </w:r>
            <w:proofErr w:type="spellEnd"/>
          </w:p>
        </w:tc>
        <w:tc>
          <w:tcPr>
            <w:tcW w:w="948" w:type="pct"/>
            <w:tcBorders>
              <w:top w:val="single" w:sz="4" w:space="0" w:color="auto"/>
              <w:left w:val="single" w:sz="4" w:space="0" w:color="auto"/>
              <w:bottom w:val="single" w:sz="4" w:space="0" w:color="auto"/>
              <w:right w:val="single" w:sz="4" w:space="0" w:color="auto"/>
            </w:tcBorders>
            <w:hideMark/>
          </w:tcPr>
          <w:p w14:paraId="290C3671" w14:textId="77777777" w:rsidR="00150AB9" w:rsidRPr="00F852AA" w:rsidRDefault="00150AB9" w:rsidP="006F6EE5">
            <w:pPr>
              <w:rPr>
                <w:sz w:val="22"/>
                <w:szCs w:val="22"/>
                <w:lang w:val="da-DK"/>
              </w:rPr>
            </w:pPr>
            <w:r w:rsidRPr="00F852AA">
              <w:rPr>
                <w:sz w:val="22"/>
                <w:szCs w:val="22"/>
                <w:lang w:val="da-DK"/>
              </w:rPr>
              <w:t>trombose på injektionsstedet, inflammation på injektionsstedet, smerte på injektionsstedet, perifert ødem</w:t>
            </w:r>
          </w:p>
        </w:tc>
        <w:tc>
          <w:tcPr>
            <w:tcW w:w="898" w:type="pct"/>
            <w:tcBorders>
              <w:top w:val="single" w:sz="4" w:space="0" w:color="auto"/>
              <w:left w:val="single" w:sz="4" w:space="0" w:color="auto"/>
              <w:bottom w:val="single" w:sz="4" w:space="0" w:color="auto"/>
              <w:right w:val="single" w:sz="4" w:space="0" w:color="auto"/>
            </w:tcBorders>
          </w:tcPr>
          <w:p w14:paraId="5491611F" w14:textId="77777777" w:rsidR="00150AB9" w:rsidRPr="00F852AA" w:rsidRDefault="00150AB9" w:rsidP="006F6EE5">
            <w:pPr>
              <w:rPr>
                <w:sz w:val="22"/>
                <w:szCs w:val="22"/>
                <w:lang w:val="da-DK"/>
              </w:rPr>
            </w:pPr>
          </w:p>
        </w:tc>
        <w:tc>
          <w:tcPr>
            <w:tcW w:w="1001" w:type="pct"/>
            <w:tcBorders>
              <w:top w:val="single" w:sz="4" w:space="0" w:color="auto"/>
              <w:left w:val="single" w:sz="4" w:space="0" w:color="auto"/>
              <w:bottom w:val="single" w:sz="4" w:space="0" w:color="auto"/>
              <w:right w:val="single" w:sz="4" w:space="0" w:color="auto"/>
            </w:tcBorders>
          </w:tcPr>
          <w:p w14:paraId="6847B475" w14:textId="77777777" w:rsidR="00150AB9" w:rsidRPr="00F852AA" w:rsidRDefault="00150AB9" w:rsidP="006F6EE5">
            <w:pPr>
              <w:rPr>
                <w:sz w:val="22"/>
                <w:szCs w:val="22"/>
                <w:lang w:val="da-DK"/>
              </w:rPr>
            </w:pPr>
          </w:p>
        </w:tc>
      </w:tr>
      <w:tr w:rsidR="00150AB9" w:rsidRPr="00F852AA" w14:paraId="599FBB62" w14:textId="77777777" w:rsidTr="006F6EE5">
        <w:tc>
          <w:tcPr>
            <w:tcW w:w="1082" w:type="pct"/>
            <w:tcBorders>
              <w:top w:val="single" w:sz="4" w:space="0" w:color="auto"/>
              <w:left w:val="single" w:sz="4" w:space="0" w:color="auto"/>
              <w:bottom w:val="single" w:sz="4" w:space="0" w:color="auto"/>
              <w:right w:val="single" w:sz="4" w:space="0" w:color="auto"/>
            </w:tcBorders>
            <w:hideMark/>
          </w:tcPr>
          <w:p w14:paraId="155E3E71" w14:textId="77777777" w:rsidR="00150AB9" w:rsidRPr="00F852AA" w:rsidRDefault="00150AB9" w:rsidP="006F6EE5">
            <w:pPr>
              <w:rPr>
                <w:sz w:val="22"/>
                <w:szCs w:val="22"/>
                <w:lang w:val="da-DK"/>
              </w:rPr>
            </w:pPr>
            <w:r w:rsidRPr="00F852AA">
              <w:rPr>
                <w:sz w:val="22"/>
                <w:szCs w:val="22"/>
                <w:lang w:val="da-DK"/>
              </w:rPr>
              <w:t>Undersøgelser</w:t>
            </w:r>
          </w:p>
        </w:tc>
        <w:tc>
          <w:tcPr>
            <w:tcW w:w="1071" w:type="pct"/>
            <w:tcBorders>
              <w:top w:val="single" w:sz="4" w:space="0" w:color="auto"/>
              <w:left w:val="single" w:sz="4" w:space="0" w:color="auto"/>
              <w:bottom w:val="single" w:sz="4" w:space="0" w:color="auto"/>
              <w:right w:val="single" w:sz="4" w:space="0" w:color="auto"/>
            </w:tcBorders>
          </w:tcPr>
          <w:p w14:paraId="5B8E436D" w14:textId="77777777" w:rsidR="00150AB9" w:rsidRPr="00F852AA" w:rsidRDefault="00150AB9" w:rsidP="006F6EE5">
            <w:pPr>
              <w:rPr>
                <w:sz w:val="22"/>
                <w:szCs w:val="22"/>
                <w:lang w:val="da-DK"/>
              </w:rPr>
            </w:pPr>
          </w:p>
        </w:tc>
        <w:tc>
          <w:tcPr>
            <w:tcW w:w="948" w:type="pct"/>
            <w:tcBorders>
              <w:top w:val="single" w:sz="4" w:space="0" w:color="auto"/>
              <w:left w:val="single" w:sz="4" w:space="0" w:color="auto"/>
              <w:bottom w:val="single" w:sz="4" w:space="0" w:color="auto"/>
              <w:right w:val="single" w:sz="4" w:space="0" w:color="auto"/>
            </w:tcBorders>
            <w:hideMark/>
          </w:tcPr>
          <w:p w14:paraId="7BBD8649" w14:textId="77777777" w:rsidR="00150AB9" w:rsidRPr="00F852AA" w:rsidRDefault="00150AB9" w:rsidP="006F6EE5">
            <w:pPr>
              <w:rPr>
                <w:sz w:val="22"/>
                <w:szCs w:val="22"/>
                <w:lang w:val="da-DK"/>
              </w:rPr>
            </w:pPr>
            <w:r w:rsidRPr="00F852AA">
              <w:rPr>
                <w:sz w:val="22"/>
                <w:szCs w:val="22"/>
                <w:lang w:val="da-DK"/>
              </w:rPr>
              <w:t>forhøjet laktat-</w:t>
            </w:r>
            <w:proofErr w:type="spellStart"/>
            <w:r w:rsidRPr="00F852AA">
              <w:rPr>
                <w:sz w:val="22"/>
                <w:szCs w:val="22"/>
                <w:lang w:val="da-DK"/>
              </w:rPr>
              <w:t>dehydrogenase</w:t>
            </w:r>
            <w:proofErr w:type="spellEnd"/>
            <w:r w:rsidRPr="00F852AA">
              <w:rPr>
                <w:sz w:val="22"/>
                <w:szCs w:val="22"/>
                <w:lang w:val="da-DK"/>
              </w:rPr>
              <w:t xml:space="preserve"> i blodet</w:t>
            </w:r>
          </w:p>
        </w:tc>
        <w:tc>
          <w:tcPr>
            <w:tcW w:w="898" w:type="pct"/>
            <w:tcBorders>
              <w:top w:val="single" w:sz="4" w:space="0" w:color="auto"/>
              <w:left w:val="single" w:sz="4" w:space="0" w:color="auto"/>
              <w:bottom w:val="single" w:sz="4" w:space="0" w:color="auto"/>
              <w:right w:val="single" w:sz="4" w:space="0" w:color="auto"/>
            </w:tcBorders>
          </w:tcPr>
          <w:p w14:paraId="30D5889F" w14:textId="77777777" w:rsidR="00150AB9" w:rsidRPr="00F852AA" w:rsidRDefault="00150AB9" w:rsidP="006F6EE5">
            <w:pPr>
              <w:rPr>
                <w:sz w:val="22"/>
                <w:szCs w:val="22"/>
                <w:lang w:val="da-DK"/>
              </w:rPr>
            </w:pPr>
          </w:p>
        </w:tc>
        <w:tc>
          <w:tcPr>
            <w:tcW w:w="1001" w:type="pct"/>
            <w:tcBorders>
              <w:top w:val="single" w:sz="4" w:space="0" w:color="auto"/>
              <w:left w:val="single" w:sz="4" w:space="0" w:color="auto"/>
              <w:bottom w:val="single" w:sz="4" w:space="0" w:color="auto"/>
              <w:right w:val="single" w:sz="4" w:space="0" w:color="auto"/>
            </w:tcBorders>
          </w:tcPr>
          <w:p w14:paraId="0AE6F709" w14:textId="77777777" w:rsidR="00150AB9" w:rsidRPr="00F852AA" w:rsidRDefault="00150AB9" w:rsidP="006F6EE5">
            <w:pPr>
              <w:rPr>
                <w:sz w:val="22"/>
                <w:szCs w:val="22"/>
                <w:lang w:val="da-DK"/>
              </w:rPr>
            </w:pPr>
          </w:p>
        </w:tc>
      </w:tr>
    </w:tbl>
    <w:p w14:paraId="5FE47165" w14:textId="77777777" w:rsidR="00150AB9" w:rsidRPr="006F6EE5" w:rsidRDefault="00150AB9" w:rsidP="006F6EE5">
      <w:pPr>
        <w:ind w:left="851"/>
        <w:rPr>
          <w:sz w:val="24"/>
          <w:szCs w:val="24"/>
        </w:rPr>
      </w:pPr>
    </w:p>
    <w:p w14:paraId="59DF24E1" w14:textId="77777777" w:rsidR="00150AB9" w:rsidRPr="006F6EE5" w:rsidRDefault="00150AB9" w:rsidP="006F6EE5">
      <w:pPr>
        <w:ind w:left="851"/>
        <w:rPr>
          <w:sz w:val="24"/>
          <w:szCs w:val="24"/>
          <w:u w:val="single"/>
        </w:rPr>
      </w:pPr>
      <w:r w:rsidRPr="006F6EE5">
        <w:rPr>
          <w:sz w:val="24"/>
          <w:szCs w:val="24"/>
          <w:u w:val="single"/>
        </w:rPr>
        <w:t>Beskrivelse af udvalgte bivirkninger</w:t>
      </w:r>
    </w:p>
    <w:p w14:paraId="6096A8DF" w14:textId="77777777" w:rsidR="00150AB9" w:rsidRPr="006F6EE5" w:rsidRDefault="00150AB9" w:rsidP="006F6EE5">
      <w:pPr>
        <w:ind w:left="851"/>
        <w:rPr>
          <w:sz w:val="24"/>
          <w:szCs w:val="24"/>
        </w:rPr>
      </w:pPr>
    </w:p>
    <w:p w14:paraId="0ED96AC0" w14:textId="77777777" w:rsidR="00150AB9" w:rsidRPr="006F6EE5" w:rsidRDefault="00150AB9" w:rsidP="006F6EE5">
      <w:pPr>
        <w:ind w:left="851"/>
        <w:rPr>
          <w:i/>
          <w:iCs/>
          <w:sz w:val="24"/>
          <w:szCs w:val="24"/>
        </w:rPr>
      </w:pPr>
      <w:r w:rsidRPr="006F6EE5">
        <w:rPr>
          <w:i/>
          <w:iCs/>
          <w:sz w:val="24"/>
          <w:szCs w:val="24"/>
        </w:rPr>
        <w:t>Allergilignende symptomer</w:t>
      </w:r>
    </w:p>
    <w:p w14:paraId="45E10544" w14:textId="77777777" w:rsidR="00150AB9" w:rsidRPr="006F6EE5" w:rsidRDefault="00150AB9" w:rsidP="006F6EE5">
      <w:pPr>
        <w:ind w:left="851"/>
        <w:rPr>
          <w:sz w:val="24"/>
          <w:szCs w:val="24"/>
        </w:rPr>
      </w:pPr>
      <w:r w:rsidRPr="006F6EE5">
        <w:rPr>
          <w:sz w:val="24"/>
          <w:szCs w:val="24"/>
        </w:rPr>
        <w:t xml:space="preserve">Symptomer såsom udslæt og </w:t>
      </w:r>
      <w:proofErr w:type="spellStart"/>
      <w:r w:rsidRPr="006F6EE5">
        <w:rPr>
          <w:sz w:val="24"/>
          <w:szCs w:val="24"/>
        </w:rPr>
        <w:t>rigor</w:t>
      </w:r>
      <w:proofErr w:type="spellEnd"/>
      <w:r w:rsidRPr="006F6EE5">
        <w:rPr>
          <w:sz w:val="24"/>
          <w:szCs w:val="24"/>
        </w:rPr>
        <w:t xml:space="preserve"> er indberettet i kliniske studier. Størstedelen var af let til moderat sværhedsgrad og begrænsede ikke behandlingen. Alvorlige reaktioner (f.eks. </w:t>
      </w:r>
      <w:proofErr w:type="spellStart"/>
      <w:r w:rsidRPr="006F6EE5">
        <w:rPr>
          <w:sz w:val="24"/>
          <w:szCs w:val="24"/>
        </w:rPr>
        <w:t>anafylaktoide</w:t>
      </w:r>
      <w:proofErr w:type="spellEnd"/>
      <w:r w:rsidRPr="006F6EE5">
        <w:rPr>
          <w:sz w:val="24"/>
          <w:szCs w:val="24"/>
        </w:rPr>
        <w:t xml:space="preserve"> reaktioner 0,2 %, 6/3.028) blev indberettet sjældent under behandling med </w:t>
      </w:r>
      <w:proofErr w:type="spellStart"/>
      <w:r w:rsidRPr="006F6EE5">
        <w:rPr>
          <w:sz w:val="24"/>
          <w:szCs w:val="24"/>
        </w:rPr>
        <w:t>micafungin</w:t>
      </w:r>
      <w:proofErr w:type="spellEnd"/>
      <w:r w:rsidRPr="006F6EE5">
        <w:rPr>
          <w:sz w:val="24"/>
          <w:szCs w:val="24"/>
        </w:rPr>
        <w:t xml:space="preserve"> og kun hos patienter med alvorlige underliggende sygdomme (f.eks. fremskreden aids og maligne tilstande), som kræver samtidig behandling med flere lægemidler.</w:t>
      </w:r>
    </w:p>
    <w:p w14:paraId="6493E069" w14:textId="77777777" w:rsidR="00150AB9" w:rsidRPr="006F6EE5" w:rsidRDefault="00150AB9" w:rsidP="006F6EE5">
      <w:pPr>
        <w:ind w:left="851"/>
        <w:rPr>
          <w:sz w:val="24"/>
          <w:szCs w:val="24"/>
        </w:rPr>
      </w:pPr>
    </w:p>
    <w:p w14:paraId="18150CC4" w14:textId="77777777" w:rsidR="00150AB9" w:rsidRPr="006F6EE5" w:rsidRDefault="00150AB9" w:rsidP="006F6EE5">
      <w:pPr>
        <w:ind w:left="851"/>
        <w:rPr>
          <w:i/>
          <w:iCs/>
          <w:sz w:val="24"/>
          <w:szCs w:val="24"/>
        </w:rPr>
      </w:pPr>
      <w:proofErr w:type="spellStart"/>
      <w:r w:rsidRPr="006F6EE5">
        <w:rPr>
          <w:i/>
          <w:iCs/>
          <w:sz w:val="24"/>
          <w:szCs w:val="24"/>
        </w:rPr>
        <w:t>Hepatiske</w:t>
      </w:r>
      <w:proofErr w:type="spellEnd"/>
      <w:r w:rsidRPr="006F6EE5">
        <w:rPr>
          <w:i/>
          <w:iCs/>
          <w:sz w:val="24"/>
          <w:szCs w:val="24"/>
        </w:rPr>
        <w:t xml:space="preserve"> bivirkninger</w:t>
      </w:r>
    </w:p>
    <w:p w14:paraId="7A976EE7" w14:textId="77777777" w:rsidR="00150AB9" w:rsidRPr="006F6EE5" w:rsidRDefault="00150AB9" w:rsidP="006F6EE5">
      <w:pPr>
        <w:ind w:left="851"/>
        <w:rPr>
          <w:sz w:val="24"/>
          <w:szCs w:val="24"/>
        </w:rPr>
      </w:pPr>
      <w:r w:rsidRPr="006F6EE5">
        <w:rPr>
          <w:sz w:val="24"/>
          <w:szCs w:val="24"/>
        </w:rPr>
        <w:t xml:space="preserve">I de kliniske studier var den totale </w:t>
      </w:r>
      <w:proofErr w:type="spellStart"/>
      <w:r w:rsidRPr="006F6EE5">
        <w:rPr>
          <w:sz w:val="24"/>
          <w:szCs w:val="24"/>
        </w:rPr>
        <w:t>incidens</w:t>
      </w:r>
      <w:proofErr w:type="spellEnd"/>
      <w:r w:rsidRPr="006F6EE5">
        <w:rPr>
          <w:sz w:val="24"/>
          <w:szCs w:val="24"/>
        </w:rPr>
        <w:t xml:space="preserve"> af </w:t>
      </w:r>
      <w:proofErr w:type="spellStart"/>
      <w:r w:rsidRPr="006F6EE5">
        <w:rPr>
          <w:sz w:val="24"/>
          <w:szCs w:val="24"/>
        </w:rPr>
        <w:t>hepatiske</w:t>
      </w:r>
      <w:proofErr w:type="spellEnd"/>
      <w:r w:rsidRPr="006F6EE5">
        <w:rPr>
          <w:sz w:val="24"/>
          <w:szCs w:val="24"/>
        </w:rPr>
        <w:t xml:space="preserve"> bivirkninger 8,6 % (260/3.028) hos patienter, som blev behandlet med </w:t>
      </w:r>
      <w:proofErr w:type="spellStart"/>
      <w:r w:rsidRPr="006F6EE5">
        <w:rPr>
          <w:sz w:val="24"/>
          <w:szCs w:val="24"/>
        </w:rPr>
        <w:t>micafungin</w:t>
      </w:r>
      <w:proofErr w:type="spellEnd"/>
      <w:r w:rsidRPr="006F6EE5">
        <w:rPr>
          <w:sz w:val="24"/>
          <w:szCs w:val="24"/>
        </w:rPr>
        <w:t xml:space="preserve">. Størstedelen af disse bivirkninger var lette eller moderate. De hyppigste var forhøjet fosfatase (AP) (2,7 %), ASAT (2,3 %), ALAT (2,0 %), blodbilirubin (1,6 %) og unormal leverfunktionstest (1,5 %). Få patienter (1,1 %; 0,4 % alvorlige) seponerede behandlingen pga. en </w:t>
      </w:r>
      <w:proofErr w:type="spellStart"/>
      <w:r w:rsidRPr="006F6EE5">
        <w:rPr>
          <w:sz w:val="24"/>
          <w:szCs w:val="24"/>
        </w:rPr>
        <w:t>hepatisk</w:t>
      </w:r>
      <w:proofErr w:type="spellEnd"/>
      <w:r w:rsidRPr="006F6EE5">
        <w:rPr>
          <w:sz w:val="24"/>
          <w:szCs w:val="24"/>
        </w:rPr>
        <w:t xml:space="preserve"> bivirkning. Tilfælde af svært nedsat leverfunktion var ikke almindelige (se pkt. 4.4).</w:t>
      </w:r>
    </w:p>
    <w:p w14:paraId="1E867A7F" w14:textId="77777777" w:rsidR="00150AB9" w:rsidRPr="006F6EE5" w:rsidRDefault="00150AB9" w:rsidP="006F6EE5">
      <w:pPr>
        <w:ind w:left="851"/>
        <w:rPr>
          <w:sz w:val="24"/>
          <w:szCs w:val="24"/>
        </w:rPr>
      </w:pPr>
    </w:p>
    <w:p w14:paraId="2816273D" w14:textId="77777777" w:rsidR="00150AB9" w:rsidRPr="006F6EE5" w:rsidRDefault="00150AB9" w:rsidP="006F6EE5">
      <w:pPr>
        <w:ind w:left="851"/>
        <w:rPr>
          <w:i/>
          <w:iCs/>
          <w:sz w:val="24"/>
          <w:szCs w:val="24"/>
        </w:rPr>
      </w:pPr>
      <w:r w:rsidRPr="006F6EE5">
        <w:rPr>
          <w:i/>
          <w:iCs/>
          <w:sz w:val="24"/>
          <w:szCs w:val="24"/>
        </w:rPr>
        <w:t>Reaktioner på injektionsstedet</w:t>
      </w:r>
    </w:p>
    <w:p w14:paraId="74EC257A" w14:textId="77777777" w:rsidR="00150AB9" w:rsidRPr="006F6EE5" w:rsidRDefault="00150AB9" w:rsidP="006F6EE5">
      <w:pPr>
        <w:ind w:left="851"/>
        <w:rPr>
          <w:sz w:val="24"/>
          <w:szCs w:val="24"/>
        </w:rPr>
      </w:pPr>
      <w:r w:rsidRPr="006F6EE5">
        <w:rPr>
          <w:sz w:val="24"/>
          <w:szCs w:val="24"/>
        </w:rPr>
        <w:t>Ingen af bivirkningerne på injektionsstedet var begrænsende for behandlingen.</w:t>
      </w:r>
    </w:p>
    <w:p w14:paraId="22669CC1" w14:textId="77777777" w:rsidR="00150AB9" w:rsidRPr="006F6EE5" w:rsidRDefault="00150AB9" w:rsidP="006F6EE5">
      <w:pPr>
        <w:ind w:left="851"/>
        <w:rPr>
          <w:sz w:val="24"/>
          <w:szCs w:val="24"/>
        </w:rPr>
      </w:pPr>
    </w:p>
    <w:p w14:paraId="55984D16" w14:textId="77777777" w:rsidR="00150AB9" w:rsidRPr="006F6EE5" w:rsidRDefault="00150AB9" w:rsidP="006F6EE5">
      <w:pPr>
        <w:ind w:left="851"/>
        <w:rPr>
          <w:sz w:val="24"/>
          <w:szCs w:val="24"/>
          <w:u w:val="single"/>
        </w:rPr>
      </w:pPr>
      <w:r w:rsidRPr="006F6EE5">
        <w:rPr>
          <w:sz w:val="24"/>
          <w:szCs w:val="24"/>
          <w:u w:val="single"/>
        </w:rPr>
        <w:t>Pædiatrisk population</w:t>
      </w:r>
    </w:p>
    <w:p w14:paraId="4ED22EF1" w14:textId="77777777" w:rsidR="00150AB9" w:rsidRPr="006F6EE5" w:rsidRDefault="00150AB9" w:rsidP="006F6EE5">
      <w:pPr>
        <w:ind w:left="851"/>
        <w:rPr>
          <w:sz w:val="24"/>
          <w:szCs w:val="24"/>
        </w:rPr>
      </w:pPr>
    </w:p>
    <w:p w14:paraId="705FA73E" w14:textId="77777777" w:rsidR="00150AB9" w:rsidRPr="006F6EE5" w:rsidRDefault="00150AB9" w:rsidP="006F6EE5">
      <w:pPr>
        <w:ind w:left="851"/>
        <w:rPr>
          <w:sz w:val="24"/>
          <w:szCs w:val="24"/>
        </w:rPr>
      </w:pPr>
      <w:r w:rsidRPr="006F6EE5">
        <w:rPr>
          <w:sz w:val="24"/>
          <w:szCs w:val="24"/>
        </w:rPr>
        <w:t xml:space="preserve">Hyppigheden af visse bivirkninger (angivet i nedenstående tabel) var højere hos pædiatriske patienter end hos voksne patienter. Desuden fik pædiatriske patienter &lt; 1 år ca. dobbelt så ofte en stigning i ALAT, ASAT og AP i forhold til ældre pædiatriske patienter (se pkt. 4.4). Den mest sandsynlige årsag til disse forskelle var forskelle i de underliggende sygdomme i forhold til voksne eller ældre pædiatriske i de kliniske studier. På det tidspunkt, hvor de indgik i studiet, var andelen af pædiatriske patienter med </w:t>
      </w:r>
      <w:proofErr w:type="spellStart"/>
      <w:r w:rsidRPr="006F6EE5">
        <w:rPr>
          <w:sz w:val="24"/>
          <w:szCs w:val="24"/>
        </w:rPr>
        <w:t>neutropeni</w:t>
      </w:r>
      <w:proofErr w:type="spellEnd"/>
      <w:r w:rsidRPr="006F6EE5">
        <w:rPr>
          <w:sz w:val="24"/>
          <w:szCs w:val="24"/>
        </w:rPr>
        <w:t xml:space="preserve"> flere gange større end andelen af voksne patienter (40,2 % og 7,3 % af henholdsvis børn og voksne). Det samme gjaldt for </w:t>
      </w:r>
      <w:proofErr w:type="spellStart"/>
      <w:r w:rsidRPr="006F6EE5">
        <w:rPr>
          <w:sz w:val="24"/>
          <w:szCs w:val="24"/>
        </w:rPr>
        <w:t>allogen</w:t>
      </w:r>
      <w:proofErr w:type="spellEnd"/>
      <w:r w:rsidRPr="006F6EE5">
        <w:rPr>
          <w:sz w:val="24"/>
          <w:szCs w:val="24"/>
        </w:rPr>
        <w:t xml:space="preserve"> HSCT (henholdsvis 29,4 % og 13,4 %) og hæmatologisk </w:t>
      </w:r>
      <w:proofErr w:type="spellStart"/>
      <w:r w:rsidRPr="006F6EE5">
        <w:rPr>
          <w:sz w:val="24"/>
          <w:szCs w:val="24"/>
        </w:rPr>
        <w:t>malignitet</w:t>
      </w:r>
      <w:proofErr w:type="spellEnd"/>
      <w:r w:rsidRPr="006F6EE5">
        <w:rPr>
          <w:sz w:val="24"/>
          <w:szCs w:val="24"/>
        </w:rPr>
        <w:t xml:space="preserve"> (henholdsvis 29,1 % og 8,7 %,).</w:t>
      </w:r>
    </w:p>
    <w:p w14:paraId="209FF19B" w14:textId="511D4C91" w:rsidR="00D45693" w:rsidRDefault="00D45693">
      <w:pPr>
        <w:rPr>
          <w:sz w:val="24"/>
          <w:szCs w:val="24"/>
        </w:rPr>
      </w:pPr>
      <w:r>
        <w:rPr>
          <w:sz w:val="24"/>
          <w:szCs w:val="24"/>
        </w:rPr>
        <w:br w:type="page"/>
      </w:r>
    </w:p>
    <w:p w14:paraId="6C0F3B4D" w14:textId="77777777" w:rsidR="00150AB9" w:rsidRPr="006F6EE5" w:rsidRDefault="00150AB9" w:rsidP="00150AB9">
      <w:pPr>
        <w:rPr>
          <w:sz w:val="24"/>
          <w:szCs w:val="24"/>
        </w:rPr>
      </w:pPr>
    </w:p>
    <w:tbl>
      <w:tblPr>
        <w:tblW w:w="0" w:type="auto"/>
        <w:tblInd w:w="851" w:type="dxa"/>
        <w:tblLayout w:type="fixed"/>
        <w:tblCellMar>
          <w:left w:w="0" w:type="dxa"/>
          <w:right w:w="0" w:type="dxa"/>
        </w:tblCellMar>
        <w:tblLook w:val="01E0" w:firstRow="1" w:lastRow="1" w:firstColumn="1" w:lastColumn="1" w:noHBand="0" w:noVBand="0"/>
      </w:tblPr>
      <w:tblGrid>
        <w:gridCol w:w="1987"/>
        <w:gridCol w:w="4762"/>
      </w:tblGrid>
      <w:tr w:rsidR="00150AB9" w:rsidRPr="00F852AA" w14:paraId="527C0DED" w14:textId="77777777" w:rsidTr="006F6EE5">
        <w:trPr>
          <w:trHeight w:val="296"/>
        </w:trPr>
        <w:tc>
          <w:tcPr>
            <w:tcW w:w="6749" w:type="dxa"/>
            <w:gridSpan w:val="2"/>
            <w:hideMark/>
          </w:tcPr>
          <w:p w14:paraId="3304995B" w14:textId="77777777" w:rsidR="00150AB9" w:rsidRPr="00F852AA" w:rsidRDefault="00150AB9">
            <w:pPr>
              <w:rPr>
                <w:sz w:val="24"/>
                <w:szCs w:val="24"/>
              </w:rPr>
            </w:pPr>
            <w:r w:rsidRPr="00F852AA">
              <w:rPr>
                <w:sz w:val="24"/>
                <w:szCs w:val="24"/>
              </w:rPr>
              <w:t>Blod og lymfesystem</w:t>
            </w:r>
          </w:p>
        </w:tc>
      </w:tr>
      <w:tr w:rsidR="00150AB9" w:rsidRPr="00F852AA" w14:paraId="3A5AAA59" w14:textId="77777777" w:rsidTr="006F6EE5">
        <w:trPr>
          <w:trHeight w:hRule="exact" w:val="379"/>
        </w:trPr>
        <w:tc>
          <w:tcPr>
            <w:tcW w:w="1987" w:type="dxa"/>
            <w:hideMark/>
          </w:tcPr>
          <w:p w14:paraId="7C2F1D14" w14:textId="77777777" w:rsidR="00150AB9" w:rsidRPr="00F852AA" w:rsidRDefault="00150AB9">
            <w:pPr>
              <w:rPr>
                <w:sz w:val="24"/>
                <w:szCs w:val="24"/>
              </w:rPr>
            </w:pPr>
            <w:r w:rsidRPr="00F852AA">
              <w:rPr>
                <w:i/>
                <w:sz w:val="24"/>
                <w:szCs w:val="24"/>
              </w:rPr>
              <w:t>almindelig</w:t>
            </w:r>
          </w:p>
        </w:tc>
        <w:tc>
          <w:tcPr>
            <w:tcW w:w="4762" w:type="dxa"/>
            <w:hideMark/>
          </w:tcPr>
          <w:p w14:paraId="367B7C41" w14:textId="77777777" w:rsidR="00150AB9" w:rsidRPr="00F852AA" w:rsidRDefault="00150AB9">
            <w:pPr>
              <w:rPr>
                <w:sz w:val="24"/>
                <w:szCs w:val="24"/>
              </w:rPr>
            </w:pPr>
            <w:proofErr w:type="spellStart"/>
            <w:r w:rsidRPr="00F852AA">
              <w:rPr>
                <w:sz w:val="24"/>
                <w:szCs w:val="24"/>
              </w:rPr>
              <w:t>trombocytopeni</w:t>
            </w:r>
            <w:proofErr w:type="spellEnd"/>
          </w:p>
        </w:tc>
      </w:tr>
      <w:tr w:rsidR="00150AB9" w:rsidRPr="00F852AA" w14:paraId="6A8594E4" w14:textId="77777777" w:rsidTr="006F6EE5">
        <w:trPr>
          <w:trHeight w:val="380"/>
        </w:trPr>
        <w:tc>
          <w:tcPr>
            <w:tcW w:w="6749" w:type="dxa"/>
            <w:gridSpan w:val="2"/>
            <w:hideMark/>
          </w:tcPr>
          <w:p w14:paraId="4345DEEA" w14:textId="77777777" w:rsidR="00150AB9" w:rsidRPr="00F852AA" w:rsidRDefault="00150AB9">
            <w:pPr>
              <w:rPr>
                <w:sz w:val="24"/>
                <w:szCs w:val="24"/>
              </w:rPr>
            </w:pPr>
            <w:r w:rsidRPr="00F852AA">
              <w:rPr>
                <w:sz w:val="24"/>
                <w:szCs w:val="24"/>
              </w:rPr>
              <w:t>Hjerte</w:t>
            </w:r>
          </w:p>
        </w:tc>
      </w:tr>
      <w:tr w:rsidR="00150AB9" w:rsidRPr="00F852AA" w14:paraId="04E682CB" w14:textId="77777777" w:rsidTr="006F6EE5">
        <w:trPr>
          <w:trHeight w:hRule="exact" w:val="379"/>
        </w:trPr>
        <w:tc>
          <w:tcPr>
            <w:tcW w:w="1987" w:type="dxa"/>
            <w:hideMark/>
          </w:tcPr>
          <w:p w14:paraId="21ADDF86" w14:textId="77777777" w:rsidR="00150AB9" w:rsidRPr="00F852AA" w:rsidRDefault="00150AB9">
            <w:pPr>
              <w:rPr>
                <w:sz w:val="24"/>
                <w:szCs w:val="24"/>
              </w:rPr>
            </w:pPr>
            <w:r w:rsidRPr="00F852AA">
              <w:rPr>
                <w:i/>
                <w:sz w:val="24"/>
                <w:szCs w:val="24"/>
              </w:rPr>
              <w:t>almindelig</w:t>
            </w:r>
          </w:p>
        </w:tc>
        <w:tc>
          <w:tcPr>
            <w:tcW w:w="4762" w:type="dxa"/>
            <w:hideMark/>
          </w:tcPr>
          <w:p w14:paraId="2664D25A" w14:textId="77777777" w:rsidR="00150AB9" w:rsidRPr="00F852AA" w:rsidRDefault="00150AB9">
            <w:pPr>
              <w:rPr>
                <w:sz w:val="24"/>
                <w:szCs w:val="24"/>
              </w:rPr>
            </w:pPr>
            <w:proofErr w:type="spellStart"/>
            <w:r w:rsidRPr="00F852AA">
              <w:rPr>
                <w:sz w:val="24"/>
                <w:szCs w:val="24"/>
              </w:rPr>
              <w:t>takykardi</w:t>
            </w:r>
            <w:proofErr w:type="spellEnd"/>
          </w:p>
        </w:tc>
      </w:tr>
      <w:tr w:rsidR="00150AB9" w:rsidRPr="00F852AA" w14:paraId="637286D8" w14:textId="77777777" w:rsidTr="006F6EE5">
        <w:trPr>
          <w:trHeight w:val="379"/>
        </w:trPr>
        <w:tc>
          <w:tcPr>
            <w:tcW w:w="6749" w:type="dxa"/>
            <w:gridSpan w:val="2"/>
            <w:hideMark/>
          </w:tcPr>
          <w:p w14:paraId="1A344CC9" w14:textId="77777777" w:rsidR="00150AB9" w:rsidRPr="00F852AA" w:rsidRDefault="00150AB9">
            <w:pPr>
              <w:keepNext/>
              <w:rPr>
                <w:sz w:val="24"/>
                <w:szCs w:val="24"/>
              </w:rPr>
            </w:pPr>
            <w:proofErr w:type="spellStart"/>
            <w:r w:rsidRPr="00F852AA">
              <w:rPr>
                <w:sz w:val="24"/>
                <w:szCs w:val="24"/>
              </w:rPr>
              <w:t>Vaskulære</w:t>
            </w:r>
            <w:proofErr w:type="spellEnd"/>
            <w:r w:rsidRPr="00F852AA">
              <w:rPr>
                <w:sz w:val="24"/>
                <w:szCs w:val="24"/>
              </w:rPr>
              <w:t xml:space="preserve"> sygdomme</w:t>
            </w:r>
          </w:p>
        </w:tc>
      </w:tr>
      <w:tr w:rsidR="00150AB9" w:rsidRPr="00F852AA" w14:paraId="644B6DFA" w14:textId="77777777" w:rsidTr="006F6EE5">
        <w:trPr>
          <w:trHeight w:hRule="exact" w:val="380"/>
        </w:trPr>
        <w:tc>
          <w:tcPr>
            <w:tcW w:w="1987" w:type="dxa"/>
            <w:hideMark/>
          </w:tcPr>
          <w:p w14:paraId="3BAC05C7" w14:textId="77777777" w:rsidR="00150AB9" w:rsidRPr="00F852AA" w:rsidRDefault="00150AB9">
            <w:pPr>
              <w:rPr>
                <w:sz w:val="24"/>
                <w:szCs w:val="24"/>
              </w:rPr>
            </w:pPr>
            <w:r w:rsidRPr="00F852AA">
              <w:rPr>
                <w:i/>
                <w:sz w:val="24"/>
                <w:szCs w:val="24"/>
              </w:rPr>
              <w:t>almindelig</w:t>
            </w:r>
          </w:p>
        </w:tc>
        <w:tc>
          <w:tcPr>
            <w:tcW w:w="4762" w:type="dxa"/>
            <w:hideMark/>
          </w:tcPr>
          <w:p w14:paraId="5166800E" w14:textId="77777777" w:rsidR="00150AB9" w:rsidRPr="00F852AA" w:rsidRDefault="00150AB9">
            <w:pPr>
              <w:rPr>
                <w:sz w:val="24"/>
                <w:szCs w:val="24"/>
              </w:rPr>
            </w:pPr>
            <w:r w:rsidRPr="00F852AA">
              <w:rPr>
                <w:sz w:val="24"/>
                <w:szCs w:val="24"/>
              </w:rPr>
              <w:t>hypertension, hypotension</w:t>
            </w:r>
          </w:p>
        </w:tc>
      </w:tr>
      <w:tr w:rsidR="00150AB9" w:rsidRPr="00F852AA" w14:paraId="3A96752C" w14:textId="77777777" w:rsidTr="006F6EE5">
        <w:trPr>
          <w:trHeight w:val="379"/>
        </w:trPr>
        <w:tc>
          <w:tcPr>
            <w:tcW w:w="6749" w:type="dxa"/>
            <w:gridSpan w:val="2"/>
            <w:hideMark/>
          </w:tcPr>
          <w:p w14:paraId="3CC7084E" w14:textId="77777777" w:rsidR="00150AB9" w:rsidRPr="00F852AA" w:rsidRDefault="00150AB9">
            <w:pPr>
              <w:rPr>
                <w:sz w:val="24"/>
                <w:szCs w:val="24"/>
              </w:rPr>
            </w:pPr>
            <w:r w:rsidRPr="00F852AA">
              <w:rPr>
                <w:sz w:val="24"/>
                <w:szCs w:val="24"/>
              </w:rPr>
              <w:t>Lever og galdeveje</w:t>
            </w:r>
          </w:p>
        </w:tc>
      </w:tr>
      <w:tr w:rsidR="00150AB9" w:rsidRPr="00F852AA" w14:paraId="3F542697" w14:textId="77777777" w:rsidTr="006F6EE5">
        <w:trPr>
          <w:trHeight w:hRule="exact" w:val="379"/>
        </w:trPr>
        <w:tc>
          <w:tcPr>
            <w:tcW w:w="1987" w:type="dxa"/>
            <w:hideMark/>
          </w:tcPr>
          <w:p w14:paraId="3919F4D9" w14:textId="77777777" w:rsidR="00150AB9" w:rsidRPr="00F852AA" w:rsidRDefault="00150AB9">
            <w:pPr>
              <w:rPr>
                <w:sz w:val="24"/>
                <w:szCs w:val="24"/>
              </w:rPr>
            </w:pPr>
            <w:r w:rsidRPr="00F852AA">
              <w:rPr>
                <w:i/>
                <w:sz w:val="24"/>
                <w:szCs w:val="24"/>
              </w:rPr>
              <w:t>almindelig</w:t>
            </w:r>
          </w:p>
        </w:tc>
        <w:tc>
          <w:tcPr>
            <w:tcW w:w="4762" w:type="dxa"/>
            <w:hideMark/>
          </w:tcPr>
          <w:p w14:paraId="33D2F6D5" w14:textId="77777777" w:rsidR="00150AB9" w:rsidRPr="00F852AA" w:rsidRDefault="00150AB9">
            <w:pPr>
              <w:rPr>
                <w:sz w:val="24"/>
                <w:szCs w:val="24"/>
              </w:rPr>
            </w:pPr>
            <w:proofErr w:type="spellStart"/>
            <w:r w:rsidRPr="00F852AA">
              <w:rPr>
                <w:sz w:val="24"/>
                <w:szCs w:val="24"/>
              </w:rPr>
              <w:t>hyperbilirubinæmi</w:t>
            </w:r>
            <w:proofErr w:type="spellEnd"/>
            <w:r w:rsidRPr="00F852AA">
              <w:rPr>
                <w:sz w:val="24"/>
                <w:szCs w:val="24"/>
              </w:rPr>
              <w:t xml:space="preserve">, </w:t>
            </w:r>
            <w:proofErr w:type="spellStart"/>
            <w:r w:rsidRPr="00F852AA">
              <w:rPr>
                <w:sz w:val="24"/>
                <w:szCs w:val="24"/>
              </w:rPr>
              <w:t>hepatomegali</w:t>
            </w:r>
            <w:proofErr w:type="spellEnd"/>
          </w:p>
        </w:tc>
      </w:tr>
      <w:tr w:rsidR="00150AB9" w:rsidRPr="00F852AA" w14:paraId="6E0D28EC" w14:textId="77777777" w:rsidTr="006F6EE5">
        <w:trPr>
          <w:trHeight w:val="379"/>
        </w:trPr>
        <w:tc>
          <w:tcPr>
            <w:tcW w:w="6749" w:type="dxa"/>
            <w:gridSpan w:val="2"/>
            <w:hideMark/>
          </w:tcPr>
          <w:p w14:paraId="1A594733" w14:textId="77777777" w:rsidR="00150AB9" w:rsidRPr="00F852AA" w:rsidRDefault="00150AB9">
            <w:pPr>
              <w:rPr>
                <w:sz w:val="24"/>
                <w:szCs w:val="24"/>
              </w:rPr>
            </w:pPr>
            <w:r w:rsidRPr="00F852AA">
              <w:rPr>
                <w:sz w:val="24"/>
                <w:szCs w:val="24"/>
              </w:rPr>
              <w:t>Nyrer og urinveje</w:t>
            </w:r>
          </w:p>
        </w:tc>
      </w:tr>
      <w:tr w:rsidR="00150AB9" w:rsidRPr="00F852AA" w14:paraId="2A2A5283" w14:textId="77777777" w:rsidTr="006F6EE5">
        <w:trPr>
          <w:trHeight w:hRule="exact" w:val="296"/>
        </w:trPr>
        <w:tc>
          <w:tcPr>
            <w:tcW w:w="1987" w:type="dxa"/>
            <w:hideMark/>
          </w:tcPr>
          <w:p w14:paraId="09E7C4D2" w14:textId="77777777" w:rsidR="00150AB9" w:rsidRPr="00F852AA" w:rsidRDefault="00150AB9">
            <w:pPr>
              <w:rPr>
                <w:sz w:val="24"/>
                <w:szCs w:val="24"/>
              </w:rPr>
            </w:pPr>
            <w:r w:rsidRPr="00F852AA">
              <w:rPr>
                <w:i/>
                <w:sz w:val="24"/>
                <w:szCs w:val="24"/>
              </w:rPr>
              <w:t>almindelig</w:t>
            </w:r>
          </w:p>
        </w:tc>
        <w:tc>
          <w:tcPr>
            <w:tcW w:w="4762" w:type="dxa"/>
            <w:hideMark/>
          </w:tcPr>
          <w:p w14:paraId="1B767319" w14:textId="77777777" w:rsidR="00150AB9" w:rsidRPr="00F852AA" w:rsidRDefault="00150AB9">
            <w:pPr>
              <w:rPr>
                <w:sz w:val="24"/>
                <w:szCs w:val="24"/>
              </w:rPr>
            </w:pPr>
            <w:r w:rsidRPr="00F852AA">
              <w:rPr>
                <w:sz w:val="24"/>
                <w:szCs w:val="24"/>
              </w:rPr>
              <w:t>akut nyresvigt, forhøjet urinstof i blodet</w:t>
            </w:r>
          </w:p>
        </w:tc>
      </w:tr>
    </w:tbl>
    <w:p w14:paraId="34AC298E" w14:textId="77777777" w:rsidR="00150AB9" w:rsidRPr="006F6EE5" w:rsidRDefault="00150AB9" w:rsidP="006F6EE5">
      <w:pPr>
        <w:ind w:left="851"/>
        <w:rPr>
          <w:iCs/>
          <w:sz w:val="24"/>
          <w:szCs w:val="24"/>
        </w:rPr>
      </w:pPr>
    </w:p>
    <w:p w14:paraId="4BC30EBE" w14:textId="77777777" w:rsidR="00150AB9" w:rsidRPr="006F6EE5" w:rsidRDefault="00150AB9" w:rsidP="006F6EE5">
      <w:pPr>
        <w:autoSpaceDE w:val="0"/>
        <w:autoSpaceDN w:val="0"/>
        <w:adjustRightInd w:val="0"/>
        <w:ind w:left="851"/>
        <w:rPr>
          <w:sz w:val="24"/>
          <w:szCs w:val="24"/>
          <w:u w:val="single"/>
        </w:rPr>
      </w:pPr>
      <w:r w:rsidRPr="006F6EE5">
        <w:rPr>
          <w:sz w:val="24"/>
          <w:szCs w:val="24"/>
          <w:u w:val="single"/>
        </w:rPr>
        <w:t>Indberetning af formodede bivirkninger</w:t>
      </w:r>
    </w:p>
    <w:p w14:paraId="151966EB" w14:textId="77777777" w:rsidR="00150AB9" w:rsidRPr="006F6EE5" w:rsidRDefault="00150AB9" w:rsidP="006F6EE5">
      <w:pPr>
        <w:autoSpaceDE w:val="0"/>
        <w:autoSpaceDN w:val="0"/>
        <w:adjustRightInd w:val="0"/>
        <w:ind w:left="851"/>
        <w:rPr>
          <w:sz w:val="24"/>
          <w:szCs w:val="24"/>
        </w:rPr>
      </w:pPr>
      <w:r w:rsidRPr="006F6EE5">
        <w:rPr>
          <w:sz w:val="24"/>
          <w:szCs w:val="24"/>
        </w:rPr>
        <w:t>Når lægemidlet er godkendt, er indberetning af formodede bivirkninger vigtig. Det muliggør løbende overvågning af benefit/</w:t>
      </w:r>
      <w:proofErr w:type="spellStart"/>
      <w:r w:rsidRPr="006F6EE5">
        <w:rPr>
          <w:sz w:val="24"/>
          <w:szCs w:val="24"/>
        </w:rPr>
        <w:t>risk</w:t>
      </w:r>
      <w:proofErr w:type="spellEnd"/>
      <w:r w:rsidRPr="006F6EE5">
        <w:rPr>
          <w:sz w:val="24"/>
          <w:szCs w:val="24"/>
        </w:rPr>
        <w:t>-forholdet for lægemidlet. Sundhedspersoner anmodes om at indberette alle formodede bivirkninger via</w:t>
      </w:r>
    </w:p>
    <w:p w14:paraId="0A8DFB53" w14:textId="77777777" w:rsidR="00150AB9" w:rsidRPr="006F6EE5" w:rsidRDefault="00150AB9" w:rsidP="006F6EE5">
      <w:pPr>
        <w:autoSpaceDE w:val="0"/>
        <w:autoSpaceDN w:val="0"/>
        <w:adjustRightInd w:val="0"/>
        <w:ind w:left="851"/>
        <w:rPr>
          <w:sz w:val="24"/>
          <w:szCs w:val="24"/>
        </w:rPr>
      </w:pPr>
    </w:p>
    <w:p w14:paraId="03EF4A3D" w14:textId="77777777" w:rsidR="00150AB9" w:rsidRPr="006F6EE5" w:rsidRDefault="00150AB9" w:rsidP="006F6EE5">
      <w:pPr>
        <w:autoSpaceDE w:val="0"/>
        <w:autoSpaceDN w:val="0"/>
        <w:adjustRightInd w:val="0"/>
        <w:ind w:left="851"/>
        <w:rPr>
          <w:sz w:val="24"/>
          <w:szCs w:val="24"/>
        </w:rPr>
      </w:pPr>
      <w:r w:rsidRPr="006F6EE5">
        <w:rPr>
          <w:sz w:val="24"/>
          <w:szCs w:val="24"/>
        </w:rPr>
        <w:t>Lægemiddelstyrelsen</w:t>
      </w:r>
    </w:p>
    <w:p w14:paraId="0DFFCAA6" w14:textId="77777777" w:rsidR="00150AB9" w:rsidRPr="006F6EE5" w:rsidRDefault="00150AB9" w:rsidP="006F6EE5">
      <w:pPr>
        <w:autoSpaceDE w:val="0"/>
        <w:autoSpaceDN w:val="0"/>
        <w:adjustRightInd w:val="0"/>
        <w:ind w:left="851"/>
        <w:rPr>
          <w:sz w:val="24"/>
          <w:szCs w:val="24"/>
        </w:rPr>
      </w:pPr>
      <w:r w:rsidRPr="006F6EE5">
        <w:rPr>
          <w:sz w:val="24"/>
          <w:szCs w:val="24"/>
        </w:rPr>
        <w:t>Axel Heides Gade 1</w:t>
      </w:r>
    </w:p>
    <w:p w14:paraId="290DF688" w14:textId="77777777" w:rsidR="00150AB9" w:rsidRPr="006F6EE5" w:rsidRDefault="00150AB9" w:rsidP="006F6EE5">
      <w:pPr>
        <w:autoSpaceDE w:val="0"/>
        <w:autoSpaceDN w:val="0"/>
        <w:adjustRightInd w:val="0"/>
        <w:ind w:left="851"/>
        <w:rPr>
          <w:sz w:val="24"/>
          <w:szCs w:val="24"/>
        </w:rPr>
      </w:pPr>
      <w:r w:rsidRPr="006F6EE5">
        <w:rPr>
          <w:sz w:val="24"/>
          <w:szCs w:val="24"/>
        </w:rPr>
        <w:t>DK-2300 København S</w:t>
      </w:r>
    </w:p>
    <w:p w14:paraId="17B78A0A" w14:textId="77777777" w:rsidR="00150AB9" w:rsidRPr="006F6EE5" w:rsidRDefault="00150AB9" w:rsidP="006F6EE5">
      <w:pPr>
        <w:autoSpaceDE w:val="0"/>
        <w:autoSpaceDN w:val="0"/>
        <w:adjustRightInd w:val="0"/>
        <w:ind w:left="851"/>
        <w:rPr>
          <w:sz w:val="24"/>
          <w:szCs w:val="24"/>
        </w:rPr>
      </w:pPr>
      <w:r w:rsidRPr="006F6EE5">
        <w:rPr>
          <w:sz w:val="24"/>
          <w:szCs w:val="24"/>
        </w:rPr>
        <w:t xml:space="preserve">Websted: </w:t>
      </w:r>
      <w:hyperlink r:id="rId8" w:history="1">
        <w:r w:rsidRPr="006F6EE5">
          <w:rPr>
            <w:rStyle w:val="Hyperlink"/>
            <w:sz w:val="24"/>
            <w:szCs w:val="24"/>
          </w:rPr>
          <w:t>www.meldenbivirkning.dk</w:t>
        </w:r>
      </w:hyperlink>
    </w:p>
    <w:p w14:paraId="31FD6836" w14:textId="77777777" w:rsidR="009260DE" w:rsidRPr="006F6EE5" w:rsidRDefault="009260DE" w:rsidP="00A10294">
      <w:pPr>
        <w:tabs>
          <w:tab w:val="left" w:pos="851"/>
        </w:tabs>
        <w:ind w:left="851"/>
        <w:rPr>
          <w:sz w:val="24"/>
          <w:szCs w:val="24"/>
        </w:rPr>
      </w:pPr>
    </w:p>
    <w:p w14:paraId="6193BC9A" w14:textId="77777777" w:rsidR="009260DE" w:rsidRPr="006F6EE5" w:rsidRDefault="009260DE" w:rsidP="009260DE">
      <w:pPr>
        <w:tabs>
          <w:tab w:val="left" w:pos="851"/>
        </w:tabs>
        <w:ind w:left="851" w:hanging="851"/>
        <w:rPr>
          <w:b/>
          <w:sz w:val="24"/>
          <w:szCs w:val="24"/>
        </w:rPr>
      </w:pPr>
      <w:r w:rsidRPr="006F6EE5">
        <w:rPr>
          <w:b/>
          <w:sz w:val="24"/>
          <w:szCs w:val="24"/>
        </w:rPr>
        <w:t>4.9</w:t>
      </w:r>
      <w:r w:rsidRPr="006F6EE5">
        <w:rPr>
          <w:b/>
          <w:sz w:val="24"/>
          <w:szCs w:val="24"/>
        </w:rPr>
        <w:tab/>
        <w:t>Overdosering</w:t>
      </w:r>
    </w:p>
    <w:p w14:paraId="07941364" w14:textId="77777777" w:rsidR="00150AB9" w:rsidRPr="006F6EE5" w:rsidRDefault="00150AB9" w:rsidP="006F6EE5">
      <w:pPr>
        <w:ind w:left="851"/>
        <w:rPr>
          <w:sz w:val="24"/>
          <w:szCs w:val="24"/>
        </w:rPr>
      </w:pPr>
      <w:r w:rsidRPr="006F6EE5">
        <w:rPr>
          <w:sz w:val="24"/>
          <w:szCs w:val="24"/>
        </w:rPr>
        <w:t>Gentagne daglige doser på op til 8 mg/kg (maksimal total dosis 896 mg) er blevet administreret til voksne patienter i kliniske studier uden indberetning af dosisbegrænset toksicitet. I ét spontant tilfælde blev der indberettet administration af en dosering på 16 mg/kg/dag til et nyfødt barn. Der blev ikke indberettet bivirkninger i forbindelse med denne høje dosis.</w:t>
      </w:r>
    </w:p>
    <w:p w14:paraId="56B8A8EF" w14:textId="77777777" w:rsidR="00150AB9" w:rsidRPr="006F6EE5" w:rsidRDefault="00150AB9" w:rsidP="006F6EE5">
      <w:pPr>
        <w:ind w:left="851"/>
        <w:rPr>
          <w:sz w:val="24"/>
          <w:szCs w:val="24"/>
        </w:rPr>
      </w:pPr>
      <w:r w:rsidRPr="006F6EE5">
        <w:rPr>
          <w:sz w:val="24"/>
          <w:szCs w:val="24"/>
        </w:rPr>
        <w:t xml:space="preserve">Der er ingen erfaring med overdosering af </w:t>
      </w:r>
      <w:proofErr w:type="spellStart"/>
      <w:r w:rsidRPr="006F6EE5">
        <w:rPr>
          <w:sz w:val="24"/>
          <w:szCs w:val="24"/>
        </w:rPr>
        <w:t>micafungin</w:t>
      </w:r>
      <w:proofErr w:type="spellEnd"/>
      <w:r w:rsidRPr="006F6EE5">
        <w:rPr>
          <w:sz w:val="24"/>
          <w:szCs w:val="24"/>
        </w:rPr>
        <w:t xml:space="preserve">. I tilfælde af overdosering bør der sættes ind med generelle støtteforanstaltninger og symptomatisk behandling. </w:t>
      </w:r>
      <w:proofErr w:type="spellStart"/>
      <w:r w:rsidRPr="006F6EE5">
        <w:rPr>
          <w:sz w:val="24"/>
          <w:szCs w:val="24"/>
        </w:rPr>
        <w:t>Micafungin</w:t>
      </w:r>
      <w:proofErr w:type="spellEnd"/>
      <w:r w:rsidRPr="006F6EE5">
        <w:rPr>
          <w:sz w:val="24"/>
          <w:szCs w:val="24"/>
        </w:rPr>
        <w:t xml:space="preserve"> er stærkt proteinbundet og kan ikke dialyseres.</w:t>
      </w:r>
    </w:p>
    <w:p w14:paraId="4194EA25" w14:textId="77777777" w:rsidR="009260DE" w:rsidRPr="006F6EE5" w:rsidRDefault="009260DE" w:rsidP="009260DE">
      <w:pPr>
        <w:tabs>
          <w:tab w:val="left" w:pos="851"/>
        </w:tabs>
        <w:ind w:left="851"/>
        <w:rPr>
          <w:sz w:val="24"/>
          <w:szCs w:val="24"/>
        </w:rPr>
      </w:pPr>
    </w:p>
    <w:p w14:paraId="08E76B7B" w14:textId="77777777" w:rsidR="009260DE" w:rsidRPr="006F6EE5" w:rsidRDefault="009260DE" w:rsidP="009260DE">
      <w:pPr>
        <w:tabs>
          <w:tab w:val="left" w:pos="851"/>
        </w:tabs>
        <w:ind w:left="851" w:hanging="851"/>
        <w:rPr>
          <w:b/>
          <w:sz w:val="24"/>
          <w:szCs w:val="24"/>
        </w:rPr>
      </w:pPr>
      <w:r w:rsidRPr="006F6EE5">
        <w:rPr>
          <w:b/>
          <w:sz w:val="24"/>
          <w:szCs w:val="24"/>
        </w:rPr>
        <w:t>4.10</w:t>
      </w:r>
      <w:r w:rsidRPr="006F6EE5">
        <w:rPr>
          <w:b/>
          <w:sz w:val="24"/>
          <w:szCs w:val="24"/>
        </w:rPr>
        <w:tab/>
        <w:t>Udlevering</w:t>
      </w:r>
    </w:p>
    <w:p w14:paraId="3112FF96" w14:textId="1336CF88" w:rsidR="009260DE" w:rsidRPr="006F6EE5" w:rsidRDefault="00150AB9" w:rsidP="009260DE">
      <w:pPr>
        <w:tabs>
          <w:tab w:val="left" w:pos="851"/>
        </w:tabs>
        <w:ind w:left="851"/>
        <w:rPr>
          <w:sz w:val="24"/>
          <w:szCs w:val="24"/>
        </w:rPr>
      </w:pPr>
      <w:r w:rsidRPr="006F6EE5">
        <w:rPr>
          <w:sz w:val="24"/>
          <w:szCs w:val="24"/>
        </w:rPr>
        <w:t>BEGR (kun til sygehuse)</w:t>
      </w:r>
    </w:p>
    <w:p w14:paraId="40E3F648" w14:textId="77777777" w:rsidR="009260DE" w:rsidRPr="006F6EE5" w:rsidRDefault="009260DE" w:rsidP="009260DE">
      <w:pPr>
        <w:tabs>
          <w:tab w:val="left" w:pos="851"/>
        </w:tabs>
        <w:ind w:left="851"/>
        <w:rPr>
          <w:sz w:val="24"/>
          <w:szCs w:val="24"/>
        </w:rPr>
      </w:pPr>
    </w:p>
    <w:p w14:paraId="046C0B5E" w14:textId="77777777" w:rsidR="009260DE" w:rsidRPr="006F6EE5" w:rsidRDefault="009260DE" w:rsidP="009260DE">
      <w:pPr>
        <w:tabs>
          <w:tab w:val="left" w:pos="851"/>
        </w:tabs>
        <w:ind w:left="851"/>
        <w:rPr>
          <w:sz w:val="24"/>
          <w:szCs w:val="24"/>
        </w:rPr>
      </w:pPr>
    </w:p>
    <w:p w14:paraId="3FFCB525" w14:textId="77777777" w:rsidR="009260DE" w:rsidRPr="006F6EE5" w:rsidRDefault="009260DE" w:rsidP="009260DE">
      <w:pPr>
        <w:tabs>
          <w:tab w:val="left" w:pos="851"/>
        </w:tabs>
        <w:ind w:left="851" w:hanging="851"/>
        <w:rPr>
          <w:b/>
          <w:sz w:val="24"/>
          <w:szCs w:val="24"/>
        </w:rPr>
      </w:pPr>
      <w:r w:rsidRPr="006F6EE5">
        <w:rPr>
          <w:b/>
          <w:sz w:val="24"/>
          <w:szCs w:val="24"/>
        </w:rPr>
        <w:t>5.</w:t>
      </w:r>
      <w:r w:rsidRPr="006F6EE5">
        <w:rPr>
          <w:b/>
          <w:sz w:val="24"/>
          <w:szCs w:val="24"/>
        </w:rPr>
        <w:tab/>
        <w:t>FARMAKOLOGISKE EGENSKABER</w:t>
      </w:r>
    </w:p>
    <w:p w14:paraId="5CBE156C" w14:textId="77777777" w:rsidR="009260DE" w:rsidRPr="006F6EE5" w:rsidRDefault="009260DE" w:rsidP="009260DE">
      <w:pPr>
        <w:tabs>
          <w:tab w:val="left" w:pos="851"/>
        </w:tabs>
        <w:ind w:left="851"/>
        <w:rPr>
          <w:sz w:val="24"/>
          <w:szCs w:val="24"/>
        </w:rPr>
      </w:pPr>
    </w:p>
    <w:p w14:paraId="0348A6EE" w14:textId="77777777" w:rsidR="009260DE" w:rsidRPr="006F6EE5" w:rsidRDefault="009260DE" w:rsidP="009260DE">
      <w:pPr>
        <w:tabs>
          <w:tab w:val="num" w:pos="851"/>
        </w:tabs>
        <w:ind w:left="851" w:hanging="851"/>
        <w:rPr>
          <w:b/>
          <w:sz w:val="24"/>
          <w:szCs w:val="24"/>
        </w:rPr>
      </w:pPr>
      <w:r w:rsidRPr="006F6EE5">
        <w:rPr>
          <w:b/>
          <w:sz w:val="24"/>
          <w:szCs w:val="24"/>
        </w:rPr>
        <w:t>5.1</w:t>
      </w:r>
      <w:r w:rsidRPr="006F6EE5">
        <w:rPr>
          <w:b/>
          <w:sz w:val="24"/>
          <w:szCs w:val="24"/>
        </w:rPr>
        <w:tab/>
      </w:r>
      <w:proofErr w:type="spellStart"/>
      <w:r w:rsidRPr="006F6EE5">
        <w:rPr>
          <w:b/>
          <w:sz w:val="24"/>
          <w:szCs w:val="24"/>
        </w:rPr>
        <w:t>Farmakodynamiske</w:t>
      </w:r>
      <w:proofErr w:type="spellEnd"/>
      <w:r w:rsidRPr="006F6EE5">
        <w:rPr>
          <w:b/>
          <w:sz w:val="24"/>
          <w:szCs w:val="24"/>
        </w:rPr>
        <w:t xml:space="preserve"> egenskaber</w:t>
      </w:r>
    </w:p>
    <w:p w14:paraId="497CD71C" w14:textId="77777777" w:rsidR="00150AB9" w:rsidRPr="006F6EE5" w:rsidRDefault="00150AB9" w:rsidP="006F6EE5">
      <w:pPr>
        <w:ind w:left="851"/>
        <w:rPr>
          <w:sz w:val="24"/>
          <w:szCs w:val="24"/>
        </w:rPr>
      </w:pPr>
      <w:proofErr w:type="spellStart"/>
      <w:r w:rsidRPr="006F6EE5">
        <w:rPr>
          <w:sz w:val="24"/>
          <w:szCs w:val="24"/>
        </w:rPr>
        <w:t>Farmakoterapeutisk</w:t>
      </w:r>
      <w:proofErr w:type="spellEnd"/>
      <w:r w:rsidRPr="006F6EE5">
        <w:rPr>
          <w:sz w:val="24"/>
          <w:szCs w:val="24"/>
        </w:rPr>
        <w:t xml:space="preserve"> klassifikation: </w:t>
      </w:r>
      <w:proofErr w:type="spellStart"/>
      <w:r w:rsidRPr="006F6EE5">
        <w:rPr>
          <w:sz w:val="24"/>
          <w:szCs w:val="24"/>
        </w:rPr>
        <w:t>Antimykotika</w:t>
      </w:r>
      <w:proofErr w:type="spellEnd"/>
      <w:r w:rsidRPr="006F6EE5">
        <w:rPr>
          <w:sz w:val="24"/>
          <w:szCs w:val="24"/>
        </w:rPr>
        <w:t xml:space="preserve"> til systemisk brug, andre </w:t>
      </w:r>
      <w:proofErr w:type="spellStart"/>
      <w:r w:rsidRPr="006F6EE5">
        <w:rPr>
          <w:sz w:val="24"/>
          <w:szCs w:val="24"/>
        </w:rPr>
        <w:t>antimykotika</w:t>
      </w:r>
      <w:proofErr w:type="spellEnd"/>
      <w:r w:rsidRPr="006F6EE5">
        <w:rPr>
          <w:sz w:val="24"/>
          <w:szCs w:val="24"/>
        </w:rPr>
        <w:t xml:space="preserve"> til systemisk brug, ATC-kode: J02AX05</w:t>
      </w:r>
    </w:p>
    <w:p w14:paraId="55553C41" w14:textId="77777777" w:rsidR="00150AB9" w:rsidRPr="006F6EE5" w:rsidRDefault="00150AB9" w:rsidP="006F6EE5">
      <w:pPr>
        <w:ind w:left="851"/>
        <w:rPr>
          <w:sz w:val="24"/>
          <w:szCs w:val="24"/>
        </w:rPr>
      </w:pPr>
    </w:p>
    <w:p w14:paraId="41F55B23" w14:textId="77777777" w:rsidR="00150AB9" w:rsidRPr="006F6EE5" w:rsidRDefault="00150AB9" w:rsidP="006F6EE5">
      <w:pPr>
        <w:ind w:left="851"/>
        <w:rPr>
          <w:sz w:val="24"/>
          <w:szCs w:val="24"/>
          <w:u w:val="single"/>
        </w:rPr>
      </w:pPr>
      <w:r w:rsidRPr="006F6EE5">
        <w:rPr>
          <w:sz w:val="24"/>
          <w:szCs w:val="24"/>
          <w:u w:val="single"/>
        </w:rPr>
        <w:t>Virkningsmekanisme</w:t>
      </w:r>
    </w:p>
    <w:p w14:paraId="7CB6192A" w14:textId="77777777" w:rsidR="00150AB9" w:rsidRPr="006F6EE5" w:rsidRDefault="00150AB9" w:rsidP="006F6EE5">
      <w:pPr>
        <w:ind w:left="851"/>
        <w:rPr>
          <w:sz w:val="24"/>
          <w:szCs w:val="24"/>
        </w:rPr>
      </w:pPr>
    </w:p>
    <w:p w14:paraId="70F05D16" w14:textId="77777777" w:rsidR="00150AB9" w:rsidRPr="006F6EE5" w:rsidRDefault="00150AB9" w:rsidP="006F6EE5">
      <w:pPr>
        <w:ind w:left="851"/>
        <w:rPr>
          <w:sz w:val="24"/>
          <w:szCs w:val="24"/>
        </w:rPr>
      </w:pPr>
      <w:proofErr w:type="spellStart"/>
      <w:r w:rsidRPr="006F6EE5">
        <w:rPr>
          <w:sz w:val="24"/>
          <w:szCs w:val="24"/>
        </w:rPr>
        <w:t>Micafungin</w:t>
      </w:r>
      <w:proofErr w:type="spellEnd"/>
      <w:r w:rsidRPr="006F6EE5">
        <w:rPr>
          <w:sz w:val="24"/>
          <w:szCs w:val="24"/>
        </w:rPr>
        <w:t xml:space="preserve"> hæmmer ikke-</w:t>
      </w:r>
      <w:proofErr w:type="spellStart"/>
      <w:r w:rsidRPr="006F6EE5">
        <w:rPr>
          <w:sz w:val="24"/>
          <w:szCs w:val="24"/>
        </w:rPr>
        <w:t>kompetitivt</w:t>
      </w:r>
      <w:proofErr w:type="spellEnd"/>
      <w:r w:rsidRPr="006F6EE5">
        <w:rPr>
          <w:sz w:val="24"/>
          <w:szCs w:val="24"/>
        </w:rPr>
        <w:t xml:space="preserve"> syntesen af 1,3</w:t>
      </w:r>
      <w:r w:rsidRPr="006F6EE5">
        <w:rPr>
          <w:sz w:val="24"/>
          <w:szCs w:val="24"/>
        </w:rPr>
        <w:noBreakHyphen/>
        <w:t>β</w:t>
      </w:r>
      <w:r w:rsidRPr="006F6EE5">
        <w:rPr>
          <w:sz w:val="24"/>
          <w:szCs w:val="24"/>
        </w:rPr>
        <w:noBreakHyphen/>
        <w:t>D-</w:t>
      </w:r>
      <w:proofErr w:type="spellStart"/>
      <w:r w:rsidRPr="006F6EE5">
        <w:rPr>
          <w:sz w:val="24"/>
          <w:szCs w:val="24"/>
        </w:rPr>
        <w:t>glucan</w:t>
      </w:r>
      <w:proofErr w:type="spellEnd"/>
      <w:r w:rsidRPr="006F6EE5">
        <w:rPr>
          <w:sz w:val="24"/>
          <w:szCs w:val="24"/>
        </w:rPr>
        <w:t>, der er en essentiel komponent i svampens cellevæg. 1,3-β</w:t>
      </w:r>
      <w:r w:rsidRPr="006F6EE5">
        <w:rPr>
          <w:sz w:val="24"/>
          <w:szCs w:val="24"/>
        </w:rPr>
        <w:noBreakHyphen/>
        <w:t>D-</w:t>
      </w:r>
      <w:proofErr w:type="spellStart"/>
      <w:r w:rsidRPr="006F6EE5">
        <w:rPr>
          <w:sz w:val="24"/>
          <w:szCs w:val="24"/>
        </w:rPr>
        <w:t>glucan</w:t>
      </w:r>
      <w:proofErr w:type="spellEnd"/>
      <w:r w:rsidRPr="006F6EE5">
        <w:rPr>
          <w:sz w:val="24"/>
          <w:szCs w:val="24"/>
        </w:rPr>
        <w:t xml:space="preserve"> findes ikke i pattedyrs celler.</w:t>
      </w:r>
    </w:p>
    <w:p w14:paraId="50300682" w14:textId="77777777" w:rsidR="00150AB9" w:rsidRPr="006F6EE5" w:rsidRDefault="00150AB9" w:rsidP="006F6EE5">
      <w:pPr>
        <w:ind w:left="851"/>
        <w:rPr>
          <w:sz w:val="24"/>
          <w:szCs w:val="24"/>
        </w:rPr>
      </w:pPr>
      <w:proofErr w:type="spellStart"/>
      <w:r w:rsidRPr="006F6EE5">
        <w:rPr>
          <w:sz w:val="24"/>
          <w:szCs w:val="24"/>
        </w:rPr>
        <w:t>Micafungin</w:t>
      </w:r>
      <w:proofErr w:type="spellEnd"/>
      <w:r w:rsidRPr="006F6EE5">
        <w:rPr>
          <w:sz w:val="24"/>
          <w:szCs w:val="24"/>
        </w:rPr>
        <w:t xml:space="preserve"> udviser fungicid aktivitet mod de fleste </w:t>
      </w:r>
      <w:proofErr w:type="spellStart"/>
      <w:r w:rsidRPr="006F6EE5">
        <w:rPr>
          <w:i/>
          <w:iCs/>
          <w:sz w:val="24"/>
          <w:szCs w:val="24"/>
        </w:rPr>
        <w:t>Candida</w:t>
      </w:r>
      <w:proofErr w:type="spellEnd"/>
      <w:r w:rsidRPr="006F6EE5">
        <w:rPr>
          <w:sz w:val="24"/>
          <w:szCs w:val="24"/>
        </w:rPr>
        <w:t xml:space="preserve">-arter og hæmmer kraftigt aktivt voksende hyfer af </w:t>
      </w:r>
      <w:r w:rsidRPr="006F6EE5">
        <w:rPr>
          <w:i/>
          <w:iCs/>
          <w:sz w:val="24"/>
          <w:szCs w:val="24"/>
        </w:rPr>
        <w:t>Aspergillus</w:t>
      </w:r>
      <w:r w:rsidRPr="006F6EE5">
        <w:rPr>
          <w:sz w:val="24"/>
          <w:szCs w:val="24"/>
        </w:rPr>
        <w:t>-arter.</w:t>
      </w:r>
    </w:p>
    <w:p w14:paraId="5D768A42" w14:textId="77777777" w:rsidR="00150AB9" w:rsidRPr="006F6EE5" w:rsidRDefault="00150AB9" w:rsidP="006F6EE5">
      <w:pPr>
        <w:ind w:left="851"/>
        <w:rPr>
          <w:sz w:val="24"/>
          <w:szCs w:val="24"/>
        </w:rPr>
      </w:pPr>
    </w:p>
    <w:p w14:paraId="27A2E86F" w14:textId="77777777" w:rsidR="00150AB9" w:rsidRPr="006F6EE5" w:rsidRDefault="00150AB9" w:rsidP="006F6EE5">
      <w:pPr>
        <w:ind w:left="851"/>
        <w:rPr>
          <w:sz w:val="24"/>
          <w:szCs w:val="24"/>
          <w:u w:val="single"/>
        </w:rPr>
      </w:pPr>
      <w:proofErr w:type="spellStart"/>
      <w:r w:rsidRPr="006F6EE5">
        <w:rPr>
          <w:sz w:val="24"/>
          <w:szCs w:val="24"/>
          <w:u w:val="single"/>
        </w:rPr>
        <w:t>Farmakokinetiske</w:t>
      </w:r>
      <w:proofErr w:type="spellEnd"/>
      <w:r w:rsidRPr="006F6EE5">
        <w:rPr>
          <w:sz w:val="24"/>
          <w:szCs w:val="24"/>
          <w:u w:val="single"/>
        </w:rPr>
        <w:t>/</w:t>
      </w:r>
      <w:proofErr w:type="spellStart"/>
      <w:r w:rsidRPr="006F6EE5">
        <w:rPr>
          <w:sz w:val="24"/>
          <w:szCs w:val="24"/>
          <w:u w:val="single"/>
        </w:rPr>
        <w:t>farmakodynamiske</w:t>
      </w:r>
      <w:proofErr w:type="spellEnd"/>
      <w:r w:rsidRPr="006F6EE5">
        <w:rPr>
          <w:sz w:val="24"/>
          <w:szCs w:val="24"/>
          <w:u w:val="single"/>
        </w:rPr>
        <w:t xml:space="preserve"> (PK/PD) forhold</w:t>
      </w:r>
    </w:p>
    <w:p w14:paraId="2FBBB7BA" w14:textId="77777777" w:rsidR="00150AB9" w:rsidRPr="006F6EE5" w:rsidRDefault="00150AB9" w:rsidP="006F6EE5">
      <w:pPr>
        <w:ind w:left="851"/>
        <w:rPr>
          <w:sz w:val="24"/>
          <w:szCs w:val="24"/>
        </w:rPr>
      </w:pPr>
    </w:p>
    <w:p w14:paraId="4F842666" w14:textId="147D8601" w:rsidR="00150AB9" w:rsidRPr="006F6EE5" w:rsidRDefault="00150AB9" w:rsidP="006F6EE5">
      <w:pPr>
        <w:ind w:left="851"/>
        <w:rPr>
          <w:sz w:val="24"/>
          <w:szCs w:val="24"/>
        </w:rPr>
      </w:pPr>
      <w:r w:rsidRPr="006F6EE5">
        <w:rPr>
          <w:sz w:val="24"/>
          <w:szCs w:val="24"/>
        </w:rPr>
        <w:t xml:space="preserve">I dyremodeller af </w:t>
      </w:r>
      <w:proofErr w:type="spellStart"/>
      <w:r w:rsidRPr="006F6EE5">
        <w:rPr>
          <w:sz w:val="24"/>
          <w:szCs w:val="24"/>
        </w:rPr>
        <w:t>candidiasis</w:t>
      </w:r>
      <w:proofErr w:type="spellEnd"/>
      <w:r w:rsidRPr="006F6EE5">
        <w:rPr>
          <w:sz w:val="24"/>
          <w:szCs w:val="24"/>
        </w:rPr>
        <w:t xml:space="preserve"> blev det observeret, at der er en korrelation mellem eksponeringen for </w:t>
      </w:r>
      <w:proofErr w:type="spellStart"/>
      <w:r w:rsidRPr="006F6EE5">
        <w:rPr>
          <w:sz w:val="24"/>
          <w:szCs w:val="24"/>
        </w:rPr>
        <w:t>micafungin</w:t>
      </w:r>
      <w:proofErr w:type="spellEnd"/>
      <w:r w:rsidRPr="006F6EE5">
        <w:rPr>
          <w:sz w:val="24"/>
          <w:szCs w:val="24"/>
        </w:rPr>
        <w:t xml:space="preserve"> divideret med MIC (AUC/MIC) og virkningen defineret som den ratio, som er nødvendig for at hindre progressiv svampevækst. En ratio på ~2.400 og ~1.300 var nødvendig for henholdsvis </w:t>
      </w:r>
      <w:r w:rsidRPr="006F6EE5">
        <w:rPr>
          <w:i/>
          <w:iCs/>
          <w:sz w:val="24"/>
          <w:szCs w:val="24"/>
        </w:rPr>
        <w:t>C. </w:t>
      </w:r>
      <w:proofErr w:type="spellStart"/>
      <w:r w:rsidRPr="006F6EE5">
        <w:rPr>
          <w:i/>
          <w:iCs/>
          <w:sz w:val="24"/>
          <w:szCs w:val="24"/>
        </w:rPr>
        <w:t>albicans</w:t>
      </w:r>
      <w:proofErr w:type="spellEnd"/>
      <w:r w:rsidRPr="006F6EE5">
        <w:rPr>
          <w:sz w:val="24"/>
          <w:szCs w:val="24"/>
        </w:rPr>
        <w:t xml:space="preserve"> og </w:t>
      </w:r>
      <w:r w:rsidRPr="006F6EE5">
        <w:rPr>
          <w:i/>
          <w:iCs/>
          <w:sz w:val="24"/>
          <w:szCs w:val="24"/>
        </w:rPr>
        <w:t>C. </w:t>
      </w:r>
      <w:proofErr w:type="spellStart"/>
      <w:r w:rsidRPr="006F6EE5">
        <w:rPr>
          <w:i/>
          <w:iCs/>
          <w:sz w:val="24"/>
          <w:szCs w:val="24"/>
        </w:rPr>
        <w:t>glabrata</w:t>
      </w:r>
      <w:proofErr w:type="spellEnd"/>
      <w:r w:rsidRPr="006F6EE5">
        <w:rPr>
          <w:sz w:val="24"/>
          <w:szCs w:val="24"/>
        </w:rPr>
        <w:t xml:space="preserve"> i disse modeller. Ved den anbefalede terapeutiske dosis af </w:t>
      </w:r>
      <w:proofErr w:type="spellStart"/>
      <w:r w:rsidRPr="006F6EE5">
        <w:rPr>
          <w:sz w:val="24"/>
          <w:szCs w:val="24"/>
        </w:rPr>
        <w:t>Micafungin</w:t>
      </w:r>
      <w:proofErr w:type="spellEnd"/>
      <w:r w:rsidRPr="006F6EE5">
        <w:rPr>
          <w:sz w:val="24"/>
          <w:szCs w:val="24"/>
        </w:rPr>
        <w:t xml:space="preserve"> </w:t>
      </w:r>
      <w:r w:rsidR="006F6EE5">
        <w:rPr>
          <w:sz w:val="24"/>
          <w:szCs w:val="24"/>
        </w:rPr>
        <w:t>"</w:t>
      </w:r>
      <w:proofErr w:type="spellStart"/>
      <w:r w:rsidRPr="006F6EE5">
        <w:rPr>
          <w:sz w:val="24"/>
          <w:szCs w:val="24"/>
        </w:rPr>
        <w:t>Hikma</w:t>
      </w:r>
      <w:proofErr w:type="spellEnd"/>
      <w:r w:rsidR="006F6EE5">
        <w:rPr>
          <w:sz w:val="24"/>
          <w:szCs w:val="24"/>
        </w:rPr>
        <w:t>"</w:t>
      </w:r>
      <w:r w:rsidRPr="006F6EE5">
        <w:rPr>
          <w:sz w:val="24"/>
          <w:szCs w:val="24"/>
        </w:rPr>
        <w:t xml:space="preserve"> er disse ratioer opnåelige for vildtype-fordelingen af </w:t>
      </w:r>
      <w:proofErr w:type="spellStart"/>
      <w:r w:rsidRPr="006F6EE5">
        <w:rPr>
          <w:i/>
          <w:iCs/>
          <w:sz w:val="24"/>
          <w:szCs w:val="24"/>
        </w:rPr>
        <w:t>Candida</w:t>
      </w:r>
      <w:proofErr w:type="spellEnd"/>
      <w:r w:rsidRPr="006F6EE5">
        <w:rPr>
          <w:sz w:val="24"/>
          <w:szCs w:val="24"/>
        </w:rPr>
        <w:t xml:space="preserve"> </w:t>
      </w:r>
      <w:proofErr w:type="spellStart"/>
      <w:r w:rsidRPr="006F6EE5">
        <w:rPr>
          <w:sz w:val="24"/>
          <w:szCs w:val="24"/>
        </w:rPr>
        <w:t>spp</w:t>
      </w:r>
      <w:proofErr w:type="spellEnd"/>
      <w:r w:rsidRPr="006F6EE5">
        <w:rPr>
          <w:sz w:val="24"/>
          <w:szCs w:val="24"/>
        </w:rPr>
        <w:t>.</w:t>
      </w:r>
    </w:p>
    <w:p w14:paraId="1BC1EA01" w14:textId="77777777" w:rsidR="00150AB9" w:rsidRPr="006F6EE5" w:rsidRDefault="00150AB9" w:rsidP="006F6EE5">
      <w:pPr>
        <w:ind w:left="851"/>
        <w:rPr>
          <w:sz w:val="24"/>
          <w:szCs w:val="24"/>
        </w:rPr>
      </w:pPr>
    </w:p>
    <w:p w14:paraId="793ADEC2" w14:textId="77777777" w:rsidR="00150AB9" w:rsidRPr="006F6EE5" w:rsidRDefault="00150AB9" w:rsidP="006F6EE5">
      <w:pPr>
        <w:ind w:left="851"/>
        <w:rPr>
          <w:sz w:val="24"/>
          <w:szCs w:val="24"/>
          <w:u w:val="single"/>
        </w:rPr>
      </w:pPr>
      <w:r w:rsidRPr="006F6EE5">
        <w:rPr>
          <w:sz w:val="24"/>
          <w:szCs w:val="24"/>
          <w:u w:val="single"/>
        </w:rPr>
        <w:t>Resistensmekanisme(r)</w:t>
      </w:r>
    </w:p>
    <w:p w14:paraId="6280B3BB" w14:textId="77777777" w:rsidR="00150AB9" w:rsidRPr="006F6EE5" w:rsidRDefault="00150AB9" w:rsidP="006F6EE5">
      <w:pPr>
        <w:ind w:left="851"/>
        <w:rPr>
          <w:sz w:val="24"/>
          <w:szCs w:val="24"/>
        </w:rPr>
      </w:pPr>
    </w:p>
    <w:p w14:paraId="7E7C057D" w14:textId="77777777" w:rsidR="00150AB9" w:rsidRPr="006F6EE5" w:rsidRDefault="00150AB9" w:rsidP="006F6EE5">
      <w:pPr>
        <w:ind w:left="851"/>
        <w:rPr>
          <w:sz w:val="24"/>
          <w:szCs w:val="24"/>
        </w:rPr>
      </w:pPr>
      <w:r w:rsidRPr="006F6EE5">
        <w:rPr>
          <w:sz w:val="24"/>
          <w:szCs w:val="24"/>
        </w:rPr>
        <w:t xml:space="preserve">Som med alle antimikrobielle midler er der indberettet tilfælde af reduceret følsomhed, og resistens og krydsresistens med andre </w:t>
      </w:r>
      <w:proofErr w:type="spellStart"/>
      <w:r w:rsidRPr="006F6EE5">
        <w:rPr>
          <w:sz w:val="24"/>
          <w:szCs w:val="24"/>
        </w:rPr>
        <w:t>echinocandiner</w:t>
      </w:r>
      <w:proofErr w:type="spellEnd"/>
      <w:r w:rsidRPr="006F6EE5">
        <w:rPr>
          <w:sz w:val="24"/>
          <w:szCs w:val="24"/>
        </w:rPr>
        <w:t xml:space="preserve"> kan ikke udelukkes. Reduceret følsomhed over for </w:t>
      </w:r>
      <w:proofErr w:type="spellStart"/>
      <w:r w:rsidRPr="006F6EE5">
        <w:rPr>
          <w:sz w:val="24"/>
          <w:szCs w:val="24"/>
        </w:rPr>
        <w:t>echinocandiner</w:t>
      </w:r>
      <w:proofErr w:type="spellEnd"/>
      <w:r w:rsidRPr="006F6EE5">
        <w:rPr>
          <w:sz w:val="24"/>
          <w:szCs w:val="24"/>
        </w:rPr>
        <w:t xml:space="preserve"> har været associeret med mutationer i Fks1</w:t>
      </w:r>
      <w:r w:rsidRPr="006F6EE5">
        <w:rPr>
          <w:sz w:val="24"/>
          <w:szCs w:val="24"/>
        </w:rPr>
        <w:noBreakHyphen/>
        <w:t>og Fks2</w:t>
      </w:r>
      <w:r w:rsidRPr="006F6EE5">
        <w:rPr>
          <w:sz w:val="24"/>
          <w:szCs w:val="24"/>
        </w:rPr>
        <w:noBreakHyphen/>
        <w:t xml:space="preserve">generne, som koder for en større subunit i </w:t>
      </w:r>
      <w:proofErr w:type="spellStart"/>
      <w:r w:rsidRPr="006F6EE5">
        <w:rPr>
          <w:sz w:val="24"/>
          <w:szCs w:val="24"/>
        </w:rPr>
        <w:t>glucansyntase</w:t>
      </w:r>
      <w:proofErr w:type="spellEnd"/>
      <w:r w:rsidRPr="006F6EE5">
        <w:rPr>
          <w:sz w:val="24"/>
          <w:szCs w:val="24"/>
        </w:rPr>
        <w:t>.</w:t>
      </w:r>
    </w:p>
    <w:p w14:paraId="76EB9693" w14:textId="77777777" w:rsidR="00150AB9" w:rsidRPr="006F6EE5" w:rsidRDefault="00150AB9" w:rsidP="006F6EE5">
      <w:pPr>
        <w:ind w:left="851"/>
        <w:rPr>
          <w:sz w:val="24"/>
          <w:szCs w:val="24"/>
        </w:rPr>
      </w:pPr>
    </w:p>
    <w:p w14:paraId="46FC8382" w14:textId="77777777" w:rsidR="00150AB9" w:rsidRPr="006F6EE5" w:rsidRDefault="00150AB9" w:rsidP="006F6EE5">
      <w:pPr>
        <w:ind w:left="851"/>
        <w:rPr>
          <w:sz w:val="24"/>
          <w:szCs w:val="24"/>
          <w:u w:val="single"/>
        </w:rPr>
      </w:pPr>
      <w:r w:rsidRPr="006F6EE5">
        <w:rPr>
          <w:sz w:val="24"/>
          <w:szCs w:val="24"/>
          <w:u w:val="single"/>
        </w:rPr>
        <w:t>Grænseværdier</w:t>
      </w:r>
    </w:p>
    <w:p w14:paraId="604DE0AD" w14:textId="77777777" w:rsidR="00150AB9" w:rsidRPr="006F6EE5" w:rsidRDefault="00150AB9" w:rsidP="006F6EE5">
      <w:pPr>
        <w:ind w:left="851"/>
        <w:rPr>
          <w:sz w:val="24"/>
          <w:szCs w:val="24"/>
        </w:rPr>
      </w:pPr>
    </w:p>
    <w:p w14:paraId="26B12D82" w14:textId="77777777" w:rsidR="00150AB9" w:rsidRPr="006F6EE5" w:rsidRDefault="00150AB9" w:rsidP="00150AB9">
      <w:pPr>
        <w:suppressAutoHyphens/>
        <w:rPr>
          <w:sz w:val="24"/>
          <w:szCs w:val="24"/>
        </w:rPr>
      </w:pPr>
      <w:r w:rsidRPr="006F6EE5">
        <w:rPr>
          <w:sz w:val="24"/>
          <w:szCs w:val="24"/>
        </w:rPr>
        <w:t>EUCAST-grænseværdier</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758"/>
        <w:gridCol w:w="3008"/>
        <w:gridCol w:w="2856"/>
      </w:tblGrid>
      <w:tr w:rsidR="00150AB9" w:rsidRPr="006F6EE5" w14:paraId="4D0CFF7D" w14:textId="77777777" w:rsidTr="006F6EE5">
        <w:trPr>
          <w:trHeight w:val="300"/>
        </w:trPr>
        <w:tc>
          <w:tcPr>
            <w:tcW w:w="1953" w:type="pct"/>
            <w:vMerge w:val="restart"/>
            <w:tcBorders>
              <w:top w:val="single" w:sz="6" w:space="0" w:color="000000"/>
              <w:left w:val="single" w:sz="6" w:space="0" w:color="000000"/>
              <w:bottom w:val="single" w:sz="6" w:space="0" w:color="000000"/>
              <w:right w:val="single" w:sz="6" w:space="0" w:color="000000"/>
            </w:tcBorders>
            <w:hideMark/>
          </w:tcPr>
          <w:p w14:paraId="762B93D6" w14:textId="77777777" w:rsidR="00150AB9" w:rsidRPr="006F6EE5" w:rsidRDefault="00150AB9">
            <w:pPr>
              <w:suppressAutoHyphens/>
              <w:rPr>
                <w:sz w:val="24"/>
                <w:szCs w:val="24"/>
                <w:lang w:val="en-GB"/>
              </w:rPr>
            </w:pPr>
            <w:r w:rsidRPr="006F6EE5">
              <w:rPr>
                <w:i/>
                <w:iCs/>
                <w:sz w:val="24"/>
                <w:szCs w:val="24"/>
                <w:lang w:val="en-GB"/>
              </w:rPr>
              <w:t>Candida</w:t>
            </w:r>
            <w:r w:rsidRPr="006F6EE5">
              <w:rPr>
                <w:sz w:val="24"/>
                <w:szCs w:val="24"/>
                <w:lang w:val="en-GB"/>
              </w:rPr>
              <w:t>-</w:t>
            </w:r>
            <w:proofErr w:type="spellStart"/>
            <w:r w:rsidRPr="006F6EE5">
              <w:rPr>
                <w:sz w:val="24"/>
                <w:szCs w:val="24"/>
                <w:lang w:val="en-GB"/>
              </w:rPr>
              <w:t>arter</w:t>
            </w:r>
            <w:proofErr w:type="spellEnd"/>
          </w:p>
        </w:tc>
        <w:tc>
          <w:tcPr>
            <w:tcW w:w="3047" w:type="pct"/>
            <w:gridSpan w:val="2"/>
            <w:tcBorders>
              <w:top w:val="single" w:sz="6" w:space="0" w:color="000000"/>
              <w:left w:val="single" w:sz="6" w:space="0" w:color="000000"/>
              <w:bottom w:val="single" w:sz="6" w:space="0" w:color="000000"/>
              <w:right w:val="single" w:sz="6" w:space="0" w:color="000000"/>
            </w:tcBorders>
            <w:hideMark/>
          </w:tcPr>
          <w:p w14:paraId="00D3811E" w14:textId="77777777" w:rsidR="00150AB9" w:rsidRPr="006F6EE5" w:rsidRDefault="00150AB9">
            <w:pPr>
              <w:suppressAutoHyphens/>
              <w:rPr>
                <w:sz w:val="24"/>
                <w:szCs w:val="24"/>
                <w:lang w:val="en-GB"/>
              </w:rPr>
            </w:pPr>
            <w:r w:rsidRPr="006F6EE5">
              <w:rPr>
                <w:sz w:val="24"/>
                <w:szCs w:val="24"/>
                <w:lang w:val="en-GB"/>
              </w:rPr>
              <w:t>MIC-</w:t>
            </w:r>
            <w:proofErr w:type="spellStart"/>
            <w:r w:rsidRPr="006F6EE5">
              <w:rPr>
                <w:sz w:val="24"/>
                <w:szCs w:val="24"/>
                <w:lang w:val="en-GB"/>
              </w:rPr>
              <w:t>grænseværdi</w:t>
            </w:r>
            <w:proofErr w:type="spellEnd"/>
            <w:r w:rsidRPr="006F6EE5">
              <w:rPr>
                <w:sz w:val="24"/>
                <w:szCs w:val="24"/>
                <w:lang w:val="en-GB"/>
              </w:rPr>
              <w:t xml:space="preserve"> (mg/l)</w:t>
            </w:r>
          </w:p>
        </w:tc>
      </w:tr>
      <w:tr w:rsidR="00150AB9" w:rsidRPr="006F6EE5" w14:paraId="50106B31" w14:textId="77777777" w:rsidTr="006F6EE5">
        <w:trPr>
          <w:trHeight w:val="285"/>
        </w:trPr>
        <w:tc>
          <w:tcPr>
            <w:tcW w:w="1953" w:type="pct"/>
            <w:vMerge/>
            <w:tcBorders>
              <w:top w:val="single" w:sz="6" w:space="0" w:color="000000"/>
              <w:left w:val="single" w:sz="6" w:space="0" w:color="000000"/>
              <w:bottom w:val="single" w:sz="6" w:space="0" w:color="000000"/>
              <w:right w:val="single" w:sz="6" w:space="0" w:color="000000"/>
            </w:tcBorders>
            <w:vAlign w:val="center"/>
            <w:hideMark/>
          </w:tcPr>
          <w:p w14:paraId="06B242F8" w14:textId="77777777" w:rsidR="00150AB9" w:rsidRPr="006F6EE5" w:rsidRDefault="00150AB9">
            <w:pPr>
              <w:rPr>
                <w:sz w:val="24"/>
                <w:szCs w:val="24"/>
                <w:lang w:val="en-GB"/>
              </w:rPr>
            </w:pPr>
          </w:p>
        </w:tc>
        <w:tc>
          <w:tcPr>
            <w:tcW w:w="1563" w:type="pct"/>
            <w:tcBorders>
              <w:top w:val="single" w:sz="6" w:space="0" w:color="000000"/>
              <w:left w:val="single" w:sz="6" w:space="0" w:color="000000"/>
              <w:bottom w:val="single" w:sz="6" w:space="0" w:color="000000"/>
              <w:right w:val="single" w:sz="6" w:space="0" w:color="000000"/>
            </w:tcBorders>
            <w:hideMark/>
          </w:tcPr>
          <w:p w14:paraId="7FBFD9E4" w14:textId="77777777" w:rsidR="00150AB9" w:rsidRPr="006F6EE5" w:rsidRDefault="00150AB9">
            <w:pPr>
              <w:suppressAutoHyphens/>
              <w:rPr>
                <w:sz w:val="24"/>
                <w:szCs w:val="24"/>
                <w:lang w:val="en-GB"/>
              </w:rPr>
            </w:pPr>
            <w:r w:rsidRPr="006F6EE5">
              <w:rPr>
                <w:sz w:val="24"/>
                <w:szCs w:val="24"/>
                <w:lang w:val="en-GB"/>
              </w:rPr>
              <w:t>≤ S (</w:t>
            </w:r>
            <w:proofErr w:type="spellStart"/>
            <w:r w:rsidRPr="006F6EE5">
              <w:rPr>
                <w:sz w:val="24"/>
                <w:szCs w:val="24"/>
                <w:lang w:val="en-GB"/>
              </w:rPr>
              <w:t>Følsom</w:t>
            </w:r>
            <w:proofErr w:type="spellEnd"/>
            <w:r w:rsidRPr="006F6EE5">
              <w:rPr>
                <w:sz w:val="24"/>
                <w:szCs w:val="24"/>
                <w:lang w:val="en-GB"/>
              </w:rPr>
              <w:t>)</w:t>
            </w:r>
          </w:p>
        </w:tc>
        <w:tc>
          <w:tcPr>
            <w:tcW w:w="1484" w:type="pct"/>
            <w:tcBorders>
              <w:top w:val="single" w:sz="6" w:space="0" w:color="000000"/>
              <w:left w:val="single" w:sz="6" w:space="0" w:color="000000"/>
              <w:bottom w:val="single" w:sz="6" w:space="0" w:color="000000"/>
              <w:right w:val="single" w:sz="6" w:space="0" w:color="000000"/>
            </w:tcBorders>
            <w:hideMark/>
          </w:tcPr>
          <w:p w14:paraId="7E16E9B3" w14:textId="77777777" w:rsidR="00150AB9" w:rsidRPr="006F6EE5" w:rsidRDefault="00150AB9">
            <w:pPr>
              <w:suppressAutoHyphens/>
              <w:rPr>
                <w:sz w:val="24"/>
                <w:szCs w:val="24"/>
                <w:lang w:val="en-GB"/>
              </w:rPr>
            </w:pPr>
            <w:r w:rsidRPr="006F6EE5">
              <w:rPr>
                <w:sz w:val="24"/>
                <w:szCs w:val="24"/>
                <w:lang w:val="en-GB"/>
              </w:rPr>
              <w:t>&gt; R (</w:t>
            </w:r>
            <w:proofErr w:type="spellStart"/>
            <w:r w:rsidRPr="006F6EE5">
              <w:rPr>
                <w:sz w:val="24"/>
                <w:szCs w:val="24"/>
                <w:lang w:val="en-GB"/>
              </w:rPr>
              <w:t>Resistent</w:t>
            </w:r>
            <w:proofErr w:type="spellEnd"/>
            <w:r w:rsidRPr="006F6EE5">
              <w:rPr>
                <w:sz w:val="24"/>
                <w:szCs w:val="24"/>
                <w:lang w:val="en-GB"/>
              </w:rPr>
              <w:t>)</w:t>
            </w:r>
          </w:p>
        </w:tc>
      </w:tr>
      <w:tr w:rsidR="00150AB9" w:rsidRPr="006F6EE5" w14:paraId="4D0021DD" w14:textId="77777777" w:rsidTr="006F6EE5">
        <w:trPr>
          <w:trHeight w:val="300"/>
        </w:trPr>
        <w:tc>
          <w:tcPr>
            <w:tcW w:w="1953" w:type="pct"/>
            <w:tcBorders>
              <w:top w:val="single" w:sz="6" w:space="0" w:color="000000"/>
              <w:left w:val="single" w:sz="6" w:space="0" w:color="000000"/>
              <w:bottom w:val="single" w:sz="6" w:space="0" w:color="000000"/>
              <w:right w:val="single" w:sz="6" w:space="0" w:color="000000"/>
            </w:tcBorders>
            <w:hideMark/>
          </w:tcPr>
          <w:p w14:paraId="20ED17AF" w14:textId="77777777" w:rsidR="00150AB9" w:rsidRPr="006F6EE5" w:rsidRDefault="00150AB9">
            <w:pPr>
              <w:suppressAutoHyphens/>
              <w:rPr>
                <w:i/>
                <w:sz w:val="24"/>
                <w:szCs w:val="24"/>
                <w:lang w:val="en-GB"/>
              </w:rPr>
            </w:pPr>
            <w:r w:rsidRPr="006F6EE5">
              <w:rPr>
                <w:i/>
                <w:sz w:val="24"/>
                <w:szCs w:val="24"/>
                <w:lang w:val="en-GB"/>
              </w:rPr>
              <w:t>Candida albicans</w:t>
            </w:r>
          </w:p>
        </w:tc>
        <w:tc>
          <w:tcPr>
            <w:tcW w:w="1563" w:type="pct"/>
            <w:tcBorders>
              <w:top w:val="single" w:sz="6" w:space="0" w:color="000000"/>
              <w:left w:val="single" w:sz="6" w:space="0" w:color="000000"/>
              <w:bottom w:val="single" w:sz="6" w:space="0" w:color="000000"/>
              <w:right w:val="single" w:sz="6" w:space="0" w:color="000000"/>
            </w:tcBorders>
            <w:hideMark/>
          </w:tcPr>
          <w:p w14:paraId="42B26918" w14:textId="77777777" w:rsidR="00150AB9" w:rsidRPr="006F6EE5" w:rsidRDefault="00150AB9">
            <w:pPr>
              <w:suppressAutoHyphens/>
              <w:rPr>
                <w:sz w:val="24"/>
                <w:szCs w:val="24"/>
                <w:lang w:val="en-GB"/>
              </w:rPr>
            </w:pPr>
            <w:r w:rsidRPr="006F6EE5">
              <w:rPr>
                <w:sz w:val="24"/>
                <w:szCs w:val="24"/>
                <w:lang w:val="en-GB"/>
              </w:rPr>
              <w:t>0,016</w:t>
            </w:r>
          </w:p>
        </w:tc>
        <w:tc>
          <w:tcPr>
            <w:tcW w:w="1484" w:type="pct"/>
            <w:tcBorders>
              <w:top w:val="single" w:sz="6" w:space="0" w:color="000000"/>
              <w:left w:val="single" w:sz="6" w:space="0" w:color="000000"/>
              <w:bottom w:val="single" w:sz="6" w:space="0" w:color="000000"/>
              <w:right w:val="single" w:sz="6" w:space="0" w:color="000000"/>
            </w:tcBorders>
            <w:hideMark/>
          </w:tcPr>
          <w:p w14:paraId="5176935C" w14:textId="77777777" w:rsidR="00150AB9" w:rsidRPr="006F6EE5" w:rsidRDefault="00150AB9">
            <w:pPr>
              <w:suppressAutoHyphens/>
              <w:rPr>
                <w:sz w:val="24"/>
                <w:szCs w:val="24"/>
                <w:lang w:val="en-GB"/>
              </w:rPr>
            </w:pPr>
            <w:r w:rsidRPr="006F6EE5">
              <w:rPr>
                <w:sz w:val="24"/>
                <w:szCs w:val="24"/>
                <w:lang w:val="en-GB"/>
              </w:rPr>
              <w:t>0,016</w:t>
            </w:r>
          </w:p>
        </w:tc>
      </w:tr>
      <w:tr w:rsidR="00150AB9" w:rsidRPr="006F6EE5" w14:paraId="5B46A5B4" w14:textId="77777777" w:rsidTr="006F6EE5">
        <w:trPr>
          <w:trHeight w:val="300"/>
        </w:trPr>
        <w:tc>
          <w:tcPr>
            <w:tcW w:w="1953" w:type="pct"/>
            <w:tcBorders>
              <w:top w:val="single" w:sz="6" w:space="0" w:color="000000"/>
              <w:left w:val="single" w:sz="6" w:space="0" w:color="000000"/>
              <w:bottom w:val="single" w:sz="6" w:space="0" w:color="000000"/>
              <w:right w:val="single" w:sz="6" w:space="0" w:color="000000"/>
            </w:tcBorders>
            <w:hideMark/>
          </w:tcPr>
          <w:p w14:paraId="191FF547" w14:textId="77777777" w:rsidR="00150AB9" w:rsidRPr="006F6EE5" w:rsidRDefault="00150AB9">
            <w:pPr>
              <w:suppressAutoHyphens/>
              <w:rPr>
                <w:i/>
                <w:sz w:val="24"/>
                <w:szCs w:val="24"/>
                <w:lang w:val="en-GB"/>
              </w:rPr>
            </w:pPr>
            <w:r w:rsidRPr="006F6EE5">
              <w:rPr>
                <w:i/>
                <w:sz w:val="24"/>
                <w:szCs w:val="24"/>
                <w:lang w:val="en-GB"/>
              </w:rPr>
              <w:t>Candida glabrata</w:t>
            </w:r>
          </w:p>
        </w:tc>
        <w:tc>
          <w:tcPr>
            <w:tcW w:w="1563" w:type="pct"/>
            <w:tcBorders>
              <w:top w:val="single" w:sz="6" w:space="0" w:color="000000"/>
              <w:left w:val="single" w:sz="6" w:space="0" w:color="000000"/>
              <w:bottom w:val="single" w:sz="6" w:space="0" w:color="000000"/>
              <w:right w:val="single" w:sz="6" w:space="0" w:color="000000"/>
            </w:tcBorders>
            <w:hideMark/>
          </w:tcPr>
          <w:p w14:paraId="7A115E09" w14:textId="77777777" w:rsidR="00150AB9" w:rsidRPr="006F6EE5" w:rsidRDefault="00150AB9">
            <w:pPr>
              <w:suppressAutoHyphens/>
              <w:rPr>
                <w:sz w:val="24"/>
                <w:szCs w:val="24"/>
                <w:lang w:val="en-GB"/>
              </w:rPr>
            </w:pPr>
            <w:r w:rsidRPr="006F6EE5">
              <w:rPr>
                <w:sz w:val="24"/>
                <w:szCs w:val="24"/>
                <w:lang w:val="en-GB"/>
              </w:rPr>
              <w:t>0,03</w:t>
            </w:r>
          </w:p>
        </w:tc>
        <w:tc>
          <w:tcPr>
            <w:tcW w:w="1484" w:type="pct"/>
            <w:tcBorders>
              <w:top w:val="single" w:sz="6" w:space="0" w:color="000000"/>
              <w:left w:val="single" w:sz="6" w:space="0" w:color="000000"/>
              <w:bottom w:val="single" w:sz="6" w:space="0" w:color="000000"/>
              <w:right w:val="single" w:sz="6" w:space="0" w:color="000000"/>
            </w:tcBorders>
            <w:hideMark/>
          </w:tcPr>
          <w:p w14:paraId="075176C9" w14:textId="77777777" w:rsidR="00150AB9" w:rsidRPr="006F6EE5" w:rsidRDefault="00150AB9">
            <w:pPr>
              <w:suppressAutoHyphens/>
              <w:rPr>
                <w:sz w:val="24"/>
                <w:szCs w:val="24"/>
                <w:lang w:val="en-GB"/>
              </w:rPr>
            </w:pPr>
            <w:r w:rsidRPr="006F6EE5">
              <w:rPr>
                <w:sz w:val="24"/>
                <w:szCs w:val="24"/>
                <w:lang w:val="en-GB"/>
              </w:rPr>
              <w:t>0,03</w:t>
            </w:r>
          </w:p>
        </w:tc>
      </w:tr>
      <w:tr w:rsidR="00150AB9" w:rsidRPr="006F6EE5" w14:paraId="12F45A40" w14:textId="77777777" w:rsidTr="006F6EE5">
        <w:trPr>
          <w:trHeight w:val="284"/>
        </w:trPr>
        <w:tc>
          <w:tcPr>
            <w:tcW w:w="1953" w:type="pct"/>
            <w:tcBorders>
              <w:top w:val="single" w:sz="6" w:space="0" w:color="000000"/>
              <w:left w:val="single" w:sz="6" w:space="0" w:color="000000"/>
              <w:bottom w:val="single" w:sz="6" w:space="0" w:color="000000"/>
              <w:right w:val="single" w:sz="6" w:space="0" w:color="000000"/>
            </w:tcBorders>
            <w:hideMark/>
          </w:tcPr>
          <w:p w14:paraId="404FDC6F" w14:textId="77777777" w:rsidR="00150AB9" w:rsidRPr="006F6EE5" w:rsidRDefault="00150AB9">
            <w:pPr>
              <w:suppressAutoHyphens/>
              <w:rPr>
                <w:i/>
                <w:sz w:val="24"/>
                <w:szCs w:val="24"/>
                <w:lang w:val="en-GB"/>
              </w:rPr>
            </w:pPr>
            <w:r w:rsidRPr="006F6EE5">
              <w:rPr>
                <w:i/>
                <w:sz w:val="24"/>
                <w:szCs w:val="24"/>
                <w:lang w:val="en-GB"/>
              </w:rPr>
              <w:t xml:space="preserve">Candida </w:t>
            </w:r>
            <w:proofErr w:type="spellStart"/>
            <w:r w:rsidRPr="006F6EE5">
              <w:rPr>
                <w:i/>
                <w:sz w:val="24"/>
                <w:szCs w:val="24"/>
                <w:lang w:val="en-GB"/>
              </w:rPr>
              <w:t>parapsilosis</w:t>
            </w:r>
            <w:proofErr w:type="spellEnd"/>
          </w:p>
        </w:tc>
        <w:tc>
          <w:tcPr>
            <w:tcW w:w="1563" w:type="pct"/>
            <w:tcBorders>
              <w:top w:val="single" w:sz="6" w:space="0" w:color="000000"/>
              <w:left w:val="single" w:sz="6" w:space="0" w:color="000000"/>
              <w:bottom w:val="single" w:sz="6" w:space="0" w:color="000000"/>
              <w:right w:val="single" w:sz="6" w:space="0" w:color="000000"/>
            </w:tcBorders>
            <w:hideMark/>
          </w:tcPr>
          <w:p w14:paraId="52C85355" w14:textId="77777777" w:rsidR="00150AB9" w:rsidRPr="006F6EE5" w:rsidRDefault="00150AB9">
            <w:pPr>
              <w:suppressAutoHyphens/>
              <w:rPr>
                <w:sz w:val="24"/>
                <w:szCs w:val="24"/>
                <w:lang w:val="en-GB"/>
              </w:rPr>
            </w:pPr>
            <w:r w:rsidRPr="006F6EE5">
              <w:rPr>
                <w:sz w:val="24"/>
                <w:szCs w:val="24"/>
                <w:lang w:val="en-GB"/>
              </w:rPr>
              <w:t>0,002</w:t>
            </w:r>
          </w:p>
        </w:tc>
        <w:tc>
          <w:tcPr>
            <w:tcW w:w="1484" w:type="pct"/>
            <w:tcBorders>
              <w:top w:val="single" w:sz="6" w:space="0" w:color="000000"/>
              <w:left w:val="single" w:sz="6" w:space="0" w:color="000000"/>
              <w:bottom w:val="single" w:sz="6" w:space="0" w:color="000000"/>
              <w:right w:val="single" w:sz="6" w:space="0" w:color="000000"/>
            </w:tcBorders>
            <w:hideMark/>
          </w:tcPr>
          <w:p w14:paraId="6A31C8E1" w14:textId="77777777" w:rsidR="00150AB9" w:rsidRPr="006F6EE5" w:rsidRDefault="00150AB9">
            <w:pPr>
              <w:suppressAutoHyphens/>
              <w:rPr>
                <w:sz w:val="24"/>
                <w:szCs w:val="24"/>
                <w:lang w:val="en-GB"/>
              </w:rPr>
            </w:pPr>
            <w:r w:rsidRPr="006F6EE5">
              <w:rPr>
                <w:sz w:val="24"/>
                <w:szCs w:val="24"/>
                <w:lang w:val="en-GB"/>
              </w:rPr>
              <w:t>2</w:t>
            </w:r>
          </w:p>
        </w:tc>
      </w:tr>
      <w:tr w:rsidR="00150AB9" w:rsidRPr="006F6EE5" w14:paraId="04E293E7" w14:textId="77777777" w:rsidTr="006F6EE5">
        <w:trPr>
          <w:trHeight w:val="300"/>
        </w:trPr>
        <w:tc>
          <w:tcPr>
            <w:tcW w:w="1953" w:type="pct"/>
            <w:tcBorders>
              <w:top w:val="single" w:sz="6" w:space="0" w:color="000000"/>
              <w:left w:val="single" w:sz="6" w:space="0" w:color="000000"/>
              <w:bottom w:val="single" w:sz="6" w:space="0" w:color="000000"/>
              <w:right w:val="single" w:sz="6" w:space="0" w:color="000000"/>
            </w:tcBorders>
            <w:hideMark/>
          </w:tcPr>
          <w:p w14:paraId="4336FC0D" w14:textId="77777777" w:rsidR="00150AB9" w:rsidRPr="006F6EE5" w:rsidRDefault="00150AB9">
            <w:pPr>
              <w:suppressAutoHyphens/>
              <w:rPr>
                <w:b/>
                <w:i/>
                <w:sz w:val="24"/>
                <w:szCs w:val="24"/>
                <w:lang w:val="en-GB"/>
              </w:rPr>
            </w:pPr>
            <w:r w:rsidRPr="006F6EE5">
              <w:rPr>
                <w:i/>
                <w:sz w:val="24"/>
                <w:szCs w:val="24"/>
                <w:lang w:val="en-GB"/>
              </w:rPr>
              <w:t>Candida tropicalis</w:t>
            </w:r>
            <w:r w:rsidRPr="006F6EE5">
              <w:rPr>
                <w:b/>
                <w:i/>
                <w:sz w:val="24"/>
                <w:szCs w:val="24"/>
                <w:vertAlign w:val="superscript"/>
                <w:lang w:val="en-GB"/>
              </w:rPr>
              <w:t>1</w:t>
            </w:r>
          </w:p>
        </w:tc>
        <w:tc>
          <w:tcPr>
            <w:tcW w:w="3047" w:type="pct"/>
            <w:gridSpan w:val="2"/>
            <w:tcBorders>
              <w:top w:val="single" w:sz="6" w:space="0" w:color="000000"/>
              <w:left w:val="single" w:sz="6" w:space="0" w:color="000000"/>
              <w:bottom w:val="single" w:sz="6" w:space="0" w:color="000000"/>
              <w:right w:val="single" w:sz="6" w:space="0" w:color="000000"/>
            </w:tcBorders>
            <w:hideMark/>
          </w:tcPr>
          <w:p w14:paraId="2F705E68" w14:textId="77777777" w:rsidR="00150AB9" w:rsidRPr="006F6EE5" w:rsidRDefault="00150AB9">
            <w:pPr>
              <w:suppressAutoHyphens/>
              <w:rPr>
                <w:sz w:val="24"/>
                <w:szCs w:val="24"/>
                <w:lang w:val="en-GB"/>
              </w:rPr>
            </w:pPr>
            <w:proofErr w:type="spellStart"/>
            <w:r w:rsidRPr="006F6EE5">
              <w:rPr>
                <w:sz w:val="24"/>
                <w:szCs w:val="24"/>
                <w:lang w:val="en-GB"/>
              </w:rPr>
              <w:t>Utilstrækkelig</w:t>
            </w:r>
            <w:proofErr w:type="spellEnd"/>
            <w:r w:rsidRPr="006F6EE5">
              <w:rPr>
                <w:sz w:val="24"/>
                <w:szCs w:val="24"/>
                <w:lang w:val="en-GB"/>
              </w:rPr>
              <w:t xml:space="preserve"> </w:t>
            </w:r>
            <w:proofErr w:type="spellStart"/>
            <w:r w:rsidRPr="006F6EE5">
              <w:rPr>
                <w:sz w:val="24"/>
                <w:szCs w:val="24"/>
                <w:lang w:val="en-GB"/>
              </w:rPr>
              <w:t>evidens</w:t>
            </w:r>
            <w:proofErr w:type="spellEnd"/>
          </w:p>
        </w:tc>
      </w:tr>
      <w:tr w:rsidR="00150AB9" w:rsidRPr="006F6EE5" w14:paraId="6DB02B0B" w14:textId="77777777" w:rsidTr="006F6EE5">
        <w:trPr>
          <w:trHeight w:val="300"/>
        </w:trPr>
        <w:tc>
          <w:tcPr>
            <w:tcW w:w="1953" w:type="pct"/>
            <w:tcBorders>
              <w:top w:val="single" w:sz="6" w:space="0" w:color="000000"/>
              <w:left w:val="single" w:sz="6" w:space="0" w:color="000000"/>
              <w:bottom w:val="single" w:sz="6" w:space="0" w:color="000000"/>
              <w:right w:val="single" w:sz="6" w:space="0" w:color="000000"/>
            </w:tcBorders>
            <w:hideMark/>
          </w:tcPr>
          <w:p w14:paraId="0350A969" w14:textId="77777777" w:rsidR="00150AB9" w:rsidRPr="006F6EE5" w:rsidRDefault="00150AB9">
            <w:pPr>
              <w:suppressAutoHyphens/>
              <w:rPr>
                <w:b/>
                <w:i/>
                <w:sz w:val="24"/>
                <w:szCs w:val="24"/>
                <w:lang w:val="en-GB"/>
              </w:rPr>
            </w:pPr>
            <w:r w:rsidRPr="006F6EE5">
              <w:rPr>
                <w:i/>
                <w:sz w:val="24"/>
                <w:szCs w:val="24"/>
                <w:lang w:val="en-GB"/>
              </w:rPr>
              <w:t>Candida krusei</w:t>
            </w:r>
            <w:r w:rsidRPr="006F6EE5">
              <w:rPr>
                <w:b/>
                <w:i/>
                <w:sz w:val="24"/>
                <w:szCs w:val="24"/>
                <w:vertAlign w:val="superscript"/>
                <w:lang w:val="en-GB"/>
              </w:rPr>
              <w:t>1</w:t>
            </w:r>
          </w:p>
        </w:tc>
        <w:tc>
          <w:tcPr>
            <w:tcW w:w="3047" w:type="pct"/>
            <w:gridSpan w:val="2"/>
            <w:tcBorders>
              <w:top w:val="single" w:sz="6" w:space="0" w:color="000000"/>
              <w:left w:val="single" w:sz="6" w:space="0" w:color="000000"/>
              <w:bottom w:val="single" w:sz="6" w:space="0" w:color="000000"/>
              <w:right w:val="single" w:sz="6" w:space="0" w:color="000000"/>
            </w:tcBorders>
            <w:hideMark/>
          </w:tcPr>
          <w:p w14:paraId="487FE63A" w14:textId="77777777" w:rsidR="00150AB9" w:rsidRPr="006F6EE5" w:rsidRDefault="00150AB9">
            <w:pPr>
              <w:suppressAutoHyphens/>
              <w:rPr>
                <w:sz w:val="24"/>
                <w:szCs w:val="24"/>
                <w:lang w:val="en-GB"/>
              </w:rPr>
            </w:pPr>
            <w:proofErr w:type="spellStart"/>
            <w:r w:rsidRPr="006F6EE5">
              <w:rPr>
                <w:sz w:val="24"/>
                <w:szCs w:val="24"/>
                <w:lang w:val="en-GB"/>
              </w:rPr>
              <w:t>Utilstrækkelig</w:t>
            </w:r>
            <w:proofErr w:type="spellEnd"/>
            <w:r w:rsidRPr="006F6EE5">
              <w:rPr>
                <w:sz w:val="24"/>
                <w:szCs w:val="24"/>
                <w:lang w:val="en-GB"/>
              </w:rPr>
              <w:t xml:space="preserve"> </w:t>
            </w:r>
            <w:proofErr w:type="spellStart"/>
            <w:r w:rsidRPr="006F6EE5">
              <w:rPr>
                <w:sz w:val="24"/>
                <w:szCs w:val="24"/>
                <w:lang w:val="en-GB"/>
              </w:rPr>
              <w:t>evidens</w:t>
            </w:r>
            <w:proofErr w:type="spellEnd"/>
          </w:p>
        </w:tc>
      </w:tr>
      <w:tr w:rsidR="00150AB9" w:rsidRPr="006F6EE5" w14:paraId="5EB66D86" w14:textId="77777777" w:rsidTr="006F6EE5">
        <w:trPr>
          <w:trHeight w:val="285"/>
        </w:trPr>
        <w:tc>
          <w:tcPr>
            <w:tcW w:w="1953" w:type="pct"/>
            <w:tcBorders>
              <w:top w:val="single" w:sz="6" w:space="0" w:color="000000"/>
              <w:left w:val="single" w:sz="6" w:space="0" w:color="000000"/>
              <w:bottom w:val="single" w:sz="6" w:space="0" w:color="000000"/>
              <w:right w:val="single" w:sz="6" w:space="0" w:color="000000"/>
            </w:tcBorders>
            <w:hideMark/>
          </w:tcPr>
          <w:p w14:paraId="1A702C06" w14:textId="77777777" w:rsidR="00150AB9" w:rsidRPr="006F6EE5" w:rsidRDefault="00150AB9">
            <w:pPr>
              <w:suppressAutoHyphens/>
              <w:rPr>
                <w:b/>
                <w:i/>
                <w:sz w:val="24"/>
                <w:szCs w:val="24"/>
                <w:lang w:val="en-GB"/>
              </w:rPr>
            </w:pPr>
            <w:r w:rsidRPr="006F6EE5">
              <w:rPr>
                <w:i/>
                <w:sz w:val="24"/>
                <w:szCs w:val="24"/>
                <w:lang w:val="en-GB"/>
              </w:rPr>
              <w:t>Candida guilliermondii</w:t>
            </w:r>
            <w:r w:rsidRPr="006F6EE5">
              <w:rPr>
                <w:b/>
                <w:i/>
                <w:sz w:val="24"/>
                <w:szCs w:val="24"/>
                <w:vertAlign w:val="superscript"/>
                <w:lang w:val="en-GB"/>
              </w:rPr>
              <w:t>1</w:t>
            </w:r>
          </w:p>
        </w:tc>
        <w:tc>
          <w:tcPr>
            <w:tcW w:w="3047" w:type="pct"/>
            <w:gridSpan w:val="2"/>
            <w:tcBorders>
              <w:top w:val="single" w:sz="6" w:space="0" w:color="000000"/>
              <w:left w:val="single" w:sz="6" w:space="0" w:color="000000"/>
              <w:bottom w:val="single" w:sz="6" w:space="0" w:color="000000"/>
              <w:right w:val="single" w:sz="6" w:space="0" w:color="000000"/>
            </w:tcBorders>
            <w:hideMark/>
          </w:tcPr>
          <w:p w14:paraId="5C55B2BA" w14:textId="77777777" w:rsidR="00150AB9" w:rsidRPr="006F6EE5" w:rsidRDefault="00150AB9">
            <w:pPr>
              <w:suppressAutoHyphens/>
              <w:rPr>
                <w:sz w:val="24"/>
                <w:szCs w:val="24"/>
                <w:lang w:val="en-GB"/>
              </w:rPr>
            </w:pPr>
            <w:proofErr w:type="spellStart"/>
            <w:r w:rsidRPr="006F6EE5">
              <w:rPr>
                <w:sz w:val="24"/>
                <w:szCs w:val="24"/>
                <w:lang w:val="en-GB"/>
              </w:rPr>
              <w:t>Utilstrækkelig</w:t>
            </w:r>
            <w:proofErr w:type="spellEnd"/>
            <w:r w:rsidRPr="006F6EE5">
              <w:rPr>
                <w:sz w:val="24"/>
                <w:szCs w:val="24"/>
                <w:lang w:val="en-GB"/>
              </w:rPr>
              <w:t xml:space="preserve"> </w:t>
            </w:r>
            <w:proofErr w:type="spellStart"/>
            <w:r w:rsidRPr="006F6EE5">
              <w:rPr>
                <w:sz w:val="24"/>
                <w:szCs w:val="24"/>
                <w:lang w:val="en-GB"/>
              </w:rPr>
              <w:t>evidens</w:t>
            </w:r>
            <w:proofErr w:type="spellEnd"/>
          </w:p>
        </w:tc>
      </w:tr>
      <w:tr w:rsidR="00150AB9" w:rsidRPr="006F6EE5" w14:paraId="46308006" w14:textId="77777777" w:rsidTr="006F6EE5">
        <w:trPr>
          <w:trHeight w:val="300"/>
        </w:trPr>
        <w:tc>
          <w:tcPr>
            <w:tcW w:w="1953" w:type="pct"/>
            <w:tcBorders>
              <w:top w:val="single" w:sz="6" w:space="0" w:color="000000"/>
              <w:left w:val="single" w:sz="6" w:space="0" w:color="000000"/>
              <w:bottom w:val="single" w:sz="6" w:space="0" w:color="000000"/>
              <w:right w:val="single" w:sz="6" w:space="0" w:color="000000"/>
            </w:tcBorders>
            <w:hideMark/>
          </w:tcPr>
          <w:p w14:paraId="1794935C" w14:textId="77777777" w:rsidR="00150AB9" w:rsidRPr="006F6EE5" w:rsidRDefault="00150AB9">
            <w:pPr>
              <w:suppressAutoHyphens/>
              <w:rPr>
                <w:i/>
                <w:sz w:val="24"/>
                <w:szCs w:val="24"/>
                <w:lang w:val="en-GB"/>
              </w:rPr>
            </w:pPr>
            <w:r w:rsidRPr="006F6EE5">
              <w:rPr>
                <w:sz w:val="24"/>
                <w:szCs w:val="24"/>
                <w:lang w:val="en-GB"/>
              </w:rPr>
              <w:t xml:space="preserve">Andre </w:t>
            </w:r>
            <w:r w:rsidRPr="006F6EE5">
              <w:rPr>
                <w:i/>
                <w:sz w:val="24"/>
                <w:szCs w:val="24"/>
                <w:lang w:val="en-GB"/>
              </w:rPr>
              <w:t xml:space="preserve">Candida </w:t>
            </w:r>
            <w:r w:rsidRPr="006F6EE5">
              <w:rPr>
                <w:sz w:val="24"/>
                <w:szCs w:val="24"/>
                <w:lang w:val="en-GB"/>
              </w:rPr>
              <w:t>spp</w:t>
            </w:r>
            <w:r w:rsidRPr="006F6EE5">
              <w:rPr>
                <w:i/>
                <w:sz w:val="24"/>
                <w:szCs w:val="24"/>
                <w:lang w:val="en-GB"/>
              </w:rPr>
              <w:t>.</w:t>
            </w:r>
          </w:p>
        </w:tc>
        <w:tc>
          <w:tcPr>
            <w:tcW w:w="3047" w:type="pct"/>
            <w:gridSpan w:val="2"/>
            <w:tcBorders>
              <w:top w:val="single" w:sz="6" w:space="0" w:color="000000"/>
              <w:left w:val="single" w:sz="6" w:space="0" w:color="000000"/>
              <w:bottom w:val="single" w:sz="6" w:space="0" w:color="000000"/>
              <w:right w:val="single" w:sz="6" w:space="0" w:color="000000"/>
            </w:tcBorders>
            <w:hideMark/>
          </w:tcPr>
          <w:p w14:paraId="39E5F68E" w14:textId="77777777" w:rsidR="00150AB9" w:rsidRPr="006F6EE5" w:rsidRDefault="00150AB9">
            <w:pPr>
              <w:suppressAutoHyphens/>
              <w:rPr>
                <w:sz w:val="24"/>
                <w:szCs w:val="24"/>
                <w:lang w:val="en-GB"/>
              </w:rPr>
            </w:pPr>
            <w:proofErr w:type="spellStart"/>
            <w:r w:rsidRPr="006F6EE5">
              <w:rPr>
                <w:sz w:val="24"/>
                <w:szCs w:val="24"/>
                <w:lang w:val="en-GB"/>
              </w:rPr>
              <w:t>Utilstrækkelig</w:t>
            </w:r>
            <w:proofErr w:type="spellEnd"/>
            <w:r w:rsidRPr="006F6EE5">
              <w:rPr>
                <w:sz w:val="24"/>
                <w:szCs w:val="24"/>
                <w:lang w:val="en-GB"/>
              </w:rPr>
              <w:t xml:space="preserve"> </w:t>
            </w:r>
            <w:proofErr w:type="spellStart"/>
            <w:r w:rsidRPr="006F6EE5">
              <w:rPr>
                <w:sz w:val="24"/>
                <w:szCs w:val="24"/>
                <w:lang w:val="en-GB"/>
              </w:rPr>
              <w:t>evidens</w:t>
            </w:r>
            <w:proofErr w:type="spellEnd"/>
          </w:p>
        </w:tc>
      </w:tr>
      <w:tr w:rsidR="00150AB9" w:rsidRPr="006F6EE5" w14:paraId="65826194" w14:textId="77777777" w:rsidTr="006F6EE5">
        <w:trPr>
          <w:trHeight w:val="2010"/>
        </w:trPr>
        <w:tc>
          <w:tcPr>
            <w:tcW w:w="5000" w:type="pct"/>
            <w:gridSpan w:val="3"/>
            <w:tcBorders>
              <w:top w:val="single" w:sz="6" w:space="0" w:color="000000"/>
              <w:left w:val="single" w:sz="6" w:space="0" w:color="000000"/>
              <w:bottom w:val="single" w:sz="6" w:space="0" w:color="000000"/>
              <w:right w:val="single" w:sz="6" w:space="0" w:color="000000"/>
            </w:tcBorders>
            <w:hideMark/>
          </w:tcPr>
          <w:p w14:paraId="4DAC493C" w14:textId="77777777" w:rsidR="00150AB9" w:rsidRPr="006F6EE5" w:rsidRDefault="00150AB9">
            <w:pPr>
              <w:suppressAutoHyphens/>
              <w:rPr>
                <w:sz w:val="24"/>
                <w:szCs w:val="24"/>
              </w:rPr>
            </w:pPr>
            <w:r w:rsidRPr="006F6EE5">
              <w:rPr>
                <w:sz w:val="24"/>
                <w:szCs w:val="24"/>
                <w:vertAlign w:val="superscript"/>
              </w:rPr>
              <w:t>1</w:t>
            </w:r>
            <w:r w:rsidRPr="006F6EE5">
              <w:rPr>
                <w:sz w:val="24"/>
                <w:szCs w:val="24"/>
              </w:rPr>
              <w:t xml:space="preserve">MICs for </w:t>
            </w:r>
            <w:r w:rsidRPr="006F6EE5">
              <w:rPr>
                <w:i/>
                <w:sz w:val="24"/>
                <w:szCs w:val="24"/>
              </w:rPr>
              <w:t xml:space="preserve">C. </w:t>
            </w:r>
            <w:proofErr w:type="spellStart"/>
            <w:r w:rsidRPr="006F6EE5">
              <w:rPr>
                <w:i/>
                <w:sz w:val="24"/>
                <w:szCs w:val="24"/>
              </w:rPr>
              <w:t>tropicalis</w:t>
            </w:r>
            <w:proofErr w:type="spellEnd"/>
            <w:r w:rsidRPr="006F6EE5">
              <w:rPr>
                <w:i/>
                <w:sz w:val="24"/>
                <w:szCs w:val="24"/>
              </w:rPr>
              <w:t xml:space="preserve"> </w:t>
            </w:r>
            <w:r w:rsidRPr="006F6EE5">
              <w:rPr>
                <w:sz w:val="24"/>
                <w:szCs w:val="24"/>
              </w:rPr>
              <w:t xml:space="preserve">er 1-2 to-fold fortyndingstrin højere end for </w:t>
            </w:r>
            <w:r w:rsidRPr="006F6EE5">
              <w:rPr>
                <w:i/>
                <w:sz w:val="24"/>
                <w:szCs w:val="24"/>
              </w:rPr>
              <w:t xml:space="preserve">C. </w:t>
            </w:r>
            <w:proofErr w:type="spellStart"/>
            <w:r w:rsidRPr="006F6EE5">
              <w:rPr>
                <w:i/>
                <w:sz w:val="24"/>
                <w:szCs w:val="24"/>
              </w:rPr>
              <w:t>albicans</w:t>
            </w:r>
            <w:proofErr w:type="spellEnd"/>
            <w:r w:rsidRPr="006F6EE5">
              <w:rPr>
                <w:i/>
                <w:sz w:val="24"/>
                <w:szCs w:val="24"/>
              </w:rPr>
              <w:t xml:space="preserve"> </w:t>
            </w:r>
            <w:r w:rsidRPr="006F6EE5">
              <w:rPr>
                <w:iCs/>
                <w:sz w:val="24"/>
                <w:szCs w:val="24"/>
              </w:rPr>
              <w:t>og</w:t>
            </w:r>
            <w:r w:rsidRPr="006F6EE5">
              <w:rPr>
                <w:i/>
                <w:sz w:val="24"/>
                <w:szCs w:val="24"/>
              </w:rPr>
              <w:t xml:space="preserve"> C. </w:t>
            </w:r>
            <w:proofErr w:type="spellStart"/>
            <w:r w:rsidRPr="006F6EE5">
              <w:rPr>
                <w:i/>
                <w:sz w:val="24"/>
                <w:szCs w:val="24"/>
              </w:rPr>
              <w:t>glabrata</w:t>
            </w:r>
            <w:proofErr w:type="spellEnd"/>
            <w:r w:rsidRPr="006F6EE5">
              <w:rPr>
                <w:sz w:val="24"/>
                <w:szCs w:val="24"/>
              </w:rPr>
              <w:t xml:space="preserve">. I det kliniske studie var vellykket resultat numerisk en anelse lavere for </w:t>
            </w:r>
            <w:r w:rsidRPr="006F6EE5">
              <w:rPr>
                <w:i/>
                <w:sz w:val="24"/>
                <w:szCs w:val="24"/>
              </w:rPr>
              <w:t xml:space="preserve">C. </w:t>
            </w:r>
            <w:proofErr w:type="spellStart"/>
            <w:r w:rsidRPr="006F6EE5">
              <w:rPr>
                <w:i/>
                <w:sz w:val="24"/>
                <w:szCs w:val="24"/>
              </w:rPr>
              <w:t>tropicalis</w:t>
            </w:r>
            <w:proofErr w:type="spellEnd"/>
            <w:r w:rsidRPr="006F6EE5">
              <w:rPr>
                <w:i/>
                <w:sz w:val="24"/>
                <w:szCs w:val="24"/>
              </w:rPr>
              <w:t xml:space="preserve"> </w:t>
            </w:r>
            <w:r w:rsidRPr="006F6EE5">
              <w:rPr>
                <w:sz w:val="24"/>
                <w:szCs w:val="24"/>
              </w:rPr>
              <w:t xml:space="preserve">end for </w:t>
            </w:r>
            <w:r w:rsidRPr="006F6EE5">
              <w:rPr>
                <w:i/>
                <w:sz w:val="24"/>
                <w:szCs w:val="24"/>
              </w:rPr>
              <w:t xml:space="preserve">C. </w:t>
            </w:r>
            <w:proofErr w:type="spellStart"/>
            <w:r w:rsidRPr="006F6EE5">
              <w:rPr>
                <w:i/>
                <w:sz w:val="24"/>
                <w:szCs w:val="24"/>
              </w:rPr>
              <w:t>albicans</w:t>
            </w:r>
            <w:proofErr w:type="spellEnd"/>
            <w:r w:rsidRPr="006F6EE5">
              <w:rPr>
                <w:i/>
                <w:sz w:val="24"/>
                <w:szCs w:val="24"/>
              </w:rPr>
              <w:t xml:space="preserve"> </w:t>
            </w:r>
            <w:r w:rsidRPr="006F6EE5">
              <w:rPr>
                <w:sz w:val="24"/>
                <w:szCs w:val="24"/>
              </w:rPr>
              <w:t xml:space="preserve">ved begge doseringer (100 og 150 mg daglig). Imidlertid var forskellen ikke signifikant, og det er uvist, hvorvidt det svarer til en relevant klinisk forskel. </w:t>
            </w:r>
            <w:proofErr w:type="spellStart"/>
            <w:r w:rsidRPr="006F6EE5">
              <w:rPr>
                <w:sz w:val="24"/>
                <w:szCs w:val="24"/>
              </w:rPr>
              <w:t>MICs</w:t>
            </w:r>
            <w:proofErr w:type="spellEnd"/>
            <w:r w:rsidRPr="006F6EE5">
              <w:rPr>
                <w:sz w:val="24"/>
                <w:szCs w:val="24"/>
              </w:rPr>
              <w:t xml:space="preserve"> for </w:t>
            </w:r>
            <w:r w:rsidRPr="006F6EE5">
              <w:rPr>
                <w:i/>
                <w:sz w:val="24"/>
                <w:szCs w:val="24"/>
              </w:rPr>
              <w:t xml:space="preserve">C. </w:t>
            </w:r>
            <w:proofErr w:type="spellStart"/>
            <w:r w:rsidRPr="006F6EE5">
              <w:rPr>
                <w:i/>
                <w:sz w:val="24"/>
                <w:szCs w:val="24"/>
              </w:rPr>
              <w:t>krusei</w:t>
            </w:r>
            <w:proofErr w:type="spellEnd"/>
            <w:r w:rsidRPr="006F6EE5">
              <w:rPr>
                <w:i/>
                <w:sz w:val="24"/>
                <w:szCs w:val="24"/>
              </w:rPr>
              <w:t xml:space="preserve"> </w:t>
            </w:r>
            <w:r w:rsidRPr="006F6EE5">
              <w:rPr>
                <w:sz w:val="24"/>
                <w:szCs w:val="24"/>
              </w:rPr>
              <w:t xml:space="preserve">er ca. 3 to-fold fortyndingstrin højere end for </w:t>
            </w:r>
            <w:r w:rsidRPr="006F6EE5">
              <w:rPr>
                <w:i/>
                <w:sz w:val="24"/>
                <w:szCs w:val="24"/>
              </w:rPr>
              <w:t xml:space="preserve">C. </w:t>
            </w:r>
            <w:proofErr w:type="spellStart"/>
            <w:r w:rsidRPr="006F6EE5">
              <w:rPr>
                <w:i/>
                <w:sz w:val="24"/>
                <w:szCs w:val="24"/>
              </w:rPr>
              <w:t>albicans</w:t>
            </w:r>
            <w:proofErr w:type="spellEnd"/>
            <w:r w:rsidRPr="006F6EE5">
              <w:rPr>
                <w:sz w:val="24"/>
                <w:szCs w:val="24"/>
              </w:rPr>
              <w:t xml:space="preserve">, og tilsvarende er det for </w:t>
            </w:r>
            <w:r w:rsidRPr="006F6EE5">
              <w:rPr>
                <w:i/>
                <w:sz w:val="24"/>
                <w:szCs w:val="24"/>
              </w:rPr>
              <w:t xml:space="preserve">C. </w:t>
            </w:r>
            <w:proofErr w:type="spellStart"/>
            <w:r w:rsidRPr="006F6EE5">
              <w:rPr>
                <w:i/>
                <w:sz w:val="24"/>
                <w:szCs w:val="24"/>
              </w:rPr>
              <w:t>guilliermondii</w:t>
            </w:r>
            <w:proofErr w:type="spellEnd"/>
            <w:r w:rsidRPr="006F6EE5">
              <w:rPr>
                <w:i/>
                <w:sz w:val="24"/>
                <w:szCs w:val="24"/>
              </w:rPr>
              <w:t xml:space="preserve"> </w:t>
            </w:r>
            <w:r w:rsidRPr="006F6EE5">
              <w:rPr>
                <w:sz w:val="24"/>
                <w:szCs w:val="24"/>
              </w:rPr>
              <w:t xml:space="preserve">ca. 8 to-fold fortyndingstrin højere. Desuden var det kun nogle få tilfælde, der involverede disse arter i de kliniske studier. Det betyder, at der ikke er tilstrækkelig evidens til at indikere, hvorvidt vildtype-populationen af disse </w:t>
            </w:r>
            <w:proofErr w:type="spellStart"/>
            <w:r w:rsidRPr="006F6EE5">
              <w:rPr>
                <w:sz w:val="24"/>
                <w:szCs w:val="24"/>
              </w:rPr>
              <w:t>patogener</w:t>
            </w:r>
            <w:proofErr w:type="spellEnd"/>
            <w:r w:rsidRPr="006F6EE5">
              <w:rPr>
                <w:sz w:val="24"/>
                <w:szCs w:val="24"/>
              </w:rPr>
              <w:t xml:space="preserve"> kan anses for at være følsomme for </w:t>
            </w:r>
            <w:proofErr w:type="spellStart"/>
            <w:r w:rsidRPr="006F6EE5">
              <w:rPr>
                <w:sz w:val="24"/>
                <w:szCs w:val="24"/>
              </w:rPr>
              <w:t>micafungin</w:t>
            </w:r>
            <w:proofErr w:type="spellEnd"/>
            <w:r w:rsidRPr="006F6EE5">
              <w:rPr>
                <w:sz w:val="24"/>
                <w:szCs w:val="24"/>
              </w:rPr>
              <w:t>.</w:t>
            </w:r>
          </w:p>
        </w:tc>
      </w:tr>
    </w:tbl>
    <w:p w14:paraId="55E6625A" w14:textId="77777777" w:rsidR="00150AB9" w:rsidRPr="006F6EE5" w:rsidRDefault="00150AB9" w:rsidP="00150AB9">
      <w:pPr>
        <w:suppressAutoHyphens/>
        <w:rPr>
          <w:sz w:val="24"/>
          <w:szCs w:val="24"/>
        </w:rPr>
      </w:pPr>
    </w:p>
    <w:p w14:paraId="0257ECA4" w14:textId="77777777" w:rsidR="00150AB9" w:rsidRPr="006F6EE5" w:rsidRDefault="00150AB9" w:rsidP="006F6EE5">
      <w:pPr>
        <w:suppressAutoHyphens/>
        <w:ind w:left="851"/>
        <w:rPr>
          <w:sz w:val="24"/>
          <w:szCs w:val="24"/>
          <w:u w:val="single"/>
        </w:rPr>
      </w:pPr>
      <w:r w:rsidRPr="006F6EE5">
        <w:rPr>
          <w:sz w:val="24"/>
          <w:szCs w:val="24"/>
          <w:u w:val="single"/>
        </w:rPr>
        <w:t>Information fra kliniske studier</w:t>
      </w:r>
    </w:p>
    <w:p w14:paraId="021E102C" w14:textId="77777777" w:rsidR="00150AB9" w:rsidRPr="006F6EE5" w:rsidRDefault="00150AB9" w:rsidP="006F6EE5">
      <w:pPr>
        <w:suppressAutoHyphens/>
        <w:ind w:left="851"/>
        <w:rPr>
          <w:sz w:val="24"/>
          <w:szCs w:val="24"/>
        </w:rPr>
      </w:pPr>
    </w:p>
    <w:p w14:paraId="565F0B21" w14:textId="77777777" w:rsidR="00150AB9" w:rsidRPr="006F6EE5" w:rsidRDefault="00150AB9" w:rsidP="006F6EE5">
      <w:pPr>
        <w:suppressAutoHyphens/>
        <w:ind w:left="851"/>
        <w:rPr>
          <w:sz w:val="24"/>
          <w:szCs w:val="24"/>
        </w:rPr>
      </w:pPr>
      <w:proofErr w:type="spellStart"/>
      <w:r w:rsidRPr="006F6EE5">
        <w:rPr>
          <w:i/>
          <w:iCs/>
          <w:sz w:val="24"/>
          <w:szCs w:val="24"/>
        </w:rPr>
        <w:t>Candidæmi</w:t>
      </w:r>
      <w:proofErr w:type="spellEnd"/>
      <w:r w:rsidRPr="006F6EE5">
        <w:rPr>
          <w:i/>
          <w:iCs/>
          <w:sz w:val="24"/>
          <w:szCs w:val="24"/>
        </w:rPr>
        <w:t xml:space="preserve"> og invasiv </w:t>
      </w:r>
      <w:proofErr w:type="spellStart"/>
      <w:r w:rsidRPr="006F6EE5">
        <w:rPr>
          <w:i/>
          <w:iCs/>
          <w:sz w:val="24"/>
          <w:szCs w:val="24"/>
        </w:rPr>
        <w:t>candidiasis</w:t>
      </w:r>
      <w:proofErr w:type="spellEnd"/>
      <w:r w:rsidRPr="006F6EE5">
        <w:rPr>
          <w:i/>
          <w:iCs/>
          <w:sz w:val="24"/>
          <w:szCs w:val="24"/>
        </w:rPr>
        <w:t>:</w:t>
      </w:r>
      <w:r w:rsidRPr="006F6EE5">
        <w:rPr>
          <w:sz w:val="24"/>
          <w:szCs w:val="24"/>
        </w:rPr>
        <w:t xml:space="preserve"> </w:t>
      </w:r>
      <w:proofErr w:type="spellStart"/>
      <w:r w:rsidRPr="006F6EE5">
        <w:rPr>
          <w:sz w:val="24"/>
          <w:szCs w:val="24"/>
        </w:rPr>
        <w:t>Micafungin</w:t>
      </w:r>
      <w:proofErr w:type="spellEnd"/>
      <w:r w:rsidRPr="006F6EE5">
        <w:rPr>
          <w:sz w:val="24"/>
          <w:szCs w:val="24"/>
        </w:rPr>
        <w:t xml:space="preserve"> (100 mg/dag eller 2 mg/kg/dag) var lige så effektivt og bedre tolereret end </w:t>
      </w:r>
      <w:proofErr w:type="spellStart"/>
      <w:r w:rsidRPr="006F6EE5">
        <w:rPr>
          <w:sz w:val="24"/>
          <w:szCs w:val="24"/>
        </w:rPr>
        <w:t>liposomaltamphotericin</w:t>
      </w:r>
      <w:proofErr w:type="spellEnd"/>
      <w:r w:rsidRPr="006F6EE5">
        <w:rPr>
          <w:sz w:val="24"/>
          <w:szCs w:val="24"/>
        </w:rPr>
        <w:t xml:space="preserve"> B (3 mg/kg) som førstevalgsbehandling af </w:t>
      </w:r>
      <w:proofErr w:type="spellStart"/>
      <w:r w:rsidRPr="006F6EE5">
        <w:rPr>
          <w:sz w:val="24"/>
          <w:szCs w:val="24"/>
        </w:rPr>
        <w:t>candidæmi</w:t>
      </w:r>
      <w:proofErr w:type="spellEnd"/>
      <w:r w:rsidRPr="006F6EE5">
        <w:rPr>
          <w:sz w:val="24"/>
          <w:szCs w:val="24"/>
        </w:rPr>
        <w:t xml:space="preserve"> og invasiv </w:t>
      </w:r>
      <w:proofErr w:type="spellStart"/>
      <w:r w:rsidRPr="006F6EE5">
        <w:rPr>
          <w:sz w:val="24"/>
          <w:szCs w:val="24"/>
        </w:rPr>
        <w:t>candidiasis</w:t>
      </w:r>
      <w:proofErr w:type="spellEnd"/>
      <w:r w:rsidRPr="006F6EE5">
        <w:rPr>
          <w:sz w:val="24"/>
          <w:szCs w:val="24"/>
        </w:rPr>
        <w:t xml:space="preserve"> i et randomiseret, dobbeltblindet, multinationalt non-inferioritetsstudie.</w:t>
      </w:r>
    </w:p>
    <w:p w14:paraId="173AC2BC" w14:textId="77777777" w:rsidR="00150AB9" w:rsidRPr="006F6EE5" w:rsidRDefault="00150AB9" w:rsidP="006F6EE5">
      <w:pPr>
        <w:suppressAutoHyphens/>
        <w:ind w:left="851"/>
        <w:rPr>
          <w:sz w:val="24"/>
          <w:szCs w:val="24"/>
        </w:rPr>
      </w:pPr>
      <w:proofErr w:type="spellStart"/>
      <w:r w:rsidRPr="006F6EE5">
        <w:rPr>
          <w:sz w:val="24"/>
          <w:szCs w:val="24"/>
        </w:rPr>
        <w:t>Micafungin</w:t>
      </w:r>
      <w:proofErr w:type="spellEnd"/>
      <w:r w:rsidRPr="006F6EE5">
        <w:rPr>
          <w:sz w:val="24"/>
          <w:szCs w:val="24"/>
        </w:rPr>
        <w:t xml:space="preserve"> og </w:t>
      </w:r>
      <w:proofErr w:type="spellStart"/>
      <w:r w:rsidRPr="006F6EE5">
        <w:rPr>
          <w:sz w:val="24"/>
          <w:szCs w:val="24"/>
        </w:rPr>
        <w:t>liposomaltamphotericin</w:t>
      </w:r>
      <w:proofErr w:type="spellEnd"/>
      <w:r w:rsidRPr="006F6EE5">
        <w:rPr>
          <w:sz w:val="24"/>
          <w:szCs w:val="24"/>
        </w:rPr>
        <w:t> B blev taget i gennemsnitligt 15 dage (interval: 4 til 42 dage hos voksne; 12 til 42 dage hos børn).</w:t>
      </w:r>
    </w:p>
    <w:p w14:paraId="444D58A6" w14:textId="77777777" w:rsidR="00150AB9" w:rsidRPr="006F6EE5" w:rsidRDefault="00150AB9" w:rsidP="006F6EE5">
      <w:pPr>
        <w:suppressAutoHyphens/>
        <w:ind w:left="851"/>
        <w:rPr>
          <w:sz w:val="24"/>
          <w:szCs w:val="24"/>
        </w:rPr>
      </w:pPr>
      <w:r w:rsidRPr="006F6EE5">
        <w:rPr>
          <w:sz w:val="24"/>
          <w:szCs w:val="24"/>
        </w:rPr>
        <w:t xml:space="preserve">Non-inferioritet blev påvist hos voksne patienter, og lignende resultater sås hos de pædiatriske undergrupper (herunder nyfødte og præmature spædbørn). Virkningerne var konsistente, uafhængigt af </w:t>
      </w:r>
      <w:proofErr w:type="spellStart"/>
      <w:r w:rsidRPr="006F6EE5">
        <w:rPr>
          <w:i/>
          <w:iCs/>
          <w:sz w:val="24"/>
          <w:szCs w:val="24"/>
        </w:rPr>
        <w:t>Candida</w:t>
      </w:r>
      <w:proofErr w:type="spellEnd"/>
      <w:r w:rsidRPr="006F6EE5">
        <w:rPr>
          <w:sz w:val="24"/>
          <w:szCs w:val="24"/>
        </w:rPr>
        <w:t xml:space="preserve">-arten, det primære infektionsområde og den </w:t>
      </w:r>
      <w:proofErr w:type="spellStart"/>
      <w:r w:rsidRPr="006F6EE5">
        <w:rPr>
          <w:sz w:val="24"/>
          <w:szCs w:val="24"/>
        </w:rPr>
        <w:t>neutropene</w:t>
      </w:r>
      <w:proofErr w:type="spellEnd"/>
      <w:r w:rsidRPr="006F6EE5">
        <w:rPr>
          <w:sz w:val="24"/>
          <w:szCs w:val="24"/>
        </w:rPr>
        <w:t xml:space="preserve"> status (se tabel). </w:t>
      </w:r>
      <w:proofErr w:type="spellStart"/>
      <w:r w:rsidRPr="006F6EE5">
        <w:rPr>
          <w:sz w:val="24"/>
          <w:szCs w:val="24"/>
        </w:rPr>
        <w:t>Micafungin</w:t>
      </w:r>
      <w:proofErr w:type="spellEnd"/>
      <w:r w:rsidRPr="006F6EE5">
        <w:rPr>
          <w:sz w:val="24"/>
          <w:szCs w:val="24"/>
        </w:rPr>
        <w:t xml:space="preserve"> viste en mindre middelværdisreduktion i den estimerede </w:t>
      </w:r>
      <w:proofErr w:type="spellStart"/>
      <w:r w:rsidRPr="006F6EE5">
        <w:rPr>
          <w:sz w:val="24"/>
          <w:szCs w:val="24"/>
        </w:rPr>
        <w:t>glomerulære</w:t>
      </w:r>
      <w:proofErr w:type="spellEnd"/>
      <w:r w:rsidRPr="006F6EE5">
        <w:rPr>
          <w:sz w:val="24"/>
          <w:szCs w:val="24"/>
        </w:rPr>
        <w:t xml:space="preserve"> filtrationshastighed under behandlingen (p &lt; 0,001) og en lavere forekomst af infusionsrelaterede reaktioner (p = 0,001) sammenlignet med </w:t>
      </w:r>
      <w:proofErr w:type="spellStart"/>
      <w:r w:rsidRPr="006F6EE5">
        <w:rPr>
          <w:sz w:val="24"/>
          <w:szCs w:val="24"/>
        </w:rPr>
        <w:t>liposomaltamphotericin</w:t>
      </w:r>
      <w:proofErr w:type="spellEnd"/>
      <w:r w:rsidRPr="006F6EE5">
        <w:rPr>
          <w:sz w:val="24"/>
          <w:szCs w:val="24"/>
        </w:rPr>
        <w:t> B.</w:t>
      </w:r>
    </w:p>
    <w:p w14:paraId="664EB48A" w14:textId="77777777" w:rsidR="00150AB9" w:rsidRPr="006F6EE5" w:rsidRDefault="00150AB9" w:rsidP="00150AB9">
      <w:pPr>
        <w:suppressAutoHyphens/>
        <w:rPr>
          <w:sz w:val="24"/>
          <w:szCs w:val="24"/>
        </w:rPr>
      </w:pPr>
    </w:p>
    <w:p w14:paraId="747102F9" w14:textId="77777777" w:rsidR="00150AB9" w:rsidRPr="006F6EE5" w:rsidRDefault="00150AB9" w:rsidP="00150AB9">
      <w:pPr>
        <w:suppressAutoHyphens/>
        <w:rPr>
          <w:b/>
          <w:bCs/>
          <w:sz w:val="24"/>
          <w:szCs w:val="24"/>
          <w:lang w:val="sv-SE"/>
        </w:rPr>
      </w:pPr>
      <w:r w:rsidRPr="006F6EE5">
        <w:rPr>
          <w:b/>
          <w:bCs/>
          <w:sz w:val="24"/>
          <w:szCs w:val="24"/>
          <w:lang w:val="sv-SE"/>
        </w:rPr>
        <w:t xml:space="preserve">Total </w:t>
      </w:r>
      <w:proofErr w:type="spellStart"/>
      <w:r w:rsidRPr="006F6EE5">
        <w:rPr>
          <w:b/>
          <w:bCs/>
          <w:sz w:val="24"/>
          <w:szCs w:val="24"/>
          <w:lang w:val="sv-SE"/>
        </w:rPr>
        <w:t>behandlingssucces</w:t>
      </w:r>
      <w:proofErr w:type="spellEnd"/>
      <w:r w:rsidRPr="006F6EE5">
        <w:rPr>
          <w:b/>
          <w:bCs/>
          <w:sz w:val="24"/>
          <w:szCs w:val="24"/>
          <w:lang w:val="sv-SE"/>
        </w:rPr>
        <w:t xml:space="preserve"> i per-</w:t>
      </w:r>
      <w:proofErr w:type="spellStart"/>
      <w:r w:rsidRPr="006F6EE5">
        <w:rPr>
          <w:b/>
          <w:bCs/>
          <w:sz w:val="24"/>
          <w:szCs w:val="24"/>
          <w:lang w:val="sv-SE"/>
        </w:rPr>
        <w:t>protokol</w:t>
      </w:r>
      <w:proofErr w:type="spellEnd"/>
      <w:r w:rsidRPr="006F6EE5">
        <w:rPr>
          <w:b/>
          <w:bCs/>
          <w:sz w:val="24"/>
          <w:szCs w:val="24"/>
          <w:lang w:val="sv-SE"/>
        </w:rPr>
        <w:t>-</w:t>
      </w:r>
      <w:proofErr w:type="spellStart"/>
      <w:r w:rsidRPr="006F6EE5">
        <w:rPr>
          <w:b/>
          <w:bCs/>
          <w:sz w:val="24"/>
          <w:szCs w:val="24"/>
          <w:lang w:val="sv-SE"/>
        </w:rPr>
        <w:t>sæt</w:t>
      </w:r>
      <w:proofErr w:type="spellEnd"/>
      <w:r w:rsidRPr="006F6EE5">
        <w:rPr>
          <w:b/>
          <w:bCs/>
          <w:sz w:val="24"/>
          <w:szCs w:val="24"/>
          <w:lang w:val="sv-SE"/>
        </w:rPr>
        <w:t xml:space="preserve">, studie med </w:t>
      </w:r>
      <w:proofErr w:type="spellStart"/>
      <w:r w:rsidRPr="006F6EE5">
        <w:rPr>
          <w:b/>
          <w:bCs/>
          <w:sz w:val="24"/>
          <w:szCs w:val="24"/>
          <w:lang w:val="sv-SE"/>
        </w:rPr>
        <w:t>invasiv</w:t>
      </w:r>
      <w:proofErr w:type="spellEnd"/>
      <w:r w:rsidRPr="006F6EE5">
        <w:rPr>
          <w:b/>
          <w:bCs/>
          <w:sz w:val="24"/>
          <w:szCs w:val="24"/>
          <w:lang w:val="sv-SE"/>
        </w:rPr>
        <w:t xml:space="preserve"> </w:t>
      </w:r>
      <w:proofErr w:type="spellStart"/>
      <w:r w:rsidRPr="006F6EE5">
        <w:rPr>
          <w:b/>
          <w:bCs/>
          <w:sz w:val="24"/>
          <w:szCs w:val="24"/>
          <w:lang w:val="sv-SE"/>
        </w:rPr>
        <w:t>candidiasis</w:t>
      </w:r>
      <w:proofErr w:type="spellEnd"/>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512"/>
        <w:gridCol w:w="764"/>
        <w:gridCol w:w="1222"/>
        <w:gridCol w:w="764"/>
        <w:gridCol w:w="1222"/>
        <w:gridCol w:w="2138"/>
      </w:tblGrid>
      <w:tr w:rsidR="00150AB9" w:rsidRPr="009C67C9" w14:paraId="095DD315" w14:textId="77777777" w:rsidTr="006F6EE5">
        <w:trPr>
          <w:trHeight w:val="570"/>
        </w:trPr>
        <w:tc>
          <w:tcPr>
            <w:tcW w:w="1825" w:type="pct"/>
            <w:vMerge w:val="restart"/>
            <w:tcBorders>
              <w:top w:val="single" w:sz="6" w:space="0" w:color="000000"/>
              <w:left w:val="single" w:sz="6" w:space="0" w:color="000000"/>
              <w:bottom w:val="single" w:sz="6" w:space="0" w:color="000000"/>
              <w:right w:val="single" w:sz="6" w:space="0" w:color="000000"/>
            </w:tcBorders>
          </w:tcPr>
          <w:p w14:paraId="2E8BF96D" w14:textId="77777777" w:rsidR="00150AB9" w:rsidRPr="009C67C9" w:rsidRDefault="00150AB9">
            <w:pPr>
              <w:suppressAutoHyphens/>
              <w:rPr>
                <w:sz w:val="22"/>
                <w:szCs w:val="22"/>
                <w:lang w:val="sv-SE"/>
              </w:rPr>
            </w:pPr>
          </w:p>
        </w:tc>
        <w:tc>
          <w:tcPr>
            <w:tcW w:w="1031" w:type="pct"/>
            <w:gridSpan w:val="2"/>
            <w:tcBorders>
              <w:top w:val="single" w:sz="6" w:space="0" w:color="000000"/>
              <w:left w:val="single" w:sz="6" w:space="0" w:color="000000"/>
              <w:bottom w:val="single" w:sz="6" w:space="0" w:color="000000"/>
              <w:right w:val="single" w:sz="6" w:space="0" w:color="000000"/>
            </w:tcBorders>
            <w:hideMark/>
          </w:tcPr>
          <w:p w14:paraId="4AECA4E3" w14:textId="77777777" w:rsidR="00150AB9" w:rsidRPr="009C67C9" w:rsidRDefault="00150AB9">
            <w:pPr>
              <w:suppressAutoHyphens/>
              <w:rPr>
                <w:b/>
                <w:sz w:val="22"/>
                <w:szCs w:val="22"/>
                <w:lang w:val="en-GB"/>
              </w:rPr>
            </w:pPr>
            <w:r w:rsidRPr="009C67C9">
              <w:rPr>
                <w:b/>
                <w:sz w:val="22"/>
                <w:szCs w:val="22"/>
                <w:lang w:val="en-GB"/>
              </w:rPr>
              <w:t>Micafungin</w:t>
            </w:r>
          </w:p>
        </w:tc>
        <w:tc>
          <w:tcPr>
            <w:tcW w:w="1032" w:type="pct"/>
            <w:gridSpan w:val="2"/>
            <w:tcBorders>
              <w:top w:val="single" w:sz="6" w:space="0" w:color="000000"/>
              <w:left w:val="single" w:sz="6" w:space="0" w:color="000000"/>
              <w:bottom w:val="single" w:sz="6" w:space="0" w:color="000000"/>
              <w:right w:val="single" w:sz="6" w:space="0" w:color="000000"/>
            </w:tcBorders>
            <w:hideMark/>
          </w:tcPr>
          <w:p w14:paraId="737E6D95" w14:textId="77777777" w:rsidR="00150AB9" w:rsidRPr="009C67C9" w:rsidRDefault="00150AB9">
            <w:pPr>
              <w:suppressAutoHyphens/>
              <w:rPr>
                <w:b/>
                <w:sz w:val="22"/>
                <w:szCs w:val="22"/>
                <w:lang w:val="en-GB"/>
              </w:rPr>
            </w:pPr>
            <w:proofErr w:type="spellStart"/>
            <w:r w:rsidRPr="009C67C9">
              <w:rPr>
                <w:b/>
                <w:sz w:val="22"/>
                <w:szCs w:val="22"/>
                <w:lang w:val="en-GB"/>
              </w:rPr>
              <w:t>Liposomalt</w:t>
            </w:r>
            <w:proofErr w:type="spellEnd"/>
            <w:r w:rsidRPr="009C67C9">
              <w:rPr>
                <w:b/>
                <w:sz w:val="22"/>
                <w:szCs w:val="22"/>
                <w:lang w:val="en-GB"/>
              </w:rPr>
              <w:t xml:space="preserve"> Amphotericin B</w:t>
            </w:r>
          </w:p>
        </w:tc>
        <w:tc>
          <w:tcPr>
            <w:tcW w:w="1111" w:type="pct"/>
            <w:tcBorders>
              <w:top w:val="single" w:sz="6" w:space="0" w:color="000000"/>
              <w:left w:val="single" w:sz="6" w:space="0" w:color="000000"/>
              <w:bottom w:val="single" w:sz="6" w:space="0" w:color="000000"/>
              <w:right w:val="single" w:sz="6" w:space="0" w:color="000000"/>
            </w:tcBorders>
            <w:hideMark/>
          </w:tcPr>
          <w:p w14:paraId="543ED428" w14:textId="77777777" w:rsidR="00150AB9" w:rsidRPr="009C67C9" w:rsidRDefault="00150AB9">
            <w:pPr>
              <w:suppressAutoHyphens/>
              <w:rPr>
                <w:b/>
                <w:sz w:val="22"/>
                <w:szCs w:val="22"/>
                <w:lang w:val="en-GB"/>
              </w:rPr>
            </w:pPr>
            <w:r w:rsidRPr="009C67C9">
              <w:rPr>
                <w:b/>
                <w:sz w:val="22"/>
                <w:szCs w:val="22"/>
                <w:lang w:val="en-GB"/>
              </w:rPr>
              <w:t xml:space="preserve">% </w:t>
            </w:r>
            <w:proofErr w:type="spellStart"/>
            <w:r w:rsidRPr="009C67C9">
              <w:rPr>
                <w:b/>
                <w:sz w:val="22"/>
                <w:szCs w:val="22"/>
                <w:lang w:val="en-GB"/>
              </w:rPr>
              <w:t>Afvigelse</w:t>
            </w:r>
            <w:proofErr w:type="spellEnd"/>
            <w:r w:rsidRPr="009C67C9">
              <w:rPr>
                <w:b/>
                <w:sz w:val="22"/>
                <w:szCs w:val="22"/>
                <w:lang w:val="en-GB"/>
              </w:rPr>
              <w:t xml:space="preserve"> [95 % KI]</w:t>
            </w:r>
          </w:p>
        </w:tc>
      </w:tr>
      <w:tr w:rsidR="00150AB9" w:rsidRPr="009C67C9" w14:paraId="273086FA" w14:textId="77777777" w:rsidTr="006F6EE5">
        <w:trPr>
          <w:trHeight w:val="239"/>
        </w:trPr>
        <w:tc>
          <w:tcPr>
            <w:tcW w:w="1825" w:type="pct"/>
            <w:vMerge/>
            <w:tcBorders>
              <w:top w:val="single" w:sz="6" w:space="0" w:color="000000"/>
              <w:left w:val="single" w:sz="6" w:space="0" w:color="000000"/>
              <w:bottom w:val="single" w:sz="6" w:space="0" w:color="000000"/>
              <w:right w:val="single" w:sz="6" w:space="0" w:color="000000"/>
            </w:tcBorders>
            <w:vAlign w:val="center"/>
            <w:hideMark/>
          </w:tcPr>
          <w:p w14:paraId="6F778A38" w14:textId="77777777" w:rsidR="00150AB9" w:rsidRPr="009C67C9" w:rsidRDefault="00150AB9">
            <w:pPr>
              <w:rPr>
                <w:sz w:val="22"/>
                <w:szCs w:val="22"/>
                <w:lang w:val="sv-SE"/>
              </w:rPr>
            </w:pPr>
          </w:p>
        </w:tc>
        <w:tc>
          <w:tcPr>
            <w:tcW w:w="397" w:type="pct"/>
            <w:tcBorders>
              <w:top w:val="single" w:sz="6" w:space="0" w:color="000000"/>
              <w:left w:val="single" w:sz="6" w:space="0" w:color="000000"/>
              <w:bottom w:val="single" w:sz="6" w:space="0" w:color="000000"/>
              <w:right w:val="single" w:sz="6" w:space="0" w:color="000000"/>
            </w:tcBorders>
            <w:hideMark/>
          </w:tcPr>
          <w:p w14:paraId="57FE6C05" w14:textId="77777777" w:rsidR="00150AB9" w:rsidRPr="009C67C9" w:rsidRDefault="00150AB9">
            <w:pPr>
              <w:suppressAutoHyphens/>
              <w:rPr>
                <w:b/>
                <w:sz w:val="22"/>
                <w:szCs w:val="22"/>
                <w:lang w:val="en-GB"/>
              </w:rPr>
            </w:pPr>
            <w:r w:rsidRPr="009C67C9">
              <w:rPr>
                <w:b/>
                <w:sz w:val="22"/>
                <w:szCs w:val="22"/>
                <w:lang w:val="en-GB"/>
              </w:rPr>
              <w:t>N</w:t>
            </w:r>
          </w:p>
        </w:tc>
        <w:tc>
          <w:tcPr>
            <w:tcW w:w="635" w:type="pct"/>
            <w:tcBorders>
              <w:top w:val="single" w:sz="6" w:space="0" w:color="000000"/>
              <w:left w:val="single" w:sz="6" w:space="0" w:color="000000"/>
              <w:bottom w:val="single" w:sz="6" w:space="0" w:color="000000"/>
              <w:right w:val="single" w:sz="6" w:space="0" w:color="000000"/>
            </w:tcBorders>
            <w:hideMark/>
          </w:tcPr>
          <w:p w14:paraId="5682E863" w14:textId="77777777" w:rsidR="00150AB9" w:rsidRPr="009C67C9" w:rsidRDefault="00150AB9">
            <w:pPr>
              <w:suppressAutoHyphens/>
              <w:rPr>
                <w:b/>
                <w:sz w:val="22"/>
                <w:szCs w:val="22"/>
                <w:lang w:val="en-GB"/>
              </w:rPr>
            </w:pPr>
            <w:r w:rsidRPr="009C67C9">
              <w:rPr>
                <w:b/>
                <w:sz w:val="22"/>
                <w:szCs w:val="22"/>
                <w:lang w:val="en-GB"/>
              </w:rPr>
              <w:t>n (%)</w:t>
            </w:r>
          </w:p>
        </w:tc>
        <w:tc>
          <w:tcPr>
            <w:tcW w:w="397" w:type="pct"/>
            <w:tcBorders>
              <w:top w:val="single" w:sz="6" w:space="0" w:color="000000"/>
              <w:left w:val="single" w:sz="6" w:space="0" w:color="000000"/>
              <w:bottom w:val="single" w:sz="6" w:space="0" w:color="000000"/>
              <w:right w:val="single" w:sz="6" w:space="0" w:color="000000"/>
            </w:tcBorders>
            <w:hideMark/>
          </w:tcPr>
          <w:p w14:paraId="7719FF5E" w14:textId="77777777" w:rsidR="00150AB9" w:rsidRPr="009C67C9" w:rsidRDefault="00150AB9">
            <w:pPr>
              <w:suppressAutoHyphens/>
              <w:rPr>
                <w:b/>
                <w:sz w:val="22"/>
                <w:szCs w:val="22"/>
                <w:lang w:val="en-GB"/>
              </w:rPr>
            </w:pPr>
            <w:r w:rsidRPr="009C67C9">
              <w:rPr>
                <w:b/>
                <w:sz w:val="22"/>
                <w:szCs w:val="22"/>
                <w:lang w:val="en-GB"/>
              </w:rPr>
              <w:t>N</w:t>
            </w:r>
          </w:p>
        </w:tc>
        <w:tc>
          <w:tcPr>
            <w:tcW w:w="635" w:type="pct"/>
            <w:tcBorders>
              <w:top w:val="single" w:sz="6" w:space="0" w:color="000000"/>
              <w:left w:val="single" w:sz="6" w:space="0" w:color="000000"/>
              <w:bottom w:val="single" w:sz="6" w:space="0" w:color="000000"/>
              <w:right w:val="single" w:sz="6" w:space="0" w:color="000000"/>
            </w:tcBorders>
            <w:hideMark/>
          </w:tcPr>
          <w:p w14:paraId="3B66BE72" w14:textId="77777777" w:rsidR="00150AB9" w:rsidRPr="009C67C9" w:rsidRDefault="00150AB9">
            <w:pPr>
              <w:suppressAutoHyphens/>
              <w:rPr>
                <w:b/>
                <w:sz w:val="22"/>
                <w:szCs w:val="22"/>
                <w:lang w:val="en-GB"/>
              </w:rPr>
            </w:pPr>
            <w:r w:rsidRPr="009C67C9">
              <w:rPr>
                <w:b/>
                <w:sz w:val="22"/>
                <w:szCs w:val="22"/>
                <w:lang w:val="en-GB"/>
              </w:rPr>
              <w:t>n (%)</w:t>
            </w:r>
          </w:p>
        </w:tc>
        <w:tc>
          <w:tcPr>
            <w:tcW w:w="1111" w:type="pct"/>
            <w:tcBorders>
              <w:top w:val="single" w:sz="6" w:space="0" w:color="000000"/>
              <w:left w:val="single" w:sz="6" w:space="0" w:color="000000"/>
              <w:bottom w:val="single" w:sz="6" w:space="0" w:color="000000"/>
              <w:right w:val="single" w:sz="6" w:space="0" w:color="000000"/>
            </w:tcBorders>
          </w:tcPr>
          <w:p w14:paraId="6FA4FAA5" w14:textId="77777777" w:rsidR="00150AB9" w:rsidRPr="009C67C9" w:rsidRDefault="00150AB9">
            <w:pPr>
              <w:suppressAutoHyphens/>
              <w:rPr>
                <w:sz w:val="22"/>
                <w:szCs w:val="22"/>
                <w:lang w:val="en-GB"/>
              </w:rPr>
            </w:pPr>
          </w:p>
        </w:tc>
      </w:tr>
      <w:tr w:rsidR="00150AB9" w:rsidRPr="009C67C9" w14:paraId="02101C37" w14:textId="77777777" w:rsidTr="006F6EE5">
        <w:trPr>
          <w:trHeight w:val="225"/>
        </w:trPr>
        <w:tc>
          <w:tcPr>
            <w:tcW w:w="5000" w:type="pct"/>
            <w:gridSpan w:val="6"/>
            <w:tcBorders>
              <w:top w:val="single" w:sz="6" w:space="0" w:color="000000"/>
              <w:left w:val="single" w:sz="6" w:space="0" w:color="000000"/>
              <w:bottom w:val="single" w:sz="6" w:space="0" w:color="000000"/>
              <w:right w:val="single" w:sz="6" w:space="0" w:color="000000"/>
            </w:tcBorders>
            <w:hideMark/>
          </w:tcPr>
          <w:p w14:paraId="0BB6E231" w14:textId="77777777" w:rsidR="00150AB9" w:rsidRPr="009C67C9" w:rsidRDefault="00150AB9">
            <w:pPr>
              <w:suppressAutoHyphens/>
              <w:rPr>
                <w:b/>
                <w:sz w:val="22"/>
                <w:szCs w:val="22"/>
                <w:lang w:val="en-GB"/>
              </w:rPr>
            </w:pPr>
            <w:proofErr w:type="spellStart"/>
            <w:r w:rsidRPr="009C67C9">
              <w:rPr>
                <w:b/>
                <w:sz w:val="22"/>
                <w:szCs w:val="22"/>
                <w:lang w:val="en-GB"/>
              </w:rPr>
              <w:t>Voksne</w:t>
            </w:r>
            <w:proofErr w:type="spellEnd"/>
            <w:r w:rsidRPr="009C67C9">
              <w:rPr>
                <w:b/>
                <w:sz w:val="22"/>
                <w:szCs w:val="22"/>
                <w:lang w:val="en-GB"/>
              </w:rPr>
              <w:t xml:space="preserve"> </w:t>
            </w:r>
            <w:proofErr w:type="spellStart"/>
            <w:r w:rsidRPr="009C67C9">
              <w:rPr>
                <w:b/>
                <w:sz w:val="22"/>
                <w:szCs w:val="22"/>
                <w:lang w:val="en-GB"/>
              </w:rPr>
              <w:t>patienter</w:t>
            </w:r>
            <w:proofErr w:type="spellEnd"/>
          </w:p>
        </w:tc>
      </w:tr>
      <w:tr w:rsidR="00150AB9" w:rsidRPr="009C67C9" w14:paraId="709CBA1C" w14:textId="77777777" w:rsidTr="006F6EE5">
        <w:trPr>
          <w:trHeight w:val="239"/>
        </w:trPr>
        <w:tc>
          <w:tcPr>
            <w:tcW w:w="1825" w:type="pct"/>
            <w:tcBorders>
              <w:top w:val="single" w:sz="6" w:space="0" w:color="000000"/>
              <w:left w:val="single" w:sz="6" w:space="0" w:color="000000"/>
              <w:bottom w:val="single" w:sz="6" w:space="0" w:color="000000"/>
              <w:right w:val="single" w:sz="6" w:space="0" w:color="000000"/>
            </w:tcBorders>
            <w:hideMark/>
          </w:tcPr>
          <w:p w14:paraId="3F17161D" w14:textId="77777777" w:rsidR="00150AB9" w:rsidRPr="009C67C9" w:rsidRDefault="00150AB9">
            <w:pPr>
              <w:suppressAutoHyphens/>
              <w:rPr>
                <w:sz w:val="22"/>
                <w:szCs w:val="22"/>
                <w:lang w:val="en-GB"/>
              </w:rPr>
            </w:pPr>
            <w:r w:rsidRPr="009C67C9">
              <w:rPr>
                <w:sz w:val="22"/>
                <w:szCs w:val="22"/>
                <w:lang w:val="en-GB"/>
              </w:rPr>
              <w:t xml:space="preserve">Total </w:t>
            </w:r>
            <w:proofErr w:type="spellStart"/>
            <w:r w:rsidRPr="009C67C9">
              <w:rPr>
                <w:sz w:val="22"/>
                <w:szCs w:val="22"/>
                <w:lang w:val="en-GB"/>
              </w:rPr>
              <w:t>behandlingssucces</w:t>
            </w:r>
            <w:proofErr w:type="spellEnd"/>
          </w:p>
        </w:tc>
        <w:tc>
          <w:tcPr>
            <w:tcW w:w="397" w:type="pct"/>
            <w:tcBorders>
              <w:top w:val="single" w:sz="6" w:space="0" w:color="000000"/>
              <w:left w:val="single" w:sz="6" w:space="0" w:color="000000"/>
              <w:bottom w:val="single" w:sz="6" w:space="0" w:color="000000"/>
              <w:right w:val="single" w:sz="6" w:space="0" w:color="000000"/>
            </w:tcBorders>
            <w:hideMark/>
          </w:tcPr>
          <w:p w14:paraId="73B82FD9" w14:textId="77777777" w:rsidR="00150AB9" w:rsidRPr="009C67C9" w:rsidRDefault="00150AB9">
            <w:pPr>
              <w:suppressAutoHyphens/>
              <w:rPr>
                <w:sz w:val="22"/>
                <w:szCs w:val="22"/>
                <w:lang w:val="en-GB"/>
              </w:rPr>
            </w:pPr>
            <w:r w:rsidRPr="009C67C9">
              <w:rPr>
                <w:sz w:val="22"/>
                <w:szCs w:val="22"/>
                <w:lang w:val="en-GB"/>
              </w:rPr>
              <w:t>202</w:t>
            </w:r>
          </w:p>
        </w:tc>
        <w:tc>
          <w:tcPr>
            <w:tcW w:w="635" w:type="pct"/>
            <w:tcBorders>
              <w:top w:val="single" w:sz="6" w:space="0" w:color="000000"/>
              <w:left w:val="single" w:sz="6" w:space="0" w:color="000000"/>
              <w:bottom w:val="single" w:sz="6" w:space="0" w:color="000000"/>
              <w:right w:val="single" w:sz="6" w:space="0" w:color="000000"/>
            </w:tcBorders>
            <w:hideMark/>
          </w:tcPr>
          <w:p w14:paraId="7C109C74" w14:textId="77777777" w:rsidR="00150AB9" w:rsidRPr="009C67C9" w:rsidRDefault="00150AB9">
            <w:pPr>
              <w:suppressAutoHyphens/>
              <w:rPr>
                <w:sz w:val="22"/>
                <w:szCs w:val="22"/>
                <w:lang w:val="en-GB"/>
              </w:rPr>
            </w:pPr>
            <w:r w:rsidRPr="009C67C9">
              <w:rPr>
                <w:sz w:val="22"/>
                <w:szCs w:val="22"/>
                <w:lang w:val="en-GB"/>
              </w:rPr>
              <w:t>181 (89,6)</w:t>
            </w:r>
          </w:p>
        </w:tc>
        <w:tc>
          <w:tcPr>
            <w:tcW w:w="397" w:type="pct"/>
            <w:tcBorders>
              <w:top w:val="single" w:sz="6" w:space="0" w:color="000000"/>
              <w:left w:val="single" w:sz="6" w:space="0" w:color="000000"/>
              <w:bottom w:val="single" w:sz="6" w:space="0" w:color="000000"/>
              <w:right w:val="single" w:sz="6" w:space="0" w:color="000000"/>
            </w:tcBorders>
            <w:hideMark/>
          </w:tcPr>
          <w:p w14:paraId="244EFB77" w14:textId="77777777" w:rsidR="00150AB9" w:rsidRPr="009C67C9" w:rsidRDefault="00150AB9">
            <w:pPr>
              <w:suppressAutoHyphens/>
              <w:rPr>
                <w:sz w:val="22"/>
                <w:szCs w:val="22"/>
                <w:lang w:val="en-GB"/>
              </w:rPr>
            </w:pPr>
            <w:r w:rsidRPr="009C67C9">
              <w:rPr>
                <w:sz w:val="22"/>
                <w:szCs w:val="22"/>
                <w:lang w:val="en-GB"/>
              </w:rPr>
              <w:t>190</w:t>
            </w:r>
          </w:p>
        </w:tc>
        <w:tc>
          <w:tcPr>
            <w:tcW w:w="635" w:type="pct"/>
            <w:tcBorders>
              <w:top w:val="single" w:sz="6" w:space="0" w:color="000000"/>
              <w:left w:val="single" w:sz="6" w:space="0" w:color="000000"/>
              <w:bottom w:val="single" w:sz="6" w:space="0" w:color="000000"/>
              <w:right w:val="single" w:sz="6" w:space="0" w:color="000000"/>
            </w:tcBorders>
            <w:hideMark/>
          </w:tcPr>
          <w:p w14:paraId="0511B84F" w14:textId="77777777" w:rsidR="00150AB9" w:rsidRPr="009C67C9" w:rsidRDefault="00150AB9">
            <w:pPr>
              <w:suppressAutoHyphens/>
              <w:rPr>
                <w:sz w:val="22"/>
                <w:szCs w:val="22"/>
                <w:lang w:val="en-GB"/>
              </w:rPr>
            </w:pPr>
            <w:r w:rsidRPr="009C67C9">
              <w:rPr>
                <w:sz w:val="22"/>
                <w:szCs w:val="22"/>
                <w:lang w:val="en-GB"/>
              </w:rPr>
              <w:t>170 (89,5)</w:t>
            </w:r>
          </w:p>
        </w:tc>
        <w:tc>
          <w:tcPr>
            <w:tcW w:w="1111" w:type="pct"/>
            <w:tcBorders>
              <w:top w:val="single" w:sz="6" w:space="0" w:color="000000"/>
              <w:left w:val="single" w:sz="6" w:space="0" w:color="000000"/>
              <w:bottom w:val="single" w:sz="6" w:space="0" w:color="000000"/>
              <w:right w:val="single" w:sz="6" w:space="0" w:color="000000"/>
            </w:tcBorders>
            <w:hideMark/>
          </w:tcPr>
          <w:p w14:paraId="13D86B65" w14:textId="77777777" w:rsidR="00150AB9" w:rsidRPr="009C67C9" w:rsidRDefault="00150AB9">
            <w:pPr>
              <w:suppressAutoHyphens/>
              <w:rPr>
                <w:sz w:val="22"/>
                <w:szCs w:val="22"/>
                <w:lang w:val="en-GB"/>
              </w:rPr>
            </w:pPr>
            <w:r w:rsidRPr="009C67C9">
              <w:rPr>
                <w:sz w:val="22"/>
                <w:szCs w:val="22"/>
                <w:lang w:val="en-GB"/>
              </w:rPr>
              <w:t>0,1 [-5,9; 6,1] †</w:t>
            </w:r>
          </w:p>
        </w:tc>
      </w:tr>
      <w:tr w:rsidR="00150AB9" w:rsidRPr="009C67C9" w14:paraId="62DBD76B" w14:textId="77777777" w:rsidTr="006F6EE5">
        <w:trPr>
          <w:trHeight w:val="240"/>
        </w:trPr>
        <w:tc>
          <w:tcPr>
            <w:tcW w:w="5000" w:type="pct"/>
            <w:gridSpan w:val="6"/>
            <w:tcBorders>
              <w:top w:val="single" w:sz="6" w:space="0" w:color="000000"/>
              <w:left w:val="single" w:sz="6" w:space="0" w:color="000000"/>
              <w:bottom w:val="single" w:sz="6" w:space="0" w:color="000000"/>
              <w:right w:val="single" w:sz="6" w:space="0" w:color="000000"/>
            </w:tcBorders>
            <w:hideMark/>
          </w:tcPr>
          <w:p w14:paraId="479CBBC2" w14:textId="77777777" w:rsidR="00150AB9" w:rsidRPr="009C67C9" w:rsidRDefault="00150AB9">
            <w:pPr>
              <w:suppressAutoHyphens/>
              <w:rPr>
                <w:sz w:val="22"/>
                <w:szCs w:val="22"/>
              </w:rPr>
            </w:pPr>
            <w:r w:rsidRPr="009C67C9">
              <w:rPr>
                <w:sz w:val="22"/>
                <w:szCs w:val="22"/>
              </w:rPr>
              <w:t xml:space="preserve">Total behandlingssucces efter den </w:t>
            </w:r>
            <w:proofErr w:type="spellStart"/>
            <w:r w:rsidRPr="009C67C9">
              <w:rPr>
                <w:sz w:val="22"/>
                <w:szCs w:val="22"/>
              </w:rPr>
              <w:t>neutropene</w:t>
            </w:r>
            <w:proofErr w:type="spellEnd"/>
            <w:r w:rsidRPr="009C67C9">
              <w:rPr>
                <w:sz w:val="22"/>
                <w:szCs w:val="22"/>
              </w:rPr>
              <w:t xml:space="preserve"> status</w:t>
            </w:r>
          </w:p>
        </w:tc>
      </w:tr>
      <w:tr w:rsidR="00150AB9" w:rsidRPr="009C67C9" w14:paraId="1F3E73F1" w14:textId="77777777" w:rsidTr="006F6EE5">
        <w:trPr>
          <w:trHeight w:val="224"/>
        </w:trPr>
        <w:tc>
          <w:tcPr>
            <w:tcW w:w="1825" w:type="pct"/>
            <w:tcBorders>
              <w:top w:val="single" w:sz="6" w:space="0" w:color="000000"/>
              <w:left w:val="single" w:sz="6" w:space="0" w:color="000000"/>
              <w:bottom w:val="single" w:sz="6" w:space="0" w:color="000000"/>
              <w:right w:val="single" w:sz="6" w:space="0" w:color="000000"/>
            </w:tcBorders>
            <w:hideMark/>
          </w:tcPr>
          <w:p w14:paraId="26E40AD3" w14:textId="77777777" w:rsidR="00150AB9" w:rsidRPr="009C67C9" w:rsidRDefault="00150AB9">
            <w:pPr>
              <w:pStyle w:val="TableParagraph"/>
              <w:spacing w:line="225" w:lineRule="exact"/>
              <w:ind w:left="474"/>
              <w:rPr>
                <w:rFonts w:ascii="Times New Roman" w:hAnsi="Times New Roman" w:cs="Times New Roman"/>
                <w:lang w:val="da-DK"/>
              </w:rPr>
            </w:pPr>
            <w:proofErr w:type="spellStart"/>
            <w:r w:rsidRPr="009C67C9">
              <w:rPr>
                <w:rFonts w:ascii="Times New Roman" w:hAnsi="Times New Roman" w:cs="Times New Roman"/>
                <w:lang w:val="da-DK"/>
              </w:rPr>
              <w:t>Neutropeni</w:t>
            </w:r>
            <w:proofErr w:type="spellEnd"/>
            <w:r w:rsidRPr="009C67C9">
              <w:rPr>
                <w:rFonts w:ascii="Times New Roman" w:hAnsi="Times New Roman" w:cs="Times New Roman"/>
                <w:lang w:val="da-DK"/>
              </w:rPr>
              <w:t xml:space="preserve"> ved </w:t>
            </w:r>
            <w:r w:rsidRPr="009C67C9">
              <w:rPr>
                <w:rFonts w:ascii="Times New Roman" w:hAnsi="Times New Roman" w:cs="Times New Roman"/>
                <w:i/>
                <w:iCs/>
                <w:lang w:val="da-DK"/>
              </w:rPr>
              <w:t>baseline</w:t>
            </w:r>
          </w:p>
        </w:tc>
        <w:tc>
          <w:tcPr>
            <w:tcW w:w="397" w:type="pct"/>
            <w:tcBorders>
              <w:top w:val="single" w:sz="6" w:space="0" w:color="000000"/>
              <w:left w:val="single" w:sz="6" w:space="0" w:color="000000"/>
              <w:bottom w:val="single" w:sz="6" w:space="0" w:color="000000"/>
              <w:right w:val="single" w:sz="6" w:space="0" w:color="000000"/>
            </w:tcBorders>
            <w:hideMark/>
          </w:tcPr>
          <w:p w14:paraId="15800A29" w14:textId="77777777" w:rsidR="00150AB9" w:rsidRPr="009C67C9" w:rsidRDefault="00150AB9">
            <w:pPr>
              <w:suppressAutoHyphens/>
              <w:rPr>
                <w:sz w:val="22"/>
                <w:szCs w:val="22"/>
                <w:lang w:val="en-GB"/>
              </w:rPr>
            </w:pPr>
            <w:r w:rsidRPr="009C67C9">
              <w:rPr>
                <w:sz w:val="22"/>
                <w:szCs w:val="22"/>
                <w:lang w:val="en-GB"/>
              </w:rPr>
              <w:t>24</w:t>
            </w:r>
          </w:p>
        </w:tc>
        <w:tc>
          <w:tcPr>
            <w:tcW w:w="635" w:type="pct"/>
            <w:tcBorders>
              <w:top w:val="single" w:sz="6" w:space="0" w:color="000000"/>
              <w:left w:val="single" w:sz="6" w:space="0" w:color="000000"/>
              <w:bottom w:val="single" w:sz="6" w:space="0" w:color="000000"/>
              <w:right w:val="single" w:sz="6" w:space="0" w:color="000000"/>
            </w:tcBorders>
            <w:hideMark/>
          </w:tcPr>
          <w:p w14:paraId="6C1281A3" w14:textId="77777777" w:rsidR="00150AB9" w:rsidRPr="009C67C9" w:rsidRDefault="00150AB9">
            <w:pPr>
              <w:suppressAutoHyphens/>
              <w:rPr>
                <w:sz w:val="22"/>
                <w:szCs w:val="22"/>
                <w:lang w:val="en-GB"/>
              </w:rPr>
            </w:pPr>
            <w:r w:rsidRPr="009C67C9">
              <w:rPr>
                <w:sz w:val="22"/>
                <w:szCs w:val="22"/>
                <w:lang w:val="en-GB"/>
              </w:rPr>
              <w:t>18 (75,0)</w:t>
            </w:r>
          </w:p>
        </w:tc>
        <w:tc>
          <w:tcPr>
            <w:tcW w:w="397" w:type="pct"/>
            <w:tcBorders>
              <w:top w:val="single" w:sz="6" w:space="0" w:color="000000"/>
              <w:left w:val="single" w:sz="6" w:space="0" w:color="000000"/>
              <w:bottom w:val="single" w:sz="6" w:space="0" w:color="000000"/>
              <w:right w:val="single" w:sz="6" w:space="0" w:color="000000"/>
            </w:tcBorders>
            <w:hideMark/>
          </w:tcPr>
          <w:p w14:paraId="1D0433A4" w14:textId="77777777" w:rsidR="00150AB9" w:rsidRPr="009C67C9" w:rsidRDefault="00150AB9">
            <w:pPr>
              <w:suppressAutoHyphens/>
              <w:rPr>
                <w:sz w:val="22"/>
                <w:szCs w:val="22"/>
                <w:lang w:val="en-GB"/>
              </w:rPr>
            </w:pPr>
            <w:r w:rsidRPr="009C67C9">
              <w:rPr>
                <w:sz w:val="22"/>
                <w:szCs w:val="22"/>
                <w:lang w:val="en-GB"/>
              </w:rPr>
              <w:t>15</w:t>
            </w:r>
          </w:p>
        </w:tc>
        <w:tc>
          <w:tcPr>
            <w:tcW w:w="635" w:type="pct"/>
            <w:tcBorders>
              <w:top w:val="single" w:sz="6" w:space="0" w:color="000000"/>
              <w:left w:val="single" w:sz="6" w:space="0" w:color="000000"/>
              <w:bottom w:val="single" w:sz="6" w:space="0" w:color="000000"/>
              <w:right w:val="single" w:sz="6" w:space="0" w:color="000000"/>
            </w:tcBorders>
            <w:hideMark/>
          </w:tcPr>
          <w:p w14:paraId="453DE3EF" w14:textId="77777777" w:rsidR="00150AB9" w:rsidRPr="009C67C9" w:rsidRDefault="00150AB9">
            <w:pPr>
              <w:suppressAutoHyphens/>
              <w:rPr>
                <w:sz w:val="22"/>
                <w:szCs w:val="22"/>
                <w:lang w:val="en-GB"/>
              </w:rPr>
            </w:pPr>
            <w:r w:rsidRPr="009C67C9">
              <w:rPr>
                <w:sz w:val="22"/>
                <w:szCs w:val="22"/>
                <w:lang w:val="en-GB"/>
              </w:rPr>
              <w:t>12 (80,0)</w:t>
            </w:r>
          </w:p>
        </w:tc>
        <w:tc>
          <w:tcPr>
            <w:tcW w:w="1111" w:type="pct"/>
            <w:vMerge w:val="restart"/>
            <w:tcBorders>
              <w:top w:val="single" w:sz="6" w:space="0" w:color="000000"/>
              <w:left w:val="single" w:sz="6" w:space="0" w:color="000000"/>
              <w:bottom w:val="single" w:sz="6" w:space="0" w:color="000000"/>
              <w:right w:val="single" w:sz="6" w:space="0" w:color="000000"/>
            </w:tcBorders>
            <w:hideMark/>
          </w:tcPr>
          <w:p w14:paraId="725E1AFE" w14:textId="77777777" w:rsidR="00150AB9" w:rsidRPr="009C67C9" w:rsidRDefault="00150AB9">
            <w:pPr>
              <w:suppressAutoHyphens/>
              <w:rPr>
                <w:sz w:val="22"/>
                <w:szCs w:val="22"/>
                <w:lang w:val="en-GB"/>
              </w:rPr>
            </w:pPr>
            <w:r w:rsidRPr="009C67C9">
              <w:rPr>
                <w:sz w:val="22"/>
                <w:szCs w:val="22"/>
                <w:lang w:val="en-GB"/>
              </w:rPr>
              <w:t>0,7 [-5,3; 6,7] ‡</w:t>
            </w:r>
          </w:p>
        </w:tc>
      </w:tr>
      <w:tr w:rsidR="00150AB9" w:rsidRPr="009C67C9" w14:paraId="71151044" w14:textId="77777777" w:rsidTr="006F6EE5">
        <w:trPr>
          <w:trHeight w:val="480"/>
        </w:trPr>
        <w:tc>
          <w:tcPr>
            <w:tcW w:w="1825" w:type="pct"/>
            <w:tcBorders>
              <w:top w:val="single" w:sz="6" w:space="0" w:color="000000"/>
              <w:left w:val="single" w:sz="6" w:space="0" w:color="000000"/>
              <w:bottom w:val="single" w:sz="6" w:space="0" w:color="000000"/>
              <w:right w:val="single" w:sz="6" w:space="0" w:color="000000"/>
            </w:tcBorders>
            <w:hideMark/>
          </w:tcPr>
          <w:p w14:paraId="39F2AD28" w14:textId="77777777" w:rsidR="00150AB9" w:rsidRPr="009C67C9" w:rsidRDefault="00150AB9">
            <w:pPr>
              <w:pStyle w:val="TableParagraph"/>
              <w:spacing w:line="225" w:lineRule="exact"/>
              <w:ind w:left="474"/>
              <w:rPr>
                <w:rFonts w:ascii="Times New Roman" w:hAnsi="Times New Roman" w:cs="Times New Roman"/>
                <w:lang w:val="da-DK"/>
              </w:rPr>
            </w:pPr>
            <w:r w:rsidRPr="009C67C9">
              <w:rPr>
                <w:rFonts w:ascii="Times New Roman" w:hAnsi="Times New Roman" w:cs="Times New Roman"/>
                <w:lang w:val="da-DK"/>
              </w:rPr>
              <w:t xml:space="preserve">Intet tegn på </w:t>
            </w:r>
            <w:proofErr w:type="spellStart"/>
            <w:r w:rsidRPr="009C67C9">
              <w:rPr>
                <w:rFonts w:ascii="Times New Roman" w:hAnsi="Times New Roman" w:cs="Times New Roman"/>
                <w:lang w:val="da-DK"/>
              </w:rPr>
              <w:t>neutropeni</w:t>
            </w:r>
            <w:proofErr w:type="spellEnd"/>
            <w:r w:rsidRPr="009C67C9">
              <w:rPr>
                <w:rFonts w:ascii="Times New Roman" w:hAnsi="Times New Roman" w:cs="Times New Roman"/>
                <w:lang w:val="da-DK"/>
              </w:rPr>
              <w:t xml:space="preserve"> ved </w:t>
            </w:r>
            <w:r w:rsidRPr="009C67C9">
              <w:rPr>
                <w:rFonts w:ascii="Times New Roman" w:hAnsi="Times New Roman" w:cs="Times New Roman"/>
                <w:i/>
                <w:iCs/>
                <w:lang w:val="da-DK"/>
              </w:rPr>
              <w:t>baseline</w:t>
            </w:r>
          </w:p>
        </w:tc>
        <w:tc>
          <w:tcPr>
            <w:tcW w:w="397" w:type="pct"/>
            <w:tcBorders>
              <w:top w:val="single" w:sz="6" w:space="0" w:color="000000"/>
              <w:left w:val="single" w:sz="6" w:space="0" w:color="000000"/>
              <w:bottom w:val="single" w:sz="6" w:space="0" w:color="000000"/>
              <w:right w:val="single" w:sz="6" w:space="0" w:color="000000"/>
            </w:tcBorders>
            <w:hideMark/>
          </w:tcPr>
          <w:p w14:paraId="2DE9B1BF" w14:textId="77777777" w:rsidR="00150AB9" w:rsidRPr="009C67C9" w:rsidRDefault="00150AB9">
            <w:pPr>
              <w:suppressAutoHyphens/>
              <w:rPr>
                <w:sz w:val="22"/>
                <w:szCs w:val="22"/>
                <w:lang w:val="en-GB"/>
              </w:rPr>
            </w:pPr>
            <w:r w:rsidRPr="009C67C9">
              <w:rPr>
                <w:sz w:val="22"/>
                <w:szCs w:val="22"/>
                <w:lang w:val="en-GB"/>
              </w:rPr>
              <w:t>178</w:t>
            </w:r>
          </w:p>
        </w:tc>
        <w:tc>
          <w:tcPr>
            <w:tcW w:w="635" w:type="pct"/>
            <w:tcBorders>
              <w:top w:val="single" w:sz="6" w:space="0" w:color="000000"/>
              <w:left w:val="single" w:sz="6" w:space="0" w:color="000000"/>
              <w:bottom w:val="single" w:sz="6" w:space="0" w:color="000000"/>
              <w:right w:val="single" w:sz="6" w:space="0" w:color="000000"/>
            </w:tcBorders>
            <w:hideMark/>
          </w:tcPr>
          <w:p w14:paraId="7954BA89" w14:textId="77777777" w:rsidR="00150AB9" w:rsidRPr="009C67C9" w:rsidRDefault="00150AB9">
            <w:pPr>
              <w:suppressAutoHyphens/>
              <w:rPr>
                <w:sz w:val="22"/>
                <w:szCs w:val="22"/>
                <w:lang w:val="en-GB"/>
              </w:rPr>
            </w:pPr>
            <w:r w:rsidRPr="009C67C9">
              <w:rPr>
                <w:sz w:val="22"/>
                <w:szCs w:val="22"/>
                <w:lang w:val="en-GB"/>
              </w:rPr>
              <w:t>163 (91,6)</w:t>
            </w:r>
          </w:p>
        </w:tc>
        <w:tc>
          <w:tcPr>
            <w:tcW w:w="397" w:type="pct"/>
            <w:tcBorders>
              <w:top w:val="single" w:sz="6" w:space="0" w:color="000000"/>
              <w:left w:val="single" w:sz="6" w:space="0" w:color="000000"/>
              <w:bottom w:val="single" w:sz="6" w:space="0" w:color="000000"/>
              <w:right w:val="single" w:sz="6" w:space="0" w:color="000000"/>
            </w:tcBorders>
            <w:hideMark/>
          </w:tcPr>
          <w:p w14:paraId="428504EB" w14:textId="77777777" w:rsidR="00150AB9" w:rsidRPr="009C67C9" w:rsidRDefault="00150AB9">
            <w:pPr>
              <w:suppressAutoHyphens/>
              <w:rPr>
                <w:sz w:val="22"/>
                <w:szCs w:val="22"/>
                <w:lang w:val="en-GB"/>
              </w:rPr>
            </w:pPr>
            <w:r w:rsidRPr="009C67C9">
              <w:rPr>
                <w:sz w:val="22"/>
                <w:szCs w:val="22"/>
                <w:lang w:val="en-GB"/>
              </w:rPr>
              <w:t>175</w:t>
            </w:r>
          </w:p>
        </w:tc>
        <w:tc>
          <w:tcPr>
            <w:tcW w:w="635" w:type="pct"/>
            <w:tcBorders>
              <w:top w:val="single" w:sz="6" w:space="0" w:color="000000"/>
              <w:left w:val="single" w:sz="6" w:space="0" w:color="000000"/>
              <w:bottom w:val="single" w:sz="6" w:space="0" w:color="000000"/>
              <w:right w:val="single" w:sz="6" w:space="0" w:color="000000"/>
            </w:tcBorders>
            <w:hideMark/>
          </w:tcPr>
          <w:p w14:paraId="041A7BA0" w14:textId="77777777" w:rsidR="00150AB9" w:rsidRPr="009C67C9" w:rsidRDefault="00150AB9">
            <w:pPr>
              <w:suppressAutoHyphens/>
              <w:rPr>
                <w:sz w:val="22"/>
                <w:szCs w:val="22"/>
                <w:lang w:val="en-GB"/>
              </w:rPr>
            </w:pPr>
            <w:r w:rsidRPr="009C67C9">
              <w:rPr>
                <w:sz w:val="22"/>
                <w:szCs w:val="22"/>
                <w:lang w:val="en-GB"/>
              </w:rPr>
              <w:t>158 (90,3)</w:t>
            </w:r>
          </w:p>
        </w:tc>
        <w:tc>
          <w:tcPr>
            <w:tcW w:w="1111" w:type="pct"/>
            <w:vMerge/>
            <w:tcBorders>
              <w:top w:val="single" w:sz="6" w:space="0" w:color="000000"/>
              <w:left w:val="single" w:sz="6" w:space="0" w:color="000000"/>
              <w:bottom w:val="single" w:sz="6" w:space="0" w:color="000000"/>
              <w:right w:val="single" w:sz="6" w:space="0" w:color="000000"/>
            </w:tcBorders>
            <w:vAlign w:val="center"/>
            <w:hideMark/>
          </w:tcPr>
          <w:p w14:paraId="07054AD9" w14:textId="77777777" w:rsidR="00150AB9" w:rsidRPr="009C67C9" w:rsidRDefault="00150AB9">
            <w:pPr>
              <w:rPr>
                <w:sz w:val="22"/>
                <w:szCs w:val="22"/>
                <w:lang w:val="en-GB"/>
              </w:rPr>
            </w:pPr>
          </w:p>
        </w:tc>
      </w:tr>
      <w:tr w:rsidR="00150AB9" w:rsidRPr="009C67C9" w14:paraId="26E81A8E" w14:textId="77777777" w:rsidTr="006F6EE5">
        <w:trPr>
          <w:trHeight w:val="240"/>
        </w:trPr>
        <w:tc>
          <w:tcPr>
            <w:tcW w:w="5000" w:type="pct"/>
            <w:gridSpan w:val="6"/>
            <w:tcBorders>
              <w:top w:val="single" w:sz="6" w:space="0" w:color="000000"/>
              <w:left w:val="single" w:sz="6" w:space="0" w:color="000000"/>
              <w:bottom w:val="single" w:sz="6" w:space="0" w:color="000000"/>
              <w:right w:val="single" w:sz="6" w:space="0" w:color="000000"/>
            </w:tcBorders>
            <w:hideMark/>
          </w:tcPr>
          <w:p w14:paraId="501DEBB3" w14:textId="77777777" w:rsidR="00150AB9" w:rsidRPr="009C67C9" w:rsidRDefault="00150AB9">
            <w:pPr>
              <w:suppressAutoHyphens/>
              <w:rPr>
                <w:b/>
                <w:sz w:val="22"/>
                <w:szCs w:val="22"/>
                <w:lang w:val="en-GB"/>
              </w:rPr>
            </w:pPr>
            <w:proofErr w:type="spellStart"/>
            <w:r w:rsidRPr="009C67C9">
              <w:rPr>
                <w:b/>
                <w:sz w:val="22"/>
                <w:szCs w:val="22"/>
                <w:lang w:val="en-GB"/>
              </w:rPr>
              <w:t>Pædiatriske</w:t>
            </w:r>
            <w:proofErr w:type="spellEnd"/>
            <w:r w:rsidRPr="009C67C9">
              <w:rPr>
                <w:b/>
                <w:sz w:val="22"/>
                <w:szCs w:val="22"/>
                <w:lang w:val="en-GB"/>
              </w:rPr>
              <w:t xml:space="preserve"> </w:t>
            </w:r>
            <w:proofErr w:type="spellStart"/>
            <w:r w:rsidRPr="009C67C9">
              <w:rPr>
                <w:b/>
                <w:sz w:val="22"/>
                <w:szCs w:val="22"/>
                <w:lang w:val="en-GB"/>
              </w:rPr>
              <w:t>patienter</w:t>
            </w:r>
            <w:proofErr w:type="spellEnd"/>
          </w:p>
        </w:tc>
      </w:tr>
      <w:tr w:rsidR="00150AB9" w:rsidRPr="009C67C9" w14:paraId="1BA30D8C" w14:textId="77777777" w:rsidTr="006F6EE5">
        <w:trPr>
          <w:trHeight w:val="269"/>
        </w:trPr>
        <w:tc>
          <w:tcPr>
            <w:tcW w:w="1825" w:type="pct"/>
            <w:tcBorders>
              <w:top w:val="single" w:sz="6" w:space="0" w:color="000000"/>
              <w:left w:val="single" w:sz="6" w:space="0" w:color="000000"/>
              <w:bottom w:val="single" w:sz="6" w:space="0" w:color="000000"/>
              <w:right w:val="single" w:sz="6" w:space="0" w:color="000000"/>
            </w:tcBorders>
            <w:hideMark/>
          </w:tcPr>
          <w:p w14:paraId="314F7BF9" w14:textId="77777777" w:rsidR="00150AB9" w:rsidRPr="009C67C9" w:rsidRDefault="00150AB9">
            <w:pPr>
              <w:suppressAutoHyphens/>
              <w:rPr>
                <w:sz w:val="22"/>
                <w:szCs w:val="22"/>
                <w:lang w:val="en-GB"/>
              </w:rPr>
            </w:pPr>
            <w:r w:rsidRPr="009C67C9">
              <w:rPr>
                <w:sz w:val="22"/>
                <w:szCs w:val="22"/>
                <w:lang w:val="en-GB"/>
              </w:rPr>
              <w:t xml:space="preserve">Total </w:t>
            </w:r>
            <w:proofErr w:type="spellStart"/>
            <w:r w:rsidRPr="009C67C9">
              <w:rPr>
                <w:sz w:val="22"/>
                <w:szCs w:val="22"/>
                <w:lang w:val="en-GB"/>
              </w:rPr>
              <w:t>behandlingssucces</w:t>
            </w:r>
            <w:proofErr w:type="spellEnd"/>
          </w:p>
        </w:tc>
        <w:tc>
          <w:tcPr>
            <w:tcW w:w="397" w:type="pct"/>
            <w:tcBorders>
              <w:top w:val="single" w:sz="6" w:space="0" w:color="000000"/>
              <w:left w:val="single" w:sz="6" w:space="0" w:color="000000"/>
              <w:bottom w:val="single" w:sz="6" w:space="0" w:color="000000"/>
              <w:right w:val="single" w:sz="6" w:space="0" w:color="000000"/>
            </w:tcBorders>
            <w:hideMark/>
          </w:tcPr>
          <w:p w14:paraId="5153D6BF" w14:textId="77777777" w:rsidR="00150AB9" w:rsidRPr="009C67C9" w:rsidRDefault="00150AB9">
            <w:pPr>
              <w:suppressAutoHyphens/>
              <w:rPr>
                <w:sz w:val="22"/>
                <w:szCs w:val="22"/>
                <w:lang w:val="en-GB"/>
              </w:rPr>
            </w:pPr>
            <w:r w:rsidRPr="009C67C9">
              <w:rPr>
                <w:sz w:val="22"/>
                <w:szCs w:val="22"/>
                <w:lang w:val="en-GB"/>
              </w:rPr>
              <w:t>48</w:t>
            </w:r>
          </w:p>
        </w:tc>
        <w:tc>
          <w:tcPr>
            <w:tcW w:w="635" w:type="pct"/>
            <w:tcBorders>
              <w:top w:val="single" w:sz="6" w:space="0" w:color="000000"/>
              <w:left w:val="single" w:sz="6" w:space="0" w:color="000000"/>
              <w:bottom w:val="single" w:sz="6" w:space="0" w:color="000000"/>
              <w:right w:val="single" w:sz="6" w:space="0" w:color="000000"/>
            </w:tcBorders>
            <w:hideMark/>
          </w:tcPr>
          <w:p w14:paraId="18624EAE" w14:textId="77777777" w:rsidR="00150AB9" w:rsidRPr="009C67C9" w:rsidRDefault="00150AB9">
            <w:pPr>
              <w:suppressAutoHyphens/>
              <w:rPr>
                <w:sz w:val="22"/>
                <w:szCs w:val="22"/>
                <w:lang w:val="en-GB"/>
              </w:rPr>
            </w:pPr>
            <w:r w:rsidRPr="009C67C9">
              <w:rPr>
                <w:sz w:val="22"/>
                <w:szCs w:val="22"/>
                <w:lang w:val="en-GB"/>
              </w:rPr>
              <w:t>35 (72,9)</w:t>
            </w:r>
          </w:p>
        </w:tc>
        <w:tc>
          <w:tcPr>
            <w:tcW w:w="397" w:type="pct"/>
            <w:tcBorders>
              <w:top w:val="single" w:sz="6" w:space="0" w:color="000000"/>
              <w:left w:val="single" w:sz="6" w:space="0" w:color="000000"/>
              <w:bottom w:val="single" w:sz="6" w:space="0" w:color="000000"/>
              <w:right w:val="single" w:sz="6" w:space="0" w:color="000000"/>
            </w:tcBorders>
            <w:hideMark/>
          </w:tcPr>
          <w:p w14:paraId="0E713544" w14:textId="77777777" w:rsidR="00150AB9" w:rsidRPr="009C67C9" w:rsidRDefault="00150AB9">
            <w:pPr>
              <w:suppressAutoHyphens/>
              <w:rPr>
                <w:sz w:val="22"/>
                <w:szCs w:val="22"/>
                <w:lang w:val="en-GB"/>
              </w:rPr>
            </w:pPr>
            <w:r w:rsidRPr="009C67C9">
              <w:rPr>
                <w:sz w:val="22"/>
                <w:szCs w:val="22"/>
                <w:lang w:val="en-GB"/>
              </w:rPr>
              <w:t>50</w:t>
            </w:r>
          </w:p>
        </w:tc>
        <w:tc>
          <w:tcPr>
            <w:tcW w:w="635" w:type="pct"/>
            <w:tcBorders>
              <w:top w:val="single" w:sz="6" w:space="0" w:color="000000"/>
              <w:left w:val="single" w:sz="6" w:space="0" w:color="000000"/>
              <w:bottom w:val="single" w:sz="6" w:space="0" w:color="000000"/>
              <w:right w:val="single" w:sz="6" w:space="0" w:color="000000"/>
            </w:tcBorders>
            <w:hideMark/>
          </w:tcPr>
          <w:p w14:paraId="28153331" w14:textId="77777777" w:rsidR="00150AB9" w:rsidRPr="009C67C9" w:rsidRDefault="00150AB9">
            <w:pPr>
              <w:suppressAutoHyphens/>
              <w:rPr>
                <w:sz w:val="22"/>
                <w:szCs w:val="22"/>
                <w:lang w:val="en-GB"/>
              </w:rPr>
            </w:pPr>
            <w:r w:rsidRPr="009C67C9">
              <w:rPr>
                <w:sz w:val="22"/>
                <w:szCs w:val="22"/>
                <w:lang w:val="en-GB"/>
              </w:rPr>
              <w:t>38 (76,0)</w:t>
            </w:r>
          </w:p>
        </w:tc>
        <w:tc>
          <w:tcPr>
            <w:tcW w:w="1111" w:type="pct"/>
            <w:vMerge w:val="restart"/>
            <w:tcBorders>
              <w:top w:val="single" w:sz="6" w:space="0" w:color="000000"/>
              <w:left w:val="single" w:sz="6" w:space="0" w:color="000000"/>
              <w:bottom w:val="single" w:sz="6" w:space="0" w:color="000000"/>
              <w:right w:val="single" w:sz="6" w:space="0" w:color="000000"/>
            </w:tcBorders>
            <w:hideMark/>
          </w:tcPr>
          <w:p w14:paraId="5059AF33" w14:textId="77777777" w:rsidR="00150AB9" w:rsidRPr="009C67C9" w:rsidRDefault="00150AB9">
            <w:pPr>
              <w:suppressAutoHyphens/>
              <w:rPr>
                <w:sz w:val="22"/>
                <w:szCs w:val="22"/>
                <w:lang w:val="en-GB"/>
              </w:rPr>
            </w:pPr>
            <w:r w:rsidRPr="009C67C9">
              <w:rPr>
                <w:sz w:val="22"/>
                <w:szCs w:val="22"/>
                <w:lang w:val="en-GB"/>
              </w:rPr>
              <w:noBreakHyphen/>
              <w:t>2,7 [</w:t>
            </w:r>
            <w:r w:rsidRPr="009C67C9">
              <w:rPr>
                <w:sz w:val="22"/>
                <w:szCs w:val="22"/>
                <w:lang w:val="en-GB"/>
              </w:rPr>
              <w:noBreakHyphen/>
              <w:t>17,3; 11,9] §</w:t>
            </w:r>
          </w:p>
        </w:tc>
      </w:tr>
      <w:tr w:rsidR="00150AB9" w:rsidRPr="009C67C9" w14:paraId="398D2930" w14:textId="77777777" w:rsidTr="006F6EE5">
        <w:trPr>
          <w:trHeight w:val="270"/>
        </w:trPr>
        <w:tc>
          <w:tcPr>
            <w:tcW w:w="1825" w:type="pct"/>
            <w:tcBorders>
              <w:top w:val="single" w:sz="6" w:space="0" w:color="000000"/>
              <w:left w:val="single" w:sz="6" w:space="0" w:color="000000"/>
              <w:bottom w:val="single" w:sz="6" w:space="0" w:color="000000"/>
              <w:right w:val="single" w:sz="6" w:space="0" w:color="000000"/>
            </w:tcBorders>
            <w:hideMark/>
          </w:tcPr>
          <w:p w14:paraId="594B7B6A" w14:textId="77777777" w:rsidR="00150AB9" w:rsidRPr="009C67C9" w:rsidRDefault="00150AB9">
            <w:pPr>
              <w:pStyle w:val="TableParagraph"/>
              <w:spacing w:line="225" w:lineRule="exact"/>
              <w:ind w:left="474"/>
              <w:rPr>
                <w:rFonts w:ascii="Times New Roman" w:hAnsi="Times New Roman" w:cs="Times New Roman"/>
                <w:lang w:val="da-DK"/>
              </w:rPr>
            </w:pPr>
            <w:r w:rsidRPr="009C67C9">
              <w:rPr>
                <w:rFonts w:ascii="Times New Roman" w:hAnsi="Times New Roman" w:cs="Times New Roman"/>
                <w:lang w:val="da-DK"/>
              </w:rPr>
              <w:t>Alder &lt; 2 år</w:t>
            </w:r>
          </w:p>
        </w:tc>
        <w:tc>
          <w:tcPr>
            <w:tcW w:w="397" w:type="pct"/>
            <w:tcBorders>
              <w:top w:val="single" w:sz="6" w:space="0" w:color="000000"/>
              <w:left w:val="single" w:sz="6" w:space="0" w:color="000000"/>
              <w:bottom w:val="single" w:sz="6" w:space="0" w:color="000000"/>
              <w:right w:val="single" w:sz="6" w:space="0" w:color="000000"/>
            </w:tcBorders>
            <w:hideMark/>
          </w:tcPr>
          <w:p w14:paraId="3FCA7D41" w14:textId="77777777" w:rsidR="00150AB9" w:rsidRPr="009C67C9" w:rsidRDefault="00150AB9">
            <w:pPr>
              <w:suppressAutoHyphens/>
              <w:rPr>
                <w:sz w:val="22"/>
                <w:szCs w:val="22"/>
                <w:lang w:val="en-GB"/>
              </w:rPr>
            </w:pPr>
            <w:r w:rsidRPr="009C67C9">
              <w:rPr>
                <w:sz w:val="22"/>
                <w:szCs w:val="22"/>
                <w:lang w:val="en-GB"/>
              </w:rPr>
              <w:t>26</w:t>
            </w:r>
          </w:p>
        </w:tc>
        <w:tc>
          <w:tcPr>
            <w:tcW w:w="635" w:type="pct"/>
            <w:tcBorders>
              <w:top w:val="single" w:sz="6" w:space="0" w:color="000000"/>
              <w:left w:val="single" w:sz="6" w:space="0" w:color="000000"/>
              <w:bottom w:val="single" w:sz="6" w:space="0" w:color="000000"/>
              <w:right w:val="single" w:sz="6" w:space="0" w:color="000000"/>
            </w:tcBorders>
            <w:hideMark/>
          </w:tcPr>
          <w:p w14:paraId="56340818" w14:textId="77777777" w:rsidR="00150AB9" w:rsidRPr="009C67C9" w:rsidRDefault="00150AB9">
            <w:pPr>
              <w:suppressAutoHyphens/>
              <w:rPr>
                <w:sz w:val="22"/>
                <w:szCs w:val="22"/>
                <w:lang w:val="en-GB"/>
              </w:rPr>
            </w:pPr>
            <w:r w:rsidRPr="009C67C9">
              <w:rPr>
                <w:sz w:val="22"/>
                <w:szCs w:val="22"/>
                <w:lang w:val="en-GB"/>
              </w:rPr>
              <w:t>21 (80,8)</w:t>
            </w:r>
          </w:p>
        </w:tc>
        <w:tc>
          <w:tcPr>
            <w:tcW w:w="397" w:type="pct"/>
            <w:tcBorders>
              <w:top w:val="single" w:sz="6" w:space="0" w:color="000000"/>
              <w:left w:val="single" w:sz="6" w:space="0" w:color="000000"/>
              <w:bottom w:val="single" w:sz="6" w:space="0" w:color="000000"/>
              <w:right w:val="single" w:sz="6" w:space="0" w:color="000000"/>
            </w:tcBorders>
            <w:hideMark/>
          </w:tcPr>
          <w:p w14:paraId="252766A0" w14:textId="77777777" w:rsidR="00150AB9" w:rsidRPr="009C67C9" w:rsidRDefault="00150AB9">
            <w:pPr>
              <w:suppressAutoHyphens/>
              <w:rPr>
                <w:sz w:val="22"/>
                <w:szCs w:val="22"/>
                <w:lang w:val="en-GB"/>
              </w:rPr>
            </w:pPr>
            <w:r w:rsidRPr="009C67C9">
              <w:rPr>
                <w:sz w:val="22"/>
                <w:szCs w:val="22"/>
                <w:lang w:val="en-GB"/>
              </w:rPr>
              <w:t>31</w:t>
            </w:r>
          </w:p>
        </w:tc>
        <w:tc>
          <w:tcPr>
            <w:tcW w:w="635" w:type="pct"/>
            <w:tcBorders>
              <w:top w:val="single" w:sz="6" w:space="0" w:color="000000"/>
              <w:left w:val="single" w:sz="6" w:space="0" w:color="000000"/>
              <w:bottom w:val="single" w:sz="6" w:space="0" w:color="000000"/>
              <w:right w:val="single" w:sz="6" w:space="0" w:color="000000"/>
            </w:tcBorders>
            <w:hideMark/>
          </w:tcPr>
          <w:p w14:paraId="7398BCCC" w14:textId="77777777" w:rsidR="00150AB9" w:rsidRPr="009C67C9" w:rsidRDefault="00150AB9">
            <w:pPr>
              <w:suppressAutoHyphens/>
              <w:rPr>
                <w:sz w:val="22"/>
                <w:szCs w:val="22"/>
                <w:lang w:val="en-GB"/>
              </w:rPr>
            </w:pPr>
            <w:r w:rsidRPr="009C67C9">
              <w:rPr>
                <w:sz w:val="22"/>
                <w:szCs w:val="22"/>
                <w:lang w:val="en-GB"/>
              </w:rPr>
              <w:t>24 (77,4)</w:t>
            </w:r>
          </w:p>
        </w:tc>
        <w:tc>
          <w:tcPr>
            <w:tcW w:w="1111" w:type="pct"/>
            <w:vMerge/>
            <w:tcBorders>
              <w:top w:val="single" w:sz="6" w:space="0" w:color="000000"/>
              <w:left w:val="single" w:sz="6" w:space="0" w:color="000000"/>
              <w:bottom w:val="single" w:sz="6" w:space="0" w:color="000000"/>
              <w:right w:val="single" w:sz="6" w:space="0" w:color="000000"/>
            </w:tcBorders>
            <w:vAlign w:val="center"/>
            <w:hideMark/>
          </w:tcPr>
          <w:p w14:paraId="458FD28C" w14:textId="77777777" w:rsidR="00150AB9" w:rsidRPr="009C67C9" w:rsidRDefault="00150AB9">
            <w:pPr>
              <w:rPr>
                <w:sz w:val="22"/>
                <w:szCs w:val="22"/>
                <w:lang w:val="en-GB"/>
              </w:rPr>
            </w:pPr>
          </w:p>
        </w:tc>
      </w:tr>
      <w:tr w:rsidR="00150AB9" w:rsidRPr="009C67C9" w14:paraId="36B33791" w14:textId="77777777" w:rsidTr="006F6EE5">
        <w:trPr>
          <w:trHeight w:val="284"/>
        </w:trPr>
        <w:tc>
          <w:tcPr>
            <w:tcW w:w="1825" w:type="pct"/>
            <w:tcBorders>
              <w:top w:val="single" w:sz="6" w:space="0" w:color="000000"/>
              <w:left w:val="single" w:sz="6" w:space="0" w:color="000000"/>
              <w:bottom w:val="single" w:sz="6" w:space="0" w:color="000000"/>
              <w:right w:val="single" w:sz="6" w:space="0" w:color="000000"/>
            </w:tcBorders>
            <w:hideMark/>
          </w:tcPr>
          <w:p w14:paraId="7771F897" w14:textId="77777777" w:rsidR="00150AB9" w:rsidRPr="009C67C9" w:rsidRDefault="00150AB9">
            <w:pPr>
              <w:pStyle w:val="TableParagraph"/>
              <w:spacing w:line="225" w:lineRule="exact"/>
              <w:ind w:left="474"/>
              <w:rPr>
                <w:rFonts w:ascii="Times New Roman" w:hAnsi="Times New Roman" w:cs="Times New Roman"/>
                <w:lang w:val="da-DK"/>
              </w:rPr>
            </w:pPr>
            <w:r w:rsidRPr="009C67C9">
              <w:rPr>
                <w:rFonts w:ascii="Times New Roman" w:hAnsi="Times New Roman" w:cs="Times New Roman"/>
                <w:lang w:val="da-DK"/>
              </w:rPr>
              <w:t>For tidligt fødte spædbørn</w:t>
            </w:r>
          </w:p>
        </w:tc>
        <w:tc>
          <w:tcPr>
            <w:tcW w:w="397" w:type="pct"/>
            <w:tcBorders>
              <w:top w:val="single" w:sz="6" w:space="0" w:color="000000"/>
              <w:left w:val="single" w:sz="6" w:space="0" w:color="000000"/>
              <w:bottom w:val="single" w:sz="6" w:space="0" w:color="000000"/>
              <w:right w:val="single" w:sz="6" w:space="0" w:color="000000"/>
            </w:tcBorders>
            <w:hideMark/>
          </w:tcPr>
          <w:p w14:paraId="6A5AB71B" w14:textId="77777777" w:rsidR="00150AB9" w:rsidRPr="009C67C9" w:rsidRDefault="00150AB9">
            <w:pPr>
              <w:suppressAutoHyphens/>
              <w:rPr>
                <w:sz w:val="22"/>
                <w:szCs w:val="22"/>
                <w:lang w:val="en-GB"/>
              </w:rPr>
            </w:pPr>
            <w:r w:rsidRPr="009C67C9">
              <w:rPr>
                <w:sz w:val="22"/>
                <w:szCs w:val="22"/>
                <w:lang w:val="en-GB"/>
              </w:rPr>
              <w:t>10</w:t>
            </w:r>
          </w:p>
        </w:tc>
        <w:tc>
          <w:tcPr>
            <w:tcW w:w="635" w:type="pct"/>
            <w:tcBorders>
              <w:top w:val="single" w:sz="6" w:space="0" w:color="000000"/>
              <w:left w:val="single" w:sz="6" w:space="0" w:color="000000"/>
              <w:bottom w:val="single" w:sz="6" w:space="0" w:color="000000"/>
              <w:right w:val="single" w:sz="6" w:space="0" w:color="000000"/>
            </w:tcBorders>
            <w:hideMark/>
          </w:tcPr>
          <w:p w14:paraId="352F898F" w14:textId="77777777" w:rsidR="00150AB9" w:rsidRPr="009C67C9" w:rsidRDefault="00150AB9">
            <w:pPr>
              <w:suppressAutoHyphens/>
              <w:rPr>
                <w:sz w:val="22"/>
                <w:szCs w:val="22"/>
                <w:lang w:val="en-GB"/>
              </w:rPr>
            </w:pPr>
            <w:r w:rsidRPr="009C67C9">
              <w:rPr>
                <w:sz w:val="22"/>
                <w:szCs w:val="22"/>
                <w:lang w:val="en-GB"/>
              </w:rPr>
              <w:t>7 (70,0)</w:t>
            </w:r>
          </w:p>
        </w:tc>
        <w:tc>
          <w:tcPr>
            <w:tcW w:w="397" w:type="pct"/>
            <w:tcBorders>
              <w:top w:val="single" w:sz="6" w:space="0" w:color="000000"/>
              <w:left w:val="single" w:sz="6" w:space="0" w:color="000000"/>
              <w:bottom w:val="single" w:sz="6" w:space="0" w:color="000000"/>
              <w:right w:val="single" w:sz="6" w:space="0" w:color="000000"/>
            </w:tcBorders>
            <w:hideMark/>
          </w:tcPr>
          <w:p w14:paraId="7BBD0B5C" w14:textId="77777777" w:rsidR="00150AB9" w:rsidRPr="009C67C9" w:rsidRDefault="00150AB9">
            <w:pPr>
              <w:suppressAutoHyphens/>
              <w:rPr>
                <w:sz w:val="22"/>
                <w:szCs w:val="22"/>
                <w:lang w:val="en-GB"/>
              </w:rPr>
            </w:pPr>
            <w:r w:rsidRPr="009C67C9">
              <w:rPr>
                <w:sz w:val="22"/>
                <w:szCs w:val="22"/>
                <w:lang w:val="en-GB"/>
              </w:rPr>
              <w:t>9</w:t>
            </w:r>
          </w:p>
        </w:tc>
        <w:tc>
          <w:tcPr>
            <w:tcW w:w="635" w:type="pct"/>
            <w:tcBorders>
              <w:top w:val="single" w:sz="6" w:space="0" w:color="000000"/>
              <w:left w:val="single" w:sz="6" w:space="0" w:color="000000"/>
              <w:bottom w:val="single" w:sz="6" w:space="0" w:color="000000"/>
              <w:right w:val="single" w:sz="6" w:space="0" w:color="000000"/>
            </w:tcBorders>
            <w:hideMark/>
          </w:tcPr>
          <w:p w14:paraId="1E69D584" w14:textId="77777777" w:rsidR="00150AB9" w:rsidRPr="009C67C9" w:rsidRDefault="00150AB9">
            <w:pPr>
              <w:suppressAutoHyphens/>
              <w:rPr>
                <w:sz w:val="22"/>
                <w:szCs w:val="22"/>
                <w:lang w:val="en-GB"/>
              </w:rPr>
            </w:pPr>
            <w:r w:rsidRPr="009C67C9">
              <w:rPr>
                <w:sz w:val="22"/>
                <w:szCs w:val="22"/>
                <w:lang w:val="en-GB"/>
              </w:rPr>
              <w:t>6 (66,7)</w:t>
            </w:r>
          </w:p>
        </w:tc>
        <w:tc>
          <w:tcPr>
            <w:tcW w:w="1111" w:type="pct"/>
            <w:vMerge/>
            <w:tcBorders>
              <w:top w:val="single" w:sz="6" w:space="0" w:color="000000"/>
              <w:left w:val="single" w:sz="6" w:space="0" w:color="000000"/>
              <w:bottom w:val="single" w:sz="6" w:space="0" w:color="000000"/>
              <w:right w:val="single" w:sz="6" w:space="0" w:color="000000"/>
            </w:tcBorders>
            <w:vAlign w:val="center"/>
            <w:hideMark/>
          </w:tcPr>
          <w:p w14:paraId="5D30DDA0" w14:textId="77777777" w:rsidR="00150AB9" w:rsidRPr="009C67C9" w:rsidRDefault="00150AB9">
            <w:pPr>
              <w:rPr>
                <w:sz w:val="22"/>
                <w:szCs w:val="22"/>
                <w:lang w:val="en-GB"/>
              </w:rPr>
            </w:pPr>
          </w:p>
        </w:tc>
      </w:tr>
      <w:tr w:rsidR="00150AB9" w:rsidRPr="009C67C9" w14:paraId="3DCE925F" w14:textId="77777777" w:rsidTr="006F6EE5">
        <w:trPr>
          <w:trHeight w:val="270"/>
        </w:trPr>
        <w:tc>
          <w:tcPr>
            <w:tcW w:w="1825" w:type="pct"/>
            <w:tcBorders>
              <w:top w:val="single" w:sz="6" w:space="0" w:color="000000"/>
              <w:left w:val="single" w:sz="6" w:space="0" w:color="000000"/>
              <w:bottom w:val="single" w:sz="6" w:space="0" w:color="000000"/>
              <w:right w:val="single" w:sz="6" w:space="0" w:color="000000"/>
            </w:tcBorders>
            <w:hideMark/>
          </w:tcPr>
          <w:p w14:paraId="1467737F" w14:textId="77777777" w:rsidR="00150AB9" w:rsidRPr="009C67C9" w:rsidRDefault="00150AB9">
            <w:pPr>
              <w:pStyle w:val="TableParagraph"/>
              <w:spacing w:line="225" w:lineRule="exact"/>
              <w:ind w:left="474"/>
              <w:rPr>
                <w:rFonts w:ascii="Times New Roman" w:hAnsi="Times New Roman" w:cs="Times New Roman"/>
                <w:lang w:val="da-DK"/>
              </w:rPr>
            </w:pPr>
            <w:r w:rsidRPr="009C67C9">
              <w:rPr>
                <w:rFonts w:ascii="Times New Roman" w:hAnsi="Times New Roman" w:cs="Times New Roman"/>
                <w:lang w:val="da-DK"/>
              </w:rPr>
              <w:t>Nyfødte (0 dage til &lt; 4 uger)</w:t>
            </w:r>
          </w:p>
        </w:tc>
        <w:tc>
          <w:tcPr>
            <w:tcW w:w="397" w:type="pct"/>
            <w:tcBorders>
              <w:top w:val="single" w:sz="6" w:space="0" w:color="000000"/>
              <w:left w:val="single" w:sz="6" w:space="0" w:color="000000"/>
              <w:bottom w:val="single" w:sz="6" w:space="0" w:color="000000"/>
              <w:right w:val="single" w:sz="6" w:space="0" w:color="000000"/>
            </w:tcBorders>
            <w:hideMark/>
          </w:tcPr>
          <w:p w14:paraId="5FC67CFE" w14:textId="77777777" w:rsidR="00150AB9" w:rsidRPr="009C67C9" w:rsidRDefault="00150AB9">
            <w:pPr>
              <w:suppressAutoHyphens/>
              <w:rPr>
                <w:sz w:val="22"/>
                <w:szCs w:val="22"/>
                <w:lang w:val="en-GB"/>
              </w:rPr>
            </w:pPr>
            <w:r w:rsidRPr="009C67C9">
              <w:rPr>
                <w:sz w:val="22"/>
                <w:szCs w:val="22"/>
                <w:lang w:val="en-GB"/>
              </w:rPr>
              <w:t>7</w:t>
            </w:r>
          </w:p>
        </w:tc>
        <w:tc>
          <w:tcPr>
            <w:tcW w:w="635" w:type="pct"/>
            <w:tcBorders>
              <w:top w:val="single" w:sz="6" w:space="0" w:color="000000"/>
              <w:left w:val="single" w:sz="6" w:space="0" w:color="000000"/>
              <w:bottom w:val="single" w:sz="6" w:space="0" w:color="000000"/>
              <w:right w:val="single" w:sz="6" w:space="0" w:color="000000"/>
            </w:tcBorders>
            <w:hideMark/>
          </w:tcPr>
          <w:p w14:paraId="5CB5FC68" w14:textId="77777777" w:rsidR="00150AB9" w:rsidRPr="009C67C9" w:rsidRDefault="00150AB9">
            <w:pPr>
              <w:suppressAutoHyphens/>
              <w:rPr>
                <w:sz w:val="22"/>
                <w:szCs w:val="22"/>
                <w:lang w:val="en-GB"/>
              </w:rPr>
            </w:pPr>
            <w:r w:rsidRPr="009C67C9">
              <w:rPr>
                <w:sz w:val="22"/>
                <w:szCs w:val="22"/>
                <w:lang w:val="en-GB"/>
              </w:rPr>
              <w:t>7 (100)</w:t>
            </w:r>
          </w:p>
        </w:tc>
        <w:tc>
          <w:tcPr>
            <w:tcW w:w="397" w:type="pct"/>
            <w:tcBorders>
              <w:top w:val="single" w:sz="6" w:space="0" w:color="000000"/>
              <w:left w:val="single" w:sz="6" w:space="0" w:color="000000"/>
              <w:bottom w:val="single" w:sz="6" w:space="0" w:color="000000"/>
              <w:right w:val="single" w:sz="6" w:space="0" w:color="000000"/>
            </w:tcBorders>
            <w:hideMark/>
          </w:tcPr>
          <w:p w14:paraId="4CA0FD58" w14:textId="77777777" w:rsidR="00150AB9" w:rsidRPr="009C67C9" w:rsidRDefault="00150AB9">
            <w:pPr>
              <w:suppressAutoHyphens/>
              <w:rPr>
                <w:sz w:val="22"/>
                <w:szCs w:val="22"/>
                <w:lang w:val="en-GB"/>
              </w:rPr>
            </w:pPr>
            <w:r w:rsidRPr="009C67C9">
              <w:rPr>
                <w:sz w:val="22"/>
                <w:szCs w:val="22"/>
                <w:lang w:val="en-GB"/>
              </w:rPr>
              <w:t>5</w:t>
            </w:r>
          </w:p>
        </w:tc>
        <w:tc>
          <w:tcPr>
            <w:tcW w:w="635" w:type="pct"/>
            <w:tcBorders>
              <w:top w:val="single" w:sz="6" w:space="0" w:color="000000"/>
              <w:left w:val="single" w:sz="6" w:space="0" w:color="000000"/>
              <w:bottom w:val="single" w:sz="6" w:space="0" w:color="000000"/>
              <w:right w:val="single" w:sz="6" w:space="0" w:color="000000"/>
            </w:tcBorders>
            <w:hideMark/>
          </w:tcPr>
          <w:p w14:paraId="5723F175" w14:textId="77777777" w:rsidR="00150AB9" w:rsidRPr="009C67C9" w:rsidRDefault="00150AB9">
            <w:pPr>
              <w:suppressAutoHyphens/>
              <w:rPr>
                <w:sz w:val="22"/>
                <w:szCs w:val="22"/>
                <w:lang w:val="en-GB"/>
              </w:rPr>
            </w:pPr>
            <w:r w:rsidRPr="009C67C9">
              <w:rPr>
                <w:sz w:val="22"/>
                <w:szCs w:val="22"/>
                <w:lang w:val="en-GB"/>
              </w:rPr>
              <w:t>4 (80)</w:t>
            </w:r>
          </w:p>
        </w:tc>
        <w:tc>
          <w:tcPr>
            <w:tcW w:w="1111" w:type="pct"/>
            <w:vMerge/>
            <w:tcBorders>
              <w:top w:val="single" w:sz="6" w:space="0" w:color="000000"/>
              <w:left w:val="single" w:sz="6" w:space="0" w:color="000000"/>
              <w:bottom w:val="single" w:sz="6" w:space="0" w:color="000000"/>
              <w:right w:val="single" w:sz="6" w:space="0" w:color="000000"/>
            </w:tcBorders>
            <w:vAlign w:val="center"/>
            <w:hideMark/>
          </w:tcPr>
          <w:p w14:paraId="18F30334" w14:textId="77777777" w:rsidR="00150AB9" w:rsidRPr="009C67C9" w:rsidRDefault="00150AB9">
            <w:pPr>
              <w:rPr>
                <w:sz w:val="22"/>
                <w:szCs w:val="22"/>
                <w:lang w:val="en-GB"/>
              </w:rPr>
            </w:pPr>
          </w:p>
        </w:tc>
      </w:tr>
      <w:tr w:rsidR="00150AB9" w:rsidRPr="009C67C9" w14:paraId="1CCDD516" w14:textId="77777777" w:rsidTr="006F6EE5">
        <w:trPr>
          <w:trHeight w:val="239"/>
        </w:trPr>
        <w:tc>
          <w:tcPr>
            <w:tcW w:w="1825" w:type="pct"/>
            <w:tcBorders>
              <w:top w:val="single" w:sz="6" w:space="0" w:color="000000"/>
              <w:left w:val="single" w:sz="6" w:space="0" w:color="000000"/>
              <w:bottom w:val="single" w:sz="6" w:space="0" w:color="000000"/>
              <w:right w:val="single" w:sz="6" w:space="0" w:color="000000"/>
            </w:tcBorders>
            <w:hideMark/>
          </w:tcPr>
          <w:p w14:paraId="38D20DFE" w14:textId="77777777" w:rsidR="00150AB9" w:rsidRPr="009C67C9" w:rsidRDefault="00150AB9">
            <w:pPr>
              <w:pStyle w:val="TableParagraph"/>
              <w:spacing w:line="225" w:lineRule="exact"/>
              <w:ind w:left="474"/>
              <w:rPr>
                <w:rFonts w:ascii="Times New Roman" w:hAnsi="Times New Roman" w:cs="Times New Roman"/>
                <w:lang w:val="da-DK"/>
              </w:rPr>
            </w:pPr>
            <w:r w:rsidRPr="009C67C9">
              <w:rPr>
                <w:rFonts w:ascii="Times New Roman" w:hAnsi="Times New Roman" w:cs="Times New Roman"/>
                <w:lang w:val="da-DK"/>
              </w:rPr>
              <w:t>Alder 2-15 år</w:t>
            </w:r>
          </w:p>
        </w:tc>
        <w:tc>
          <w:tcPr>
            <w:tcW w:w="397" w:type="pct"/>
            <w:tcBorders>
              <w:top w:val="single" w:sz="6" w:space="0" w:color="000000"/>
              <w:left w:val="single" w:sz="6" w:space="0" w:color="000000"/>
              <w:bottom w:val="single" w:sz="6" w:space="0" w:color="000000"/>
              <w:right w:val="single" w:sz="6" w:space="0" w:color="000000"/>
            </w:tcBorders>
            <w:hideMark/>
          </w:tcPr>
          <w:p w14:paraId="6D6FAE0D" w14:textId="77777777" w:rsidR="00150AB9" w:rsidRPr="009C67C9" w:rsidRDefault="00150AB9">
            <w:pPr>
              <w:suppressAutoHyphens/>
              <w:rPr>
                <w:sz w:val="22"/>
                <w:szCs w:val="22"/>
                <w:lang w:val="en-GB"/>
              </w:rPr>
            </w:pPr>
            <w:r w:rsidRPr="009C67C9">
              <w:rPr>
                <w:sz w:val="22"/>
                <w:szCs w:val="22"/>
                <w:lang w:val="en-GB"/>
              </w:rPr>
              <w:t>22</w:t>
            </w:r>
          </w:p>
        </w:tc>
        <w:tc>
          <w:tcPr>
            <w:tcW w:w="635" w:type="pct"/>
            <w:tcBorders>
              <w:top w:val="single" w:sz="6" w:space="0" w:color="000000"/>
              <w:left w:val="single" w:sz="6" w:space="0" w:color="000000"/>
              <w:bottom w:val="single" w:sz="6" w:space="0" w:color="000000"/>
              <w:right w:val="single" w:sz="6" w:space="0" w:color="000000"/>
            </w:tcBorders>
            <w:hideMark/>
          </w:tcPr>
          <w:p w14:paraId="70750E53" w14:textId="77777777" w:rsidR="00150AB9" w:rsidRPr="009C67C9" w:rsidRDefault="00150AB9">
            <w:pPr>
              <w:suppressAutoHyphens/>
              <w:rPr>
                <w:sz w:val="22"/>
                <w:szCs w:val="22"/>
                <w:lang w:val="en-GB"/>
              </w:rPr>
            </w:pPr>
            <w:r w:rsidRPr="009C67C9">
              <w:rPr>
                <w:sz w:val="22"/>
                <w:szCs w:val="22"/>
                <w:lang w:val="en-GB"/>
              </w:rPr>
              <w:t>14 (63,6)</w:t>
            </w:r>
          </w:p>
        </w:tc>
        <w:tc>
          <w:tcPr>
            <w:tcW w:w="397" w:type="pct"/>
            <w:tcBorders>
              <w:top w:val="single" w:sz="6" w:space="0" w:color="000000"/>
              <w:left w:val="single" w:sz="6" w:space="0" w:color="000000"/>
              <w:bottom w:val="single" w:sz="6" w:space="0" w:color="000000"/>
              <w:right w:val="single" w:sz="6" w:space="0" w:color="000000"/>
            </w:tcBorders>
            <w:hideMark/>
          </w:tcPr>
          <w:p w14:paraId="55B36BAE" w14:textId="77777777" w:rsidR="00150AB9" w:rsidRPr="009C67C9" w:rsidRDefault="00150AB9">
            <w:pPr>
              <w:suppressAutoHyphens/>
              <w:rPr>
                <w:sz w:val="22"/>
                <w:szCs w:val="22"/>
                <w:lang w:val="en-GB"/>
              </w:rPr>
            </w:pPr>
            <w:r w:rsidRPr="009C67C9">
              <w:rPr>
                <w:sz w:val="22"/>
                <w:szCs w:val="22"/>
                <w:lang w:val="en-GB"/>
              </w:rPr>
              <w:t>19</w:t>
            </w:r>
          </w:p>
        </w:tc>
        <w:tc>
          <w:tcPr>
            <w:tcW w:w="635" w:type="pct"/>
            <w:tcBorders>
              <w:top w:val="single" w:sz="6" w:space="0" w:color="000000"/>
              <w:left w:val="single" w:sz="6" w:space="0" w:color="000000"/>
              <w:bottom w:val="single" w:sz="6" w:space="0" w:color="000000"/>
              <w:right w:val="single" w:sz="6" w:space="0" w:color="000000"/>
            </w:tcBorders>
            <w:hideMark/>
          </w:tcPr>
          <w:p w14:paraId="5F36D0D8" w14:textId="77777777" w:rsidR="00150AB9" w:rsidRPr="009C67C9" w:rsidRDefault="00150AB9">
            <w:pPr>
              <w:suppressAutoHyphens/>
              <w:rPr>
                <w:sz w:val="22"/>
                <w:szCs w:val="22"/>
                <w:lang w:val="en-GB"/>
              </w:rPr>
            </w:pPr>
            <w:r w:rsidRPr="009C67C9">
              <w:rPr>
                <w:sz w:val="22"/>
                <w:szCs w:val="22"/>
                <w:lang w:val="en-GB"/>
              </w:rPr>
              <w:t>14 (73,7)</w:t>
            </w:r>
          </w:p>
        </w:tc>
        <w:tc>
          <w:tcPr>
            <w:tcW w:w="1111" w:type="pct"/>
            <w:vMerge/>
            <w:tcBorders>
              <w:top w:val="single" w:sz="6" w:space="0" w:color="000000"/>
              <w:left w:val="single" w:sz="6" w:space="0" w:color="000000"/>
              <w:bottom w:val="single" w:sz="6" w:space="0" w:color="000000"/>
              <w:right w:val="single" w:sz="6" w:space="0" w:color="000000"/>
            </w:tcBorders>
            <w:vAlign w:val="center"/>
            <w:hideMark/>
          </w:tcPr>
          <w:p w14:paraId="54F6D81E" w14:textId="77777777" w:rsidR="00150AB9" w:rsidRPr="009C67C9" w:rsidRDefault="00150AB9">
            <w:pPr>
              <w:rPr>
                <w:sz w:val="22"/>
                <w:szCs w:val="22"/>
                <w:lang w:val="en-GB"/>
              </w:rPr>
            </w:pPr>
          </w:p>
        </w:tc>
      </w:tr>
      <w:tr w:rsidR="00150AB9" w:rsidRPr="009C67C9" w14:paraId="507FF7ED" w14:textId="77777777" w:rsidTr="006F6EE5">
        <w:trPr>
          <w:trHeight w:val="225"/>
        </w:trPr>
        <w:tc>
          <w:tcPr>
            <w:tcW w:w="5000" w:type="pct"/>
            <w:gridSpan w:val="6"/>
            <w:tcBorders>
              <w:top w:val="single" w:sz="6" w:space="0" w:color="000000"/>
              <w:left w:val="single" w:sz="6" w:space="0" w:color="000000"/>
              <w:bottom w:val="single" w:sz="6" w:space="0" w:color="000000"/>
              <w:right w:val="single" w:sz="6" w:space="0" w:color="000000"/>
            </w:tcBorders>
            <w:hideMark/>
          </w:tcPr>
          <w:p w14:paraId="1F746CD5" w14:textId="77777777" w:rsidR="00150AB9" w:rsidRPr="009C67C9" w:rsidRDefault="00150AB9">
            <w:pPr>
              <w:suppressAutoHyphens/>
              <w:rPr>
                <w:b/>
                <w:sz w:val="22"/>
                <w:szCs w:val="22"/>
              </w:rPr>
            </w:pPr>
            <w:r w:rsidRPr="009C67C9">
              <w:rPr>
                <w:b/>
                <w:sz w:val="22"/>
                <w:szCs w:val="22"/>
              </w:rPr>
              <w:t xml:space="preserve">Voksne og børn kombineret, total </w:t>
            </w:r>
            <w:proofErr w:type="spellStart"/>
            <w:r w:rsidRPr="009C67C9">
              <w:rPr>
                <w:b/>
                <w:sz w:val="22"/>
                <w:szCs w:val="22"/>
              </w:rPr>
              <w:t>behandlingssuccess</w:t>
            </w:r>
            <w:proofErr w:type="spellEnd"/>
            <w:r w:rsidRPr="009C67C9">
              <w:rPr>
                <w:b/>
                <w:sz w:val="22"/>
                <w:szCs w:val="22"/>
              </w:rPr>
              <w:t xml:space="preserve"> med </w:t>
            </w:r>
            <w:proofErr w:type="spellStart"/>
            <w:r w:rsidRPr="009C67C9">
              <w:rPr>
                <w:b/>
                <w:i/>
                <w:sz w:val="22"/>
                <w:szCs w:val="22"/>
              </w:rPr>
              <w:t>Candida</w:t>
            </w:r>
            <w:proofErr w:type="spellEnd"/>
            <w:r w:rsidRPr="009C67C9">
              <w:rPr>
                <w:b/>
                <w:i/>
                <w:sz w:val="22"/>
                <w:szCs w:val="22"/>
              </w:rPr>
              <w:t>-</w:t>
            </w:r>
            <w:r w:rsidRPr="009C67C9">
              <w:rPr>
                <w:b/>
                <w:sz w:val="22"/>
                <w:szCs w:val="22"/>
              </w:rPr>
              <w:t>arter</w:t>
            </w:r>
          </w:p>
        </w:tc>
      </w:tr>
      <w:tr w:rsidR="00150AB9" w:rsidRPr="009C67C9" w14:paraId="1B7F366E" w14:textId="77777777" w:rsidTr="006F6EE5">
        <w:trPr>
          <w:trHeight w:val="239"/>
        </w:trPr>
        <w:tc>
          <w:tcPr>
            <w:tcW w:w="1825" w:type="pct"/>
            <w:tcBorders>
              <w:top w:val="single" w:sz="6" w:space="0" w:color="000000"/>
              <w:left w:val="single" w:sz="6" w:space="0" w:color="000000"/>
              <w:bottom w:val="single" w:sz="6" w:space="0" w:color="000000"/>
              <w:right w:val="single" w:sz="6" w:space="0" w:color="000000"/>
            </w:tcBorders>
            <w:hideMark/>
          </w:tcPr>
          <w:p w14:paraId="5857230D" w14:textId="77777777" w:rsidR="00150AB9" w:rsidRPr="009C67C9" w:rsidRDefault="00150AB9">
            <w:pPr>
              <w:suppressAutoHyphens/>
              <w:rPr>
                <w:i/>
                <w:sz w:val="22"/>
                <w:szCs w:val="22"/>
                <w:lang w:val="en-GB"/>
              </w:rPr>
            </w:pPr>
            <w:proofErr w:type="spellStart"/>
            <w:r w:rsidRPr="009C67C9">
              <w:rPr>
                <w:i/>
                <w:sz w:val="22"/>
                <w:szCs w:val="22"/>
                <w:lang w:val="en-GB"/>
              </w:rPr>
              <w:t>Candidaalbicans</w:t>
            </w:r>
            <w:proofErr w:type="spellEnd"/>
          </w:p>
        </w:tc>
        <w:tc>
          <w:tcPr>
            <w:tcW w:w="397" w:type="pct"/>
            <w:tcBorders>
              <w:top w:val="single" w:sz="6" w:space="0" w:color="000000"/>
              <w:left w:val="single" w:sz="6" w:space="0" w:color="000000"/>
              <w:bottom w:val="single" w:sz="6" w:space="0" w:color="000000"/>
              <w:right w:val="single" w:sz="6" w:space="0" w:color="000000"/>
            </w:tcBorders>
            <w:hideMark/>
          </w:tcPr>
          <w:p w14:paraId="21E88F67" w14:textId="77777777" w:rsidR="00150AB9" w:rsidRPr="009C67C9" w:rsidRDefault="00150AB9">
            <w:pPr>
              <w:suppressAutoHyphens/>
              <w:rPr>
                <w:sz w:val="22"/>
                <w:szCs w:val="22"/>
                <w:lang w:val="en-GB"/>
              </w:rPr>
            </w:pPr>
            <w:r w:rsidRPr="009C67C9">
              <w:rPr>
                <w:sz w:val="22"/>
                <w:szCs w:val="22"/>
                <w:lang w:val="en-GB"/>
              </w:rPr>
              <w:t>102</w:t>
            </w:r>
          </w:p>
        </w:tc>
        <w:tc>
          <w:tcPr>
            <w:tcW w:w="635" w:type="pct"/>
            <w:tcBorders>
              <w:top w:val="single" w:sz="6" w:space="0" w:color="000000"/>
              <w:left w:val="single" w:sz="6" w:space="0" w:color="000000"/>
              <w:bottom w:val="single" w:sz="6" w:space="0" w:color="000000"/>
              <w:right w:val="single" w:sz="6" w:space="0" w:color="000000"/>
            </w:tcBorders>
            <w:hideMark/>
          </w:tcPr>
          <w:p w14:paraId="71D2288C" w14:textId="77777777" w:rsidR="00150AB9" w:rsidRPr="009C67C9" w:rsidRDefault="00150AB9">
            <w:pPr>
              <w:suppressAutoHyphens/>
              <w:rPr>
                <w:sz w:val="22"/>
                <w:szCs w:val="22"/>
                <w:lang w:val="en-GB"/>
              </w:rPr>
            </w:pPr>
            <w:r w:rsidRPr="009C67C9">
              <w:rPr>
                <w:sz w:val="22"/>
                <w:szCs w:val="22"/>
                <w:lang w:val="en-GB"/>
              </w:rPr>
              <w:t>91 (89,2)</w:t>
            </w:r>
          </w:p>
        </w:tc>
        <w:tc>
          <w:tcPr>
            <w:tcW w:w="397" w:type="pct"/>
            <w:tcBorders>
              <w:top w:val="single" w:sz="6" w:space="0" w:color="000000"/>
              <w:left w:val="single" w:sz="6" w:space="0" w:color="000000"/>
              <w:bottom w:val="single" w:sz="6" w:space="0" w:color="000000"/>
              <w:right w:val="single" w:sz="6" w:space="0" w:color="000000"/>
            </w:tcBorders>
            <w:hideMark/>
          </w:tcPr>
          <w:p w14:paraId="266A83AA" w14:textId="77777777" w:rsidR="00150AB9" w:rsidRPr="009C67C9" w:rsidRDefault="00150AB9">
            <w:pPr>
              <w:suppressAutoHyphens/>
              <w:rPr>
                <w:sz w:val="22"/>
                <w:szCs w:val="22"/>
                <w:lang w:val="en-GB"/>
              </w:rPr>
            </w:pPr>
            <w:r w:rsidRPr="009C67C9">
              <w:rPr>
                <w:sz w:val="22"/>
                <w:szCs w:val="22"/>
                <w:lang w:val="en-GB"/>
              </w:rPr>
              <w:t>98</w:t>
            </w:r>
          </w:p>
        </w:tc>
        <w:tc>
          <w:tcPr>
            <w:tcW w:w="635" w:type="pct"/>
            <w:tcBorders>
              <w:top w:val="single" w:sz="6" w:space="0" w:color="000000"/>
              <w:left w:val="single" w:sz="6" w:space="0" w:color="000000"/>
              <w:bottom w:val="single" w:sz="6" w:space="0" w:color="000000"/>
              <w:right w:val="single" w:sz="6" w:space="0" w:color="000000"/>
            </w:tcBorders>
            <w:hideMark/>
          </w:tcPr>
          <w:p w14:paraId="5F49CD86" w14:textId="77777777" w:rsidR="00150AB9" w:rsidRPr="009C67C9" w:rsidRDefault="00150AB9">
            <w:pPr>
              <w:suppressAutoHyphens/>
              <w:rPr>
                <w:sz w:val="22"/>
                <w:szCs w:val="22"/>
                <w:lang w:val="en-GB"/>
              </w:rPr>
            </w:pPr>
            <w:r w:rsidRPr="009C67C9">
              <w:rPr>
                <w:sz w:val="22"/>
                <w:szCs w:val="22"/>
                <w:lang w:val="en-GB"/>
              </w:rPr>
              <w:t>89 (90,8)</w:t>
            </w:r>
          </w:p>
        </w:tc>
        <w:tc>
          <w:tcPr>
            <w:tcW w:w="1111" w:type="pct"/>
            <w:vMerge w:val="restart"/>
            <w:tcBorders>
              <w:top w:val="single" w:sz="6" w:space="0" w:color="000000"/>
              <w:left w:val="single" w:sz="6" w:space="0" w:color="000000"/>
              <w:bottom w:val="nil"/>
              <w:right w:val="single" w:sz="6" w:space="0" w:color="000000"/>
            </w:tcBorders>
          </w:tcPr>
          <w:p w14:paraId="2D5E736F" w14:textId="77777777" w:rsidR="00150AB9" w:rsidRPr="009C67C9" w:rsidRDefault="00150AB9">
            <w:pPr>
              <w:suppressAutoHyphens/>
              <w:rPr>
                <w:sz w:val="22"/>
                <w:szCs w:val="22"/>
                <w:lang w:val="en-GB"/>
              </w:rPr>
            </w:pPr>
          </w:p>
        </w:tc>
      </w:tr>
      <w:tr w:rsidR="00150AB9" w:rsidRPr="009C67C9" w14:paraId="3ADF7C39" w14:textId="77777777" w:rsidTr="006F6EE5">
        <w:trPr>
          <w:trHeight w:val="240"/>
        </w:trPr>
        <w:tc>
          <w:tcPr>
            <w:tcW w:w="1825" w:type="pct"/>
            <w:tcBorders>
              <w:top w:val="single" w:sz="6" w:space="0" w:color="000000"/>
              <w:left w:val="single" w:sz="6" w:space="0" w:color="000000"/>
              <w:bottom w:val="single" w:sz="6" w:space="0" w:color="000000"/>
              <w:right w:val="single" w:sz="6" w:space="0" w:color="000000"/>
            </w:tcBorders>
            <w:hideMark/>
          </w:tcPr>
          <w:p w14:paraId="7A57C9E9" w14:textId="77777777" w:rsidR="00150AB9" w:rsidRPr="009C67C9" w:rsidRDefault="00150AB9">
            <w:pPr>
              <w:suppressAutoHyphens/>
              <w:rPr>
                <w:sz w:val="22"/>
                <w:szCs w:val="22"/>
                <w:lang w:val="en-GB"/>
              </w:rPr>
            </w:pPr>
            <w:r w:rsidRPr="009C67C9">
              <w:rPr>
                <w:sz w:val="22"/>
                <w:szCs w:val="22"/>
                <w:lang w:val="en-GB"/>
              </w:rPr>
              <w:t>Non-</w:t>
            </w:r>
            <w:r w:rsidRPr="009C67C9">
              <w:rPr>
                <w:i/>
                <w:sz w:val="22"/>
                <w:szCs w:val="22"/>
                <w:lang w:val="en-GB"/>
              </w:rPr>
              <w:t>albicans-</w:t>
            </w:r>
            <w:proofErr w:type="spellStart"/>
            <w:r w:rsidRPr="009C67C9">
              <w:rPr>
                <w:sz w:val="22"/>
                <w:szCs w:val="22"/>
                <w:lang w:val="en-GB"/>
              </w:rPr>
              <w:t>arter</w:t>
            </w:r>
            <w:proofErr w:type="spellEnd"/>
            <w:r w:rsidRPr="009C67C9">
              <w:rPr>
                <w:sz w:val="22"/>
                <w:szCs w:val="22"/>
                <w:lang w:val="en-GB"/>
              </w:rPr>
              <w:t xml:space="preserve"> </w:t>
            </w:r>
            <w:r w:rsidRPr="009C67C9">
              <w:rPr>
                <w:i/>
                <w:sz w:val="22"/>
                <w:szCs w:val="22"/>
                <w:lang w:val="en-GB"/>
              </w:rPr>
              <w:t>¶</w:t>
            </w:r>
            <w:r w:rsidRPr="009C67C9">
              <w:rPr>
                <w:sz w:val="22"/>
                <w:szCs w:val="22"/>
                <w:lang w:val="en-GB"/>
              </w:rPr>
              <w:t xml:space="preserve">: </w:t>
            </w:r>
            <w:proofErr w:type="spellStart"/>
            <w:r w:rsidRPr="009C67C9">
              <w:rPr>
                <w:sz w:val="22"/>
                <w:szCs w:val="22"/>
                <w:lang w:val="en-GB"/>
              </w:rPr>
              <w:t>alle</w:t>
            </w:r>
            <w:proofErr w:type="spellEnd"/>
          </w:p>
        </w:tc>
        <w:tc>
          <w:tcPr>
            <w:tcW w:w="397" w:type="pct"/>
            <w:tcBorders>
              <w:top w:val="single" w:sz="6" w:space="0" w:color="000000"/>
              <w:left w:val="single" w:sz="6" w:space="0" w:color="000000"/>
              <w:bottom w:val="single" w:sz="6" w:space="0" w:color="000000"/>
              <w:right w:val="single" w:sz="6" w:space="0" w:color="000000"/>
            </w:tcBorders>
            <w:hideMark/>
          </w:tcPr>
          <w:p w14:paraId="14E9F971" w14:textId="77777777" w:rsidR="00150AB9" w:rsidRPr="009C67C9" w:rsidRDefault="00150AB9">
            <w:pPr>
              <w:suppressAutoHyphens/>
              <w:rPr>
                <w:sz w:val="22"/>
                <w:szCs w:val="22"/>
                <w:lang w:val="en-GB"/>
              </w:rPr>
            </w:pPr>
            <w:r w:rsidRPr="009C67C9">
              <w:rPr>
                <w:sz w:val="22"/>
                <w:szCs w:val="22"/>
                <w:lang w:val="en-GB"/>
              </w:rPr>
              <w:t>151</w:t>
            </w:r>
          </w:p>
        </w:tc>
        <w:tc>
          <w:tcPr>
            <w:tcW w:w="635" w:type="pct"/>
            <w:tcBorders>
              <w:top w:val="single" w:sz="6" w:space="0" w:color="000000"/>
              <w:left w:val="single" w:sz="6" w:space="0" w:color="000000"/>
              <w:bottom w:val="single" w:sz="6" w:space="0" w:color="000000"/>
              <w:right w:val="single" w:sz="6" w:space="0" w:color="000000"/>
            </w:tcBorders>
            <w:hideMark/>
          </w:tcPr>
          <w:p w14:paraId="6F131906" w14:textId="77777777" w:rsidR="00150AB9" w:rsidRPr="009C67C9" w:rsidRDefault="00150AB9">
            <w:pPr>
              <w:suppressAutoHyphens/>
              <w:rPr>
                <w:sz w:val="22"/>
                <w:szCs w:val="22"/>
                <w:lang w:val="en-GB"/>
              </w:rPr>
            </w:pPr>
            <w:r w:rsidRPr="009C67C9">
              <w:rPr>
                <w:sz w:val="22"/>
                <w:szCs w:val="22"/>
                <w:lang w:val="en-GB"/>
              </w:rPr>
              <w:t>133 (88,1)</w:t>
            </w:r>
          </w:p>
        </w:tc>
        <w:tc>
          <w:tcPr>
            <w:tcW w:w="397" w:type="pct"/>
            <w:tcBorders>
              <w:top w:val="single" w:sz="6" w:space="0" w:color="000000"/>
              <w:left w:val="single" w:sz="6" w:space="0" w:color="000000"/>
              <w:bottom w:val="single" w:sz="6" w:space="0" w:color="000000"/>
              <w:right w:val="single" w:sz="6" w:space="0" w:color="000000"/>
            </w:tcBorders>
            <w:hideMark/>
          </w:tcPr>
          <w:p w14:paraId="4AB3E521" w14:textId="77777777" w:rsidR="00150AB9" w:rsidRPr="009C67C9" w:rsidRDefault="00150AB9">
            <w:pPr>
              <w:suppressAutoHyphens/>
              <w:rPr>
                <w:sz w:val="22"/>
                <w:szCs w:val="22"/>
                <w:lang w:val="en-GB"/>
              </w:rPr>
            </w:pPr>
            <w:r w:rsidRPr="009C67C9">
              <w:rPr>
                <w:sz w:val="22"/>
                <w:szCs w:val="22"/>
                <w:lang w:val="en-GB"/>
              </w:rPr>
              <w:t>140</w:t>
            </w:r>
          </w:p>
        </w:tc>
        <w:tc>
          <w:tcPr>
            <w:tcW w:w="635" w:type="pct"/>
            <w:tcBorders>
              <w:top w:val="single" w:sz="6" w:space="0" w:color="000000"/>
              <w:left w:val="single" w:sz="6" w:space="0" w:color="000000"/>
              <w:bottom w:val="single" w:sz="6" w:space="0" w:color="000000"/>
              <w:right w:val="single" w:sz="6" w:space="0" w:color="000000"/>
            </w:tcBorders>
            <w:hideMark/>
          </w:tcPr>
          <w:p w14:paraId="7269F6D5" w14:textId="77777777" w:rsidR="00150AB9" w:rsidRPr="009C67C9" w:rsidRDefault="00150AB9">
            <w:pPr>
              <w:suppressAutoHyphens/>
              <w:rPr>
                <w:sz w:val="22"/>
                <w:szCs w:val="22"/>
                <w:lang w:val="en-GB"/>
              </w:rPr>
            </w:pPr>
            <w:r w:rsidRPr="009C67C9">
              <w:rPr>
                <w:sz w:val="22"/>
                <w:szCs w:val="22"/>
                <w:lang w:val="en-GB"/>
              </w:rPr>
              <w:t>123 (87,9)</w:t>
            </w:r>
          </w:p>
        </w:tc>
        <w:tc>
          <w:tcPr>
            <w:tcW w:w="1111" w:type="pct"/>
            <w:vMerge/>
            <w:tcBorders>
              <w:top w:val="single" w:sz="6" w:space="0" w:color="000000"/>
              <w:left w:val="single" w:sz="6" w:space="0" w:color="000000"/>
              <w:bottom w:val="nil"/>
              <w:right w:val="single" w:sz="6" w:space="0" w:color="000000"/>
            </w:tcBorders>
            <w:vAlign w:val="center"/>
            <w:hideMark/>
          </w:tcPr>
          <w:p w14:paraId="662F2D08" w14:textId="77777777" w:rsidR="00150AB9" w:rsidRPr="009C67C9" w:rsidRDefault="00150AB9">
            <w:pPr>
              <w:rPr>
                <w:sz w:val="22"/>
                <w:szCs w:val="22"/>
                <w:lang w:val="en-GB"/>
              </w:rPr>
            </w:pPr>
          </w:p>
        </w:tc>
      </w:tr>
      <w:tr w:rsidR="00150AB9" w:rsidRPr="009C67C9" w14:paraId="0B881C15" w14:textId="77777777" w:rsidTr="006F6EE5">
        <w:trPr>
          <w:trHeight w:val="240"/>
        </w:trPr>
        <w:tc>
          <w:tcPr>
            <w:tcW w:w="1825" w:type="pct"/>
            <w:tcBorders>
              <w:top w:val="single" w:sz="6" w:space="0" w:color="000000"/>
              <w:left w:val="single" w:sz="6" w:space="0" w:color="000000"/>
              <w:bottom w:val="single" w:sz="6" w:space="0" w:color="000000"/>
              <w:right w:val="single" w:sz="6" w:space="0" w:color="000000"/>
            </w:tcBorders>
            <w:hideMark/>
          </w:tcPr>
          <w:p w14:paraId="2AAD7B43" w14:textId="77777777" w:rsidR="00150AB9" w:rsidRPr="009C67C9" w:rsidRDefault="00150AB9">
            <w:pPr>
              <w:pStyle w:val="TableParagraph"/>
              <w:spacing w:line="225" w:lineRule="exact"/>
              <w:ind w:left="474"/>
              <w:rPr>
                <w:rFonts w:ascii="Times New Roman" w:hAnsi="Times New Roman" w:cs="Times New Roman"/>
                <w:i/>
                <w:lang w:val="da-DK"/>
              </w:rPr>
            </w:pPr>
            <w:r w:rsidRPr="009C67C9">
              <w:rPr>
                <w:rFonts w:ascii="Times New Roman" w:hAnsi="Times New Roman" w:cs="Times New Roman"/>
                <w:i/>
                <w:lang w:val="da-DK"/>
              </w:rPr>
              <w:t xml:space="preserve">C. </w:t>
            </w:r>
            <w:proofErr w:type="spellStart"/>
            <w:r w:rsidRPr="009C67C9">
              <w:rPr>
                <w:rFonts w:ascii="Times New Roman" w:hAnsi="Times New Roman" w:cs="Times New Roman"/>
                <w:i/>
                <w:lang w:val="da-DK"/>
              </w:rPr>
              <w:t>tropicalis</w:t>
            </w:r>
            <w:proofErr w:type="spellEnd"/>
          </w:p>
        </w:tc>
        <w:tc>
          <w:tcPr>
            <w:tcW w:w="397" w:type="pct"/>
            <w:tcBorders>
              <w:top w:val="single" w:sz="6" w:space="0" w:color="000000"/>
              <w:left w:val="single" w:sz="6" w:space="0" w:color="000000"/>
              <w:bottom w:val="single" w:sz="6" w:space="0" w:color="000000"/>
              <w:right w:val="single" w:sz="6" w:space="0" w:color="000000"/>
            </w:tcBorders>
            <w:hideMark/>
          </w:tcPr>
          <w:p w14:paraId="5C5E8A09" w14:textId="77777777" w:rsidR="00150AB9" w:rsidRPr="009C67C9" w:rsidRDefault="00150AB9">
            <w:pPr>
              <w:suppressAutoHyphens/>
              <w:rPr>
                <w:sz w:val="22"/>
                <w:szCs w:val="22"/>
                <w:lang w:val="en-GB"/>
              </w:rPr>
            </w:pPr>
            <w:r w:rsidRPr="009C67C9">
              <w:rPr>
                <w:sz w:val="22"/>
                <w:szCs w:val="22"/>
                <w:lang w:val="en-GB"/>
              </w:rPr>
              <w:t>59</w:t>
            </w:r>
          </w:p>
        </w:tc>
        <w:tc>
          <w:tcPr>
            <w:tcW w:w="635" w:type="pct"/>
            <w:tcBorders>
              <w:top w:val="single" w:sz="6" w:space="0" w:color="000000"/>
              <w:left w:val="single" w:sz="6" w:space="0" w:color="000000"/>
              <w:bottom w:val="single" w:sz="6" w:space="0" w:color="000000"/>
              <w:right w:val="single" w:sz="6" w:space="0" w:color="000000"/>
            </w:tcBorders>
            <w:hideMark/>
          </w:tcPr>
          <w:p w14:paraId="31E26D29" w14:textId="77777777" w:rsidR="00150AB9" w:rsidRPr="009C67C9" w:rsidRDefault="00150AB9">
            <w:pPr>
              <w:suppressAutoHyphens/>
              <w:rPr>
                <w:sz w:val="22"/>
                <w:szCs w:val="22"/>
                <w:lang w:val="en-GB"/>
              </w:rPr>
            </w:pPr>
            <w:r w:rsidRPr="009C67C9">
              <w:rPr>
                <w:sz w:val="22"/>
                <w:szCs w:val="22"/>
                <w:lang w:val="en-GB"/>
              </w:rPr>
              <w:t>54 (91,5)</w:t>
            </w:r>
          </w:p>
        </w:tc>
        <w:tc>
          <w:tcPr>
            <w:tcW w:w="397" w:type="pct"/>
            <w:tcBorders>
              <w:top w:val="single" w:sz="6" w:space="0" w:color="000000"/>
              <w:left w:val="single" w:sz="6" w:space="0" w:color="000000"/>
              <w:bottom w:val="single" w:sz="6" w:space="0" w:color="000000"/>
              <w:right w:val="single" w:sz="6" w:space="0" w:color="000000"/>
            </w:tcBorders>
            <w:hideMark/>
          </w:tcPr>
          <w:p w14:paraId="56829B54" w14:textId="77777777" w:rsidR="00150AB9" w:rsidRPr="009C67C9" w:rsidRDefault="00150AB9">
            <w:pPr>
              <w:suppressAutoHyphens/>
              <w:rPr>
                <w:sz w:val="22"/>
                <w:szCs w:val="22"/>
                <w:lang w:val="en-GB"/>
              </w:rPr>
            </w:pPr>
            <w:r w:rsidRPr="009C67C9">
              <w:rPr>
                <w:sz w:val="22"/>
                <w:szCs w:val="22"/>
                <w:lang w:val="en-GB"/>
              </w:rPr>
              <w:t>51</w:t>
            </w:r>
          </w:p>
        </w:tc>
        <w:tc>
          <w:tcPr>
            <w:tcW w:w="635" w:type="pct"/>
            <w:tcBorders>
              <w:top w:val="single" w:sz="6" w:space="0" w:color="000000"/>
              <w:left w:val="single" w:sz="6" w:space="0" w:color="000000"/>
              <w:bottom w:val="single" w:sz="6" w:space="0" w:color="000000"/>
              <w:right w:val="single" w:sz="6" w:space="0" w:color="000000"/>
            </w:tcBorders>
            <w:hideMark/>
          </w:tcPr>
          <w:p w14:paraId="6B8DD2C2" w14:textId="77777777" w:rsidR="00150AB9" w:rsidRPr="009C67C9" w:rsidRDefault="00150AB9">
            <w:pPr>
              <w:suppressAutoHyphens/>
              <w:rPr>
                <w:sz w:val="22"/>
                <w:szCs w:val="22"/>
                <w:lang w:val="en-GB"/>
              </w:rPr>
            </w:pPr>
            <w:r w:rsidRPr="009C67C9">
              <w:rPr>
                <w:sz w:val="22"/>
                <w:szCs w:val="22"/>
                <w:lang w:val="en-GB"/>
              </w:rPr>
              <w:t>49 (96,1)</w:t>
            </w:r>
          </w:p>
        </w:tc>
        <w:tc>
          <w:tcPr>
            <w:tcW w:w="1111" w:type="pct"/>
            <w:vMerge/>
            <w:tcBorders>
              <w:top w:val="single" w:sz="6" w:space="0" w:color="000000"/>
              <w:left w:val="single" w:sz="6" w:space="0" w:color="000000"/>
              <w:bottom w:val="nil"/>
              <w:right w:val="single" w:sz="6" w:space="0" w:color="000000"/>
            </w:tcBorders>
            <w:vAlign w:val="center"/>
            <w:hideMark/>
          </w:tcPr>
          <w:p w14:paraId="3ADB563C" w14:textId="77777777" w:rsidR="00150AB9" w:rsidRPr="009C67C9" w:rsidRDefault="00150AB9">
            <w:pPr>
              <w:rPr>
                <w:sz w:val="22"/>
                <w:szCs w:val="22"/>
                <w:lang w:val="en-GB"/>
              </w:rPr>
            </w:pPr>
          </w:p>
        </w:tc>
      </w:tr>
      <w:tr w:rsidR="00150AB9" w:rsidRPr="009C67C9" w14:paraId="51B90350" w14:textId="77777777" w:rsidTr="006F6EE5">
        <w:trPr>
          <w:trHeight w:val="225"/>
        </w:trPr>
        <w:tc>
          <w:tcPr>
            <w:tcW w:w="1825" w:type="pct"/>
            <w:tcBorders>
              <w:top w:val="single" w:sz="6" w:space="0" w:color="000000"/>
              <w:left w:val="single" w:sz="6" w:space="0" w:color="000000"/>
              <w:bottom w:val="single" w:sz="6" w:space="0" w:color="000000"/>
              <w:right w:val="single" w:sz="6" w:space="0" w:color="000000"/>
            </w:tcBorders>
            <w:hideMark/>
          </w:tcPr>
          <w:p w14:paraId="7FAA14C3" w14:textId="77777777" w:rsidR="00150AB9" w:rsidRPr="009C67C9" w:rsidRDefault="00150AB9">
            <w:pPr>
              <w:pStyle w:val="TableParagraph"/>
              <w:spacing w:line="225" w:lineRule="exact"/>
              <w:ind w:left="474"/>
              <w:rPr>
                <w:rFonts w:ascii="Times New Roman" w:hAnsi="Times New Roman" w:cs="Times New Roman"/>
                <w:i/>
                <w:lang w:val="da-DK"/>
              </w:rPr>
            </w:pPr>
            <w:r w:rsidRPr="009C67C9">
              <w:rPr>
                <w:rFonts w:ascii="Times New Roman" w:hAnsi="Times New Roman" w:cs="Times New Roman"/>
                <w:i/>
                <w:lang w:val="da-DK"/>
              </w:rPr>
              <w:t xml:space="preserve">C. </w:t>
            </w:r>
            <w:proofErr w:type="spellStart"/>
            <w:r w:rsidRPr="009C67C9">
              <w:rPr>
                <w:rFonts w:ascii="Times New Roman" w:hAnsi="Times New Roman" w:cs="Times New Roman"/>
                <w:i/>
                <w:lang w:val="da-DK"/>
              </w:rPr>
              <w:t>parapsilosis</w:t>
            </w:r>
            <w:proofErr w:type="spellEnd"/>
          </w:p>
        </w:tc>
        <w:tc>
          <w:tcPr>
            <w:tcW w:w="397" w:type="pct"/>
            <w:tcBorders>
              <w:top w:val="single" w:sz="6" w:space="0" w:color="000000"/>
              <w:left w:val="single" w:sz="6" w:space="0" w:color="000000"/>
              <w:bottom w:val="single" w:sz="6" w:space="0" w:color="000000"/>
              <w:right w:val="single" w:sz="6" w:space="0" w:color="000000"/>
            </w:tcBorders>
            <w:hideMark/>
          </w:tcPr>
          <w:p w14:paraId="3AEB7374" w14:textId="77777777" w:rsidR="00150AB9" w:rsidRPr="009C67C9" w:rsidRDefault="00150AB9">
            <w:pPr>
              <w:suppressAutoHyphens/>
              <w:rPr>
                <w:sz w:val="22"/>
                <w:szCs w:val="22"/>
                <w:lang w:val="en-GB"/>
              </w:rPr>
            </w:pPr>
            <w:r w:rsidRPr="009C67C9">
              <w:rPr>
                <w:sz w:val="22"/>
                <w:szCs w:val="22"/>
                <w:lang w:val="en-GB"/>
              </w:rPr>
              <w:t>48</w:t>
            </w:r>
          </w:p>
        </w:tc>
        <w:tc>
          <w:tcPr>
            <w:tcW w:w="635" w:type="pct"/>
            <w:tcBorders>
              <w:top w:val="single" w:sz="6" w:space="0" w:color="000000"/>
              <w:left w:val="single" w:sz="6" w:space="0" w:color="000000"/>
              <w:bottom w:val="single" w:sz="6" w:space="0" w:color="000000"/>
              <w:right w:val="single" w:sz="6" w:space="0" w:color="000000"/>
            </w:tcBorders>
            <w:hideMark/>
          </w:tcPr>
          <w:p w14:paraId="75B8F14B" w14:textId="77777777" w:rsidR="00150AB9" w:rsidRPr="009C67C9" w:rsidRDefault="00150AB9">
            <w:pPr>
              <w:suppressAutoHyphens/>
              <w:rPr>
                <w:sz w:val="22"/>
                <w:szCs w:val="22"/>
                <w:lang w:val="en-GB"/>
              </w:rPr>
            </w:pPr>
            <w:r w:rsidRPr="009C67C9">
              <w:rPr>
                <w:sz w:val="22"/>
                <w:szCs w:val="22"/>
                <w:lang w:val="en-GB"/>
              </w:rPr>
              <w:t>41 (85,4)</w:t>
            </w:r>
          </w:p>
        </w:tc>
        <w:tc>
          <w:tcPr>
            <w:tcW w:w="397" w:type="pct"/>
            <w:tcBorders>
              <w:top w:val="single" w:sz="6" w:space="0" w:color="000000"/>
              <w:left w:val="single" w:sz="6" w:space="0" w:color="000000"/>
              <w:bottom w:val="single" w:sz="6" w:space="0" w:color="000000"/>
              <w:right w:val="single" w:sz="6" w:space="0" w:color="000000"/>
            </w:tcBorders>
            <w:hideMark/>
          </w:tcPr>
          <w:p w14:paraId="530DC760" w14:textId="77777777" w:rsidR="00150AB9" w:rsidRPr="009C67C9" w:rsidRDefault="00150AB9">
            <w:pPr>
              <w:suppressAutoHyphens/>
              <w:rPr>
                <w:sz w:val="22"/>
                <w:szCs w:val="22"/>
                <w:lang w:val="en-GB"/>
              </w:rPr>
            </w:pPr>
            <w:r w:rsidRPr="009C67C9">
              <w:rPr>
                <w:sz w:val="22"/>
                <w:szCs w:val="22"/>
                <w:lang w:val="en-GB"/>
              </w:rPr>
              <w:t>44</w:t>
            </w:r>
          </w:p>
        </w:tc>
        <w:tc>
          <w:tcPr>
            <w:tcW w:w="635" w:type="pct"/>
            <w:tcBorders>
              <w:top w:val="single" w:sz="6" w:space="0" w:color="000000"/>
              <w:left w:val="single" w:sz="6" w:space="0" w:color="000000"/>
              <w:bottom w:val="single" w:sz="6" w:space="0" w:color="000000"/>
              <w:right w:val="single" w:sz="6" w:space="0" w:color="000000"/>
            </w:tcBorders>
            <w:hideMark/>
          </w:tcPr>
          <w:p w14:paraId="52A694E7" w14:textId="77777777" w:rsidR="00150AB9" w:rsidRPr="009C67C9" w:rsidRDefault="00150AB9">
            <w:pPr>
              <w:suppressAutoHyphens/>
              <w:rPr>
                <w:sz w:val="22"/>
                <w:szCs w:val="22"/>
                <w:lang w:val="en-GB"/>
              </w:rPr>
            </w:pPr>
            <w:r w:rsidRPr="009C67C9">
              <w:rPr>
                <w:sz w:val="22"/>
                <w:szCs w:val="22"/>
                <w:lang w:val="en-GB"/>
              </w:rPr>
              <w:t>35 (79,5)</w:t>
            </w:r>
          </w:p>
        </w:tc>
        <w:tc>
          <w:tcPr>
            <w:tcW w:w="1111" w:type="pct"/>
            <w:vMerge/>
            <w:tcBorders>
              <w:top w:val="single" w:sz="6" w:space="0" w:color="000000"/>
              <w:left w:val="single" w:sz="6" w:space="0" w:color="000000"/>
              <w:bottom w:val="nil"/>
              <w:right w:val="single" w:sz="6" w:space="0" w:color="000000"/>
            </w:tcBorders>
            <w:vAlign w:val="center"/>
            <w:hideMark/>
          </w:tcPr>
          <w:p w14:paraId="5BAB3264" w14:textId="77777777" w:rsidR="00150AB9" w:rsidRPr="009C67C9" w:rsidRDefault="00150AB9">
            <w:pPr>
              <w:rPr>
                <w:sz w:val="22"/>
                <w:szCs w:val="22"/>
                <w:lang w:val="en-GB"/>
              </w:rPr>
            </w:pPr>
          </w:p>
        </w:tc>
      </w:tr>
      <w:tr w:rsidR="00150AB9" w:rsidRPr="009C67C9" w14:paraId="6E3CE02A" w14:textId="77777777" w:rsidTr="006F6EE5">
        <w:trPr>
          <w:trHeight w:val="240"/>
        </w:trPr>
        <w:tc>
          <w:tcPr>
            <w:tcW w:w="1825" w:type="pct"/>
            <w:tcBorders>
              <w:top w:val="single" w:sz="6" w:space="0" w:color="000000"/>
              <w:left w:val="single" w:sz="6" w:space="0" w:color="000000"/>
              <w:bottom w:val="single" w:sz="6" w:space="0" w:color="000000"/>
              <w:right w:val="single" w:sz="6" w:space="0" w:color="000000"/>
            </w:tcBorders>
            <w:hideMark/>
          </w:tcPr>
          <w:p w14:paraId="41C0FDDD" w14:textId="77777777" w:rsidR="00150AB9" w:rsidRPr="009C67C9" w:rsidRDefault="00150AB9">
            <w:pPr>
              <w:pStyle w:val="TableParagraph"/>
              <w:spacing w:line="225" w:lineRule="exact"/>
              <w:ind w:left="474"/>
              <w:rPr>
                <w:rFonts w:ascii="Times New Roman" w:hAnsi="Times New Roman" w:cs="Times New Roman"/>
                <w:i/>
                <w:lang w:val="da-DK"/>
              </w:rPr>
            </w:pPr>
            <w:r w:rsidRPr="009C67C9">
              <w:rPr>
                <w:rFonts w:ascii="Times New Roman" w:hAnsi="Times New Roman" w:cs="Times New Roman"/>
                <w:i/>
                <w:lang w:val="da-DK"/>
              </w:rPr>
              <w:t xml:space="preserve">C. </w:t>
            </w:r>
            <w:proofErr w:type="spellStart"/>
            <w:r w:rsidRPr="009C67C9">
              <w:rPr>
                <w:rFonts w:ascii="Times New Roman" w:hAnsi="Times New Roman" w:cs="Times New Roman"/>
                <w:i/>
                <w:lang w:val="da-DK"/>
              </w:rPr>
              <w:t>glabrata</w:t>
            </w:r>
            <w:proofErr w:type="spellEnd"/>
          </w:p>
        </w:tc>
        <w:tc>
          <w:tcPr>
            <w:tcW w:w="397" w:type="pct"/>
            <w:tcBorders>
              <w:top w:val="single" w:sz="6" w:space="0" w:color="000000"/>
              <w:left w:val="single" w:sz="6" w:space="0" w:color="000000"/>
              <w:bottom w:val="single" w:sz="6" w:space="0" w:color="000000"/>
              <w:right w:val="single" w:sz="6" w:space="0" w:color="000000"/>
            </w:tcBorders>
            <w:hideMark/>
          </w:tcPr>
          <w:p w14:paraId="23D7CD0C" w14:textId="77777777" w:rsidR="00150AB9" w:rsidRPr="009C67C9" w:rsidRDefault="00150AB9">
            <w:pPr>
              <w:suppressAutoHyphens/>
              <w:rPr>
                <w:sz w:val="22"/>
                <w:szCs w:val="22"/>
                <w:lang w:val="en-GB"/>
              </w:rPr>
            </w:pPr>
            <w:r w:rsidRPr="009C67C9">
              <w:rPr>
                <w:sz w:val="22"/>
                <w:szCs w:val="22"/>
                <w:lang w:val="en-GB"/>
              </w:rPr>
              <w:t>23</w:t>
            </w:r>
          </w:p>
        </w:tc>
        <w:tc>
          <w:tcPr>
            <w:tcW w:w="635" w:type="pct"/>
            <w:tcBorders>
              <w:top w:val="single" w:sz="6" w:space="0" w:color="000000"/>
              <w:left w:val="single" w:sz="6" w:space="0" w:color="000000"/>
              <w:bottom w:val="single" w:sz="6" w:space="0" w:color="000000"/>
              <w:right w:val="single" w:sz="6" w:space="0" w:color="000000"/>
            </w:tcBorders>
            <w:hideMark/>
          </w:tcPr>
          <w:p w14:paraId="28E1FCF5" w14:textId="77777777" w:rsidR="00150AB9" w:rsidRPr="009C67C9" w:rsidRDefault="00150AB9">
            <w:pPr>
              <w:suppressAutoHyphens/>
              <w:rPr>
                <w:sz w:val="22"/>
                <w:szCs w:val="22"/>
                <w:lang w:val="en-GB"/>
              </w:rPr>
            </w:pPr>
            <w:r w:rsidRPr="009C67C9">
              <w:rPr>
                <w:sz w:val="22"/>
                <w:szCs w:val="22"/>
                <w:lang w:val="en-GB"/>
              </w:rPr>
              <w:t>19 (82,6)</w:t>
            </w:r>
          </w:p>
        </w:tc>
        <w:tc>
          <w:tcPr>
            <w:tcW w:w="397" w:type="pct"/>
            <w:tcBorders>
              <w:top w:val="single" w:sz="6" w:space="0" w:color="000000"/>
              <w:left w:val="single" w:sz="6" w:space="0" w:color="000000"/>
              <w:bottom w:val="single" w:sz="6" w:space="0" w:color="000000"/>
              <w:right w:val="single" w:sz="6" w:space="0" w:color="000000"/>
            </w:tcBorders>
            <w:hideMark/>
          </w:tcPr>
          <w:p w14:paraId="00B2144E" w14:textId="77777777" w:rsidR="00150AB9" w:rsidRPr="009C67C9" w:rsidRDefault="00150AB9">
            <w:pPr>
              <w:suppressAutoHyphens/>
              <w:rPr>
                <w:sz w:val="22"/>
                <w:szCs w:val="22"/>
                <w:lang w:val="en-GB"/>
              </w:rPr>
            </w:pPr>
            <w:r w:rsidRPr="009C67C9">
              <w:rPr>
                <w:sz w:val="22"/>
                <w:szCs w:val="22"/>
                <w:lang w:val="en-GB"/>
              </w:rPr>
              <w:t>17</w:t>
            </w:r>
          </w:p>
        </w:tc>
        <w:tc>
          <w:tcPr>
            <w:tcW w:w="635" w:type="pct"/>
            <w:tcBorders>
              <w:top w:val="single" w:sz="6" w:space="0" w:color="000000"/>
              <w:left w:val="single" w:sz="6" w:space="0" w:color="000000"/>
              <w:bottom w:val="single" w:sz="6" w:space="0" w:color="000000"/>
              <w:right w:val="single" w:sz="6" w:space="0" w:color="000000"/>
            </w:tcBorders>
            <w:hideMark/>
          </w:tcPr>
          <w:p w14:paraId="4AC1AAE2" w14:textId="77777777" w:rsidR="00150AB9" w:rsidRPr="009C67C9" w:rsidRDefault="00150AB9">
            <w:pPr>
              <w:suppressAutoHyphens/>
              <w:rPr>
                <w:sz w:val="22"/>
                <w:szCs w:val="22"/>
                <w:lang w:val="en-GB"/>
              </w:rPr>
            </w:pPr>
            <w:r w:rsidRPr="009C67C9">
              <w:rPr>
                <w:sz w:val="22"/>
                <w:szCs w:val="22"/>
                <w:lang w:val="en-GB"/>
              </w:rPr>
              <w:t>14 (82,4)</w:t>
            </w:r>
          </w:p>
        </w:tc>
        <w:tc>
          <w:tcPr>
            <w:tcW w:w="1111" w:type="pct"/>
            <w:vMerge/>
            <w:tcBorders>
              <w:top w:val="single" w:sz="6" w:space="0" w:color="000000"/>
              <w:left w:val="single" w:sz="6" w:space="0" w:color="000000"/>
              <w:bottom w:val="nil"/>
              <w:right w:val="single" w:sz="6" w:space="0" w:color="000000"/>
            </w:tcBorders>
            <w:vAlign w:val="center"/>
            <w:hideMark/>
          </w:tcPr>
          <w:p w14:paraId="02C582F0" w14:textId="77777777" w:rsidR="00150AB9" w:rsidRPr="009C67C9" w:rsidRDefault="00150AB9">
            <w:pPr>
              <w:rPr>
                <w:sz w:val="22"/>
                <w:szCs w:val="22"/>
                <w:lang w:val="en-GB"/>
              </w:rPr>
            </w:pPr>
          </w:p>
        </w:tc>
      </w:tr>
      <w:tr w:rsidR="00150AB9" w:rsidRPr="009C67C9" w14:paraId="41DB5D26" w14:textId="77777777" w:rsidTr="006F6EE5">
        <w:trPr>
          <w:trHeight w:val="240"/>
        </w:trPr>
        <w:tc>
          <w:tcPr>
            <w:tcW w:w="1825" w:type="pct"/>
            <w:tcBorders>
              <w:top w:val="single" w:sz="6" w:space="0" w:color="000000"/>
              <w:left w:val="single" w:sz="6" w:space="0" w:color="000000"/>
              <w:bottom w:val="single" w:sz="6" w:space="0" w:color="000000"/>
              <w:right w:val="single" w:sz="6" w:space="0" w:color="000000"/>
            </w:tcBorders>
            <w:hideMark/>
          </w:tcPr>
          <w:p w14:paraId="3070A731" w14:textId="77777777" w:rsidR="00150AB9" w:rsidRPr="009C67C9" w:rsidRDefault="00150AB9">
            <w:pPr>
              <w:pStyle w:val="TableParagraph"/>
              <w:spacing w:line="225" w:lineRule="exact"/>
              <w:ind w:left="474"/>
              <w:rPr>
                <w:rFonts w:ascii="Times New Roman" w:hAnsi="Times New Roman" w:cs="Times New Roman"/>
                <w:i/>
                <w:lang w:val="da-DK"/>
              </w:rPr>
            </w:pPr>
            <w:r w:rsidRPr="009C67C9">
              <w:rPr>
                <w:rFonts w:ascii="Times New Roman" w:hAnsi="Times New Roman" w:cs="Times New Roman"/>
                <w:i/>
                <w:lang w:val="da-DK"/>
              </w:rPr>
              <w:t xml:space="preserve">C. </w:t>
            </w:r>
            <w:proofErr w:type="spellStart"/>
            <w:r w:rsidRPr="009C67C9">
              <w:rPr>
                <w:rFonts w:ascii="Times New Roman" w:hAnsi="Times New Roman" w:cs="Times New Roman"/>
                <w:i/>
                <w:lang w:val="da-DK"/>
              </w:rPr>
              <w:t>krusei</w:t>
            </w:r>
            <w:proofErr w:type="spellEnd"/>
          </w:p>
        </w:tc>
        <w:tc>
          <w:tcPr>
            <w:tcW w:w="397" w:type="pct"/>
            <w:tcBorders>
              <w:top w:val="single" w:sz="6" w:space="0" w:color="000000"/>
              <w:left w:val="single" w:sz="6" w:space="0" w:color="000000"/>
              <w:bottom w:val="single" w:sz="6" w:space="0" w:color="000000"/>
              <w:right w:val="single" w:sz="6" w:space="0" w:color="000000"/>
            </w:tcBorders>
            <w:hideMark/>
          </w:tcPr>
          <w:p w14:paraId="6CCADDFC" w14:textId="77777777" w:rsidR="00150AB9" w:rsidRPr="009C67C9" w:rsidRDefault="00150AB9">
            <w:pPr>
              <w:suppressAutoHyphens/>
              <w:rPr>
                <w:sz w:val="22"/>
                <w:szCs w:val="22"/>
                <w:lang w:val="en-GB"/>
              </w:rPr>
            </w:pPr>
            <w:r w:rsidRPr="009C67C9">
              <w:rPr>
                <w:sz w:val="22"/>
                <w:szCs w:val="22"/>
                <w:lang w:val="en-GB"/>
              </w:rPr>
              <w:t>9</w:t>
            </w:r>
          </w:p>
        </w:tc>
        <w:tc>
          <w:tcPr>
            <w:tcW w:w="635" w:type="pct"/>
            <w:tcBorders>
              <w:top w:val="single" w:sz="6" w:space="0" w:color="000000"/>
              <w:left w:val="single" w:sz="6" w:space="0" w:color="000000"/>
              <w:bottom w:val="single" w:sz="6" w:space="0" w:color="000000"/>
              <w:right w:val="single" w:sz="6" w:space="0" w:color="000000"/>
            </w:tcBorders>
            <w:hideMark/>
          </w:tcPr>
          <w:p w14:paraId="3DB30EEC" w14:textId="77777777" w:rsidR="00150AB9" w:rsidRPr="009C67C9" w:rsidRDefault="00150AB9">
            <w:pPr>
              <w:suppressAutoHyphens/>
              <w:rPr>
                <w:sz w:val="22"/>
                <w:szCs w:val="22"/>
                <w:lang w:val="en-GB"/>
              </w:rPr>
            </w:pPr>
            <w:r w:rsidRPr="009C67C9">
              <w:rPr>
                <w:sz w:val="22"/>
                <w:szCs w:val="22"/>
                <w:lang w:val="en-GB"/>
              </w:rPr>
              <w:t>8 (88,9)</w:t>
            </w:r>
          </w:p>
        </w:tc>
        <w:tc>
          <w:tcPr>
            <w:tcW w:w="397" w:type="pct"/>
            <w:tcBorders>
              <w:top w:val="single" w:sz="6" w:space="0" w:color="000000"/>
              <w:left w:val="single" w:sz="6" w:space="0" w:color="000000"/>
              <w:bottom w:val="single" w:sz="6" w:space="0" w:color="000000"/>
              <w:right w:val="single" w:sz="6" w:space="0" w:color="000000"/>
            </w:tcBorders>
            <w:hideMark/>
          </w:tcPr>
          <w:p w14:paraId="19504FAD" w14:textId="77777777" w:rsidR="00150AB9" w:rsidRPr="009C67C9" w:rsidRDefault="00150AB9">
            <w:pPr>
              <w:suppressAutoHyphens/>
              <w:rPr>
                <w:sz w:val="22"/>
                <w:szCs w:val="22"/>
                <w:lang w:val="en-GB"/>
              </w:rPr>
            </w:pPr>
            <w:r w:rsidRPr="009C67C9">
              <w:rPr>
                <w:sz w:val="22"/>
                <w:szCs w:val="22"/>
                <w:lang w:val="en-GB"/>
              </w:rPr>
              <w:t>7</w:t>
            </w:r>
          </w:p>
        </w:tc>
        <w:tc>
          <w:tcPr>
            <w:tcW w:w="635" w:type="pct"/>
            <w:tcBorders>
              <w:top w:val="single" w:sz="6" w:space="0" w:color="000000"/>
              <w:left w:val="single" w:sz="6" w:space="0" w:color="000000"/>
              <w:bottom w:val="single" w:sz="6" w:space="0" w:color="000000"/>
              <w:right w:val="single" w:sz="6" w:space="0" w:color="000000"/>
            </w:tcBorders>
            <w:hideMark/>
          </w:tcPr>
          <w:p w14:paraId="390D4E74" w14:textId="77777777" w:rsidR="00150AB9" w:rsidRPr="009C67C9" w:rsidRDefault="00150AB9">
            <w:pPr>
              <w:suppressAutoHyphens/>
              <w:rPr>
                <w:sz w:val="22"/>
                <w:szCs w:val="22"/>
                <w:lang w:val="en-GB"/>
              </w:rPr>
            </w:pPr>
            <w:r w:rsidRPr="009C67C9">
              <w:rPr>
                <w:sz w:val="22"/>
                <w:szCs w:val="22"/>
                <w:lang w:val="en-GB"/>
              </w:rPr>
              <w:t>6 (85,7)</w:t>
            </w:r>
          </w:p>
        </w:tc>
        <w:tc>
          <w:tcPr>
            <w:tcW w:w="1111" w:type="pct"/>
            <w:tcBorders>
              <w:top w:val="nil"/>
              <w:left w:val="single" w:sz="6" w:space="0" w:color="000000"/>
              <w:bottom w:val="single" w:sz="6" w:space="0" w:color="000000"/>
              <w:right w:val="single" w:sz="6" w:space="0" w:color="000000"/>
            </w:tcBorders>
          </w:tcPr>
          <w:p w14:paraId="4E87913B" w14:textId="77777777" w:rsidR="00150AB9" w:rsidRPr="009C67C9" w:rsidRDefault="00150AB9">
            <w:pPr>
              <w:suppressAutoHyphens/>
              <w:rPr>
                <w:sz w:val="22"/>
                <w:szCs w:val="22"/>
                <w:lang w:val="en-GB"/>
              </w:rPr>
            </w:pPr>
          </w:p>
        </w:tc>
      </w:tr>
    </w:tbl>
    <w:p w14:paraId="1791570B" w14:textId="77777777" w:rsidR="00150AB9" w:rsidRPr="009C67C9" w:rsidRDefault="00150AB9" w:rsidP="00150AB9">
      <w:pPr>
        <w:suppressAutoHyphens/>
        <w:rPr>
          <w:sz w:val="20"/>
        </w:rPr>
      </w:pPr>
      <w:r w:rsidRPr="009C67C9">
        <w:rPr>
          <w:sz w:val="20"/>
        </w:rPr>
        <w:t xml:space="preserve">† Raten for </w:t>
      </w:r>
      <w:proofErr w:type="spellStart"/>
      <w:r w:rsidRPr="009C67C9">
        <w:rPr>
          <w:sz w:val="20"/>
        </w:rPr>
        <w:t>micafungin</w:t>
      </w:r>
      <w:proofErr w:type="spellEnd"/>
      <w:r w:rsidRPr="009C67C9">
        <w:rPr>
          <w:sz w:val="20"/>
        </w:rPr>
        <w:t xml:space="preserve"> minus raten for </w:t>
      </w:r>
      <w:proofErr w:type="spellStart"/>
      <w:r w:rsidRPr="009C67C9">
        <w:rPr>
          <w:sz w:val="20"/>
        </w:rPr>
        <w:t>liposomalt</w:t>
      </w:r>
      <w:proofErr w:type="spellEnd"/>
      <w:r w:rsidRPr="009C67C9">
        <w:rPr>
          <w:sz w:val="20"/>
        </w:rPr>
        <w:t xml:space="preserve"> </w:t>
      </w:r>
      <w:proofErr w:type="spellStart"/>
      <w:r w:rsidRPr="009C67C9">
        <w:rPr>
          <w:sz w:val="20"/>
        </w:rPr>
        <w:t>amphotericin</w:t>
      </w:r>
      <w:proofErr w:type="spellEnd"/>
      <w:r w:rsidRPr="009C67C9">
        <w:rPr>
          <w:sz w:val="20"/>
        </w:rPr>
        <w:t> B og dobbeltsidet 95 % konfidensinterval, som viserforskellen i total succesrate er baseret på tilnærmelse til normalfordeling.</w:t>
      </w:r>
    </w:p>
    <w:p w14:paraId="3DC50B7A" w14:textId="77777777" w:rsidR="00150AB9" w:rsidRPr="009C67C9" w:rsidRDefault="00150AB9" w:rsidP="00150AB9">
      <w:pPr>
        <w:suppressAutoHyphens/>
        <w:rPr>
          <w:sz w:val="20"/>
        </w:rPr>
      </w:pPr>
      <w:r w:rsidRPr="009C67C9">
        <w:rPr>
          <w:sz w:val="20"/>
        </w:rPr>
        <w:t xml:space="preserve">‡ Tilpasset </w:t>
      </w:r>
      <w:proofErr w:type="spellStart"/>
      <w:r w:rsidRPr="009C67C9">
        <w:rPr>
          <w:sz w:val="20"/>
        </w:rPr>
        <w:t>neutropene</w:t>
      </w:r>
      <w:proofErr w:type="spellEnd"/>
      <w:r w:rsidRPr="009C67C9">
        <w:rPr>
          <w:sz w:val="20"/>
        </w:rPr>
        <w:t xml:space="preserve"> status; primært endepunkt.</w:t>
      </w:r>
    </w:p>
    <w:p w14:paraId="4B560FED" w14:textId="77777777" w:rsidR="00150AB9" w:rsidRPr="009C67C9" w:rsidRDefault="00150AB9" w:rsidP="00150AB9">
      <w:pPr>
        <w:suppressAutoHyphens/>
        <w:rPr>
          <w:sz w:val="20"/>
        </w:rPr>
      </w:pPr>
      <w:r w:rsidRPr="009C67C9">
        <w:rPr>
          <w:sz w:val="20"/>
        </w:rPr>
        <w:t>§ Den pædiatriske population var ikke beregnet til at blive undersøgt for non-inferioritet.</w:t>
      </w:r>
    </w:p>
    <w:p w14:paraId="3FADD150" w14:textId="77777777" w:rsidR="00150AB9" w:rsidRPr="009C67C9" w:rsidRDefault="00150AB9" w:rsidP="00150AB9">
      <w:pPr>
        <w:suppressAutoHyphens/>
        <w:rPr>
          <w:sz w:val="20"/>
        </w:rPr>
      </w:pPr>
      <w:r w:rsidRPr="009C67C9">
        <w:rPr>
          <w:sz w:val="20"/>
        </w:rPr>
        <w:t xml:space="preserve">¶ Klinisk effekt blev også observeret (&lt; 5 patienter) hos følgende </w:t>
      </w:r>
      <w:proofErr w:type="spellStart"/>
      <w:r w:rsidRPr="009C67C9">
        <w:rPr>
          <w:i/>
          <w:iCs/>
          <w:sz w:val="20"/>
        </w:rPr>
        <w:t>Candida</w:t>
      </w:r>
      <w:proofErr w:type="spellEnd"/>
      <w:r w:rsidRPr="009C67C9">
        <w:rPr>
          <w:sz w:val="20"/>
        </w:rPr>
        <w:t xml:space="preserve">-arter: </w:t>
      </w:r>
      <w:r w:rsidRPr="009C67C9">
        <w:rPr>
          <w:i/>
          <w:iCs/>
          <w:sz w:val="20"/>
        </w:rPr>
        <w:t>C. </w:t>
      </w:r>
      <w:proofErr w:type="spellStart"/>
      <w:r w:rsidRPr="009C67C9">
        <w:rPr>
          <w:i/>
          <w:iCs/>
          <w:sz w:val="20"/>
        </w:rPr>
        <w:t>guilliermondii</w:t>
      </w:r>
      <w:proofErr w:type="spellEnd"/>
      <w:r w:rsidRPr="009C67C9">
        <w:rPr>
          <w:sz w:val="20"/>
        </w:rPr>
        <w:t xml:space="preserve">, </w:t>
      </w:r>
      <w:r w:rsidRPr="009C67C9">
        <w:rPr>
          <w:i/>
          <w:iCs/>
          <w:sz w:val="20"/>
        </w:rPr>
        <w:t>C. </w:t>
      </w:r>
      <w:proofErr w:type="spellStart"/>
      <w:r w:rsidRPr="009C67C9">
        <w:rPr>
          <w:i/>
          <w:iCs/>
          <w:sz w:val="20"/>
        </w:rPr>
        <w:t>famata</w:t>
      </w:r>
      <w:proofErr w:type="spellEnd"/>
      <w:r w:rsidRPr="009C67C9">
        <w:rPr>
          <w:sz w:val="20"/>
        </w:rPr>
        <w:t xml:space="preserve">, </w:t>
      </w:r>
      <w:r w:rsidRPr="009C67C9">
        <w:rPr>
          <w:i/>
          <w:iCs/>
          <w:sz w:val="20"/>
        </w:rPr>
        <w:t>C. </w:t>
      </w:r>
      <w:proofErr w:type="spellStart"/>
      <w:r w:rsidRPr="009C67C9">
        <w:rPr>
          <w:i/>
          <w:iCs/>
          <w:sz w:val="20"/>
        </w:rPr>
        <w:t>lusitaniae</w:t>
      </w:r>
      <w:proofErr w:type="spellEnd"/>
      <w:r w:rsidRPr="009C67C9">
        <w:rPr>
          <w:sz w:val="20"/>
        </w:rPr>
        <w:t xml:space="preserve">, </w:t>
      </w:r>
      <w:r w:rsidRPr="009C67C9">
        <w:rPr>
          <w:i/>
          <w:iCs/>
          <w:sz w:val="20"/>
        </w:rPr>
        <w:t>C. </w:t>
      </w:r>
      <w:proofErr w:type="spellStart"/>
      <w:r w:rsidRPr="009C67C9">
        <w:rPr>
          <w:i/>
          <w:iCs/>
          <w:sz w:val="20"/>
        </w:rPr>
        <w:t>utilis</w:t>
      </w:r>
      <w:proofErr w:type="spellEnd"/>
      <w:r w:rsidRPr="009C67C9">
        <w:rPr>
          <w:sz w:val="20"/>
        </w:rPr>
        <w:t xml:space="preserve">, </w:t>
      </w:r>
      <w:r w:rsidRPr="009C67C9">
        <w:rPr>
          <w:i/>
          <w:iCs/>
          <w:sz w:val="20"/>
        </w:rPr>
        <w:t>C. </w:t>
      </w:r>
      <w:proofErr w:type="spellStart"/>
      <w:r w:rsidRPr="009C67C9">
        <w:rPr>
          <w:i/>
          <w:iCs/>
          <w:sz w:val="20"/>
        </w:rPr>
        <w:t>inconspicua</w:t>
      </w:r>
      <w:proofErr w:type="spellEnd"/>
      <w:r w:rsidRPr="009C67C9">
        <w:rPr>
          <w:sz w:val="20"/>
        </w:rPr>
        <w:t xml:space="preserve"> og </w:t>
      </w:r>
      <w:r w:rsidRPr="009C67C9">
        <w:rPr>
          <w:i/>
          <w:iCs/>
          <w:sz w:val="20"/>
        </w:rPr>
        <w:t>C. </w:t>
      </w:r>
      <w:proofErr w:type="spellStart"/>
      <w:r w:rsidRPr="009C67C9">
        <w:rPr>
          <w:i/>
          <w:iCs/>
          <w:sz w:val="20"/>
        </w:rPr>
        <w:t>dubliniensis</w:t>
      </w:r>
      <w:proofErr w:type="spellEnd"/>
      <w:r w:rsidRPr="009C67C9">
        <w:rPr>
          <w:sz w:val="20"/>
        </w:rPr>
        <w:t>.</w:t>
      </w:r>
    </w:p>
    <w:p w14:paraId="0A43B837" w14:textId="77777777" w:rsidR="00150AB9" w:rsidRPr="006F6EE5" w:rsidRDefault="00150AB9" w:rsidP="00150AB9">
      <w:pPr>
        <w:suppressAutoHyphens/>
        <w:rPr>
          <w:sz w:val="24"/>
          <w:szCs w:val="24"/>
        </w:rPr>
      </w:pPr>
    </w:p>
    <w:p w14:paraId="62FEDAC3" w14:textId="77777777" w:rsidR="00150AB9" w:rsidRPr="006F6EE5" w:rsidRDefault="00150AB9" w:rsidP="006F6EE5">
      <w:pPr>
        <w:suppressAutoHyphens/>
        <w:ind w:left="851"/>
        <w:rPr>
          <w:sz w:val="24"/>
          <w:szCs w:val="24"/>
        </w:rPr>
      </w:pPr>
      <w:proofErr w:type="spellStart"/>
      <w:r w:rsidRPr="006F6EE5">
        <w:rPr>
          <w:i/>
          <w:iCs/>
          <w:sz w:val="24"/>
          <w:szCs w:val="24"/>
        </w:rPr>
        <w:t>Candidiasis</w:t>
      </w:r>
      <w:proofErr w:type="spellEnd"/>
      <w:r w:rsidRPr="006F6EE5">
        <w:rPr>
          <w:i/>
          <w:iCs/>
          <w:sz w:val="24"/>
          <w:szCs w:val="24"/>
        </w:rPr>
        <w:t xml:space="preserve"> i </w:t>
      </w:r>
      <w:proofErr w:type="spellStart"/>
      <w:r w:rsidRPr="006F6EE5">
        <w:rPr>
          <w:i/>
          <w:iCs/>
          <w:sz w:val="24"/>
          <w:szCs w:val="24"/>
        </w:rPr>
        <w:t>øsofagus</w:t>
      </w:r>
      <w:proofErr w:type="spellEnd"/>
      <w:r w:rsidRPr="006F6EE5">
        <w:rPr>
          <w:i/>
          <w:iCs/>
          <w:sz w:val="24"/>
          <w:szCs w:val="24"/>
        </w:rPr>
        <w:t>:</w:t>
      </w:r>
      <w:r w:rsidRPr="006F6EE5">
        <w:rPr>
          <w:sz w:val="24"/>
          <w:szCs w:val="24"/>
        </w:rPr>
        <w:t xml:space="preserve"> I et randomiseret, dobbeltblindet studie med </w:t>
      </w:r>
      <w:proofErr w:type="spellStart"/>
      <w:r w:rsidRPr="006F6EE5">
        <w:rPr>
          <w:sz w:val="24"/>
          <w:szCs w:val="24"/>
        </w:rPr>
        <w:t>micafungin</w:t>
      </w:r>
      <w:proofErr w:type="spellEnd"/>
      <w:r w:rsidRPr="006F6EE5">
        <w:rPr>
          <w:sz w:val="24"/>
          <w:szCs w:val="24"/>
        </w:rPr>
        <w:t xml:space="preserve"> </w:t>
      </w:r>
      <w:r w:rsidRPr="006F6EE5">
        <w:rPr>
          <w:i/>
          <w:iCs/>
          <w:sz w:val="24"/>
          <w:szCs w:val="24"/>
        </w:rPr>
        <w:t>versus</w:t>
      </w:r>
      <w:r w:rsidRPr="006F6EE5">
        <w:rPr>
          <w:sz w:val="24"/>
          <w:szCs w:val="24"/>
        </w:rPr>
        <w:t xml:space="preserve"> </w:t>
      </w:r>
      <w:proofErr w:type="spellStart"/>
      <w:r w:rsidRPr="006F6EE5">
        <w:rPr>
          <w:sz w:val="24"/>
          <w:szCs w:val="24"/>
        </w:rPr>
        <w:t>fluconazol</w:t>
      </w:r>
      <w:proofErr w:type="spellEnd"/>
      <w:r w:rsidRPr="006F6EE5">
        <w:rPr>
          <w:sz w:val="24"/>
          <w:szCs w:val="24"/>
        </w:rPr>
        <w:t xml:space="preserve"> som førstevalgsbehandling af </w:t>
      </w:r>
      <w:proofErr w:type="spellStart"/>
      <w:r w:rsidRPr="006F6EE5">
        <w:rPr>
          <w:sz w:val="24"/>
          <w:szCs w:val="24"/>
        </w:rPr>
        <w:t>candidiasis</w:t>
      </w:r>
      <w:proofErr w:type="spellEnd"/>
      <w:r w:rsidRPr="006F6EE5">
        <w:rPr>
          <w:sz w:val="24"/>
          <w:szCs w:val="24"/>
        </w:rPr>
        <w:t xml:space="preserve"> i </w:t>
      </w:r>
      <w:proofErr w:type="spellStart"/>
      <w:r w:rsidRPr="006F6EE5">
        <w:rPr>
          <w:sz w:val="24"/>
          <w:szCs w:val="24"/>
        </w:rPr>
        <w:t>øsofagus</w:t>
      </w:r>
      <w:proofErr w:type="spellEnd"/>
      <w:r w:rsidRPr="006F6EE5">
        <w:rPr>
          <w:sz w:val="24"/>
          <w:szCs w:val="24"/>
        </w:rPr>
        <w:t xml:space="preserve"> modtog 518 patienter mindst én enkeltdosis studielægemiddel. Den </w:t>
      </w:r>
      <w:proofErr w:type="spellStart"/>
      <w:r w:rsidRPr="006F6EE5">
        <w:rPr>
          <w:sz w:val="24"/>
          <w:szCs w:val="24"/>
        </w:rPr>
        <w:t>mediane</w:t>
      </w:r>
      <w:proofErr w:type="spellEnd"/>
      <w:r w:rsidRPr="006F6EE5">
        <w:rPr>
          <w:sz w:val="24"/>
          <w:szCs w:val="24"/>
        </w:rPr>
        <w:t xml:space="preserve"> behandlingsvarighed var 14 dage, og den </w:t>
      </w:r>
      <w:proofErr w:type="spellStart"/>
      <w:r w:rsidRPr="006F6EE5">
        <w:rPr>
          <w:sz w:val="24"/>
          <w:szCs w:val="24"/>
        </w:rPr>
        <w:t>mediane</w:t>
      </w:r>
      <w:proofErr w:type="spellEnd"/>
      <w:r w:rsidRPr="006F6EE5">
        <w:rPr>
          <w:sz w:val="24"/>
          <w:szCs w:val="24"/>
        </w:rPr>
        <w:t xml:space="preserve"> daglige dosis var 150 mg for </w:t>
      </w:r>
      <w:proofErr w:type="spellStart"/>
      <w:r w:rsidRPr="006F6EE5">
        <w:rPr>
          <w:sz w:val="24"/>
          <w:szCs w:val="24"/>
        </w:rPr>
        <w:t>micafungin</w:t>
      </w:r>
      <w:proofErr w:type="spellEnd"/>
      <w:r w:rsidRPr="006F6EE5">
        <w:rPr>
          <w:sz w:val="24"/>
          <w:szCs w:val="24"/>
        </w:rPr>
        <w:t xml:space="preserve"> (N = 260) og 200 mg for </w:t>
      </w:r>
      <w:proofErr w:type="spellStart"/>
      <w:r w:rsidRPr="006F6EE5">
        <w:rPr>
          <w:sz w:val="24"/>
          <w:szCs w:val="24"/>
        </w:rPr>
        <w:t>fluconazol</w:t>
      </w:r>
      <w:proofErr w:type="spellEnd"/>
      <w:r w:rsidRPr="006F6EE5">
        <w:rPr>
          <w:sz w:val="24"/>
          <w:szCs w:val="24"/>
        </w:rPr>
        <w:t xml:space="preserve"> (N = 258). En </w:t>
      </w:r>
      <w:proofErr w:type="spellStart"/>
      <w:r w:rsidRPr="006F6EE5">
        <w:rPr>
          <w:sz w:val="24"/>
          <w:szCs w:val="24"/>
        </w:rPr>
        <w:t>endoskopisk</w:t>
      </w:r>
      <w:proofErr w:type="spellEnd"/>
      <w:r w:rsidRPr="006F6EE5">
        <w:rPr>
          <w:sz w:val="24"/>
          <w:szCs w:val="24"/>
        </w:rPr>
        <w:t xml:space="preserve"> grad på 0 (</w:t>
      </w:r>
      <w:proofErr w:type="spellStart"/>
      <w:r w:rsidRPr="006F6EE5">
        <w:rPr>
          <w:sz w:val="24"/>
          <w:szCs w:val="24"/>
        </w:rPr>
        <w:t>endoskopisk</w:t>
      </w:r>
      <w:proofErr w:type="spellEnd"/>
      <w:r w:rsidRPr="006F6EE5">
        <w:rPr>
          <w:sz w:val="24"/>
          <w:szCs w:val="24"/>
        </w:rPr>
        <w:t xml:space="preserve"> heling) ved slutningen af behandlingen blev observeret hos 87,7 % (228/260) og 88,0 % (227/258) af patienterne i henholdsvis </w:t>
      </w:r>
      <w:proofErr w:type="spellStart"/>
      <w:r w:rsidRPr="006F6EE5">
        <w:rPr>
          <w:sz w:val="24"/>
          <w:szCs w:val="24"/>
        </w:rPr>
        <w:t>micafungin</w:t>
      </w:r>
      <w:proofErr w:type="spellEnd"/>
      <w:r w:rsidRPr="006F6EE5">
        <w:rPr>
          <w:sz w:val="24"/>
          <w:szCs w:val="24"/>
        </w:rPr>
        <w:noBreakHyphen/>
        <w:t xml:space="preserve"> og </w:t>
      </w:r>
      <w:proofErr w:type="spellStart"/>
      <w:r w:rsidRPr="006F6EE5">
        <w:rPr>
          <w:sz w:val="24"/>
          <w:szCs w:val="24"/>
        </w:rPr>
        <w:t>fluconazol</w:t>
      </w:r>
      <w:proofErr w:type="spellEnd"/>
      <w:r w:rsidRPr="006F6EE5">
        <w:rPr>
          <w:sz w:val="24"/>
          <w:szCs w:val="24"/>
        </w:rPr>
        <w:noBreakHyphen/>
        <w:t>grupperne (95 % KI for forskellen: [</w:t>
      </w:r>
      <w:r w:rsidRPr="006F6EE5">
        <w:rPr>
          <w:sz w:val="24"/>
          <w:szCs w:val="24"/>
        </w:rPr>
        <w:noBreakHyphen/>
        <w:t>5,9 %; 5,3 %]). Den nedre grænse for konfidensintervallet på 95 % lå over den prædefinerede non</w:t>
      </w:r>
      <w:r w:rsidRPr="006F6EE5">
        <w:rPr>
          <w:sz w:val="24"/>
          <w:szCs w:val="24"/>
        </w:rPr>
        <w:noBreakHyphen/>
        <w:t xml:space="preserve">inferioritetsmargin på </w:t>
      </w:r>
      <w:r w:rsidRPr="006F6EE5">
        <w:rPr>
          <w:sz w:val="24"/>
          <w:szCs w:val="24"/>
        </w:rPr>
        <w:noBreakHyphen/>
        <w:t>10 %, og viste derfor non-inferioritet. Typen og forekomsten af bivirkningerne var ens for de to behandlingsgrupper.</w:t>
      </w:r>
    </w:p>
    <w:p w14:paraId="661B614D" w14:textId="77777777" w:rsidR="00150AB9" w:rsidRPr="006F6EE5" w:rsidRDefault="00150AB9" w:rsidP="006F6EE5">
      <w:pPr>
        <w:suppressAutoHyphens/>
        <w:ind w:left="851"/>
        <w:rPr>
          <w:sz w:val="24"/>
          <w:szCs w:val="24"/>
        </w:rPr>
      </w:pPr>
    </w:p>
    <w:p w14:paraId="4370A77B" w14:textId="77777777" w:rsidR="00150AB9" w:rsidRPr="006F6EE5" w:rsidRDefault="00150AB9" w:rsidP="006F6EE5">
      <w:pPr>
        <w:suppressAutoHyphens/>
        <w:ind w:left="851"/>
        <w:rPr>
          <w:sz w:val="24"/>
          <w:szCs w:val="24"/>
        </w:rPr>
      </w:pPr>
      <w:r w:rsidRPr="006F6EE5">
        <w:rPr>
          <w:i/>
          <w:iCs/>
          <w:sz w:val="24"/>
          <w:szCs w:val="24"/>
        </w:rPr>
        <w:t>Profylakse:</w:t>
      </w:r>
      <w:r w:rsidRPr="006F6EE5">
        <w:rPr>
          <w:sz w:val="24"/>
          <w:szCs w:val="24"/>
        </w:rPr>
        <w:t xml:space="preserve"> </w:t>
      </w:r>
      <w:proofErr w:type="spellStart"/>
      <w:r w:rsidRPr="006F6EE5">
        <w:rPr>
          <w:sz w:val="24"/>
          <w:szCs w:val="24"/>
        </w:rPr>
        <w:t>Micafungin</w:t>
      </w:r>
      <w:proofErr w:type="spellEnd"/>
      <w:r w:rsidRPr="006F6EE5">
        <w:rPr>
          <w:sz w:val="24"/>
          <w:szCs w:val="24"/>
        </w:rPr>
        <w:t xml:space="preserve"> var mere effektiv end </w:t>
      </w:r>
      <w:proofErr w:type="spellStart"/>
      <w:r w:rsidRPr="006F6EE5">
        <w:rPr>
          <w:sz w:val="24"/>
          <w:szCs w:val="24"/>
        </w:rPr>
        <w:t>fluconazol</w:t>
      </w:r>
      <w:proofErr w:type="spellEnd"/>
      <w:r w:rsidRPr="006F6EE5">
        <w:rPr>
          <w:sz w:val="24"/>
          <w:szCs w:val="24"/>
        </w:rPr>
        <w:t xml:space="preserve"> til at forhindre invasive svampeinfektioner i en patientgruppe med højere risiko for at udvikle en systemisk svampeinfektion (patienter der gennemgår en </w:t>
      </w:r>
      <w:proofErr w:type="spellStart"/>
      <w:r w:rsidRPr="006F6EE5">
        <w:rPr>
          <w:sz w:val="24"/>
          <w:szCs w:val="24"/>
        </w:rPr>
        <w:t>hæmatopoietisk</w:t>
      </w:r>
      <w:proofErr w:type="spellEnd"/>
      <w:r w:rsidRPr="006F6EE5">
        <w:rPr>
          <w:sz w:val="24"/>
          <w:szCs w:val="24"/>
        </w:rPr>
        <w:t xml:space="preserve"> stamcelletransplantation [HSCT] i et randomiseret, dobbeltblindet multicenterstudie).</w:t>
      </w:r>
    </w:p>
    <w:p w14:paraId="53D5F1B9" w14:textId="77777777" w:rsidR="00150AB9" w:rsidRPr="006F6EE5" w:rsidRDefault="00150AB9" w:rsidP="006F6EE5">
      <w:pPr>
        <w:suppressAutoHyphens/>
        <w:ind w:left="851"/>
        <w:rPr>
          <w:sz w:val="24"/>
          <w:szCs w:val="24"/>
        </w:rPr>
      </w:pPr>
      <w:r w:rsidRPr="006F6EE5">
        <w:rPr>
          <w:sz w:val="24"/>
          <w:szCs w:val="24"/>
        </w:rPr>
        <w:t xml:space="preserve">Behandlingssucces blev defineret som ingen påvist, mulig eller mistænkt systemisk svampeinfektion ved slutningen af behandlingen og ingen påvist, mulig eller mistænkt systemisk svampeinfektion ved slutningen af studiet. De fleste patienter (97 %, N = 882) havde </w:t>
      </w:r>
      <w:proofErr w:type="spellStart"/>
      <w:r w:rsidRPr="006F6EE5">
        <w:rPr>
          <w:sz w:val="24"/>
          <w:szCs w:val="24"/>
        </w:rPr>
        <w:t>neutropeni</w:t>
      </w:r>
      <w:proofErr w:type="spellEnd"/>
      <w:r w:rsidRPr="006F6EE5">
        <w:rPr>
          <w:sz w:val="24"/>
          <w:szCs w:val="24"/>
        </w:rPr>
        <w:t xml:space="preserve"> ved </w:t>
      </w:r>
      <w:r w:rsidRPr="006F6EE5">
        <w:rPr>
          <w:i/>
          <w:iCs/>
          <w:sz w:val="24"/>
          <w:szCs w:val="24"/>
        </w:rPr>
        <w:t>baseline</w:t>
      </w:r>
      <w:r w:rsidRPr="006F6EE5">
        <w:rPr>
          <w:sz w:val="24"/>
          <w:szCs w:val="24"/>
        </w:rPr>
        <w:t xml:space="preserve"> (&lt; 200 /</w:t>
      </w:r>
      <w:proofErr w:type="spellStart"/>
      <w:r w:rsidRPr="006F6EE5">
        <w:rPr>
          <w:sz w:val="24"/>
          <w:szCs w:val="24"/>
        </w:rPr>
        <w:t>neutrofile</w:t>
      </w:r>
      <w:proofErr w:type="spellEnd"/>
      <w:r w:rsidRPr="006F6EE5">
        <w:rPr>
          <w:sz w:val="24"/>
          <w:szCs w:val="24"/>
        </w:rPr>
        <w:t xml:space="preserve"> granulocytter/</w:t>
      </w:r>
      <w:proofErr w:type="spellStart"/>
      <w:r w:rsidRPr="006F6EE5">
        <w:rPr>
          <w:sz w:val="24"/>
          <w:szCs w:val="24"/>
        </w:rPr>
        <w:t>μl</w:t>
      </w:r>
      <w:proofErr w:type="spellEnd"/>
      <w:r w:rsidRPr="006F6EE5">
        <w:rPr>
          <w:sz w:val="24"/>
          <w:szCs w:val="24"/>
        </w:rPr>
        <w:t xml:space="preserve">). </w:t>
      </w:r>
      <w:proofErr w:type="spellStart"/>
      <w:r w:rsidRPr="006F6EE5">
        <w:rPr>
          <w:sz w:val="24"/>
          <w:szCs w:val="24"/>
        </w:rPr>
        <w:t>Neutropeni</w:t>
      </w:r>
      <w:proofErr w:type="spellEnd"/>
      <w:r w:rsidRPr="006F6EE5">
        <w:rPr>
          <w:sz w:val="24"/>
          <w:szCs w:val="24"/>
        </w:rPr>
        <w:t xml:space="preserve"> varede i gennemsnit 13 dage. Der var en fast daglig dosis på 50 mg (1,0 mg/kg) med </w:t>
      </w:r>
      <w:proofErr w:type="spellStart"/>
      <w:r w:rsidRPr="006F6EE5">
        <w:rPr>
          <w:sz w:val="24"/>
          <w:szCs w:val="24"/>
        </w:rPr>
        <w:t>micafungin</w:t>
      </w:r>
      <w:proofErr w:type="spellEnd"/>
      <w:r w:rsidRPr="006F6EE5">
        <w:rPr>
          <w:sz w:val="24"/>
          <w:szCs w:val="24"/>
        </w:rPr>
        <w:t xml:space="preserve"> og 400 mg (8 mg/kg) med </w:t>
      </w:r>
      <w:proofErr w:type="spellStart"/>
      <w:r w:rsidRPr="006F6EE5">
        <w:rPr>
          <w:sz w:val="24"/>
          <w:szCs w:val="24"/>
        </w:rPr>
        <w:t>fluconazol</w:t>
      </w:r>
      <w:proofErr w:type="spellEnd"/>
      <w:r w:rsidRPr="006F6EE5">
        <w:rPr>
          <w:sz w:val="24"/>
          <w:szCs w:val="24"/>
        </w:rPr>
        <w:t xml:space="preserve">. Den gennemsnitlige behandlingsperiode var 19 dage for </w:t>
      </w:r>
      <w:proofErr w:type="spellStart"/>
      <w:r w:rsidRPr="006F6EE5">
        <w:rPr>
          <w:sz w:val="24"/>
          <w:szCs w:val="24"/>
        </w:rPr>
        <w:t>micafungin</w:t>
      </w:r>
      <w:proofErr w:type="spellEnd"/>
      <w:r w:rsidRPr="006F6EE5">
        <w:rPr>
          <w:sz w:val="24"/>
          <w:szCs w:val="24"/>
        </w:rPr>
        <w:t xml:space="preserve"> og 18 dage for </w:t>
      </w:r>
      <w:proofErr w:type="spellStart"/>
      <w:r w:rsidRPr="006F6EE5">
        <w:rPr>
          <w:sz w:val="24"/>
          <w:szCs w:val="24"/>
        </w:rPr>
        <w:t>fluconazol</w:t>
      </w:r>
      <w:proofErr w:type="spellEnd"/>
      <w:r w:rsidRPr="006F6EE5">
        <w:rPr>
          <w:sz w:val="24"/>
          <w:szCs w:val="24"/>
        </w:rPr>
        <w:t xml:space="preserve"> i den voksne population (N = 798), og 23 dage for begge behandlingsarme i den pædiatriske population (N = 84).</w:t>
      </w:r>
    </w:p>
    <w:p w14:paraId="51A73074" w14:textId="37769D38" w:rsidR="00150AB9" w:rsidRPr="006F6EE5" w:rsidRDefault="00150AB9" w:rsidP="006F6EE5">
      <w:pPr>
        <w:suppressAutoHyphens/>
        <w:ind w:left="851"/>
        <w:rPr>
          <w:sz w:val="24"/>
          <w:szCs w:val="24"/>
        </w:rPr>
      </w:pPr>
      <w:r w:rsidRPr="006F6EE5">
        <w:rPr>
          <w:sz w:val="24"/>
          <w:szCs w:val="24"/>
        </w:rPr>
        <w:t xml:space="preserve">Behandlingssucces var signifikant højere for </w:t>
      </w:r>
      <w:proofErr w:type="spellStart"/>
      <w:r w:rsidRPr="006F6EE5">
        <w:rPr>
          <w:sz w:val="24"/>
          <w:szCs w:val="24"/>
        </w:rPr>
        <w:t>micafungin</w:t>
      </w:r>
      <w:proofErr w:type="spellEnd"/>
      <w:r w:rsidRPr="006F6EE5">
        <w:rPr>
          <w:sz w:val="24"/>
          <w:szCs w:val="24"/>
        </w:rPr>
        <w:t xml:space="preserve"> end for </w:t>
      </w:r>
      <w:proofErr w:type="spellStart"/>
      <w:r w:rsidRPr="006F6EE5">
        <w:rPr>
          <w:sz w:val="24"/>
          <w:szCs w:val="24"/>
        </w:rPr>
        <w:t>fluconazol</w:t>
      </w:r>
      <w:proofErr w:type="spellEnd"/>
      <w:r w:rsidRPr="006F6EE5">
        <w:rPr>
          <w:sz w:val="24"/>
          <w:szCs w:val="24"/>
        </w:rPr>
        <w:t xml:space="preserve"> (1,6</w:t>
      </w:r>
      <w:r w:rsidR="00F852AA">
        <w:rPr>
          <w:sz w:val="24"/>
          <w:szCs w:val="24"/>
        </w:rPr>
        <w:t xml:space="preserve"> </w:t>
      </w:r>
      <w:r w:rsidRPr="006F6EE5">
        <w:rPr>
          <w:sz w:val="24"/>
          <w:szCs w:val="24"/>
        </w:rPr>
        <w:t xml:space="preserve">% </w:t>
      </w:r>
      <w:r w:rsidRPr="006F6EE5">
        <w:rPr>
          <w:i/>
          <w:iCs/>
          <w:sz w:val="24"/>
          <w:szCs w:val="24"/>
        </w:rPr>
        <w:t>versus</w:t>
      </w:r>
      <w:r w:rsidRPr="006F6EE5">
        <w:rPr>
          <w:sz w:val="24"/>
          <w:szCs w:val="24"/>
        </w:rPr>
        <w:t xml:space="preserve"> 2,4 % påviste infektioner). Påviste </w:t>
      </w:r>
      <w:r w:rsidRPr="006F6EE5">
        <w:rPr>
          <w:i/>
          <w:iCs/>
          <w:sz w:val="24"/>
          <w:szCs w:val="24"/>
        </w:rPr>
        <w:t>Aspergillus</w:t>
      </w:r>
      <w:r w:rsidRPr="006F6EE5">
        <w:rPr>
          <w:sz w:val="24"/>
          <w:szCs w:val="24"/>
        </w:rPr>
        <w:t xml:space="preserve">-infektioner blev observeret hos 1 </w:t>
      </w:r>
      <w:r w:rsidRPr="006F6EE5">
        <w:rPr>
          <w:i/>
          <w:iCs/>
          <w:sz w:val="24"/>
          <w:szCs w:val="24"/>
        </w:rPr>
        <w:t>versus</w:t>
      </w:r>
      <w:r w:rsidRPr="006F6EE5">
        <w:rPr>
          <w:sz w:val="24"/>
          <w:szCs w:val="24"/>
        </w:rPr>
        <w:t xml:space="preserve"> 7 patienter og påvist, eller mulig udvikling af </w:t>
      </w:r>
      <w:proofErr w:type="spellStart"/>
      <w:r w:rsidRPr="006F6EE5">
        <w:rPr>
          <w:i/>
          <w:iCs/>
          <w:sz w:val="24"/>
          <w:szCs w:val="24"/>
        </w:rPr>
        <w:t>Candida</w:t>
      </w:r>
      <w:proofErr w:type="spellEnd"/>
      <w:r w:rsidRPr="006F6EE5">
        <w:rPr>
          <w:sz w:val="24"/>
          <w:szCs w:val="24"/>
        </w:rPr>
        <w:t xml:space="preserve">-infektioner blev observeret hos henholdsvis 4 </w:t>
      </w:r>
      <w:r w:rsidRPr="006F6EE5">
        <w:rPr>
          <w:i/>
          <w:iCs/>
          <w:sz w:val="24"/>
          <w:szCs w:val="24"/>
        </w:rPr>
        <w:t>versus</w:t>
      </w:r>
      <w:r w:rsidRPr="006F6EE5">
        <w:rPr>
          <w:sz w:val="24"/>
          <w:szCs w:val="24"/>
        </w:rPr>
        <w:t xml:space="preserve"> 2patienter i </w:t>
      </w:r>
      <w:proofErr w:type="spellStart"/>
      <w:r w:rsidRPr="006F6EE5">
        <w:rPr>
          <w:sz w:val="24"/>
          <w:szCs w:val="24"/>
        </w:rPr>
        <w:t>micafungin</w:t>
      </w:r>
      <w:proofErr w:type="spellEnd"/>
      <w:r w:rsidRPr="006F6EE5">
        <w:rPr>
          <w:sz w:val="24"/>
          <w:szCs w:val="24"/>
        </w:rPr>
        <w:t xml:space="preserve">- og </w:t>
      </w:r>
      <w:proofErr w:type="spellStart"/>
      <w:r w:rsidRPr="006F6EE5">
        <w:rPr>
          <w:sz w:val="24"/>
          <w:szCs w:val="24"/>
        </w:rPr>
        <w:t>fluconazol</w:t>
      </w:r>
      <w:proofErr w:type="spellEnd"/>
      <w:r w:rsidRPr="006F6EE5">
        <w:rPr>
          <w:sz w:val="24"/>
          <w:szCs w:val="24"/>
        </w:rPr>
        <w:t xml:space="preserve">-grupperne. Andre påviste infektioner var forårsaget af </w:t>
      </w:r>
      <w:proofErr w:type="spellStart"/>
      <w:r w:rsidRPr="006F6EE5">
        <w:rPr>
          <w:i/>
          <w:iCs/>
          <w:sz w:val="24"/>
          <w:szCs w:val="24"/>
        </w:rPr>
        <w:t>Fusarium</w:t>
      </w:r>
      <w:proofErr w:type="spellEnd"/>
      <w:r w:rsidRPr="006F6EE5">
        <w:rPr>
          <w:sz w:val="24"/>
          <w:szCs w:val="24"/>
        </w:rPr>
        <w:t xml:space="preserve"> (henholdsvis 1 og 2 patienter) og </w:t>
      </w:r>
      <w:proofErr w:type="spellStart"/>
      <w:r w:rsidRPr="006F6EE5">
        <w:rPr>
          <w:i/>
          <w:iCs/>
          <w:sz w:val="24"/>
          <w:szCs w:val="24"/>
        </w:rPr>
        <w:t>Zygomycetes</w:t>
      </w:r>
      <w:proofErr w:type="spellEnd"/>
      <w:r w:rsidRPr="006F6EE5">
        <w:rPr>
          <w:sz w:val="24"/>
          <w:szCs w:val="24"/>
        </w:rPr>
        <w:t xml:space="preserve"> (henholdsvis 1 og 0</w:t>
      </w:r>
      <w:r w:rsidR="00F852AA">
        <w:rPr>
          <w:sz w:val="24"/>
          <w:szCs w:val="24"/>
        </w:rPr>
        <w:t xml:space="preserve"> </w:t>
      </w:r>
      <w:r w:rsidRPr="006F6EE5">
        <w:rPr>
          <w:sz w:val="24"/>
          <w:szCs w:val="24"/>
        </w:rPr>
        <w:t>patienter). Type og forekomst af bivirkninger var ens for behandlingsgrupperne.</w:t>
      </w:r>
    </w:p>
    <w:p w14:paraId="3B11BD63" w14:textId="77777777" w:rsidR="009260DE" w:rsidRPr="006F6EE5" w:rsidRDefault="009260DE" w:rsidP="009260DE">
      <w:pPr>
        <w:tabs>
          <w:tab w:val="left" w:pos="851"/>
        </w:tabs>
        <w:ind w:left="851"/>
        <w:rPr>
          <w:sz w:val="24"/>
          <w:szCs w:val="24"/>
        </w:rPr>
      </w:pPr>
    </w:p>
    <w:p w14:paraId="329B5476" w14:textId="77777777" w:rsidR="009260DE" w:rsidRPr="006F6EE5" w:rsidRDefault="009260DE" w:rsidP="009260DE">
      <w:pPr>
        <w:tabs>
          <w:tab w:val="left" w:pos="851"/>
        </w:tabs>
        <w:ind w:left="851" w:hanging="851"/>
        <w:rPr>
          <w:b/>
          <w:sz w:val="24"/>
          <w:szCs w:val="24"/>
        </w:rPr>
      </w:pPr>
      <w:r w:rsidRPr="006F6EE5">
        <w:rPr>
          <w:b/>
          <w:sz w:val="24"/>
          <w:szCs w:val="24"/>
        </w:rPr>
        <w:t>5.2</w:t>
      </w:r>
      <w:r w:rsidRPr="006F6EE5">
        <w:rPr>
          <w:b/>
          <w:sz w:val="24"/>
          <w:szCs w:val="24"/>
        </w:rPr>
        <w:tab/>
      </w:r>
      <w:proofErr w:type="spellStart"/>
      <w:r w:rsidRPr="006F6EE5">
        <w:rPr>
          <w:b/>
          <w:sz w:val="24"/>
          <w:szCs w:val="24"/>
        </w:rPr>
        <w:t>Farmakokinetiske</w:t>
      </w:r>
      <w:proofErr w:type="spellEnd"/>
      <w:r w:rsidRPr="006F6EE5">
        <w:rPr>
          <w:b/>
          <w:sz w:val="24"/>
          <w:szCs w:val="24"/>
        </w:rPr>
        <w:t xml:space="preserve"> egenskaber</w:t>
      </w:r>
    </w:p>
    <w:p w14:paraId="5AF0DDFC" w14:textId="77777777" w:rsidR="009C67C9" w:rsidRDefault="009C67C9" w:rsidP="006F6EE5">
      <w:pPr>
        <w:ind w:left="851"/>
        <w:rPr>
          <w:sz w:val="24"/>
          <w:szCs w:val="24"/>
        </w:rPr>
      </w:pPr>
    </w:p>
    <w:p w14:paraId="0A905849" w14:textId="3C105DF2" w:rsidR="00150AB9" w:rsidRPr="009C67C9" w:rsidRDefault="00150AB9" w:rsidP="006F6EE5">
      <w:pPr>
        <w:ind w:left="851"/>
        <w:rPr>
          <w:sz w:val="24"/>
          <w:szCs w:val="24"/>
          <w:u w:val="single"/>
        </w:rPr>
      </w:pPr>
      <w:r w:rsidRPr="009C67C9">
        <w:rPr>
          <w:sz w:val="24"/>
          <w:szCs w:val="24"/>
          <w:u w:val="single"/>
        </w:rPr>
        <w:t>Absorption</w:t>
      </w:r>
    </w:p>
    <w:p w14:paraId="5E97B206" w14:textId="77777777" w:rsidR="00150AB9" w:rsidRPr="006F6EE5" w:rsidRDefault="00150AB9" w:rsidP="006F6EE5">
      <w:pPr>
        <w:ind w:left="851"/>
        <w:rPr>
          <w:sz w:val="24"/>
          <w:szCs w:val="24"/>
        </w:rPr>
      </w:pPr>
    </w:p>
    <w:p w14:paraId="7C957149" w14:textId="77777777" w:rsidR="00150AB9" w:rsidRPr="006F6EE5" w:rsidRDefault="00150AB9" w:rsidP="006F6EE5">
      <w:pPr>
        <w:ind w:left="851"/>
        <w:rPr>
          <w:sz w:val="24"/>
          <w:szCs w:val="24"/>
        </w:rPr>
      </w:pPr>
      <w:proofErr w:type="spellStart"/>
      <w:r w:rsidRPr="006F6EE5">
        <w:rPr>
          <w:sz w:val="24"/>
          <w:szCs w:val="24"/>
        </w:rPr>
        <w:t>Micafungins</w:t>
      </w:r>
      <w:proofErr w:type="spellEnd"/>
      <w:r w:rsidRPr="006F6EE5">
        <w:rPr>
          <w:sz w:val="24"/>
          <w:szCs w:val="24"/>
        </w:rPr>
        <w:t xml:space="preserve"> farmakokinetik er lineær over et dagligt dosisinterval på 12,5</w:t>
      </w:r>
      <w:r w:rsidRPr="006F6EE5">
        <w:rPr>
          <w:sz w:val="24"/>
          <w:szCs w:val="24"/>
        </w:rPr>
        <w:noBreakHyphen/>
        <w:t>200 mg og 3</w:t>
      </w:r>
      <w:r w:rsidRPr="006F6EE5">
        <w:rPr>
          <w:sz w:val="24"/>
          <w:szCs w:val="24"/>
        </w:rPr>
        <w:noBreakHyphen/>
        <w:t xml:space="preserve">8 mg/kg. Ved gentagen administration ses ingen tegn på systemisk akkumulering, og </w:t>
      </w:r>
      <w:proofErr w:type="spellStart"/>
      <w:r w:rsidRPr="006F6EE5">
        <w:rPr>
          <w:i/>
          <w:sz w:val="24"/>
          <w:szCs w:val="24"/>
        </w:rPr>
        <w:t>steady</w:t>
      </w:r>
      <w:proofErr w:type="spellEnd"/>
      <w:r w:rsidRPr="006F6EE5">
        <w:rPr>
          <w:i/>
          <w:sz w:val="24"/>
          <w:szCs w:val="24"/>
        </w:rPr>
        <w:t xml:space="preserve"> </w:t>
      </w:r>
      <w:proofErr w:type="spellStart"/>
      <w:r w:rsidRPr="006F6EE5">
        <w:rPr>
          <w:i/>
          <w:sz w:val="24"/>
          <w:szCs w:val="24"/>
        </w:rPr>
        <w:t>state</w:t>
      </w:r>
      <w:proofErr w:type="spellEnd"/>
      <w:r w:rsidRPr="006F6EE5">
        <w:rPr>
          <w:i/>
          <w:sz w:val="24"/>
          <w:szCs w:val="24"/>
        </w:rPr>
        <w:t xml:space="preserve"> </w:t>
      </w:r>
      <w:r w:rsidRPr="006F6EE5">
        <w:rPr>
          <w:sz w:val="24"/>
          <w:szCs w:val="24"/>
        </w:rPr>
        <w:t>nås sædvanligvis inden for 4</w:t>
      </w:r>
      <w:r w:rsidRPr="006F6EE5">
        <w:rPr>
          <w:sz w:val="24"/>
          <w:szCs w:val="24"/>
        </w:rPr>
        <w:noBreakHyphen/>
        <w:t>5 dage.</w:t>
      </w:r>
    </w:p>
    <w:p w14:paraId="0C27E6F2" w14:textId="77777777" w:rsidR="00150AB9" w:rsidRPr="006F6EE5" w:rsidRDefault="00150AB9" w:rsidP="006F6EE5">
      <w:pPr>
        <w:ind w:left="851"/>
        <w:rPr>
          <w:sz w:val="24"/>
          <w:szCs w:val="24"/>
        </w:rPr>
      </w:pPr>
    </w:p>
    <w:p w14:paraId="71D39B44" w14:textId="77777777" w:rsidR="00150AB9" w:rsidRPr="009C67C9" w:rsidRDefault="00150AB9" w:rsidP="006F6EE5">
      <w:pPr>
        <w:ind w:left="851"/>
        <w:rPr>
          <w:sz w:val="24"/>
          <w:szCs w:val="24"/>
          <w:u w:val="single"/>
        </w:rPr>
      </w:pPr>
      <w:r w:rsidRPr="009C67C9">
        <w:rPr>
          <w:sz w:val="24"/>
          <w:szCs w:val="24"/>
          <w:u w:val="single"/>
        </w:rPr>
        <w:t>Fordeling</w:t>
      </w:r>
    </w:p>
    <w:p w14:paraId="5DF8793C" w14:textId="77777777" w:rsidR="00150AB9" w:rsidRPr="006F6EE5" w:rsidRDefault="00150AB9" w:rsidP="006F6EE5">
      <w:pPr>
        <w:ind w:left="851"/>
        <w:rPr>
          <w:sz w:val="24"/>
          <w:szCs w:val="24"/>
        </w:rPr>
      </w:pPr>
    </w:p>
    <w:p w14:paraId="204FE49D" w14:textId="77777777" w:rsidR="00150AB9" w:rsidRPr="006F6EE5" w:rsidRDefault="00150AB9" w:rsidP="006F6EE5">
      <w:pPr>
        <w:ind w:left="851"/>
        <w:rPr>
          <w:sz w:val="24"/>
          <w:szCs w:val="24"/>
        </w:rPr>
      </w:pPr>
      <w:r w:rsidRPr="006F6EE5">
        <w:rPr>
          <w:sz w:val="24"/>
          <w:szCs w:val="24"/>
        </w:rPr>
        <w:t xml:space="preserve">Efter intravenøs administration mindskes koncentrationer af </w:t>
      </w:r>
      <w:proofErr w:type="spellStart"/>
      <w:r w:rsidRPr="006F6EE5">
        <w:rPr>
          <w:sz w:val="24"/>
          <w:szCs w:val="24"/>
        </w:rPr>
        <w:t>micafungin</w:t>
      </w:r>
      <w:proofErr w:type="spellEnd"/>
      <w:r w:rsidRPr="006F6EE5">
        <w:rPr>
          <w:sz w:val="24"/>
          <w:szCs w:val="24"/>
        </w:rPr>
        <w:t xml:space="preserve"> </w:t>
      </w:r>
      <w:proofErr w:type="spellStart"/>
      <w:r w:rsidRPr="006F6EE5">
        <w:rPr>
          <w:sz w:val="24"/>
          <w:szCs w:val="24"/>
        </w:rPr>
        <w:t>bieksponentielt</w:t>
      </w:r>
      <w:proofErr w:type="spellEnd"/>
      <w:r w:rsidRPr="006F6EE5">
        <w:rPr>
          <w:sz w:val="24"/>
          <w:szCs w:val="24"/>
        </w:rPr>
        <w:t>. Lægemidlet fordeles hurtigt i vævene.</w:t>
      </w:r>
    </w:p>
    <w:p w14:paraId="34023181" w14:textId="77777777" w:rsidR="00150AB9" w:rsidRPr="006F6EE5" w:rsidRDefault="00150AB9" w:rsidP="006F6EE5">
      <w:pPr>
        <w:ind w:left="851"/>
        <w:rPr>
          <w:sz w:val="24"/>
          <w:szCs w:val="24"/>
        </w:rPr>
      </w:pPr>
      <w:r w:rsidRPr="006F6EE5">
        <w:rPr>
          <w:sz w:val="24"/>
          <w:szCs w:val="24"/>
        </w:rPr>
        <w:t xml:space="preserve">I systemisk cirkulation er </w:t>
      </w:r>
      <w:proofErr w:type="spellStart"/>
      <w:r w:rsidRPr="006F6EE5">
        <w:rPr>
          <w:sz w:val="24"/>
          <w:szCs w:val="24"/>
        </w:rPr>
        <w:t>micafungin</w:t>
      </w:r>
      <w:proofErr w:type="spellEnd"/>
      <w:r w:rsidRPr="006F6EE5">
        <w:rPr>
          <w:sz w:val="24"/>
          <w:szCs w:val="24"/>
        </w:rPr>
        <w:t xml:space="preserve"> ekstensivt bundet til plasmaprotein (&gt; 99 %), primært til albumin. Bindingen til albumin er uafhængig af koncentrationen af </w:t>
      </w:r>
      <w:proofErr w:type="spellStart"/>
      <w:r w:rsidRPr="006F6EE5">
        <w:rPr>
          <w:sz w:val="24"/>
          <w:szCs w:val="24"/>
        </w:rPr>
        <w:t>micafungin</w:t>
      </w:r>
      <w:proofErr w:type="spellEnd"/>
      <w:r w:rsidRPr="006F6EE5">
        <w:rPr>
          <w:sz w:val="24"/>
          <w:szCs w:val="24"/>
        </w:rPr>
        <w:t xml:space="preserve"> (10</w:t>
      </w:r>
      <w:r w:rsidRPr="006F6EE5">
        <w:rPr>
          <w:sz w:val="24"/>
          <w:szCs w:val="24"/>
        </w:rPr>
        <w:noBreakHyphen/>
        <w:t>100 </w:t>
      </w:r>
      <w:proofErr w:type="spellStart"/>
      <w:r w:rsidRPr="006F6EE5">
        <w:rPr>
          <w:sz w:val="24"/>
          <w:szCs w:val="24"/>
        </w:rPr>
        <w:t>μg</w:t>
      </w:r>
      <w:proofErr w:type="spellEnd"/>
      <w:r w:rsidRPr="006F6EE5">
        <w:rPr>
          <w:sz w:val="24"/>
          <w:szCs w:val="24"/>
        </w:rPr>
        <w:t>/ml).</w:t>
      </w:r>
    </w:p>
    <w:p w14:paraId="5331ECDE" w14:textId="77777777" w:rsidR="00150AB9" w:rsidRPr="006F6EE5" w:rsidRDefault="00150AB9" w:rsidP="006F6EE5">
      <w:pPr>
        <w:ind w:left="851"/>
        <w:rPr>
          <w:sz w:val="24"/>
          <w:szCs w:val="24"/>
        </w:rPr>
      </w:pPr>
      <w:r w:rsidRPr="006F6EE5">
        <w:rPr>
          <w:sz w:val="24"/>
          <w:szCs w:val="24"/>
        </w:rPr>
        <w:t xml:space="preserve">Fordelingsvolumen ved </w:t>
      </w:r>
      <w:proofErr w:type="spellStart"/>
      <w:r w:rsidRPr="006F6EE5">
        <w:rPr>
          <w:i/>
          <w:sz w:val="24"/>
          <w:szCs w:val="24"/>
        </w:rPr>
        <w:t>steady</w:t>
      </w:r>
      <w:proofErr w:type="spellEnd"/>
      <w:r w:rsidRPr="006F6EE5">
        <w:rPr>
          <w:i/>
          <w:sz w:val="24"/>
          <w:szCs w:val="24"/>
        </w:rPr>
        <w:t xml:space="preserve"> </w:t>
      </w:r>
      <w:proofErr w:type="spellStart"/>
      <w:r w:rsidRPr="006F6EE5">
        <w:rPr>
          <w:i/>
          <w:sz w:val="24"/>
          <w:szCs w:val="24"/>
        </w:rPr>
        <w:t>state</w:t>
      </w:r>
      <w:proofErr w:type="spellEnd"/>
      <w:r w:rsidRPr="006F6EE5">
        <w:rPr>
          <w:i/>
          <w:sz w:val="24"/>
          <w:szCs w:val="24"/>
        </w:rPr>
        <w:t xml:space="preserve"> </w:t>
      </w:r>
      <w:r w:rsidRPr="006F6EE5">
        <w:rPr>
          <w:sz w:val="24"/>
          <w:szCs w:val="24"/>
        </w:rPr>
        <w:t>(</w:t>
      </w:r>
      <w:proofErr w:type="spellStart"/>
      <w:r w:rsidRPr="006F6EE5">
        <w:rPr>
          <w:sz w:val="24"/>
          <w:szCs w:val="24"/>
        </w:rPr>
        <w:t>Vss</w:t>
      </w:r>
      <w:proofErr w:type="spellEnd"/>
      <w:r w:rsidRPr="006F6EE5">
        <w:rPr>
          <w:sz w:val="24"/>
          <w:szCs w:val="24"/>
        </w:rPr>
        <w:t>) var ca. 18</w:t>
      </w:r>
      <w:r w:rsidRPr="006F6EE5">
        <w:rPr>
          <w:sz w:val="24"/>
          <w:szCs w:val="24"/>
        </w:rPr>
        <w:noBreakHyphen/>
        <w:t>19 liter.</w:t>
      </w:r>
    </w:p>
    <w:p w14:paraId="3D58D3AB" w14:textId="77777777" w:rsidR="00150AB9" w:rsidRPr="006F6EE5" w:rsidRDefault="00150AB9" w:rsidP="006F6EE5">
      <w:pPr>
        <w:ind w:left="851"/>
        <w:rPr>
          <w:sz w:val="24"/>
          <w:szCs w:val="24"/>
        </w:rPr>
      </w:pPr>
    </w:p>
    <w:p w14:paraId="13BD2ADB" w14:textId="77777777" w:rsidR="00150AB9" w:rsidRPr="009C67C9" w:rsidRDefault="00150AB9" w:rsidP="006F6EE5">
      <w:pPr>
        <w:ind w:left="851"/>
        <w:rPr>
          <w:sz w:val="24"/>
          <w:szCs w:val="24"/>
          <w:u w:val="single"/>
        </w:rPr>
      </w:pPr>
      <w:r w:rsidRPr="009C67C9">
        <w:rPr>
          <w:sz w:val="24"/>
          <w:szCs w:val="24"/>
          <w:u w:val="single"/>
        </w:rPr>
        <w:t>Biotransformation</w:t>
      </w:r>
    </w:p>
    <w:p w14:paraId="5B21BDF7" w14:textId="77777777" w:rsidR="00150AB9" w:rsidRPr="006F6EE5" w:rsidRDefault="00150AB9" w:rsidP="006F6EE5">
      <w:pPr>
        <w:ind w:left="851"/>
        <w:rPr>
          <w:sz w:val="24"/>
          <w:szCs w:val="24"/>
        </w:rPr>
      </w:pPr>
    </w:p>
    <w:p w14:paraId="3881A597" w14:textId="77777777" w:rsidR="00150AB9" w:rsidRPr="006F6EE5" w:rsidRDefault="00150AB9" w:rsidP="006F6EE5">
      <w:pPr>
        <w:ind w:left="851"/>
        <w:rPr>
          <w:sz w:val="24"/>
          <w:szCs w:val="24"/>
        </w:rPr>
      </w:pPr>
      <w:r w:rsidRPr="006F6EE5">
        <w:rPr>
          <w:sz w:val="24"/>
          <w:szCs w:val="24"/>
        </w:rPr>
        <w:t xml:space="preserve">Uforandret </w:t>
      </w:r>
      <w:proofErr w:type="spellStart"/>
      <w:r w:rsidRPr="006F6EE5">
        <w:rPr>
          <w:sz w:val="24"/>
          <w:szCs w:val="24"/>
        </w:rPr>
        <w:t>micafungin</w:t>
      </w:r>
      <w:proofErr w:type="spellEnd"/>
      <w:r w:rsidRPr="006F6EE5">
        <w:rPr>
          <w:sz w:val="24"/>
          <w:szCs w:val="24"/>
        </w:rPr>
        <w:t xml:space="preserve"> er det vigtigste cirkulationsstof i systemisk cirkulation. Det er vist, at </w:t>
      </w:r>
      <w:proofErr w:type="spellStart"/>
      <w:r w:rsidRPr="006F6EE5">
        <w:rPr>
          <w:sz w:val="24"/>
          <w:szCs w:val="24"/>
        </w:rPr>
        <w:t>micafungin</w:t>
      </w:r>
      <w:proofErr w:type="spellEnd"/>
      <w:r w:rsidRPr="006F6EE5">
        <w:rPr>
          <w:sz w:val="24"/>
          <w:szCs w:val="24"/>
        </w:rPr>
        <w:t xml:space="preserve"> kan </w:t>
      </w:r>
      <w:proofErr w:type="spellStart"/>
      <w:r w:rsidRPr="006F6EE5">
        <w:rPr>
          <w:sz w:val="24"/>
          <w:szCs w:val="24"/>
        </w:rPr>
        <w:t>metaboliseres</w:t>
      </w:r>
      <w:proofErr w:type="spellEnd"/>
      <w:r w:rsidRPr="006F6EE5">
        <w:rPr>
          <w:sz w:val="24"/>
          <w:szCs w:val="24"/>
        </w:rPr>
        <w:t xml:space="preserve"> til adskillige stoffer. Af disse er M</w:t>
      </w:r>
      <w:r w:rsidRPr="006F6EE5">
        <w:rPr>
          <w:sz w:val="24"/>
          <w:szCs w:val="24"/>
        </w:rPr>
        <w:noBreakHyphen/>
        <w:t>1 (</w:t>
      </w:r>
      <w:proofErr w:type="spellStart"/>
      <w:r w:rsidRPr="006F6EE5">
        <w:rPr>
          <w:sz w:val="24"/>
          <w:szCs w:val="24"/>
        </w:rPr>
        <w:t>katekol</w:t>
      </w:r>
      <w:proofErr w:type="spellEnd"/>
      <w:r w:rsidRPr="006F6EE5">
        <w:rPr>
          <w:sz w:val="24"/>
          <w:szCs w:val="24"/>
        </w:rPr>
        <w:t>-form), M</w:t>
      </w:r>
      <w:r w:rsidRPr="006F6EE5">
        <w:rPr>
          <w:sz w:val="24"/>
          <w:szCs w:val="24"/>
        </w:rPr>
        <w:noBreakHyphen/>
        <w:t>2 (</w:t>
      </w:r>
      <w:proofErr w:type="spellStart"/>
      <w:r w:rsidRPr="006F6EE5">
        <w:rPr>
          <w:sz w:val="24"/>
          <w:szCs w:val="24"/>
        </w:rPr>
        <w:t>metoxy</w:t>
      </w:r>
      <w:proofErr w:type="spellEnd"/>
      <w:r w:rsidRPr="006F6EE5">
        <w:rPr>
          <w:sz w:val="24"/>
          <w:szCs w:val="24"/>
        </w:rPr>
        <w:t>-form af M</w:t>
      </w:r>
      <w:r w:rsidRPr="006F6EE5">
        <w:rPr>
          <w:sz w:val="24"/>
          <w:szCs w:val="24"/>
        </w:rPr>
        <w:noBreakHyphen/>
        <w:t>1) og M</w:t>
      </w:r>
      <w:r w:rsidRPr="006F6EE5">
        <w:rPr>
          <w:sz w:val="24"/>
          <w:szCs w:val="24"/>
        </w:rPr>
        <w:noBreakHyphen/>
        <w:t>5 (</w:t>
      </w:r>
      <w:proofErr w:type="spellStart"/>
      <w:r w:rsidRPr="006F6EE5">
        <w:rPr>
          <w:sz w:val="24"/>
          <w:szCs w:val="24"/>
        </w:rPr>
        <w:t>hydroxylering</w:t>
      </w:r>
      <w:proofErr w:type="spellEnd"/>
      <w:r w:rsidRPr="006F6EE5">
        <w:rPr>
          <w:sz w:val="24"/>
          <w:szCs w:val="24"/>
        </w:rPr>
        <w:t xml:space="preserve"> ved sidekæde) set i den systemiske cirkulation af </w:t>
      </w:r>
      <w:proofErr w:type="spellStart"/>
      <w:r w:rsidRPr="006F6EE5">
        <w:rPr>
          <w:sz w:val="24"/>
          <w:szCs w:val="24"/>
        </w:rPr>
        <w:t>micafungin</w:t>
      </w:r>
      <w:proofErr w:type="spellEnd"/>
      <w:r w:rsidRPr="006F6EE5">
        <w:rPr>
          <w:sz w:val="24"/>
          <w:szCs w:val="24"/>
        </w:rPr>
        <w:t xml:space="preserve">. Eksponering for disse metabolitter er lav, og metabolitterne bidrager ikke til den samlede virkning af </w:t>
      </w:r>
      <w:proofErr w:type="spellStart"/>
      <w:r w:rsidRPr="006F6EE5">
        <w:rPr>
          <w:sz w:val="24"/>
          <w:szCs w:val="24"/>
        </w:rPr>
        <w:t>micafungin</w:t>
      </w:r>
      <w:proofErr w:type="spellEnd"/>
      <w:r w:rsidRPr="006F6EE5">
        <w:rPr>
          <w:sz w:val="24"/>
          <w:szCs w:val="24"/>
        </w:rPr>
        <w:t>.</w:t>
      </w:r>
    </w:p>
    <w:p w14:paraId="60BA6B2B" w14:textId="77777777" w:rsidR="00150AB9" w:rsidRPr="006F6EE5" w:rsidRDefault="00150AB9" w:rsidP="006F6EE5">
      <w:pPr>
        <w:ind w:left="851"/>
        <w:rPr>
          <w:sz w:val="24"/>
          <w:szCs w:val="24"/>
        </w:rPr>
      </w:pPr>
    </w:p>
    <w:p w14:paraId="6AAE3E3D" w14:textId="77777777" w:rsidR="00150AB9" w:rsidRPr="006F6EE5" w:rsidRDefault="00150AB9" w:rsidP="006F6EE5">
      <w:pPr>
        <w:ind w:left="851"/>
        <w:rPr>
          <w:sz w:val="24"/>
          <w:szCs w:val="24"/>
        </w:rPr>
      </w:pPr>
      <w:r w:rsidRPr="006F6EE5">
        <w:rPr>
          <w:sz w:val="24"/>
          <w:szCs w:val="24"/>
        </w:rPr>
        <w:t xml:space="preserve">Selvom </w:t>
      </w:r>
      <w:proofErr w:type="spellStart"/>
      <w:r w:rsidRPr="006F6EE5">
        <w:rPr>
          <w:sz w:val="24"/>
          <w:szCs w:val="24"/>
        </w:rPr>
        <w:t>micafungin</w:t>
      </w:r>
      <w:proofErr w:type="spellEnd"/>
      <w:r w:rsidRPr="006F6EE5">
        <w:rPr>
          <w:sz w:val="24"/>
          <w:szCs w:val="24"/>
        </w:rPr>
        <w:t xml:space="preserve"> er et substrat for CYP3A </w:t>
      </w:r>
      <w:r w:rsidRPr="006F6EE5">
        <w:rPr>
          <w:i/>
          <w:sz w:val="24"/>
          <w:szCs w:val="24"/>
        </w:rPr>
        <w:t>in </w:t>
      </w:r>
      <w:proofErr w:type="spellStart"/>
      <w:r w:rsidRPr="006F6EE5">
        <w:rPr>
          <w:i/>
          <w:sz w:val="24"/>
          <w:szCs w:val="24"/>
        </w:rPr>
        <w:t>vitro</w:t>
      </w:r>
      <w:proofErr w:type="spellEnd"/>
      <w:r w:rsidRPr="006F6EE5">
        <w:rPr>
          <w:sz w:val="24"/>
          <w:szCs w:val="24"/>
        </w:rPr>
        <w:t xml:space="preserve">, er </w:t>
      </w:r>
      <w:proofErr w:type="spellStart"/>
      <w:r w:rsidRPr="006F6EE5">
        <w:rPr>
          <w:sz w:val="24"/>
          <w:szCs w:val="24"/>
        </w:rPr>
        <w:t>hydroxylering</w:t>
      </w:r>
      <w:proofErr w:type="spellEnd"/>
      <w:r w:rsidRPr="006F6EE5">
        <w:rPr>
          <w:sz w:val="24"/>
          <w:szCs w:val="24"/>
        </w:rPr>
        <w:t xml:space="preserve"> af CYP3A ikke en større </w:t>
      </w:r>
      <w:proofErr w:type="spellStart"/>
      <w:r w:rsidRPr="006F6EE5">
        <w:rPr>
          <w:sz w:val="24"/>
          <w:szCs w:val="24"/>
        </w:rPr>
        <w:t>metaboliseringsvej</w:t>
      </w:r>
      <w:proofErr w:type="spellEnd"/>
      <w:r w:rsidRPr="006F6EE5">
        <w:rPr>
          <w:sz w:val="24"/>
          <w:szCs w:val="24"/>
        </w:rPr>
        <w:t xml:space="preserve"> for </w:t>
      </w:r>
      <w:proofErr w:type="spellStart"/>
      <w:r w:rsidRPr="006F6EE5">
        <w:rPr>
          <w:sz w:val="24"/>
          <w:szCs w:val="24"/>
        </w:rPr>
        <w:t>micafungin</w:t>
      </w:r>
      <w:proofErr w:type="spellEnd"/>
      <w:r w:rsidRPr="006F6EE5">
        <w:rPr>
          <w:sz w:val="24"/>
          <w:szCs w:val="24"/>
        </w:rPr>
        <w:t xml:space="preserve"> </w:t>
      </w:r>
      <w:r w:rsidRPr="006F6EE5">
        <w:rPr>
          <w:i/>
          <w:sz w:val="24"/>
          <w:szCs w:val="24"/>
        </w:rPr>
        <w:t>in </w:t>
      </w:r>
      <w:proofErr w:type="spellStart"/>
      <w:r w:rsidRPr="006F6EE5">
        <w:rPr>
          <w:i/>
          <w:sz w:val="24"/>
          <w:szCs w:val="24"/>
        </w:rPr>
        <w:t>vivo</w:t>
      </w:r>
      <w:proofErr w:type="spellEnd"/>
      <w:r w:rsidRPr="006F6EE5">
        <w:rPr>
          <w:sz w:val="24"/>
          <w:szCs w:val="24"/>
        </w:rPr>
        <w:t>.</w:t>
      </w:r>
    </w:p>
    <w:p w14:paraId="3996A066" w14:textId="77777777" w:rsidR="00150AB9" w:rsidRPr="006F6EE5" w:rsidRDefault="00150AB9" w:rsidP="006F6EE5">
      <w:pPr>
        <w:ind w:left="851"/>
        <w:rPr>
          <w:sz w:val="24"/>
          <w:szCs w:val="24"/>
        </w:rPr>
      </w:pPr>
    </w:p>
    <w:p w14:paraId="629434A8" w14:textId="77777777" w:rsidR="00150AB9" w:rsidRPr="009C67C9" w:rsidRDefault="00150AB9" w:rsidP="006F6EE5">
      <w:pPr>
        <w:ind w:left="851"/>
        <w:rPr>
          <w:sz w:val="24"/>
          <w:szCs w:val="24"/>
          <w:u w:val="single"/>
        </w:rPr>
      </w:pPr>
      <w:r w:rsidRPr="009C67C9">
        <w:rPr>
          <w:sz w:val="24"/>
          <w:szCs w:val="24"/>
          <w:u w:val="single"/>
        </w:rPr>
        <w:t>Elimination og udskillelse</w:t>
      </w:r>
    </w:p>
    <w:p w14:paraId="6AB4F56F" w14:textId="77777777" w:rsidR="00150AB9" w:rsidRPr="006F6EE5" w:rsidRDefault="00150AB9" w:rsidP="006F6EE5">
      <w:pPr>
        <w:ind w:left="851"/>
        <w:rPr>
          <w:sz w:val="24"/>
          <w:szCs w:val="24"/>
        </w:rPr>
      </w:pPr>
    </w:p>
    <w:p w14:paraId="3B388C73" w14:textId="77777777" w:rsidR="00150AB9" w:rsidRPr="006F6EE5" w:rsidRDefault="00150AB9" w:rsidP="006F6EE5">
      <w:pPr>
        <w:ind w:left="851"/>
        <w:rPr>
          <w:sz w:val="24"/>
          <w:szCs w:val="24"/>
        </w:rPr>
      </w:pPr>
      <w:r w:rsidRPr="006F6EE5">
        <w:rPr>
          <w:sz w:val="24"/>
          <w:szCs w:val="24"/>
        </w:rPr>
        <w:t>Den gennemsnitlige terminale halveringstid er ca. 10</w:t>
      </w:r>
      <w:r w:rsidRPr="006F6EE5">
        <w:rPr>
          <w:sz w:val="24"/>
          <w:szCs w:val="24"/>
        </w:rPr>
        <w:noBreakHyphen/>
        <w:t xml:space="preserve">17 timer og er konstant i doser op til 8 mg/kg og efter enkelt og gentagen administration. Den totale </w:t>
      </w:r>
      <w:proofErr w:type="spellStart"/>
      <w:r w:rsidRPr="006F6EE5">
        <w:rPr>
          <w:sz w:val="24"/>
          <w:szCs w:val="24"/>
        </w:rPr>
        <w:t>clearance</w:t>
      </w:r>
      <w:proofErr w:type="spellEnd"/>
      <w:r w:rsidRPr="006F6EE5">
        <w:rPr>
          <w:sz w:val="24"/>
          <w:szCs w:val="24"/>
        </w:rPr>
        <w:t xml:space="preserve"> var 0,15</w:t>
      </w:r>
      <w:r w:rsidRPr="006F6EE5">
        <w:rPr>
          <w:sz w:val="24"/>
          <w:szCs w:val="24"/>
        </w:rPr>
        <w:noBreakHyphen/>
        <w:t xml:space="preserve">0,3 ml/min/kg hos raske forsøgspersoner og hos voksne patienter. </w:t>
      </w:r>
      <w:proofErr w:type="spellStart"/>
      <w:r w:rsidRPr="006F6EE5">
        <w:rPr>
          <w:sz w:val="24"/>
          <w:szCs w:val="24"/>
        </w:rPr>
        <w:t>Clearance</w:t>
      </w:r>
      <w:proofErr w:type="spellEnd"/>
      <w:r w:rsidRPr="006F6EE5">
        <w:rPr>
          <w:sz w:val="24"/>
          <w:szCs w:val="24"/>
        </w:rPr>
        <w:t xml:space="preserve"> er uafhængig af dosis efter enkelt og gentagen administration. Efter administration af enkelt intravenøs dosis af </w:t>
      </w:r>
      <w:r w:rsidRPr="006F6EE5">
        <w:rPr>
          <w:sz w:val="24"/>
          <w:szCs w:val="24"/>
          <w:vertAlign w:val="superscript"/>
        </w:rPr>
        <w:t>14</w:t>
      </w:r>
      <w:r w:rsidRPr="006F6EE5">
        <w:rPr>
          <w:sz w:val="24"/>
          <w:szCs w:val="24"/>
        </w:rPr>
        <w:t>C</w:t>
      </w:r>
      <w:r w:rsidRPr="006F6EE5">
        <w:rPr>
          <w:sz w:val="24"/>
          <w:szCs w:val="24"/>
        </w:rPr>
        <w:noBreakHyphen/>
        <w:t xml:space="preserve">micafungin (25 mg) til raske forsøgspersoner genfindes 11,6 % i urinen og 71,0 % i fæces efter 28 dage. Disse data indikerer, at elimination af </w:t>
      </w:r>
      <w:proofErr w:type="spellStart"/>
      <w:r w:rsidRPr="006F6EE5">
        <w:rPr>
          <w:sz w:val="24"/>
          <w:szCs w:val="24"/>
        </w:rPr>
        <w:t>micafungin</w:t>
      </w:r>
      <w:proofErr w:type="spellEnd"/>
      <w:r w:rsidRPr="006F6EE5">
        <w:rPr>
          <w:sz w:val="24"/>
          <w:szCs w:val="24"/>
        </w:rPr>
        <w:t xml:space="preserve"> primært er ikke-</w:t>
      </w:r>
      <w:proofErr w:type="spellStart"/>
      <w:r w:rsidRPr="006F6EE5">
        <w:rPr>
          <w:sz w:val="24"/>
          <w:szCs w:val="24"/>
        </w:rPr>
        <w:t>renal</w:t>
      </w:r>
      <w:proofErr w:type="spellEnd"/>
      <w:r w:rsidRPr="006F6EE5">
        <w:rPr>
          <w:sz w:val="24"/>
          <w:szCs w:val="24"/>
        </w:rPr>
        <w:t>. I plasma fandt man kun sporkoncentrationer af metabolitterne M</w:t>
      </w:r>
      <w:r w:rsidRPr="006F6EE5">
        <w:rPr>
          <w:sz w:val="24"/>
          <w:szCs w:val="24"/>
        </w:rPr>
        <w:noBreakHyphen/>
        <w:t>1 og M</w:t>
      </w:r>
      <w:r w:rsidRPr="006F6EE5">
        <w:rPr>
          <w:sz w:val="24"/>
          <w:szCs w:val="24"/>
        </w:rPr>
        <w:noBreakHyphen/>
        <w:t>2, mens M</w:t>
      </w:r>
      <w:r w:rsidRPr="006F6EE5">
        <w:rPr>
          <w:sz w:val="24"/>
          <w:szCs w:val="24"/>
        </w:rPr>
        <w:noBreakHyphen/>
        <w:t>5, den mere udtalte metabolit, fandtes i en mængde svarende til 6,5 % af den oprindelige substans.</w:t>
      </w:r>
    </w:p>
    <w:p w14:paraId="0370EB8D" w14:textId="77777777" w:rsidR="00150AB9" w:rsidRPr="006F6EE5" w:rsidRDefault="00150AB9" w:rsidP="006F6EE5">
      <w:pPr>
        <w:ind w:left="851"/>
        <w:rPr>
          <w:sz w:val="24"/>
          <w:szCs w:val="24"/>
        </w:rPr>
      </w:pPr>
    </w:p>
    <w:p w14:paraId="1E09368C" w14:textId="77777777" w:rsidR="00150AB9" w:rsidRPr="009C67C9" w:rsidRDefault="00150AB9" w:rsidP="006F6EE5">
      <w:pPr>
        <w:ind w:left="851"/>
        <w:rPr>
          <w:sz w:val="24"/>
          <w:szCs w:val="24"/>
          <w:u w:val="single"/>
        </w:rPr>
      </w:pPr>
      <w:r w:rsidRPr="009C67C9">
        <w:rPr>
          <w:sz w:val="24"/>
          <w:szCs w:val="24"/>
          <w:u w:val="single"/>
        </w:rPr>
        <w:t>Særlige populationer</w:t>
      </w:r>
    </w:p>
    <w:p w14:paraId="627E66C8" w14:textId="77777777" w:rsidR="00150AB9" w:rsidRPr="006F6EE5" w:rsidRDefault="00150AB9" w:rsidP="006F6EE5">
      <w:pPr>
        <w:ind w:left="851"/>
        <w:rPr>
          <w:sz w:val="24"/>
          <w:szCs w:val="24"/>
        </w:rPr>
      </w:pPr>
    </w:p>
    <w:p w14:paraId="263A0344" w14:textId="77777777" w:rsidR="00150AB9" w:rsidRPr="006F6EE5" w:rsidRDefault="00150AB9" w:rsidP="006F6EE5">
      <w:pPr>
        <w:ind w:left="851"/>
        <w:rPr>
          <w:sz w:val="24"/>
          <w:szCs w:val="24"/>
        </w:rPr>
      </w:pPr>
      <w:r w:rsidRPr="006F6EE5">
        <w:rPr>
          <w:sz w:val="24"/>
          <w:szCs w:val="24"/>
        </w:rPr>
        <w:t>Pædiatriske patienter: Hos pædiatriske patienter var AUC proportional med dosis over et interval på 0,5</w:t>
      </w:r>
      <w:r w:rsidRPr="006F6EE5">
        <w:rPr>
          <w:sz w:val="24"/>
          <w:szCs w:val="24"/>
        </w:rPr>
        <w:noBreakHyphen/>
        <w:t xml:space="preserve">4 mg/kg. Vægt havde betydning for </w:t>
      </w:r>
      <w:proofErr w:type="spellStart"/>
      <w:r w:rsidRPr="006F6EE5">
        <w:rPr>
          <w:sz w:val="24"/>
          <w:szCs w:val="24"/>
        </w:rPr>
        <w:t>clearance</w:t>
      </w:r>
      <w:proofErr w:type="spellEnd"/>
      <w:r w:rsidRPr="006F6EE5">
        <w:rPr>
          <w:sz w:val="24"/>
          <w:szCs w:val="24"/>
        </w:rPr>
        <w:t xml:space="preserve">, idet gennemsnitsværdien af vægtjusteret </w:t>
      </w:r>
      <w:proofErr w:type="spellStart"/>
      <w:r w:rsidRPr="006F6EE5">
        <w:rPr>
          <w:sz w:val="24"/>
          <w:szCs w:val="24"/>
        </w:rPr>
        <w:t>clearance</w:t>
      </w:r>
      <w:proofErr w:type="spellEnd"/>
      <w:r w:rsidRPr="006F6EE5">
        <w:rPr>
          <w:sz w:val="24"/>
          <w:szCs w:val="24"/>
        </w:rPr>
        <w:t xml:space="preserve"> var 1,35 gange højere hos yngre børn (4 måneder</w:t>
      </w:r>
      <w:r w:rsidRPr="006F6EE5">
        <w:rPr>
          <w:sz w:val="24"/>
          <w:szCs w:val="24"/>
        </w:rPr>
        <w:noBreakHyphen/>
        <w:t>5 år) og 1,14 gange højere hos pædiatriske patienter i alderen 6</w:t>
      </w:r>
      <w:r w:rsidRPr="006F6EE5">
        <w:rPr>
          <w:sz w:val="24"/>
          <w:szCs w:val="24"/>
        </w:rPr>
        <w:noBreakHyphen/>
        <w:t>11 år. Ældre børn (12</w:t>
      </w:r>
      <w:r w:rsidRPr="006F6EE5">
        <w:rPr>
          <w:sz w:val="24"/>
          <w:szCs w:val="24"/>
        </w:rPr>
        <w:noBreakHyphen/>
        <w:t xml:space="preserve">16 år) havde gennemsnitlige </w:t>
      </w:r>
      <w:proofErr w:type="spellStart"/>
      <w:r w:rsidRPr="006F6EE5">
        <w:rPr>
          <w:sz w:val="24"/>
          <w:szCs w:val="24"/>
        </w:rPr>
        <w:t>clearance</w:t>
      </w:r>
      <w:proofErr w:type="spellEnd"/>
      <w:r w:rsidRPr="006F6EE5">
        <w:rPr>
          <w:sz w:val="24"/>
          <w:szCs w:val="24"/>
        </w:rPr>
        <w:t xml:space="preserve">-værdier svarende til de værdier, man fandt hos voksne. Den gennemsnitlige vægtjusterede </w:t>
      </w:r>
      <w:proofErr w:type="spellStart"/>
      <w:r w:rsidRPr="006F6EE5">
        <w:rPr>
          <w:sz w:val="24"/>
          <w:szCs w:val="24"/>
        </w:rPr>
        <w:t>clearance</w:t>
      </w:r>
      <w:proofErr w:type="spellEnd"/>
      <w:r w:rsidRPr="006F6EE5">
        <w:rPr>
          <w:sz w:val="24"/>
          <w:szCs w:val="24"/>
        </w:rPr>
        <w:t xml:space="preserve"> hos børn under 4 måneder er ca. 2,6 gange højere end hos ældre børn (12</w:t>
      </w:r>
      <w:r w:rsidRPr="006F6EE5">
        <w:rPr>
          <w:sz w:val="24"/>
          <w:szCs w:val="24"/>
        </w:rPr>
        <w:noBreakHyphen/>
        <w:t>16 år) og 2,3 gange højere end hos voksne.</w:t>
      </w:r>
    </w:p>
    <w:p w14:paraId="1A9BFDCE" w14:textId="77777777" w:rsidR="00150AB9" w:rsidRPr="006F6EE5" w:rsidRDefault="00150AB9" w:rsidP="006F6EE5">
      <w:pPr>
        <w:ind w:left="851"/>
        <w:rPr>
          <w:sz w:val="24"/>
          <w:szCs w:val="24"/>
        </w:rPr>
      </w:pPr>
    </w:p>
    <w:p w14:paraId="6D6480DB" w14:textId="77777777" w:rsidR="00150AB9" w:rsidRPr="006F6EE5" w:rsidRDefault="00150AB9" w:rsidP="006F6EE5">
      <w:pPr>
        <w:ind w:left="851"/>
        <w:rPr>
          <w:sz w:val="24"/>
          <w:szCs w:val="24"/>
        </w:rPr>
      </w:pPr>
      <w:r w:rsidRPr="006F6EE5">
        <w:rPr>
          <w:sz w:val="24"/>
          <w:szCs w:val="24"/>
        </w:rPr>
        <w:t xml:space="preserve">Et </w:t>
      </w:r>
      <w:proofErr w:type="spellStart"/>
      <w:r w:rsidRPr="006F6EE5">
        <w:rPr>
          <w:sz w:val="24"/>
          <w:szCs w:val="24"/>
        </w:rPr>
        <w:t>farmakokinetisk</w:t>
      </w:r>
      <w:proofErr w:type="spellEnd"/>
      <w:r w:rsidRPr="006F6EE5">
        <w:rPr>
          <w:sz w:val="24"/>
          <w:szCs w:val="24"/>
        </w:rPr>
        <w:t>/</w:t>
      </w:r>
      <w:proofErr w:type="spellStart"/>
      <w:r w:rsidRPr="006F6EE5">
        <w:rPr>
          <w:sz w:val="24"/>
          <w:szCs w:val="24"/>
        </w:rPr>
        <w:t>farmakodynamisk</w:t>
      </w:r>
      <w:proofErr w:type="spellEnd"/>
      <w:r w:rsidRPr="006F6EE5">
        <w:rPr>
          <w:sz w:val="24"/>
          <w:szCs w:val="24"/>
        </w:rPr>
        <w:t xml:space="preserve"> studie (PK/PD </w:t>
      </w:r>
      <w:proofErr w:type="spellStart"/>
      <w:r w:rsidRPr="006F6EE5">
        <w:rPr>
          <w:i/>
          <w:sz w:val="24"/>
          <w:szCs w:val="24"/>
        </w:rPr>
        <w:t>bridging</w:t>
      </w:r>
      <w:proofErr w:type="spellEnd"/>
      <w:r w:rsidRPr="006F6EE5">
        <w:rPr>
          <w:i/>
          <w:sz w:val="24"/>
          <w:szCs w:val="24"/>
        </w:rPr>
        <w:t xml:space="preserve"> </w:t>
      </w:r>
      <w:proofErr w:type="spellStart"/>
      <w:r w:rsidRPr="006F6EE5">
        <w:rPr>
          <w:i/>
          <w:sz w:val="24"/>
          <w:szCs w:val="24"/>
        </w:rPr>
        <w:t>study</w:t>
      </w:r>
      <w:proofErr w:type="spellEnd"/>
      <w:r w:rsidRPr="006F6EE5">
        <w:rPr>
          <w:sz w:val="24"/>
          <w:szCs w:val="24"/>
        </w:rPr>
        <w:t xml:space="preserve">) viste dosisafhængig penetration af </w:t>
      </w:r>
      <w:proofErr w:type="spellStart"/>
      <w:r w:rsidRPr="006F6EE5">
        <w:rPr>
          <w:sz w:val="24"/>
          <w:szCs w:val="24"/>
        </w:rPr>
        <w:t>micafungin</w:t>
      </w:r>
      <w:proofErr w:type="spellEnd"/>
      <w:r w:rsidRPr="006F6EE5">
        <w:rPr>
          <w:sz w:val="24"/>
          <w:szCs w:val="24"/>
        </w:rPr>
        <w:t xml:space="preserve"> ind i CNS med et minimumskrav til AUC på 170 µ</w:t>
      </w:r>
      <w:proofErr w:type="spellStart"/>
      <w:r w:rsidRPr="006F6EE5">
        <w:rPr>
          <w:sz w:val="24"/>
          <w:szCs w:val="24"/>
        </w:rPr>
        <w:t>g∙t</w:t>
      </w:r>
      <w:proofErr w:type="spellEnd"/>
      <w:r w:rsidRPr="006F6EE5">
        <w:rPr>
          <w:sz w:val="24"/>
          <w:szCs w:val="24"/>
        </w:rPr>
        <w:t xml:space="preserve">/l for at opnå maksimal </w:t>
      </w:r>
      <w:proofErr w:type="spellStart"/>
      <w:r w:rsidRPr="006F6EE5">
        <w:rPr>
          <w:sz w:val="24"/>
          <w:szCs w:val="24"/>
        </w:rPr>
        <w:t>eradikation</w:t>
      </w:r>
      <w:proofErr w:type="spellEnd"/>
      <w:r w:rsidRPr="006F6EE5">
        <w:rPr>
          <w:sz w:val="24"/>
          <w:szCs w:val="24"/>
        </w:rPr>
        <w:t xml:space="preserve"> af svampeinfektionen i CNS-vævene. </w:t>
      </w:r>
      <w:proofErr w:type="spellStart"/>
      <w:r w:rsidRPr="006F6EE5">
        <w:rPr>
          <w:sz w:val="24"/>
          <w:szCs w:val="24"/>
        </w:rPr>
        <w:t>Populationsfarmakokinetisk</w:t>
      </w:r>
      <w:proofErr w:type="spellEnd"/>
      <w:r w:rsidRPr="006F6EE5">
        <w:rPr>
          <w:sz w:val="24"/>
          <w:szCs w:val="24"/>
        </w:rPr>
        <w:t xml:space="preserve"> modellering viste, at en dosis på 10 mg/kg til børn under 4 måneder vil være tilstrækkelig til at opnå måleksponeringen til behandling af </w:t>
      </w:r>
      <w:proofErr w:type="spellStart"/>
      <w:r w:rsidRPr="006F6EE5">
        <w:rPr>
          <w:i/>
          <w:iCs/>
          <w:sz w:val="24"/>
          <w:szCs w:val="24"/>
        </w:rPr>
        <w:t>Candida</w:t>
      </w:r>
      <w:proofErr w:type="spellEnd"/>
      <w:r w:rsidRPr="006F6EE5">
        <w:rPr>
          <w:sz w:val="24"/>
          <w:szCs w:val="24"/>
        </w:rPr>
        <w:t>-infektioner i CNS.</w:t>
      </w:r>
    </w:p>
    <w:p w14:paraId="43B0342A" w14:textId="77777777" w:rsidR="00150AB9" w:rsidRPr="006F6EE5" w:rsidRDefault="00150AB9" w:rsidP="006F6EE5">
      <w:pPr>
        <w:ind w:left="851"/>
        <w:rPr>
          <w:sz w:val="24"/>
          <w:szCs w:val="24"/>
        </w:rPr>
      </w:pPr>
    </w:p>
    <w:p w14:paraId="59CE0A98" w14:textId="77777777" w:rsidR="00150AB9" w:rsidRPr="006F6EE5" w:rsidRDefault="00150AB9" w:rsidP="006F6EE5">
      <w:pPr>
        <w:ind w:left="851"/>
        <w:rPr>
          <w:sz w:val="24"/>
          <w:szCs w:val="24"/>
        </w:rPr>
      </w:pPr>
      <w:r w:rsidRPr="006F6EE5">
        <w:rPr>
          <w:sz w:val="24"/>
          <w:szCs w:val="24"/>
        </w:rPr>
        <w:t xml:space="preserve">Ældre: Når </w:t>
      </w:r>
      <w:proofErr w:type="spellStart"/>
      <w:r w:rsidRPr="006F6EE5">
        <w:rPr>
          <w:sz w:val="24"/>
          <w:szCs w:val="24"/>
        </w:rPr>
        <w:t>micafungin</w:t>
      </w:r>
      <w:proofErr w:type="spellEnd"/>
      <w:r w:rsidRPr="006F6EE5">
        <w:rPr>
          <w:sz w:val="24"/>
          <w:szCs w:val="24"/>
        </w:rPr>
        <w:t xml:space="preserve"> administreres som en enkelt 1</w:t>
      </w:r>
      <w:r w:rsidRPr="006F6EE5">
        <w:rPr>
          <w:sz w:val="24"/>
          <w:szCs w:val="24"/>
        </w:rPr>
        <w:noBreakHyphen/>
        <w:t>times infusion på 50 mg, svarer farmakokinetikken hos ældre (66</w:t>
      </w:r>
      <w:r w:rsidRPr="006F6EE5">
        <w:rPr>
          <w:sz w:val="24"/>
          <w:szCs w:val="24"/>
        </w:rPr>
        <w:noBreakHyphen/>
        <w:t>78 år) til, hvad man finder hos yngre voksne (20</w:t>
      </w:r>
      <w:r w:rsidRPr="006F6EE5">
        <w:rPr>
          <w:sz w:val="24"/>
          <w:szCs w:val="24"/>
        </w:rPr>
        <w:noBreakHyphen/>
        <w:t>24 år). Dosisjustering er ikke nødvendig hos ældre.</w:t>
      </w:r>
    </w:p>
    <w:p w14:paraId="5079532B" w14:textId="77777777" w:rsidR="00150AB9" w:rsidRPr="006F6EE5" w:rsidRDefault="00150AB9" w:rsidP="006F6EE5">
      <w:pPr>
        <w:ind w:left="851"/>
        <w:rPr>
          <w:sz w:val="24"/>
          <w:szCs w:val="24"/>
        </w:rPr>
      </w:pPr>
    </w:p>
    <w:p w14:paraId="59786C51" w14:textId="77777777" w:rsidR="00150AB9" w:rsidRPr="006F6EE5" w:rsidRDefault="00150AB9" w:rsidP="006F6EE5">
      <w:pPr>
        <w:ind w:left="851"/>
        <w:rPr>
          <w:sz w:val="24"/>
          <w:szCs w:val="24"/>
        </w:rPr>
      </w:pPr>
      <w:r w:rsidRPr="006F6EE5">
        <w:rPr>
          <w:sz w:val="24"/>
          <w:szCs w:val="24"/>
        </w:rPr>
        <w:t>Patienter med nedsat leverfunktion: I et studie foretaget hos patienter med moderat nedsat leverfunktion (Child-</w:t>
      </w:r>
      <w:proofErr w:type="spellStart"/>
      <w:r w:rsidRPr="006F6EE5">
        <w:rPr>
          <w:sz w:val="24"/>
          <w:szCs w:val="24"/>
        </w:rPr>
        <w:t>Pugh</w:t>
      </w:r>
      <w:proofErr w:type="spellEnd"/>
      <w:r w:rsidRPr="006F6EE5">
        <w:rPr>
          <w:sz w:val="24"/>
          <w:szCs w:val="24"/>
        </w:rPr>
        <w:t>-score 7</w:t>
      </w:r>
      <w:r w:rsidRPr="006F6EE5">
        <w:rPr>
          <w:sz w:val="24"/>
          <w:szCs w:val="24"/>
        </w:rPr>
        <w:noBreakHyphen/>
        <w:t xml:space="preserve">9) adskilte farmakokinetikken for </w:t>
      </w:r>
      <w:proofErr w:type="spellStart"/>
      <w:r w:rsidRPr="006F6EE5">
        <w:rPr>
          <w:sz w:val="24"/>
          <w:szCs w:val="24"/>
        </w:rPr>
        <w:t>micafungin</w:t>
      </w:r>
      <w:proofErr w:type="spellEnd"/>
      <w:r w:rsidRPr="006F6EE5">
        <w:rPr>
          <w:sz w:val="24"/>
          <w:szCs w:val="24"/>
        </w:rPr>
        <w:t xml:space="preserve"> sig ikke signifikant fra den hos raske forsøgspersoner (n = 8). Dosisjustering hos patienter med let til moderat nedsat leverfunktion er derfor ikke nødvendig. I et studie foretaget hos patienter med svært nedsat leverfunktion (Child-</w:t>
      </w:r>
      <w:proofErr w:type="spellStart"/>
      <w:r w:rsidRPr="006F6EE5">
        <w:rPr>
          <w:sz w:val="24"/>
          <w:szCs w:val="24"/>
        </w:rPr>
        <w:t>Pugh</w:t>
      </w:r>
      <w:proofErr w:type="spellEnd"/>
      <w:r w:rsidRPr="006F6EE5">
        <w:rPr>
          <w:sz w:val="24"/>
          <w:szCs w:val="24"/>
        </w:rPr>
        <w:t>-score 10</w:t>
      </w:r>
      <w:r w:rsidRPr="006F6EE5">
        <w:rPr>
          <w:sz w:val="24"/>
          <w:szCs w:val="24"/>
        </w:rPr>
        <w:noBreakHyphen/>
        <w:t xml:space="preserve">12 (n = 8), blev lave plasmakoncentrationer af </w:t>
      </w:r>
      <w:proofErr w:type="spellStart"/>
      <w:r w:rsidRPr="006F6EE5">
        <w:rPr>
          <w:sz w:val="24"/>
          <w:szCs w:val="24"/>
        </w:rPr>
        <w:t>micafungin</w:t>
      </w:r>
      <w:proofErr w:type="spellEnd"/>
      <w:r w:rsidRPr="006F6EE5">
        <w:rPr>
          <w:sz w:val="24"/>
          <w:szCs w:val="24"/>
        </w:rPr>
        <w:t xml:space="preserve"> og høje plasmakoncentrationer af den </w:t>
      </w:r>
      <w:proofErr w:type="spellStart"/>
      <w:r w:rsidRPr="006F6EE5">
        <w:rPr>
          <w:sz w:val="24"/>
          <w:szCs w:val="24"/>
        </w:rPr>
        <w:t>hydroxylerede</w:t>
      </w:r>
      <w:proofErr w:type="spellEnd"/>
      <w:r w:rsidRPr="006F6EE5">
        <w:rPr>
          <w:sz w:val="24"/>
          <w:szCs w:val="24"/>
        </w:rPr>
        <w:t xml:space="preserve"> metabolit (M</w:t>
      </w:r>
      <w:r w:rsidRPr="006F6EE5">
        <w:rPr>
          <w:sz w:val="24"/>
          <w:szCs w:val="24"/>
        </w:rPr>
        <w:noBreakHyphen/>
        <w:t>5) set i forhold til raske forsøgspersoner (n = 8). Disse data er utilstrækkelige til at kunne anbefale en dosis hos patienter med svært nedsat leverfunktion.</w:t>
      </w:r>
    </w:p>
    <w:p w14:paraId="7BE03524" w14:textId="77777777" w:rsidR="00150AB9" w:rsidRPr="006F6EE5" w:rsidRDefault="00150AB9" w:rsidP="006F6EE5">
      <w:pPr>
        <w:ind w:left="851"/>
        <w:rPr>
          <w:sz w:val="24"/>
          <w:szCs w:val="24"/>
        </w:rPr>
      </w:pPr>
    </w:p>
    <w:p w14:paraId="63639E7C" w14:textId="77777777" w:rsidR="00150AB9" w:rsidRPr="006F6EE5" w:rsidRDefault="00150AB9" w:rsidP="006F6EE5">
      <w:pPr>
        <w:ind w:left="851"/>
        <w:rPr>
          <w:sz w:val="24"/>
          <w:szCs w:val="24"/>
        </w:rPr>
      </w:pPr>
      <w:r w:rsidRPr="006F6EE5">
        <w:rPr>
          <w:sz w:val="24"/>
          <w:szCs w:val="24"/>
        </w:rPr>
        <w:t>Patienter med nedsat nyrefunktion: Svært nedsat nyrefunktion (</w:t>
      </w:r>
      <w:proofErr w:type="spellStart"/>
      <w:r w:rsidRPr="006F6EE5">
        <w:rPr>
          <w:i/>
          <w:iCs/>
          <w:sz w:val="24"/>
          <w:szCs w:val="24"/>
        </w:rPr>
        <w:t>Glomerular</w:t>
      </w:r>
      <w:proofErr w:type="spellEnd"/>
      <w:r w:rsidRPr="006F6EE5">
        <w:rPr>
          <w:i/>
          <w:iCs/>
          <w:sz w:val="24"/>
          <w:szCs w:val="24"/>
        </w:rPr>
        <w:t xml:space="preserve"> Filtration Rate</w:t>
      </w:r>
      <w:r w:rsidRPr="006F6EE5">
        <w:rPr>
          <w:sz w:val="24"/>
          <w:szCs w:val="24"/>
        </w:rPr>
        <w:t xml:space="preserve"> [GFR] &lt; 30 ml/min) påvirkede ikke farmakokinetikken af </w:t>
      </w:r>
      <w:proofErr w:type="spellStart"/>
      <w:r w:rsidRPr="006F6EE5">
        <w:rPr>
          <w:sz w:val="24"/>
          <w:szCs w:val="24"/>
        </w:rPr>
        <w:t>micafungin</w:t>
      </w:r>
      <w:proofErr w:type="spellEnd"/>
      <w:r w:rsidRPr="006F6EE5">
        <w:rPr>
          <w:sz w:val="24"/>
          <w:szCs w:val="24"/>
        </w:rPr>
        <w:t xml:space="preserve"> signifikant. Dosisjustering er ikke nødvendig hos patienter med nedsat nyrefunktion.</w:t>
      </w:r>
    </w:p>
    <w:p w14:paraId="7FC3F759" w14:textId="77777777" w:rsidR="00150AB9" w:rsidRPr="006F6EE5" w:rsidRDefault="00150AB9" w:rsidP="006F6EE5">
      <w:pPr>
        <w:ind w:left="851"/>
        <w:rPr>
          <w:sz w:val="24"/>
          <w:szCs w:val="24"/>
        </w:rPr>
      </w:pPr>
    </w:p>
    <w:p w14:paraId="1BF51EA6" w14:textId="77777777" w:rsidR="00150AB9" w:rsidRPr="006F6EE5" w:rsidRDefault="00150AB9" w:rsidP="006F6EE5">
      <w:pPr>
        <w:ind w:left="851"/>
        <w:rPr>
          <w:sz w:val="24"/>
          <w:szCs w:val="24"/>
        </w:rPr>
      </w:pPr>
      <w:r w:rsidRPr="006F6EE5">
        <w:rPr>
          <w:sz w:val="24"/>
          <w:szCs w:val="24"/>
        </w:rPr>
        <w:t xml:space="preserve">Køn/race: Køn og race (kaukasisk, sort og orientalsk) påvirkede ikke de </w:t>
      </w:r>
      <w:proofErr w:type="spellStart"/>
      <w:r w:rsidRPr="006F6EE5">
        <w:rPr>
          <w:sz w:val="24"/>
          <w:szCs w:val="24"/>
        </w:rPr>
        <w:t>farmakokinetiske</w:t>
      </w:r>
      <w:proofErr w:type="spellEnd"/>
      <w:r w:rsidRPr="006F6EE5">
        <w:rPr>
          <w:sz w:val="24"/>
          <w:szCs w:val="24"/>
        </w:rPr>
        <w:t xml:space="preserve"> parametre for </w:t>
      </w:r>
      <w:proofErr w:type="spellStart"/>
      <w:r w:rsidRPr="006F6EE5">
        <w:rPr>
          <w:sz w:val="24"/>
          <w:szCs w:val="24"/>
        </w:rPr>
        <w:t>micafungin</w:t>
      </w:r>
      <w:proofErr w:type="spellEnd"/>
      <w:r w:rsidRPr="006F6EE5">
        <w:rPr>
          <w:sz w:val="24"/>
          <w:szCs w:val="24"/>
        </w:rPr>
        <w:t xml:space="preserve"> signifikant. Dosisjustering er ikke nødvendig hos patienter af bestemt køn eller race.</w:t>
      </w:r>
    </w:p>
    <w:p w14:paraId="0E1B5EF6" w14:textId="77777777" w:rsidR="009260DE" w:rsidRPr="006F6EE5" w:rsidRDefault="009260DE" w:rsidP="009260DE">
      <w:pPr>
        <w:tabs>
          <w:tab w:val="left" w:pos="851"/>
        </w:tabs>
        <w:ind w:left="851"/>
        <w:rPr>
          <w:sz w:val="24"/>
          <w:szCs w:val="24"/>
        </w:rPr>
      </w:pPr>
    </w:p>
    <w:p w14:paraId="4B16BBDD" w14:textId="77777777" w:rsidR="009260DE" w:rsidRPr="006F6EE5" w:rsidRDefault="009260DE" w:rsidP="009260DE">
      <w:pPr>
        <w:tabs>
          <w:tab w:val="left" w:pos="851"/>
        </w:tabs>
        <w:ind w:left="851" w:hanging="851"/>
        <w:rPr>
          <w:b/>
          <w:sz w:val="24"/>
          <w:szCs w:val="24"/>
        </w:rPr>
      </w:pPr>
      <w:r w:rsidRPr="006F6EE5">
        <w:rPr>
          <w:b/>
          <w:sz w:val="24"/>
          <w:szCs w:val="24"/>
        </w:rPr>
        <w:t>5.3</w:t>
      </w:r>
      <w:r w:rsidRPr="006F6EE5">
        <w:rPr>
          <w:b/>
          <w:sz w:val="24"/>
          <w:szCs w:val="24"/>
        </w:rPr>
        <w:tab/>
      </w:r>
      <w:r w:rsidR="00BD7931" w:rsidRPr="006F6EE5">
        <w:rPr>
          <w:b/>
          <w:sz w:val="24"/>
          <w:szCs w:val="24"/>
        </w:rPr>
        <w:t>Non-</w:t>
      </w:r>
      <w:r w:rsidRPr="006F6EE5">
        <w:rPr>
          <w:b/>
          <w:sz w:val="24"/>
          <w:szCs w:val="24"/>
        </w:rPr>
        <w:t>kliniske sikkerhedsdata</w:t>
      </w:r>
    </w:p>
    <w:p w14:paraId="460C0F90" w14:textId="77777777" w:rsidR="00150AB9" w:rsidRPr="006F6EE5" w:rsidRDefault="00150AB9" w:rsidP="006F6EE5">
      <w:pPr>
        <w:numPr>
          <w:ilvl w:val="12"/>
          <w:numId w:val="0"/>
        </w:numPr>
        <w:ind w:left="851" w:right="11"/>
        <w:rPr>
          <w:sz w:val="24"/>
          <w:szCs w:val="24"/>
        </w:rPr>
      </w:pPr>
      <w:r w:rsidRPr="006F6EE5">
        <w:rPr>
          <w:sz w:val="24"/>
          <w:szCs w:val="24"/>
        </w:rPr>
        <w:t xml:space="preserve">Udviklingen af </w:t>
      </w:r>
      <w:proofErr w:type="spellStart"/>
      <w:r w:rsidRPr="006F6EE5">
        <w:rPr>
          <w:sz w:val="24"/>
          <w:szCs w:val="24"/>
        </w:rPr>
        <w:t>foci</w:t>
      </w:r>
      <w:proofErr w:type="spellEnd"/>
      <w:r w:rsidRPr="006F6EE5">
        <w:rPr>
          <w:sz w:val="24"/>
          <w:szCs w:val="24"/>
        </w:rPr>
        <w:t xml:space="preserve"> med ændrede </w:t>
      </w:r>
      <w:proofErr w:type="spellStart"/>
      <w:r w:rsidRPr="006F6EE5">
        <w:rPr>
          <w:sz w:val="24"/>
          <w:szCs w:val="24"/>
        </w:rPr>
        <w:t>hepatocytter</w:t>
      </w:r>
      <w:proofErr w:type="spellEnd"/>
      <w:r w:rsidRPr="006F6EE5">
        <w:rPr>
          <w:sz w:val="24"/>
          <w:szCs w:val="24"/>
        </w:rPr>
        <w:t xml:space="preserve"> (FAH) og </w:t>
      </w:r>
      <w:proofErr w:type="spellStart"/>
      <w:r w:rsidRPr="006F6EE5">
        <w:rPr>
          <w:sz w:val="24"/>
          <w:szCs w:val="24"/>
        </w:rPr>
        <w:t>hepatocellulære</w:t>
      </w:r>
      <w:proofErr w:type="spellEnd"/>
      <w:r w:rsidRPr="006F6EE5">
        <w:rPr>
          <w:sz w:val="24"/>
          <w:szCs w:val="24"/>
        </w:rPr>
        <w:t xml:space="preserve"> tumorer hos rotter var afhængige af både dosis og af varigheden af </w:t>
      </w:r>
      <w:proofErr w:type="spellStart"/>
      <w:r w:rsidRPr="006F6EE5">
        <w:rPr>
          <w:sz w:val="24"/>
          <w:szCs w:val="24"/>
        </w:rPr>
        <w:t>micafungin</w:t>
      </w:r>
      <w:proofErr w:type="spellEnd"/>
      <w:r w:rsidRPr="006F6EE5">
        <w:rPr>
          <w:sz w:val="24"/>
          <w:szCs w:val="24"/>
        </w:rPr>
        <w:t xml:space="preserve">-behandlingen. Når FAH blev observeret efter behandling i 13 uger eller længere, var der stadig efter en 13-ugers </w:t>
      </w:r>
      <w:proofErr w:type="spellStart"/>
      <w:r w:rsidRPr="006F6EE5">
        <w:rPr>
          <w:sz w:val="24"/>
          <w:szCs w:val="24"/>
        </w:rPr>
        <w:t>seponeringsperiode</w:t>
      </w:r>
      <w:proofErr w:type="spellEnd"/>
      <w:r w:rsidRPr="006F6EE5">
        <w:rPr>
          <w:sz w:val="24"/>
          <w:szCs w:val="24"/>
        </w:rPr>
        <w:t xml:space="preserve"> FAH, som udviklede sig til </w:t>
      </w:r>
      <w:proofErr w:type="spellStart"/>
      <w:r w:rsidRPr="006F6EE5">
        <w:rPr>
          <w:sz w:val="24"/>
          <w:szCs w:val="24"/>
        </w:rPr>
        <w:t>hepatocellulære</w:t>
      </w:r>
      <w:proofErr w:type="spellEnd"/>
      <w:r w:rsidRPr="006F6EE5">
        <w:rPr>
          <w:sz w:val="24"/>
          <w:szCs w:val="24"/>
        </w:rPr>
        <w:t xml:space="preserve"> tumorer efter en behandlingsfri periode, som strakte sig over resten af rotternes levetid. Der er ikke udført standard </w:t>
      </w:r>
      <w:proofErr w:type="spellStart"/>
      <w:r w:rsidRPr="006F6EE5">
        <w:rPr>
          <w:sz w:val="24"/>
          <w:szCs w:val="24"/>
        </w:rPr>
        <w:t>karcinogenicitetsstudier</w:t>
      </w:r>
      <w:proofErr w:type="spellEnd"/>
      <w:r w:rsidRPr="006F6EE5">
        <w:rPr>
          <w:sz w:val="24"/>
          <w:szCs w:val="24"/>
        </w:rPr>
        <w:t xml:space="preserve">, men udviklingen af FAH blev vurderet hos hunrotter efter 20 og 18 måneder efter afsluttet behandling, der havde varet henholdsvis 3 og 6 måneder. I begge studier blev der set stigende forekomster/antal af </w:t>
      </w:r>
      <w:proofErr w:type="spellStart"/>
      <w:r w:rsidRPr="006F6EE5">
        <w:rPr>
          <w:sz w:val="24"/>
          <w:szCs w:val="24"/>
        </w:rPr>
        <w:t>hepatocellulære</w:t>
      </w:r>
      <w:proofErr w:type="spellEnd"/>
      <w:r w:rsidRPr="006F6EE5">
        <w:rPr>
          <w:sz w:val="24"/>
          <w:szCs w:val="24"/>
        </w:rPr>
        <w:t xml:space="preserve"> tumorer efter henholdsvis 18 og 20 måneder, som udgjorde den behandlingsfrie periode. Dette sås såvel i højdosisgruppen med 32 mg/kg/dag som i lavdosisgruppen (forskellen var dog ikke statistisk signifikant). Plasmaeksponeringen ved den formodede tærskelværdi for tumorudvikling hos rotter (dvs. den dosis, hvor der ikke blev fundet FAH og levertumorer) lå inden for det kliniske eksponeringsinterval. Relevansen af det </w:t>
      </w:r>
      <w:proofErr w:type="spellStart"/>
      <w:r w:rsidRPr="006F6EE5">
        <w:rPr>
          <w:sz w:val="24"/>
          <w:szCs w:val="24"/>
        </w:rPr>
        <w:t>karcinogene</w:t>
      </w:r>
      <w:proofErr w:type="spellEnd"/>
      <w:r w:rsidRPr="006F6EE5">
        <w:rPr>
          <w:sz w:val="24"/>
          <w:szCs w:val="24"/>
        </w:rPr>
        <w:t xml:space="preserve"> potentiale i leveren for </w:t>
      </w:r>
      <w:proofErr w:type="spellStart"/>
      <w:r w:rsidRPr="006F6EE5">
        <w:rPr>
          <w:sz w:val="24"/>
          <w:szCs w:val="24"/>
        </w:rPr>
        <w:t>micafungin</w:t>
      </w:r>
      <w:proofErr w:type="spellEnd"/>
      <w:r w:rsidRPr="006F6EE5">
        <w:rPr>
          <w:sz w:val="24"/>
          <w:szCs w:val="24"/>
        </w:rPr>
        <w:t xml:space="preserve"> ved terapeutisk brug hos mennesker kendes ikke.</w:t>
      </w:r>
    </w:p>
    <w:p w14:paraId="57BDE067" w14:textId="77777777" w:rsidR="00150AB9" w:rsidRPr="006F6EE5" w:rsidRDefault="00150AB9" w:rsidP="006F6EE5">
      <w:pPr>
        <w:numPr>
          <w:ilvl w:val="12"/>
          <w:numId w:val="0"/>
        </w:numPr>
        <w:ind w:left="851" w:right="11"/>
        <w:rPr>
          <w:sz w:val="24"/>
          <w:szCs w:val="24"/>
        </w:rPr>
      </w:pPr>
    </w:p>
    <w:p w14:paraId="2A56A822" w14:textId="77777777" w:rsidR="00150AB9" w:rsidRPr="006F6EE5" w:rsidRDefault="00150AB9" w:rsidP="006F6EE5">
      <w:pPr>
        <w:numPr>
          <w:ilvl w:val="12"/>
          <w:numId w:val="0"/>
        </w:numPr>
        <w:ind w:left="851" w:right="11"/>
        <w:rPr>
          <w:sz w:val="24"/>
          <w:szCs w:val="24"/>
        </w:rPr>
      </w:pPr>
      <w:proofErr w:type="spellStart"/>
      <w:r w:rsidRPr="006F6EE5">
        <w:rPr>
          <w:sz w:val="24"/>
          <w:szCs w:val="24"/>
        </w:rPr>
        <w:t>Micafungins</w:t>
      </w:r>
      <w:proofErr w:type="spellEnd"/>
      <w:r w:rsidRPr="006F6EE5">
        <w:rPr>
          <w:sz w:val="24"/>
          <w:szCs w:val="24"/>
        </w:rPr>
        <w:t xml:space="preserve"> toksicitet efter gentagen intravenøs dosering hos rotter og/eller hunde viste bivirkninger i lever, urinveje, røde blodlegemer og kønsorganerne hos hanner. Eksponeringsniveauer, hvor disse bivirkninger ikke forekommer (NOAEL), lå i samme område som ved klinisk eksponering eller lavere. Det kan derfor forventes, at disse bivirkninger kan forekomme hos mennesker ved klinisk brug af </w:t>
      </w:r>
      <w:proofErr w:type="spellStart"/>
      <w:r w:rsidRPr="006F6EE5">
        <w:rPr>
          <w:sz w:val="24"/>
          <w:szCs w:val="24"/>
        </w:rPr>
        <w:t>micafungin</w:t>
      </w:r>
      <w:proofErr w:type="spellEnd"/>
      <w:r w:rsidRPr="006F6EE5">
        <w:rPr>
          <w:sz w:val="24"/>
          <w:szCs w:val="24"/>
        </w:rPr>
        <w:t>.</w:t>
      </w:r>
    </w:p>
    <w:p w14:paraId="597CFC96" w14:textId="77777777" w:rsidR="00150AB9" w:rsidRPr="006F6EE5" w:rsidRDefault="00150AB9" w:rsidP="006F6EE5">
      <w:pPr>
        <w:numPr>
          <w:ilvl w:val="12"/>
          <w:numId w:val="0"/>
        </w:numPr>
        <w:ind w:left="851" w:right="11"/>
        <w:rPr>
          <w:sz w:val="24"/>
          <w:szCs w:val="24"/>
        </w:rPr>
      </w:pPr>
    </w:p>
    <w:p w14:paraId="2AF2F756" w14:textId="77777777" w:rsidR="00150AB9" w:rsidRPr="006F6EE5" w:rsidRDefault="00150AB9" w:rsidP="006F6EE5">
      <w:pPr>
        <w:numPr>
          <w:ilvl w:val="12"/>
          <w:numId w:val="0"/>
        </w:numPr>
        <w:ind w:left="851" w:right="11"/>
        <w:rPr>
          <w:sz w:val="24"/>
          <w:szCs w:val="24"/>
        </w:rPr>
      </w:pPr>
      <w:r w:rsidRPr="006F6EE5">
        <w:rPr>
          <w:sz w:val="24"/>
          <w:szCs w:val="24"/>
        </w:rPr>
        <w:t xml:space="preserve">I standardundersøgelser af sikkerhedsfarmakologi blev der set </w:t>
      </w:r>
      <w:proofErr w:type="spellStart"/>
      <w:r w:rsidRPr="006F6EE5">
        <w:rPr>
          <w:sz w:val="24"/>
          <w:szCs w:val="24"/>
        </w:rPr>
        <w:t>kardiovaskulære</w:t>
      </w:r>
      <w:proofErr w:type="spellEnd"/>
      <w:r w:rsidRPr="006F6EE5">
        <w:rPr>
          <w:sz w:val="24"/>
          <w:szCs w:val="24"/>
        </w:rPr>
        <w:t xml:space="preserve"> og histaminfrigørende effekter af </w:t>
      </w:r>
      <w:proofErr w:type="spellStart"/>
      <w:r w:rsidRPr="006F6EE5">
        <w:rPr>
          <w:sz w:val="24"/>
          <w:szCs w:val="24"/>
        </w:rPr>
        <w:t>micafungin</w:t>
      </w:r>
      <w:proofErr w:type="spellEnd"/>
      <w:r w:rsidRPr="006F6EE5">
        <w:rPr>
          <w:sz w:val="24"/>
          <w:szCs w:val="24"/>
        </w:rPr>
        <w:t>, og de viste sig at være tidsafhængige over en vis tærskel. En forlængelse af infusionstiden reducerer den maksimale plasmakoncentration, og så ud til at reducere disse effekter.</w:t>
      </w:r>
    </w:p>
    <w:p w14:paraId="460766D9" w14:textId="77777777" w:rsidR="00150AB9" w:rsidRPr="006F6EE5" w:rsidRDefault="00150AB9" w:rsidP="006F6EE5">
      <w:pPr>
        <w:numPr>
          <w:ilvl w:val="12"/>
          <w:numId w:val="0"/>
        </w:numPr>
        <w:ind w:left="851" w:right="11"/>
        <w:rPr>
          <w:sz w:val="24"/>
          <w:szCs w:val="24"/>
        </w:rPr>
      </w:pPr>
    </w:p>
    <w:p w14:paraId="25016D0C" w14:textId="77777777" w:rsidR="00150AB9" w:rsidRPr="006F6EE5" w:rsidRDefault="00150AB9" w:rsidP="006F6EE5">
      <w:pPr>
        <w:numPr>
          <w:ilvl w:val="12"/>
          <w:numId w:val="0"/>
        </w:numPr>
        <w:ind w:left="851" w:right="11"/>
        <w:rPr>
          <w:sz w:val="24"/>
          <w:szCs w:val="24"/>
        </w:rPr>
      </w:pPr>
      <w:r w:rsidRPr="006F6EE5">
        <w:rPr>
          <w:sz w:val="24"/>
          <w:szCs w:val="24"/>
        </w:rPr>
        <w:t xml:space="preserve">I gentagne toksicitetsstudier hos rotter var symptomerne på levertoksicitet, forhøjede niveauer af leverenzymer og degenerative forandringer af </w:t>
      </w:r>
      <w:proofErr w:type="spellStart"/>
      <w:r w:rsidRPr="006F6EE5">
        <w:rPr>
          <w:sz w:val="24"/>
          <w:szCs w:val="24"/>
        </w:rPr>
        <w:t>hepatocytter</w:t>
      </w:r>
      <w:proofErr w:type="spellEnd"/>
      <w:r w:rsidRPr="006F6EE5">
        <w:rPr>
          <w:sz w:val="24"/>
          <w:szCs w:val="24"/>
        </w:rPr>
        <w:t xml:space="preserve">, som blev ledsaget af symptomer på kompenserende regenerering. Hos hunde viste leverpåvirkningerne sig ved vægtøgning og </w:t>
      </w:r>
      <w:proofErr w:type="spellStart"/>
      <w:r w:rsidRPr="006F6EE5">
        <w:rPr>
          <w:sz w:val="24"/>
          <w:szCs w:val="24"/>
        </w:rPr>
        <w:t>centrilobulær</w:t>
      </w:r>
      <w:proofErr w:type="spellEnd"/>
      <w:r w:rsidRPr="006F6EE5">
        <w:rPr>
          <w:sz w:val="24"/>
          <w:szCs w:val="24"/>
        </w:rPr>
        <w:t xml:space="preserve"> hypertrofi. Der blev ikke observeret degenerative ændringer af </w:t>
      </w:r>
      <w:proofErr w:type="spellStart"/>
      <w:r w:rsidRPr="006F6EE5">
        <w:rPr>
          <w:sz w:val="24"/>
          <w:szCs w:val="24"/>
        </w:rPr>
        <w:t>hepatocytter</w:t>
      </w:r>
      <w:proofErr w:type="spellEnd"/>
      <w:r w:rsidRPr="006F6EE5">
        <w:rPr>
          <w:sz w:val="24"/>
          <w:szCs w:val="24"/>
        </w:rPr>
        <w:t>.</w:t>
      </w:r>
    </w:p>
    <w:p w14:paraId="42C13382" w14:textId="77777777" w:rsidR="00150AB9" w:rsidRPr="006F6EE5" w:rsidRDefault="00150AB9" w:rsidP="006F6EE5">
      <w:pPr>
        <w:numPr>
          <w:ilvl w:val="12"/>
          <w:numId w:val="0"/>
        </w:numPr>
        <w:ind w:left="851" w:right="11"/>
        <w:rPr>
          <w:sz w:val="24"/>
          <w:szCs w:val="24"/>
        </w:rPr>
      </w:pPr>
    </w:p>
    <w:p w14:paraId="08E1ED61" w14:textId="77777777" w:rsidR="00150AB9" w:rsidRPr="006F6EE5" w:rsidRDefault="00150AB9" w:rsidP="006F6EE5">
      <w:pPr>
        <w:numPr>
          <w:ilvl w:val="12"/>
          <w:numId w:val="0"/>
        </w:numPr>
        <w:ind w:left="851" w:right="11"/>
        <w:rPr>
          <w:sz w:val="24"/>
          <w:szCs w:val="24"/>
        </w:rPr>
      </w:pPr>
      <w:r w:rsidRPr="006F6EE5">
        <w:rPr>
          <w:sz w:val="24"/>
          <w:szCs w:val="24"/>
        </w:rPr>
        <w:t xml:space="preserve">Hos rotter blev der observeret </w:t>
      </w:r>
      <w:proofErr w:type="spellStart"/>
      <w:r w:rsidRPr="006F6EE5">
        <w:rPr>
          <w:sz w:val="24"/>
          <w:szCs w:val="24"/>
        </w:rPr>
        <w:t>vakuolisering</w:t>
      </w:r>
      <w:proofErr w:type="spellEnd"/>
      <w:r w:rsidRPr="006F6EE5">
        <w:rPr>
          <w:sz w:val="24"/>
          <w:szCs w:val="24"/>
        </w:rPr>
        <w:t xml:space="preserve"> af epitelet i nyrebækkenet samt </w:t>
      </w:r>
      <w:proofErr w:type="spellStart"/>
      <w:r w:rsidRPr="006F6EE5">
        <w:rPr>
          <w:sz w:val="24"/>
          <w:szCs w:val="24"/>
        </w:rPr>
        <w:t>vakuolisering</w:t>
      </w:r>
      <w:proofErr w:type="spellEnd"/>
      <w:r w:rsidRPr="006F6EE5">
        <w:rPr>
          <w:sz w:val="24"/>
          <w:szCs w:val="24"/>
        </w:rPr>
        <w:t xml:space="preserve"> og fortykkelse (</w:t>
      </w:r>
      <w:proofErr w:type="spellStart"/>
      <w:r w:rsidRPr="006F6EE5">
        <w:rPr>
          <w:sz w:val="24"/>
          <w:szCs w:val="24"/>
        </w:rPr>
        <w:t>hyperplasi</w:t>
      </w:r>
      <w:proofErr w:type="spellEnd"/>
      <w:r w:rsidRPr="006F6EE5">
        <w:rPr>
          <w:sz w:val="24"/>
          <w:szCs w:val="24"/>
        </w:rPr>
        <w:t xml:space="preserve">) af epitelet i urinblæren i et studie af 26 ugers varighed med gentagne doser. I et andet 26 ugers studie var forekomsten af </w:t>
      </w:r>
      <w:proofErr w:type="spellStart"/>
      <w:r w:rsidRPr="006F6EE5">
        <w:rPr>
          <w:sz w:val="24"/>
          <w:szCs w:val="24"/>
        </w:rPr>
        <w:t>hyperplasi</w:t>
      </w:r>
      <w:proofErr w:type="spellEnd"/>
      <w:r w:rsidRPr="006F6EE5">
        <w:rPr>
          <w:sz w:val="24"/>
          <w:szCs w:val="24"/>
        </w:rPr>
        <w:t xml:space="preserve"> af overgangsepitelet i urinblæren betydelig lavere. Disse fund viste reversibilitet over en opfølgningsperiode på 18 måneder. Varigheden af </w:t>
      </w:r>
      <w:proofErr w:type="spellStart"/>
      <w:r w:rsidRPr="006F6EE5">
        <w:rPr>
          <w:sz w:val="24"/>
          <w:szCs w:val="24"/>
        </w:rPr>
        <w:t>micafungin</w:t>
      </w:r>
      <w:proofErr w:type="spellEnd"/>
      <w:r w:rsidRPr="006F6EE5">
        <w:rPr>
          <w:sz w:val="24"/>
          <w:szCs w:val="24"/>
        </w:rPr>
        <w:t xml:space="preserve">-doseringen i disse rottestudier (6 måneder) overskred den normale varighed for </w:t>
      </w:r>
      <w:proofErr w:type="spellStart"/>
      <w:r w:rsidRPr="006F6EE5">
        <w:rPr>
          <w:sz w:val="24"/>
          <w:szCs w:val="24"/>
        </w:rPr>
        <w:t>micafungin</w:t>
      </w:r>
      <w:proofErr w:type="spellEnd"/>
      <w:r w:rsidRPr="006F6EE5">
        <w:rPr>
          <w:sz w:val="24"/>
          <w:szCs w:val="24"/>
        </w:rPr>
        <w:t>-dosering hos patienter (se pkt. 5.1).</w:t>
      </w:r>
    </w:p>
    <w:p w14:paraId="5E5C4BF9" w14:textId="77777777" w:rsidR="00150AB9" w:rsidRPr="006F6EE5" w:rsidRDefault="00150AB9" w:rsidP="006F6EE5">
      <w:pPr>
        <w:numPr>
          <w:ilvl w:val="12"/>
          <w:numId w:val="0"/>
        </w:numPr>
        <w:ind w:left="851" w:right="11"/>
        <w:rPr>
          <w:sz w:val="24"/>
          <w:szCs w:val="24"/>
        </w:rPr>
      </w:pPr>
    </w:p>
    <w:p w14:paraId="15DB6FF8" w14:textId="77777777" w:rsidR="00150AB9" w:rsidRPr="006F6EE5" w:rsidRDefault="00150AB9" w:rsidP="006F6EE5">
      <w:pPr>
        <w:numPr>
          <w:ilvl w:val="12"/>
          <w:numId w:val="0"/>
        </w:numPr>
        <w:ind w:left="851" w:right="11"/>
        <w:rPr>
          <w:sz w:val="24"/>
          <w:szCs w:val="24"/>
        </w:rPr>
      </w:pPr>
      <w:proofErr w:type="spellStart"/>
      <w:r w:rsidRPr="006F6EE5">
        <w:rPr>
          <w:sz w:val="24"/>
          <w:szCs w:val="24"/>
        </w:rPr>
        <w:t>Micafungin</w:t>
      </w:r>
      <w:proofErr w:type="spellEnd"/>
      <w:r w:rsidRPr="006F6EE5">
        <w:rPr>
          <w:sz w:val="24"/>
          <w:szCs w:val="24"/>
        </w:rPr>
        <w:t xml:space="preserve"> </w:t>
      </w:r>
      <w:proofErr w:type="spellStart"/>
      <w:r w:rsidRPr="006F6EE5">
        <w:rPr>
          <w:sz w:val="24"/>
          <w:szCs w:val="24"/>
        </w:rPr>
        <w:t>hæmolyserede</w:t>
      </w:r>
      <w:proofErr w:type="spellEnd"/>
      <w:r w:rsidRPr="006F6EE5">
        <w:rPr>
          <w:sz w:val="24"/>
          <w:szCs w:val="24"/>
        </w:rPr>
        <w:t xml:space="preserve"> kaninblod </w:t>
      </w:r>
      <w:r w:rsidRPr="006F6EE5">
        <w:rPr>
          <w:i/>
          <w:iCs/>
          <w:sz w:val="24"/>
          <w:szCs w:val="24"/>
        </w:rPr>
        <w:t>in </w:t>
      </w:r>
      <w:proofErr w:type="spellStart"/>
      <w:r w:rsidRPr="006F6EE5">
        <w:rPr>
          <w:i/>
          <w:iCs/>
          <w:sz w:val="24"/>
          <w:szCs w:val="24"/>
        </w:rPr>
        <w:t>vitro</w:t>
      </w:r>
      <w:proofErr w:type="spellEnd"/>
      <w:r w:rsidRPr="006F6EE5">
        <w:rPr>
          <w:sz w:val="24"/>
          <w:szCs w:val="24"/>
        </w:rPr>
        <w:t xml:space="preserve">. Hos rotter blev tegn på </w:t>
      </w:r>
      <w:proofErr w:type="spellStart"/>
      <w:r w:rsidRPr="006F6EE5">
        <w:rPr>
          <w:sz w:val="24"/>
          <w:szCs w:val="24"/>
        </w:rPr>
        <w:t>hæmolytisk</w:t>
      </w:r>
      <w:proofErr w:type="spellEnd"/>
      <w:r w:rsidRPr="006F6EE5">
        <w:rPr>
          <w:sz w:val="24"/>
          <w:szCs w:val="24"/>
        </w:rPr>
        <w:t xml:space="preserve"> anæmi observeret efter gentagen </w:t>
      </w:r>
      <w:proofErr w:type="spellStart"/>
      <w:r w:rsidRPr="006F6EE5">
        <w:rPr>
          <w:sz w:val="24"/>
          <w:szCs w:val="24"/>
        </w:rPr>
        <w:t>bolusinjektion</w:t>
      </w:r>
      <w:proofErr w:type="spellEnd"/>
      <w:r w:rsidRPr="006F6EE5">
        <w:rPr>
          <w:sz w:val="24"/>
          <w:szCs w:val="24"/>
        </w:rPr>
        <w:t xml:space="preserve"> af </w:t>
      </w:r>
      <w:proofErr w:type="spellStart"/>
      <w:r w:rsidRPr="006F6EE5">
        <w:rPr>
          <w:sz w:val="24"/>
          <w:szCs w:val="24"/>
        </w:rPr>
        <w:t>micafungin</w:t>
      </w:r>
      <w:proofErr w:type="spellEnd"/>
      <w:r w:rsidRPr="006F6EE5">
        <w:rPr>
          <w:sz w:val="24"/>
          <w:szCs w:val="24"/>
        </w:rPr>
        <w:t xml:space="preserve">. I studier med gentagne doser hos hunde blev der ikke observeret </w:t>
      </w:r>
      <w:proofErr w:type="spellStart"/>
      <w:r w:rsidRPr="006F6EE5">
        <w:rPr>
          <w:sz w:val="24"/>
          <w:szCs w:val="24"/>
        </w:rPr>
        <w:t>hæmolytisk</w:t>
      </w:r>
      <w:proofErr w:type="spellEnd"/>
      <w:r w:rsidRPr="006F6EE5">
        <w:rPr>
          <w:sz w:val="24"/>
          <w:szCs w:val="24"/>
        </w:rPr>
        <w:t xml:space="preserve"> anæmi.</w:t>
      </w:r>
    </w:p>
    <w:p w14:paraId="1E632EC6" w14:textId="77777777" w:rsidR="00150AB9" w:rsidRPr="006F6EE5" w:rsidRDefault="00150AB9" w:rsidP="006F6EE5">
      <w:pPr>
        <w:numPr>
          <w:ilvl w:val="12"/>
          <w:numId w:val="0"/>
        </w:numPr>
        <w:ind w:left="851" w:right="11"/>
        <w:rPr>
          <w:sz w:val="24"/>
          <w:szCs w:val="24"/>
        </w:rPr>
      </w:pPr>
    </w:p>
    <w:p w14:paraId="5E0625D0" w14:textId="77777777" w:rsidR="00150AB9" w:rsidRPr="006F6EE5" w:rsidRDefault="00150AB9" w:rsidP="006F6EE5">
      <w:pPr>
        <w:numPr>
          <w:ilvl w:val="12"/>
          <w:numId w:val="0"/>
        </w:numPr>
        <w:ind w:left="851" w:right="11"/>
        <w:rPr>
          <w:sz w:val="24"/>
          <w:szCs w:val="24"/>
        </w:rPr>
      </w:pPr>
      <w:r w:rsidRPr="006F6EE5">
        <w:rPr>
          <w:sz w:val="24"/>
          <w:szCs w:val="24"/>
        </w:rPr>
        <w:t xml:space="preserve">I reproduktions- og udviklingstoksicitetsstudier blev der observeret reduceret fødselsvægt hos hundehvalpe. Hos kaniner forekom der en abort ved 32 mg/kg/dag. Hanrotter i intravenøs behandling i 9 uger viste </w:t>
      </w:r>
      <w:proofErr w:type="spellStart"/>
      <w:r w:rsidRPr="006F6EE5">
        <w:rPr>
          <w:sz w:val="24"/>
          <w:szCs w:val="24"/>
        </w:rPr>
        <w:t>vakuolisering</w:t>
      </w:r>
      <w:proofErr w:type="spellEnd"/>
      <w:r w:rsidRPr="006F6EE5">
        <w:rPr>
          <w:sz w:val="24"/>
          <w:szCs w:val="24"/>
        </w:rPr>
        <w:t xml:space="preserve"> i bitestiklernes </w:t>
      </w:r>
      <w:proofErr w:type="spellStart"/>
      <w:r w:rsidRPr="006F6EE5">
        <w:rPr>
          <w:sz w:val="24"/>
          <w:szCs w:val="24"/>
        </w:rPr>
        <w:t>duktale</w:t>
      </w:r>
      <w:proofErr w:type="spellEnd"/>
      <w:r w:rsidRPr="006F6EE5">
        <w:rPr>
          <w:sz w:val="24"/>
          <w:szCs w:val="24"/>
        </w:rPr>
        <w:t xml:space="preserve"> epitelceller, forøget </w:t>
      </w:r>
      <w:proofErr w:type="spellStart"/>
      <w:r w:rsidRPr="006F6EE5">
        <w:rPr>
          <w:sz w:val="24"/>
          <w:szCs w:val="24"/>
        </w:rPr>
        <w:t>bitestikkelvægt</w:t>
      </w:r>
      <w:proofErr w:type="spellEnd"/>
      <w:r w:rsidRPr="006F6EE5">
        <w:rPr>
          <w:sz w:val="24"/>
          <w:szCs w:val="24"/>
        </w:rPr>
        <w:t xml:space="preserve"> og reduceret antal sædceller (med 15 %). Disse ændringer forekom imidlertid ikke i studier af 13 og 26 ugers varighed. Hos voksne hunde sås atrofi af sædkanaler med </w:t>
      </w:r>
      <w:proofErr w:type="spellStart"/>
      <w:r w:rsidRPr="006F6EE5">
        <w:rPr>
          <w:sz w:val="24"/>
          <w:szCs w:val="24"/>
        </w:rPr>
        <w:t>vakuolisering</w:t>
      </w:r>
      <w:proofErr w:type="spellEnd"/>
      <w:r w:rsidRPr="006F6EE5">
        <w:rPr>
          <w:sz w:val="24"/>
          <w:szCs w:val="24"/>
        </w:rPr>
        <w:t xml:space="preserve"> af sædkanalernes epitel og reduktion af sædceller i bitestiklerne efter længere tids behandling (39 uger), men ikke efter 13 ugers behandling. Hos unge hunde medførte 39 ugers behandling ikke dosisafhængige læsioner i testikler og bitestikler ved slutningen af behandlingen, men efter en behandlingsfri periode på 13 uger blev der fundet en dosisafhængig øgning af disse læsioner i de behandlede grupper. Der blev ikke observeret nedsat fertilitet hos hverken hanner eller hunner i de respektive fertilitets- og tidligere fosterudviklingsstudier hos rotter.</w:t>
      </w:r>
    </w:p>
    <w:p w14:paraId="2CE58C22" w14:textId="77777777" w:rsidR="00150AB9" w:rsidRPr="006F6EE5" w:rsidRDefault="00150AB9" w:rsidP="006F6EE5">
      <w:pPr>
        <w:numPr>
          <w:ilvl w:val="12"/>
          <w:numId w:val="0"/>
        </w:numPr>
        <w:ind w:left="851" w:right="11"/>
        <w:rPr>
          <w:sz w:val="24"/>
          <w:szCs w:val="24"/>
        </w:rPr>
      </w:pPr>
    </w:p>
    <w:p w14:paraId="7D3DB995" w14:textId="77777777" w:rsidR="00150AB9" w:rsidRPr="006F6EE5" w:rsidRDefault="00150AB9" w:rsidP="006F6EE5">
      <w:pPr>
        <w:numPr>
          <w:ilvl w:val="12"/>
          <w:numId w:val="0"/>
        </w:numPr>
        <w:ind w:left="851" w:right="11"/>
        <w:rPr>
          <w:sz w:val="24"/>
          <w:szCs w:val="24"/>
        </w:rPr>
      </w:pPr>
      <w:proofErr w:type="spellStart"/>
      <w:r w:rsidRPr="006F6EE5">
        <w:rPr>
          <w:sz w:val="24"/>
          <w:szCs w:val="24"/>
        </w:rPr>
        <w:t>Micafungin</w:t>
      </w:r>
      <w:proofErr w:type="spellEnd"/>
      <w:r w:rsidRPr="006F6EE5">
        <w:rPr>
          <w:sz w:val="24"/>
          <w:szCs w:val="24"/>
        </w:rPr>
        <w:t xml:space="preserve"> var ikke mutagent eller </w:t>
      </w:r>
      <w:proofErr w:type="spellStart"/>
      <w:r w:rsidRPr="006F6EE5">
        <w:rPr>
          <w:sz w:val="24"/>
          <w:szCs w:val="24"/>
        </w:rPr>
        <w:t>klastogent</w:t>
      </w:r>
      <w:proofErr w:type="spellEnd"/>
      <w:r w:rsidRPr="006F6EE5">
        <w:rPr>
          <w:sz w:val="24"/>
          <w:szCs w:val="24"/>
        </w:rPr>
        <w:t xml:space="preserve"> i en lang række af standardundersøgelser omfattende både </w:t>
      </w:r>
      <w:r w:rsidRPr="006F6EE5">
        <w:rPr>
          <w:i/>
          <w:iCs/>
          <w:sz w:val="24"/>
          <w:szCs w:val="24"/>
        </w:rPr>
        <w:t>in </w:t>
      </w:r>
      <w:proofErr w:type="spellStart"/>
      <w:r w:rsidRPr="006F6EE5">
        <w:rPr>
          <w:i/>
          <w:iCs/>
          <w:sz w:val="24"/>
          <w:szCs w:val="24"/>
        </w:rPr>
        <w:t>vitro</w:t>
      </w:r>
      <w:proofErr w:type="spellEnd"/>
      <w:r w:rsidRPr="006F6EE5">
        <w:rPr>
          <w:sz w:val="24"/>
          <w:szCs w:val="24"/>
        </w:rPr>
        <w:noBreakHyphen/>
        <w:t xml:space="preserve"> og </w:t>
      </w:r>
      <w:r w:rsidRPr="006F6EE5">
        <w:rPr>
          <w:i/>
          <w:iCs/>
          <w:sz w:val="24"/>
          <w:szCs w:val="24"/>
        </w:rPr>
        <w:t>in </w:t>
      </w:r>
      <w:proofErr w:type="spellStart"/>
      <w:r w:rsidRPr="006F6EE5">
        <w:rPr>
          <w:i/>
          <w:iCs/>
          <w:sz w:val="24"/>
          <w:szCs w:val="24"/>
        </w:rPr>
        <w:t>vivo</w:t>
      </w:r>
      <w:proofErr w:type="spellEnd"/>
      <w:r w:rsidRPr="006F6EE5">
        <w:rPr>
          <w:sz w:val="24"/>
          <w:szCs w:val="24"/>
        </w:rPr>
        <w:t xml:space="preserve">-tests, herunder et </w:t>
      </w:r>
      <w:r w:rsidRPr="006F6EE5">
        <w:rPr>
          <w:i/>
          <w:iCs/>
          <w:sz w:val="24"/>
          <w:szCs w:val="24"/>
        </w:rPr>
        <w:t>in </w:t>
      </w:r>
      <w:proofErr w:type="spellStart"/>
      <w:r w:rsidRPr="006F6EE5">
        <w:rPr>
          <w:i/>
          <w:iCs/>
          <w:sz w:val="24"/>
          <w:szCs w:val="24"/>
        </w:rPr>
        <w:t>vitro</w:t>
      </w:r>
      <w:proofErr w:type="spellEnd"/>
      <w:r w:rsidRPr="006F6EE5">
        <w:rPr>
          <w:sz w:val="24"/>
          <w:szCs w:val="24"/>
        </w:rPr>
        <w:t xml:space="preserve">-studie vedrørende </w:t>
      </w:r>
      <w:proofErr w:type="spellStart"/>
      <w:r w:rsidRPr="006F6EE5">
        <w:rPr>
          <w:sz w:val="24"/>
          <w:szCs w:val="24"/>
        </w:rPr>
        <w:t>uplanlagt</w:t>
      </w:r>
      <w:proofErr w:type="spellEnd"/>
      <w:r w:rsidRPr="006F6EE5">
        <w:rPr>
          <w:sz w:val="24"/>
          <w:szCs w:val="24"/>
        </w:rPr>
        <w:t xml:space="preserve"> DNA-syntese med </w:t>
      </w:r>
      <w:proofErr w:type="spellStart"/>
      <w:r w:rsidRPr="006F6EE5">
        <w:rPr>
          <w:sz w:val="24"/>
          <w:szCs w:val="24"/>
        </w:rPr>
        <w:t>hepatocytter</w:t>
      </w:r>
      <w:proofErr w:type="spellEnd"/>
      <w:r w:rsidRPr="006F6EE5">
        <w:rPr>
          <w:sz w:val="24"/>
          <w:szCs w:val="24"/>
        </w:rPr>
        <w:t xml:space="preserve"> fra rotter.</w:t>
      </w:r>
    </w:p>
    <w:p w14:paraId="0F3D4B25" w14:textId="77777777" w:rsidR="009260DE" w:rsidRPr="006F6EE5" w:rsidRDefault="009260DE" w:rsidP="009260DE">
      <w:pPr>
        <w:tabs>
          <w:tab w:val="left" w:pos="851"/>
        </w:tabs>
        <w:ind w:left="851"/>
        <w:rPr>
          <w:sz w:val="24"/>
          <w:szCs w:val="24"/>
        </w:rPr>
      </w:pPr>
    </w:p>
    <w:p w14:paraId="3D788B68" w14:textId="5C7A4A2E" w:rsidR="00F852AA" w:rsidRDefault="00F852AA">
      <w:pPr>
        <w:rPr>
          <w:sz w:val="24"/>
          <w:szCs w:val="24"/>
        </w:rPr>
      </w:pPr>
      <w:r>
        <w:rPr>
          <w:sz w:val="24"/>
          <w:szCs w:val="24"/>
        </w:rPr>
        <w:br w:type="page"/>
      </w:r>
    </w:p>
    <w:p w14:paraId="5A7CA292" w14:textId="77777777" w:rsidR="009260DE" w:rsidRPr="006F6EE5" w:rsidRDefault="009260DE" w:rsidP="009260DE">
      <w:pPr>
        <w:tabs>
          <w:tab w:val="left" w:pos="851"/>
        </w:tabs>
        <w:ind w:left="851"/>
        <w:rPr>
          <w:sz w:val="24"/>
          <w:szCs w:val="24"/>
        </w:rPr>
      </w:pPr>
    </w:p>
    <w:p w14:paraId="5488DAC3" w14:textId="77777777" w:rsidR="009260DE" w:rsidRPr="006F6EE5" w:rsidRDefault="009260DE" w:rsidP="009260DE">
      <w:pPr>
        <w:tabs>
          <w:tab w:val="left" w:pos="851"/>
        </w:tabs>
        <w:ind w:left="851" w:hanging="851"/>
        <w:rPr>
          <w:b/>
          <w:sz w:val="24"/>
          <w:szCs w:val="24"/>
        </w:rPr>
      </w:pPr>
      <w:r w:rsidRPr="006F6EE5">
        <w:rPr>
          <w:b/>
          <w:sz w:val="24"/>
          <w:szCs w:val="24"/>
        </w:rPr>
        <w:t>6.</w:t>
      </w:r>
      <w:r w:rsidRPr="006F6EE5">
        <w:rPr>
          <w:b/>
          <w:sz w:val="24"/>
          <w:szCs w:val="24"/>
        </w:rPr>
        <w:tab/>
        <w:t>FARMACEUTISKE OPLYSNINGER</w:t>
      </w:r>
    </w:p>
    <w:p w14:paraId="213D5DB5" w14:textId="77777777" w:rsidR="009260DE" w:rsidRPr="006F6EE5" w:rsidRDefault="009260DE" w:rsidP="009260DE">
      <w:pPr>
        <w:tabs>
          <w:tab w:val="left" w:pos="851"/>
        </w:tabs>
        <w:ind w:left="851"/>
        <w:rPr>
          <w:sz w:val="24"/>
          <w:szCs w:val="24"/>
        </w:rPr>
      </w:pPr>
    </w:p>
    <w:p w14:paraId="4A40ADB0" w14:textId="77777777" w:rsidR="009260DE" w:rsidRPr="006F6EE5" w:rsidRDefault="009260DE" w:rsidP="009260DE">
      <w:pPr>
        <w:tabs>
          <w:tab w:val="left" w:pos="851"/>
        </w:tabs>
        <w:ind w:left="851" w:hanging="851"/>
        <w:rPr>
          <w:b/>
          <w:sz w:val="24"/>
          <w:szCs w:val="24"/>
        </w:rPr>
      </w:pPr>
      <w:r w:rsidRPr="006F6EE5">
        <w:rPr>
          <w:b/>
          <w:sz w:val="24"/>
          <w:szCs w:val="24"/>
        </w:rPr>
        <w:t>6.1</w:t>
      </w:r>
      <w:r w:rsidRPr="006F6EE5">
        <w:rPr>
          <w:b/>
          <w:sz w:val="24"/>
          <w:szCs w:val="24"/>
        </w:rPr>
        <w:tab/>
        <w:t>Hjælpestoffer</w:t>
      </w:r>
    </w:p>
    <w:p w14:paraId="18BEE5A9" w14:textId="77777777" w:rsidR="00150AB9" w:rsidRPr="006F6EE5" w:rsidRDefault="00150AB9" w:rsidP="006F6EE5">
      <w:pPr>
        <w:ind w:left="851"/>
        <w:rPr>
          <w:sz w:val="24"/>
          <w:szCs w:val="24"/>
        </w:rPr>
      </w:pPr>
      <w:proofErr w:type="spellStart"/>
      <w:r w:rsidRPr="006F6EE5">
        <w:rPr>
          <w:sz w:val="24"/>
          <w:szCs w:val="24"/>
        </w:rPr>
        <w:t>Lactosemonohydrat</w:t>
      </w:r>
      <w:proofErr w:type="spellEnd"/>
    </w:p>
    <w:p w14:paraId="6E7D55FD" w14:textId="77777777" w:rsidR="00150AB9" w:rsidRPr="006F6EE5" w:rsidRDefault="00150AB9" w:rsidP="006F6EE5">
      <w:pPr>
        <w:ind w:left="851"/>
        <w:rPr>
          <w:sz w:val="24"/>
          <w:szCs w:val="24"/>
        </w:rPr>
      </w:pPr>
      <w:r w:rsidRPr="006F6EE5">
        <w:rPr>
          <w:sz w:val="24"/>
          <w:szCs w:val="24"/>
        </w:rPr>
        <w:t>Citronsyre, vandfri (til pH-justering)</w:t>
      </w:r>
    </w:p>
    <w:p w14:paraId="5958C3B1" w14:textId="77777777" w:rsidR="00150AB9" w:rsidRPr="006F6EE5" w:rsidRDefault="00150AB9" w:rsidP="006F6EE5">
      <w:pPr>
        <w:ind w:left="851"/>
        <w:rPr>
          <w:sz w:val="24"/>
          <w:szCs w:val="24"/>
        </w:rPr>
      </w:pPr>
      <w:r w:rsidRPr="006F6EE5">
        <w:rPr>
          <w:sz w:val="24"/>
          <w:szCs w:val="24"/>
        </w:rPr>
        <w:t>Natriumhydroxid (til pH-justering)</w:t>
      </w:r>
    </w:p>
    <w:p w14:paraId="6B0226B8" w14:textId="77777777" w:rsidR="009260DE" w:rsidRPr="006F6EE5" w:rsidRDefault="009260DE" w:rsidP="009260DE">
      <w:pPr>
        <w:tabs>
          <w:tab w:val="left" w:pos="851"/>
        </w:tabs>
        <w:ind w:left="851"/>
        <w:rPr>
          <w:sz w:val="24"/>
          <w:szCs w:val="24"/>
        </w:rPr>
      </w:pPr>
    </w:p>
    <w:p w14:paraId="4C945FFF" w14:textId="77777777" w:rsidR="009260DE" w:rsidRPr="006F6EE5" w:rsidRDefault="009260DE" w:rsidP="009260DE">
      <w:pPr>
        <w:tabs>
          <w:tab w:val="left" w:pos="851"/>
        </w:tabs>
        <w:ind w:left="851" w:hanging="851"/>
        <w:rPr>
          <w:b/>
          <w:sz w:val="24"/>
          <w:szCs w:val="24"/>
        </w:rPr>
      </w:pPr>
      <w:r w:rsidRPr="006F6EE5">
        <w:rPr>
          <w:b/>
          <w:sz w:val="24"/>
          <w:szCs w:val="24"/>
        </w:rPr>
        <w:t>6.2</w:t>
      </w:r>
      <w:r w:rsidRPr="006F6EE5">
        <w:rPr>
          <w:b/>
          <w:sz w:val="24"/>
          <w:szCs w:val="24"/>
        </w:rPr>
        <w:tab/>
        <w:t>Uforligeligheder</w:t>
      </w:r>
    </w:p>
    <w:p w14:paraId="3A535AE7" w14:textId="77777777" w:rsidR="00150AB9" w:rsidRPr="006F6EE5" w:rsidRDefault="00150AB9" w:rsidP="006F6EE5">
      <w:pPr>
        <w:ind w:left="851"/>
        <w:rPr>
          <w:sz w:val="24"/>
          <w:szCs w:val="24"/>
        </w:rPr>
      </w:pPr>
      <w:r w:rsidRPr="006F6EE5">
        <w:rPr>
          <w:sz w:val="24"/>
          <w:szCs w:val="24"/>
        </w:rPr>
        <w:t xml:space="preserve">Dette lægemiddel må ikke blandes eller </w:t>
      </w:r>
      <w:proofErr w:type="spellStart"/>
      <w:r w:rsidRPr="006F6EE5">
        <w:rPr>
          <w:sz w:val="24"/>
          <w:szCs w:val="24"/>
        </w:rPr>
        <w:t>infunderes</w:t>
      </w:r>
      <w:proofErr w:type="spellEnd"/>
      <w:r w:rsidRPr="006F6EE5">
        <w:rPr>
          <w:sz w:val="24"/>
          <w:szCs w:val="24"/>
        </w:rPr>
        <w:t xml:space="preserve"> sammen med andre lægemidler end dem, der er anført under pkt. 6.6.</w:t>
      </w:r>
    </w:p>
    <w:p w14:paraId="1E17B0B3" w14:textId="77777777" w:rsidR="009260DE" w:rsidRPr="006F6EE5" w:rsidRDefault="009260DE" w:rsidP="009260DE">
      <w:pPr>
        <w:tabs>
          <w:tab w:val="left" w:pos="851"/>
        </w:tabs>
        <w:ind w:left="851"/>
        <w:rPr>
          <w:sz w:val="24"/>
          <w:szCs w:val="24"/>
        </w:rPr>
      </w:pPr>
    </w:p>
    <w:p w14:paraId="0DE287E4" w14:textId="77777777" w:rsidR="009260DE" w:rsidRPr="006F6EE5" w:rsidRDefault="009260DE" w:rsidP="009260DE">
      <w:pPr>
        <w:tabs>
          <w:tab w:val="left" w:pos="851"/>
        </w:tabs>
        <w:ind w:left="851" w:hanging="851"/>
        <w:rPr>
          <w:b/>
          <w:sz w:val="24"/>
          <w:szCs w:val="24"/>
        </w:rPr>
      </w:pPr>
      <w:r w:rsidRPr="006F6EE5">
        <w:rPr>
          <w:b/>
          <w:sz w:val="24"/>
          <w:szCs w:val="24"/>
        </w:rPr>
        <w:t>6.3</w:t>
      </w:r>
      <w:r w:rsidRPr="006F6EE5">
        <w:rPr>
          <w:b/>
          <w:sz w:val="24"/>
          <w:szCs w:val="24"/>
        </w:rPr>
        <w:tab/>
        <w:t>Opbevaringstid</w:t>
      </w:r>
    </w:p>
    <w:p w14:paraId="30E11C33" w14:textId="77777777" w:rsidR="00150AB9" w:rsidRPr="006F6EE5" w:rsidRDefault="00150AB9" w:rsidP="006F6EE5">
      <w:pPr>
        <w:ind w:left="851"/>
        <w:rPr>
          <w:sz w:val="24"/>
          <w:szCs w:val="24"/>
        </w:rPr>
      </w:pPr>
      <w:r w:rsidRPr="006F6EE5">
        <w:rPr>
          <w:sz w:val="24"/>
          <w:szCs w:val="24"/>
        </w:rPr>
        <w:t>Uåbnet hætteglas: 24 måneder.</w:t>
      </w:r>
    </w:p>
    <w:p w14:paraId="47039310" w14:textId="77777777" w:rsidR="00150AB9" w:rsidRPr="006F6EE5" w:rsidRDefault="00150AB9" w:rsidP="006F6EE5">
      <w:pPr>
        <w:ind w:left="851"/>
        <w:rPr>
          <w:sz w:val="24"/>
          <w:szCs w:val="24"/>
        </w:rPr>
      </w:pPr>
    </w:p>
    <w:p w14:paraId="6F2DB20A" w14:textId="77777777" w:rsidR="00150AB9" w:rsidRPr="006F6EE5" w:rsidRDefault="00150AB9" w:rsidP="006F6EE5">
      <w:pPr>
        <w:ind w:left="851"/>
        <w:rPr>
          <w:sz w:val="24"/>
          <w:szCs w:val="24"/>
          <w:u w:val="single"/>
        </w:rPr>
      </w:pPr>
      <w:proofErr w:type="spellStart"/>
      <w:r w:rsidRPr="006F6EE5">
        <w:rPr>
          <w:sz w:val="24"/>
          <w:szCs w:val="24"/>
          <w:u w:val="single"/>
        </w:rPr>
        <w:t>Rekonstitueret</w:t>
      </w:r>
      <w:proofErr w:type="spellEnd"/>
      <w:r w:rsidRPr="006F6EE5">
        <w:rPr>
          <w:sz w:val="24"/>
          <w:szCs w:val="24"/>
          <w:u w:val="single"/>
        </w:rPr>
        <w:t xml:space="preserve"> koncentrat i hætteglas</w:t>
      </w:r>
    </w:p>
    <w:p w14:paraId="471412AF" w14:textId="77777777" w:rsidR="00150AB9" w:rsidRPr="006F6EE5" w:rsidRDefault="00150AB9" w:rsidP="006F6EE5">
      <w:pPr>
        <w:ind w:left="851"/>
        <w:rPr>
          <w:sz w:val="24"/>
          <w:szCs w:val="24"/>
        </w:rPr>
      </w:pPr>
    </w:p>
    <w:p w14:paraId="681D9086" w14:textId="77777777" w:rsidR="00150AB9" w:rsidRPr="006F6EE5" w:rsidRDefault="00150AB9" w:rsidP="006F6EE5">
      <w:pPr>
        <w:ind w:left="851"/>
        <w:rPr>
          <w:sz w:val="24"/>
          <w:szCs w:val="24"/>
        </w:rPr>
      </w:pPr>
      <w:r w:rsidRPr="006F6EE5">
        <w:rPr>
          <w:sz w:val="24"/>
          <w:szCs w:val="24"/>
        </w:rPr>
        <w:t xml:space="preserve">Der er vist kemisk og fysisk stabilitet i op til 48 timer ved 25 °C efter </w:t>
      </w:r>
      <w:proofErr w:type="spellStart"/>
      <w:r w:rsidRPr="006F6EE5">
        <w:rPr>
          <w:sz w:val="24"/>
          <w:szCs w:val="24"/>
        </w:rPr>
        <w:t>rekonstitution</w:t>
      </w:r>
      <w:proofErr w:type="spellEnd"/>
      <w:r w:rsidRPr="006F6EE5">
        <w:rPr>
          <w:sz w:val="24"/>
          <w:szCs w:val="24"/>
        </w:rPr>
        <w:t xml:space="preserve"> med </w:t>
      </w:r>
      <w:proofErr w:type="spellStart"/>
      <w:r w:rsidRPr="006F6EE5">
        <w:rPr>
          <w:sz w:val="24"/>
          <w:szCs w:val="24"/>
        </w:rPr>
        <w:t>natriumchlorid</w:t>
      </w:r>
      <w:proofErr w:type="spellEnd"/>
      <w:r w:rsidRPr="006F6EE5">
        <w:rPr>
          <w:sz w:val="24"/>
          <w:szCs w:val="24"/>
        </w:rPr>
        <w:t xml:space="preserve"> 9 mg/ml (0,9 %) infusionsvæske, opløsning eller </w:t>
      </w:r>
      <w:proofErr w:type="spellStart"/>
      <w:r w:rsidRPr="006F6EE5">
        <w:rPr>
          <w:sz w:val="24"/>
          <w:szCs w:val="24"/>
        </w:rPr>
        <w:t>glucose</w:t>
      </w:r>
      <w:proofErr w:type="spellEnd"/>
      <w:r w:rsidRPr="006F6EE5">
        <w:rPr>
          <w:sz w:val="24"/>
          <w:szCs w:val="24"/>
        </w:rPr>
        <w:t xml:space="preserve"> 50 mg/ml (5 %) infusionsvæske, opløsning.</w:t>
      </w:r>
    </w:p>
    <w:p w14:paraId="513E536C" w14:textId="77777777" w:rsidR="00150AB9" w:rsidRPr="006F6EE5" w:rsidRDefault="00150AB9" w:rsidP="006F6EE5">
      <w:pPr>
        <w:ind w:left="851"/>
        <w:rPr>
          <w:sz w:val="24"/>
          <w:szCs w:val="24"/>
        </w:rPr>
      </w:pPr>
    </w:p>
    <w:p w14:paraId="5F1341E8" w14:textId="77777777" w:rsidR="00150AB9" w:rsidRPr="006F6EE5" w:rsidRDefault="00150AB9" w:rsidP="006F6EE5">
      <w:pPr>
        <w:ind w:left="851"/>
        <w:rPr>
          <w:sz w:val="24"/>
          <w:szCs w:val="24"/>
          <w:u w:val="single"/>
        </w:rPr>
      </w:pPr>
      <w:r w:rsidRPr="006F6EE5">
        <w:rPr>
          <w:sz w:val="24"/>
          <w:szCs w:val="24"/>
          <w:u w:val="single"/>
        </w:rPr>
        <w:t>Fortyndet infusionsvæske, opløsning</w:t>
      </w:r>
    </w:p>
    <w:p w14:paraId="00D43BCC" w14:textId="77777777" w:rsidR="00150AB9" w:rsidRPr="006F6EE5" w:rsidRDefault="00150AB9" w:rsidP="006F6EE5">
      <w:pPr>
        <w:ind w:left="851"/>
        <w:rPr>
          <w:sz w:val="24"/>
          <w:szCs w:val="24"/>
        </w:rPr>
      </w:pPr>
    </w:p>
    <w:p w14:paraId="6906C4C4" w14:textId="77777777" w:rsidR="00150AB9" w:rsidRPr="006F6EE5" w:rsidRDefault="00150AB9" w:rsidP="006F6EE5">
      <w:pPr>
        <w:ind w:left="851"/>
        <w:rPr>
          <w:sz w:val="24"/>
          <w:szCs w:val="24"/>
        </w:rPr>
      </w:pPr>
      <w:r w:rsidRPr="006F6EE5">
        <w:rPr>
          <w:sz w:val="24"/>
          <w:szCs w:val="24"/>
        </w:rPr>
        <w:t xml:space="preserve">Der er vist kemisk og fysisk stabilitet i 96 timer ved 25 °C, hvis opløsningen beskyttes mod lys, og hvis den er fortyndet med </w:t>
      </w:r>
      <w:proofErr w:type="spellStart"/>
      <w:r w:rsidRPr="006F6EE5">
        <w:rPr>
          <w:sz w:val="24"/>
          <w:szCs w:val="24"/>
        </w:rPr>
        <w:t>natriumchlorid</w:t>
      </w:r>
      <w:proofErr w:type="spellEnd"/>
      <w:r w:rsidRPr="006F6EE5">
        <w:rPr>
          <w:sz w:val="24"/>
          <w:szCs w:val="24"/>
        </w:rPr>
        <w:t xml:space="preserve"> 9 mg/ml (0,9 %) til infusionsvæske, opløsning eller </w:t>
      </w:r>
      <w:proofErr w:type="spellStart"/>
      <w:r w:rsidRPr="006F6EE5">
        <w:rPr>
          <w:sz w:val="24"/>
          <w:szCs w:val="24"/>
        </w:rPr>
        <w:t>glucose</w:t>
      </w:r>
      <w:proofErr w:type="spellEnd"/>
      <w:r w:rsidRPr="006F6EE5">
        <w:rPr>
          <w:sz w:val="24"/>
          <w:szCs w:val="24"/>
        </w:rPr>
        <w:t xml:space="preserve"> 50 mg/ml (5 %) til infusionsvæske, opløsning.</w:t>
      </w:r>
    </w:p>
    <w:p w14:paraId="43B7943B" w14:textId="77777777" w:rsidR="00150AB9" w:rsidRPr="006F6EE5" w:rsidRDefault="00150AB9" w:rsidP="006F6EE5">
      <w:pPr>
        <w:ind w:left="851"/>
        <w:rPr>
          <w:sz w:val="24"/>
          <w:szCs w:val="24"/>
        </w:rPr>
      </w:pPr>
    </w:p>
    <w:p w14:paraId="74BE787E" w14:textId="71C2A08C" w:rsidR="00150AB9" w:rsidRPr="006F6EE5" w:rsidRDefault="00150AB9" w:rsidP="006F6EE5">
      <w:pPr>
        <w:ind w:left="851"/>
        <w:rPr>
          <w:sz w:val="24"/>
          <w:szCs w:val="24"/>
        </w:rPr>
      </w:pPr>
      <w:proofErr w:type="spellStart"/>
      <w:r w:rsidRPr="006F6EE5">
        <w:rPr>
          <w:sz w:val="24"/>
          <w:szCs w:val="24"/>
        </w:rPr>
        <w:t>Micafungin</w:t>
      </w:r>
      <w:proofErr w:type="spellEnd"/>
      <w:r w:rsidRPr="006F6EE5">
        <w:rPr>
          <w:sz w:val="24"/>
          <w:szCs w:val="24"/>
        </w:rPr>
        <w:t xml:space="preserve"> </w:t>
      </w:r>
      <w:r w:rsidR="006F6EE5">
        <w:rPr>
          <w:sz w:val="24"/>
          <w:szCs w:val="24"/>
        </w:rPr>
        <w:t>"</w:t>
      </w:r>
      <w:proofErr w:type="spellStart"/>
      <w:r w:rsidRPr="006F6EE5">
        <w:rPr>
          <w:sz w:val="24"/>
          <w:szCs w:val="24"/>
        </w:rPr>
        <w:t>Hikma</w:t>
      </w:r>
      <w:proofErr w:type="spellEnd"/>
      <w:r w:rsidR="006F6EE5">
        <w:rPr>
          <w:sz w:val="24"/>
          <w:szCs w:val="24"/>
        </w:rPr>
        <w:t>"</w:t>
      </w:r>
      <w:r w:rsidRPr="006F6EE5">
        <w:rPr>
          <w:sz w:val="24"/>
          <w:szCs w:val="24"/>
        </w:rPr>
        <w:t xml:space="preserve"> indeholder ingen konserveringsmidler. Set fra et mikrobiologisk synspunkt bør de </w:t>
      </w:r>
      <w:proofErr w:type="spellStart"/>
      <w:r w:rsidRPr="006F6EE5">
        <w:rPr>
          <w:sz w:val="24"/>
          <w:szCs w:val="24"/>
        </w:rPr>
        <w:t>rekonstituerede</w:t>
      </w:r>
      <w:proofErr w:type="spellEnd"/>
      <w:r w:rsidRPr="006F6EE5">
        <w:rPr>
          <w:sz w:val="24"/>
          <w:szCs w:val="24"/>
        </w:rPr>
        <w:t xml:space="preserve"> og fortyndede opløsninger anvendes straks. Hvis de ikke anvendes straks, er opbevaringstid og opbevaringsbetingelser før anvendelsen brugerens ansvar og bør ikke overstige 24 timer ved 2</w:t>
      </w:r>
      <w:r w:rsidRPr="006F6EE5">
        <w:rPr>
          <w:sz w:val="24"/>
          <w:szCs w:val="24"/>
        </w:rPr>
        <w:noBreakHyphen/>
        <w:t xml:space="preserve">8 °C, medmindre </w:t>
      </w:r>
      <w:proofErr w:type="spellStart"/>
      <w:r w:rsidRPr="006F6EE5">
        <w:rPr>
          <w:sz w:val="24"/>
          <w:szCs w:val="24"/>
        </w:rPr>
        <w:t>rekonstitution</w:t>
      </w:r>
      <w:proofErr w:type="spellEnd"/>
      <w:r w:rsidRPr="006F6EE5">
        <w:rPr>
          <w:sz w:val="24"/>
          <w:szCs w:val="24"/>
        </w:rPr>
        <w:t xml:space="preserve"> og fortynding sker under kontrollerede og validerede aseptiske forhold.</w:t>
      </w:r>
    </w:p>
    <w:p w14:paraId="4D2FCBCB" w14:textId="77777777" w:rsidR="009260DE" w:rsidRPr="006F6EE5" w:rsidRDefault="009260DE" w:rsidP="009260DE">
      <w:pPr>
        <w:tabs>
          <w:tab w:val="left" w:pos="851"/>
        </w:tabs>
        <w:ind w:left="851"/>
        <w:rPr>
          <w:sz w:val="24"/>
          <w:szCs w:val="24"/>
        </w:rPr>
      </w:pPr>
    </w:p>
    <w:p w14:paraId="3DAA0329" w14:textId="77777777" w:rsidR="009260DE" w:rsidRPr="006F6EE5" w:rsidRDefault="009260DE" w:rsidP="009260DE">
      <w:pPr>
        <w:tabs>
          <w:tab w:val="left" w:pos="851"/>
        </w:tabs>
        <w:ind w:left="851" w:hanging="851"/>
        <w:rPr>
          <w:b/>
          <w:sz w:val="24"/>
          <w:szCs w:val="24"/>
        </w:rPr>
      </w:pPr>
      <w:r w:rsidRPr="006F6EE5">
        <w:rPr>
          <w:b/>
          <w:sz w:val="24"/>
          <w:szCs w:val="24"/>
        </w:rPr>
        <w:t>6.4</w:t>
      </w:r>
      <w:r w:rsidRPr="006F6EE5">
        <w:rPr>
          <w:b/>
          <w:sz w:val="24"/>
          <w:szCs w:val="24"/>
        </w:rPr>
        <w:tab/>
        <w:t>Særlige opbevaringsforhold</w:t>
      </w:r>
    </w:p>
    <w:p w14:paraId="60A730B6" w14:textId="77777777" w:rsidR="00A002EE" w:rsidRDefault="00A002EE" w:rsidP="006F6EE5">
      <w:pPr>
        <w:ind w:left="851"/>
        <w:rPr>
          <w:sz w:val="24"/>
          <w:szCs w:val="24"/>
        </w:rPr>
      </w:pPr>
    </w:p>
    <w:p w14:paraId="3A1AFE8D" w14:textId="43F31CDD" w:rsidR="00150AB9" w:rsidRPr="00A002EE" w:rsidRDefault="00150AB9" w:rsidP="006F6EE5">
      <w:pPr>
        <w:ind w:left="851"/>
        <w:rPr>
          <w:sz w:val="24"/>
          <w:szCs w:val="24"/>
          <w:u w:val="single"/>
        </w:rPr>
      </w:pPr>
      <w:r w:rsidRPr="00A002EE">
        <w:rPr>
          <w:sz w:val="24"/>
          <w:szCs w:val="24"/>
          <w:u w:val="single"/>
        </w:rPr>
        <w:t>Uåbnede hætteglas</w:t>
      </w:r>
      <w:r w:rsidR="00A002EE" w:rsidRPr="00A002EE">
        <w:rPr>
          <w:sz w:val="24"/>
          <w:szCs w:val="24"/>
          <w:u w:val="single"/>
        </w:rPr>
        <w:t>:</w:t>
      </w:r>
    </w:p>
    <w:p w14:paraId="0DCBB23C" w14:textId="77777777" w:rsidR="00150AB9" w:rsidRPr="006F6EE5" w:rsidRDefault="00150AB9" w:rsidP="006F6EE5">
      <w:pPr>
        <w:ind w:left="851"/>
        <w:rPr>
          <w:sz w:val="24"/>
          <w:szCs w:val="24"/>
        </w:rPr>
      </w:pPr>
      <w:bookmarkStart w:id="0" w:name="_GoBack"/>
      <w:bookmarkEnd w:id="0"/>
      <w:r w:rsidRPr="006F6EE5">
        <w:rPr>
          <w:sz w:val="24"/>
          <w:szCs w:val="24"/>
        </w:rPr>
        <w:t>Dette lægemiddel kræver ingen særlige forholdsregler vedrørende opbevaringen.</w:t>
      </w:r>
    </w:p>
    <w:p w14:paraId="5A814F95" w14:textId="77777777" w:rsidR="00150AB9" w:rsidRPr="006F6EE5" w:rsidRDefault="00150AB9" w:rsidP="006F6EE5">
      <w:pPr>
        <w:ind w:left="851"/>
        <w:rPr>
          <w:sz w:val="24"/>
          <w:szCs w:val="24"/>
        </w:rPr>
      </w:pPr>
    </w:p>
    <w:p w14:paraId="2DD6F247" w14:textId="77777777" w:rsidR="00150AB9" w:rsidRPr="006F6EE5" w:rsidRDefault="00150AB9" w:rsidP="006F6EE5">
      <w:pPr>
        <w:ind w:left="851"/>
        <w:rPr>
          <w:sz w:val="24"/>
          <w:szCs w:val="24"/>
          <w:highlight w:val="yellow"/>
        </w:rPr>
      </w:pPr>
      <w:r w:rsidRPr="006F6EE5">
        <w:rPr>
          <w:sz w:val="24"/>
          <w:szCs w:val="24"/>
        </w:rPr>
        <w:t xml:space="preserve">Opbevaringsforhold efter </w:t>
      </w:r>
      <w:proofErr w:type="spellStart"/>
      <w:r w:rsidRPr="006F6EE5">
        <w:rPr>
          <w:sz w:val="24"/>
          <w:szCs w:val="24"/>
        </w:rPr>
        <w:t>rekonstitution</w:t>
      </w:r>
      <w:proofErr w:type="spellEnd"/>
      <w:r w:rsidRPr="006F6EE5">
        <w:rPr>
          <w:sz w:val="24"/>
          <w:szCs w:val="24"/>
        </w:rPr>
        <w:t xml:space="preserve"> og fortynding af lægemidlet, se pkt. 6.3.</w:t>
      </w:r>
    </w:p>
    <w:p w14:paraId="706508B9" w14:textId="77777777" w:rsidR="009260DE" w:rsidRPr="006F6EE5" w:rsidRDefault="009260DE" w:rsidP="009260DE">
      <w:pPr>
        <w:tabs>
          <w:tab w:val="left" w:pos="851"/>
        </w:tabs>
        <w:ind w:left="851"/>
        <w:rPr>
          <w:sz w:val="24"/>
          <w:szCs w:val="24"/>
        </w:rPr>
      </w:pPr>
    </w:p>
    <w:p w14:paraId="6F0C8EAD" w14:textId="77777777" w:rsidR="009260DE" w:rsidRPr="006F6EE5" w:rsidRDefault="009260DE" w:rsidP="009260DE">
      <w:pPr>
        <w:tabs>
          <w:tab w:val="left" w:pos="851"/>
        </w:tabs>
        <w:ind w:left="851" w:hanging="851"/>
        <w:rPr>
          <w:b/>
          <w:sz w:val="24"/>
          <w:szCs w:val="24"/>
        </w:rPr>
      </w:pPr>
      <w:r w:rsidRPr="006F6EE5">
        <w:rPr>
          <w:b/>
          <w:sz w:val="24"/>
          <w:szCs w:val="24"/>
        </w:rPr>
        <w:t>6.5</w:t>
      </w:r>
      <w:r w:rsidRPr="006F6EE5">
        <w:rPr>
          <w:b/>
          <w:sz w:val="24"/>
          <w:szCs w:val="24"/>
        </w:rPr>
        <w:tab/>
        <w:t>Emballagetype og pakningsstørrelser</w:t>
      </w:r>
    </w:p>
    <w:p w14:paraId="1D9AEF98" w14:textId="77777777" w:rsidR="00150AB9" w:rsidRPr="006F6EE5" w:rsidRDefault="00150AB9" w:rsidP="006F6EE5">
      <w:pPr>
        <w:suppressAutoHyphens/>
        <w:ind w:left="851"/>
        <w:rPr>
          <w:sz w:val="24"/>
          <w:szCs w:val="24"/>
        </w:rPr>
      </w:pPr>
      <w:r w:rsidRPr="006F6EE5">
        <w:rPr>
          <w:sz w:val="24"/>
          <w:szCs w:val="24"/>
        </w:rPr>
        <w:t xml:space="preserve">10 ml ravfarvet type 1-hætteglas med en gummiprop af </w:t>
      </w:r>
      <w:proofErr w:type="spellStart"/>
      <w:r w:rsidRPr="006F6EE5">
        <w:rPr>
          <w:sz w:val="24"/>
          <w:szCs w:val="24"/>
        </w:rPr>
        <w:t>bromobutyl</w:t>
      </w:r>
      <w:proofErr w:type="spellEnd"/>
      <w:r w:rsidRPr="006F6EE5">
        <w:rPr>
          <w:sz w:val="24"/>
          <w:szCs w:val="24"/>
        </w:rPr>
        <w:t xml:space="preserve"> og et </w:t>
      </w:r>
      <w:r w:rsidRPr="006F6EE5">
        <w:rPr>
          <w:i/>
          <w:iCs/>
          <w:sz w:val="24"/>
          <w:szCs w:val="24"/>
        </w:rPr>
        <w:t>flip-</w:t>
      </w:r>
      <w:proofErr w:type="spellStart"/>
      <w:r w:rsidRPr="006F6EE5">
        <w:rPr>
          <w:i/>
          <w:iCs/>
          <w:sz w:val="24"/>
          <w:szCs w:val="24"/>
        </w:rPr>
        <w:t>off</w:t>
      </w:r>
      <w:proofErr w:type="spellEnd"/>
      <w:r w:rsidRPr="006F6EE5">
        <w:rPr>
          <w:sz w:val="24"/>
          <w:szCs w:val="24"/>
        </w:rPr>
        <w:t>-låg.</w:t>
      </w:r>
    </w:p>
    <w:p w14:paraId="5BE648F9" w14:textId="77777777" w:rsidR="00150AB9" w:rsidRPr="006F6EE5" w:rsidRDefault="00150AB9" w:rsidP="006F6EE5">
      <w:pPr>
        <w:suppressAutoHyphens/>
        <w:ind w:left="851"/>
        <w:rPr>
          <w:sz w:val="24"/>
          <w:szCs w:val="24"/>
        </w:rPr>
      </w:pPr>
    </w:p>
    <w:p w14:paraId="2C8A5F7C" w14:textId="77777777" w:rsidR="00150AB9" w:rsidRPr="006F6EE5" w:rsidRDefault="00150AB9" w:rsidP="006F6EE5">
      <w:pPr>
        <w:suppressAutoHyphens/>
        <w:ind w:left="851"/>
        <w:rPr>
          <w:sz w:val="24"/>
          <w:szCs w:val="24"/>
        </w:rPr>
      </w:pPr>
      <w:r w:rsidRPr="006F6EE5">
        <w:rPr>
          <w:sz w:val="24"/>
          <w:szCs w:val="24"/>
        </w:rPr>
        <w:t>Pakningsstørrelse: Pakninger med 1 hætteglas.</w:t>
      </w:r>
    </w:p>
    <w:p w14:paraId="23804499" w14:textId="77777777" w:rsidR="009260DE" w:rsidRPr="006F6EE5" w:rsidRDefault="009260DE" w:rsidP="009260DE">
      <w:pPr>
        <w:tabs>
          <w:tab w:val="left" w:pos="851"/>
        </w:tabs>
        <w:ind w:left="851"/>
        <w:rPr>
          <w:sz w:val="24"/>
          <w:szCs w:val="24"/>
        </w:rPr>
      </w:pPr>
    </w:p>
    <w:p w14:paraId="0AD461B9" w14:textId="77777777" w:rsidR="009260DE" w:rsidRPr="006F6EE5" w:rsidRDefault="009260DE" w:rsidP="009260DE">
      <w:pPr>
        <w:tabs>
          <w:tab w:val="left" w:pos="851"/>
        </w:tabs>
        <w:ind w:left="851" w:hanging="851"/>
        <w:rPr>
          <w:b/>
          <w:sz w:val="24"/>
          <w:szCs w:val="24"/>
        </w:rPr>
      </w:pPr>
      <w:r w:rsidRPr="006F6EE5">
        <w:rPr>
          <w:b/>
          <w:sz w:val="24"/>
          <w:szCs w:val="24"/>
        </w:rPr>
        <w:t>6.6</w:t>
      </w:r>
      <w:r w:rsidRPr="006F6EE5">
        <w:rPr>
          <w:b/>
          <w:sz w:val="24"/>
          <w:szCs w:val="24"/>
        </w:rPr>
        <w:tab/>
        <w:t xml:space="preserve">Regler for </w:t>
      </w:r>
      <w:r w:rsidR="00BD7931" w:rsidRPr="006F6EE5">
        <w:rPr>
          <w:b/>
          <w:sz w:val="24"/>
          <w:szCs w:val="24"/>
        </w:rPr>
        <w:t>bortskaffelse</w:t>
      </w:r>
      <w:r w:rsidRPr="006F6EE5">
        <w:rPr>
          <w:b/>
          <w:sz w:val="24"/>
          <w:szCs w:val="24"/>
        </w:rPr>
        <w:t xml:space="preserve"> og anden håndtering</w:t>
      </w:r>
    </w:p>
    <w:p w14:paraId="48ACAF6D" w14:textId="77777777" w:rsidR="00150AB9" w:rsidRPr="006F6EE5" w:rsidRDefault="00150AB9" w:rsidP="006F6EE5">
      <w:pPr>
        <w:ind w:left="851"/>
        <w:rPr>
          <w:sz w:val="24"/>
          <w:szCs w:val="24"/>
        </w:rPr>
      </w:pPr>
      <w:r w:rsidRPr="006F6EE5">
        <w:rPr>
          <w:sz w:val="24"/>
          <w:szCs w:val="24"/>
        </w:rPr>
        <w:t>Ikke anvendt lægemiddel samt affald heraf skal bortskaffes i henhold til lokale retningslinjer.</w:t>
      </w:r>
    </w:p>
    <w:p w14:paraId="23D2CAAE" w14:textId="77777777" w:rsidR="00150AB9" w:rsidRPr="006F6EE5" w:rsidRDefault="00150AB9" w:rsidP="006F6EE5">
      <w:pPr>
        <w:ind w:left="851"/>
        <w:rPr>
          <w:sz w:val="24"/>
          <w:szCs w:val="24"/>
        </w:rPr>
      </w:pPr>
    </w:p>
    <w:p w14:paraId="68B64622" w14:textId="3B65FFDF" w:rsidR="00150AB9" w:rsidRPr="006F6EE5" w:rsidRDefault="00150AB9" w:rsidP="006F6EE5">
      <w:pPr>
        <w:ind w:left="851"/>
        <w:rPr>
          <w:sz w:val="24"/>
          <w:szCs w:val="24"/>
        </w:rPr>
      </w:pPr>
      <w:proofErr w:type="spellStart"/>
      <w:r w:rsidRPr="006F6EE5">
        <w:rPr>
          <w:sz w:val="24"/>
          <w:szCs w:val="24"/>
        </w:rPr>
        <w:t>Micafungin</w:t>
      </w:r>
      <w:proofErr w:type="spellEnd"/>
      <w:r w:rsidRPr="006F6EE5">
        <w:rPr>
          <w:sz w:val="24"/>
          <w:szCs w:val="24"/>
        </w:rPr>
        <w:t xml:space="preserve"> </w:t>
      </w:r>
      <w:r w:rsidR="006F6EE5">
        <w:rPr>
          <w:sz w:val="24"/>
          <w:szCs w:val="24"/>
        </w:rPr>
        <w:t>"</w:t>
      </w:r>
      <w:proofErr w:type="spellStart"/>
      <w:r w:rsidRPr="006F6EE5">
        <w:rPr>
          <w:sz w:val="24"/>
          <w:szCs w:val="24"/>
        </w:rPr>
        <w:t>Hikma</w:t>
      </w:r>
      <w:proofErr w:type="spellEnd"/>
      <w:r w:rsidR="006F6EE5">
        <w:rPr>
          <w:sz w:val="24"/>
          <w:szCs w:val="24"/>
        </w:rPr>
        <w:t>"</w:t>
      </w:r>
      <w:r w:rsidRPr="006F6EE5">
        <w:rPr>
          <w:sz w:val="24"/>
          <w:szCs w:val="24"/>
        </w:rPr>
        <w:t xml:space="preserve"> må ikke blandes med eller indgives sammen med andre lægemidler end de nedenfor nævnte. </w:t>
      </w:r>
      <w:proofErr w:type="spellStart"/>
      <w:r w:rsidRPr="006F6EE5">
        <w:rPr>
          <w:sz w:val="24"/>
          <w:szCs w:val="24"/>
        </w:rPr>
        <w:t>Micafungin</w:t>
      </w:r>
      <w:proofErr w:type="spellEnd"/>
      <w:r w:rsidRPr="006F6EE5">
        <w:rPr>
          <w:sz w:val="24"/>
          <w:szCs w:val="24"/>
        </w:rPr>
        <w:t xml:space="preserve"> </w:t>
      </w:r>
      <w:r w:rsidR="006F6EE5">
        <w:rPr>
          <w:sz w:val="24"/>
          <w:szCs w:val="24"/>
        </w:rPr>
        <w:t>"</w:t>
      </w:r>
      <w:proofErr w:type="spellStart"/>
      <w:r w:rsidRPr="006F6EE5">
        <w:rPr>
          <w:sz w:val="24"/>
          <w:szCs w:val="24"/>
        </w:rPr>
        <w:t>Hikma</w:t>
      </w:r>
      <w:proofErr w:type="spellEnd"/>
      <w:r w:rsidR="006F6EE5">
        <w:rPr>
          <w:sz w:val="24"/>
          <w:szCs w:val="24"/>
        </w:rPr>
        <w:t>"</w:t>
      </w:r>
      <w:r w:rsidRPr="006F6EE5">
        <w:rPr>
          <w:sz w:val="24"/>
          <w:szCs w:val="24"/>
        </w:rPr>
        <w:t xml:space="preserve"> </w:t>
      </w:r>
      <w:proofErr w:type="spellStart"/>
      <w:r w:rsidRPr="006F6EE5">
        <w:rPr>
          <w:sz w:val="24"/>
          <w:szCs w:val="24"/>
        </w:rPr>
        <w:t>rekonstitueres</w:t>
      </w:r>
      <w:proofErr w:type="spellEnd"/>
      <w:r w:rsidRPr="006F6EE5">
        <w:rPr>
          <w:sz w:val="24"/>
          <w:szCs w:val="24"/>
        </w:rPr>
        <w:t xml:space="preserve"> og fortyndes under anvendelse af aseptisk teknik ved stuetemperatur som følger:</w:t>
      </w:r>
    </w:p>
    <w:p w14:paraId="33AD66C9" w14:textId="77777777" w:rsidR="00150AB9" w:rsidRPr="006F6EE5" w:rsidRDefault="00150AB9" w:rsidP="006F6EE5">
      <w:pPr>
        <w:ind w:left="851"/>
        <w:rPr>
          <w:sz w:val="24"/>
          <w:szCs w:val="24"/>
        </w:rPr>
      </w:pPr>
    </w:p>
    <w:p w14:paraId="1E4CFE18" w14:textId="77777777" w:rsidR="00150AB9" w:rsidRPr="00F852AA" w:rsidRDefault="00150AB9" w:rsidP="00F852AA">
      <w:pPr>
        <w:pStyle w:val="Listeafsnit"/>
        <w:numPr>
          <w:ilvl w:val="0"/>
          <w:numId w:val="14"/>
        </w:numPr>
        <w:ind w:left="1276" w:hanging="425"/>
        <w:rPr>
          <w:sz w:val="24"/>
          <w:szCs w:val="24"/>
        </w:rPr>
      </w:pPr>
      <w:r w:rsidRPr="00F852AA">
        <w:rPr>
          <w:sz w:val="24"/>
          <w:szCs w:val="24"/>
        </w:rPr>
        <w:t>Plastiklåget skal fjernes fra hætteglasset og proppen desinficeres med alkohol.</w:t>
      </w:r>
    </w:p>
    <w:p w14:paraId="0ABCA6BA" w14:textId="3F4ED94B" w:rsidR="00150AB9" w:rsidRPr="00F852AA" w:rsidRDefault="00150AB9" w:rsidP="00F852AA">
      <w:pPr>
        <w:pStyle w:val="Listeafsnit"/>
        <w:numPr>
          <w:ilvl w:val="0"/>
          <w:numId w:val="14"/>
        </w:numPr>
        <w:ind w:left="1276" w:hanging="425"/>
        <w:rPr>
          <w:sz w:val="24"/>
          <w:szCs w:val="24"/>
        </w:rPr>
      </w:pPr>
      <w:r w:rsidRPr="00F852AA">
        <w:rPr>
          <w:sz w:val="24"/>
          <w:szCs w:val="24"/>
        </w:rPr>
        <w:t xml:space="preserve">5 ml </w:t>
      </w:r>
      <w:proofErr w:type="spellStart"/>
      <w:r w:rsidRPr="00F852AA">
        <w:rPr>
          <w:sz w:val="24"/>
          <w:szCs w:val="24"/>
        </w:rPr>
        <w:t>natriumchlorid</w:t>
      </w:r>
      <w:proofErr w:type="spellEnd"/>
      <w:r w:rsidRPr="00F852AA">
        <w:rPr>
          <w:sz w:val="24"/>
          <w:szCs w:val="24"/>
        </w:rPr>
        <w:t xml:space="preserve"> 9 mg/ml (0,9 %) infusionsvæske, opløsning eller </w:t>
      </w:r>
      <w:proofErr w:type="spellStart"/>
      <w:r w:rsidRPr="00F852AA">
        <w:rPr>
          <w:sz w:val="24"/>
          <w:szCs w:val="24"/>
        </w:rPr>
        <w:t>glucose</w:t>
      </w:r>
      <w:proofErr w:type="spellEnd"/>
      <w:r w:rsidRPr="00F852AA">
        <w:rPr>
          <w:sz w:val="24"/>
          <w:szCs w:val="24"/>
        </w:rPr>
        <w:t xml:space="preserve"> 50 mg/ml (5 %) infusionsvæske, opløsning (udtaget fra en 100 ml flaske/pose) bør aseptisk og langsomt injiceres i hvert hætteglas langs siden af indervæggen. Selvom koncentratet vil skumme, skal man forsøge at minimere mængden af skum mest muligt. Et tilstrækkeligt antal hætteglas med </w:t>
      </w:r>
      <w:proofErr w:type="spellStart"/>
      <w:r w:rsidRPr="00F852AA">
        <w:rPr>
          <w:sz w:val="24"/>
          <w:szCs w:val="24"/>
        </w:rPr>
        <w:t>Micafungin</w:t>
      </w:r>
      <w:proofErr w:type="spellEnd"/>
      <w:r w:rsidRPr="00F852AA">
        <w:rPr>
          <w:sz w:val="24"/>
          <w:szCs w:val="24"/>
        </w:rPr>
        <w:t xml:space="preserve"> </w:t>
      </w:r>
      <w:r w:rsidR="006F6EE5" w:rsidRPr="00F852AA">
        <w:rPr>
          <w:sz w:val="24"/>
          <w:szCs w:val="24"/>
        </w:rPr>
        <w:t>"</w:t>
      </w:r>
      <w:proofErr w:type="spellStart"/>
      <w:r w:rsidRPr="00F852AA">
        <w:rPr>
          <w:sz w:val="24"/>
          <w:szCs w:val="24"/>
        </w:rPr>
        <w:t>Hikma</w:t>
      </w:r>
      <w:proofErr w:type="spellEnd"/>
      <w:r w:rsidR="006F6EE5" w:rsidRPr="00F852AA">
        <w:rPr>
          <w:sz w:val="24"/>
          <w:szCs w:val="24"/>
        </w:rPr>
        <w:t>"</w:t>
      </w:r>
      <w:r w:rsidRPr="00F852AA">
        <w:rPr>
          <w:sz w:val="24"/>
          <w:szCs w:val="24"/>
        </w:rPr>
        <w:t xml:space="preserve"> skal </w:t>
      </w:r>
      <w:proofErr w:type="spellStart"/>
      <w:r w:rsidRPr="00F852AA">
        <w:rPr>
          <w:sz w:val="24"/>
          <w:szCs w:val="24"/>
        </w:rPr>
        <w:t>rekonstitueres</w:t>
      </w:r>
      <w:proofErr w:type="spellEnd"/>
      <w:r w:rsidRPr="00F852AA">
        <w:rPr>
          <w:sz w:val="24"/>
          <w:szCs w:val="24"/>
        </w:rPr>
        <w:t xml:space="preserve"> for at kunne få den tilstrækkelige dosis i mg (se nedenstående tabel).</w:t>
      </w:r>
    </w:p>
    <w:p w14:paraId="0254F668" w14:textId="77777777" w:rsidR="00150AB9" w:rsidRPr="00F852AA" w:rsidRDefault="00150AB9" w:rsidP="00F852AA">
      <w:pPr>
        <w:pStyle w:val="Listeafsnit"/>
        <w:numPr>
          <w:ilvl w:val="0"/>
          <w:numId w:val="14"/>
        </w:numPr>
        <w:ind w:left="1276" w:hanging="425"/>
        <w:rPr>
          <w:sz w:val="24"/>
          <w:szCs w:val="24"/>
        </w:rPr>
      </w:pPr>
      <w:r w:rsidRPr="00F852AA">
        <w:rPr>
          <w:sz w:val="24"/>
          <w:szCs w:val="24"/>
        </w:rPr>
        <w:t xml:space="preserve">Hætteglasset skal roteres forsigtigt. RYST IKKE. Pulveret vil opløses fuldstændigt. Koncentratet bør anvendes straks. Hætteglasset er kun til éngangsbrug. Kassér derfor ubrugt </w:t>
      </w:r>
      <w:proofErr w:type="spellStart"/>
      <w:r w:rsidRPr="00F852AA">
        <w:rPr>
          <w:sz w:val="24"/>
          <w:szCs w:val="24"/>
        </w:rPr>
        <w:t>rekonstitueret</w:t>
      </w:r>
      <w:proofErr w:type="spellEnd"/>
      <w:r w:rsidRPr="00F852AA">
        <w:rPr>
          <w:sz w:val="24"/>
          <w:szCs w:val="24"/>
        </w:rPr>
        <w:t xml:space="preserve"> koncentrat med det samme (forskydningsvolumen er ca. 0,2 ml).</w:t>
      </w:r>
    </w:p>
    <w:p w14:paraId="107D962D" w14:textId="77777777" w:rsidR="00150AB9" w:rsidRPr="00F852AA" w:rsidRDefault="00150AB9" w:rsidP="00F852AA">
      <w:pPr>
        <w:pStyle w:val="Listeafsnit"/>
        <w:numPr>
          <w:ilvl w:val="0"/>
          <w:numId w:val="14"/>
        </w:numPr>
        <w:ind w:left="1276" w:hanging="425"/>
        <w:rPr>
          <w:sz w:val="24"/>
          <w:szCs w:val="24"/>
        </w:rPr>
      </w:pPr>
      <w:r w:rsidRPr="00F852AA">
        <w:rPr>
          <w:sz w:val="24"/>
          <w:szCs w:val="24"/>
        </w:rPr>
        <w:t xml:space="preserve">Alt </w:t>
      </w:r>
      <w:proofErr w:type="spellStart"/>
      <w:r w:rsidRPr="00F852AA">
        <w:rPr>
          <w:sz w:val="24"/>
          <w:szCs w:val="24"/>
        </w:rPr>
        <w:t>rekonstitueret</w:t>
      </w:r>
      <w:proofErr w:type="spellEnd"/>
      <w:r w:rsidRPr="00F852AA">
        <w:rPr>
          <w:sz w:val="24"/>
          <w:szCs w:val="24"/>
        </w:rPr>
        <w:t xml:space="preserve"> koncentrat bør udtages fra hvert hætteglas og returneres til den infusionsflaske/</w:t>
      </w:r>
      <w:r w:rsidRPr="00F852AA">
        <w:rPr>
          <w:sz w:val="24"/>
          <w:szCs w:val="24"/>
        </w:rPr>
        <w:noBreakHyphen/>
        <w:t>pose, hvorfra det oprindeligt blev udtaget. Den fortyndede infusionsvæske bør anvendes straks. Der er vist kemisk og fysisk stabilitet i 96 timer ved 25 °C, hvis opløsningen beskyttes mod lys og er fortyndet som beskrevet ovenfor.</w:t>
      </w:r>
    </w:p>
    <w:p w14:paraId="3CF6FE23" w14:textId="77777777" w:rsidR="00150AB9" w:rsidRPr="00F852AA" w:rsidRDefault="00150AB9" w:rsidP="00F852AA">
      <w:pPr>
        <w:pStyle w:val="Listeafsnit"/>
        <w:numPr>
          <w:ilvl w:val="0"/>
          <w:numId w:val="14"/>
        </w:numPr>
        <w:ind w:left="1276" w:hanging="425"/>
        <w:rPr>
          <w:sz w:val="24"/>
          <w:szCs w:val="24"/>
        </w:rPr>
      </w:pPr>
      <w:r w:rsidRPr="00F852AA">
        <w:rPr>
          <w:sz w:val="24"/>
          <w:szCs w:val="24"/>
        </w:rPr>
        <w:t>Infusionsflasken/</w:t>
      </w:r>
      <w:r w:rsidRPr="00F852AA">
        <w:rPr>
          <w:sz w:val="24"/>
          <w:szCs w:val="24"/>
        </w:rPr>
        <w:noBreakHyphen/>
        <w:t>posen bør vendes forsigtigt, når den fortyndede opløsning indgives, men for at undgå skumdannelse må den IKKE rystes. Brug ikke opløsningen, hvis den er uklar eller har bundfald.</w:t>
      </w:r>
    </w:p>
    <w:p w14:paraId="6A8061A0" w14:textId="77777777" w:rsidR="00150AB9" w:rsidRPr="00F852AA" w:rsidRDefault="00150AB9" w:rsidP="00F852AA">
      <w:pPr>
        <w:pStyle w:val="Listeafsnit"/>
        <w:numPr>
          <w:ilvl w:val="0"/>
          <w:numId w:val="14"/>
        </w:numPr>
        <w:ind w:left="1276" w:hanging="425"/>
        <w:rPr>
          <w:sz w:val="24"/>
          <w:szCs w:val="24"/>
        </w:rPr>
      </w:pPr>
      <w:r w:rsidRPr="00F852AA">
        <w:rPr>
          <w:sz w:val="24"/>
          <w:szCs w:val="24"/>
        </w:rPr>
        <w:t>Infusionsflasken/</w:t>
      </w:r>
      <w:r w:rsidRPr="00F852AA">
        <w:rPr>
          <w:sz w:val="24"/>
          <w:szCs w:val="24"/>
        </w:rPr>
        <w:noBreakHyphen/>
        <w:t>posen med den fortyndede infusionsvæske bør anbringes i en uigennemsigtig pose, der kan lukkes, for at beskytte mod lys.</w:t>
      </w:r>
    </w:p>
    <w:p w14:paraId="5A2E19F4" w14:textId="77777777" w:rsidR="00150AB9" w:rsidRPr="006F6EE5" w:rsidRDefault="00150AB9" w:rsidP="006F6EE5">
      <w:pPr>
        <w:ind w:left="851"/>
        <w:rPr>
          <w:sz w:val="24"/>
          <w:szCs w:val="24"/>
        </w:rPr>
      </w:pPr>
    </w:p>
    <w:p w14:paraId="35A695E2" w14:textId="77777777" w:rsidR="00150AB9" w:rsidRPr="006F6EE5" w:rsidRDefault="00150AB9" w:rsidP="006F6EE5">
      <w:pPr>
        <w:ind w:left="851"/>
        <w:rPr>
          <w:sz w:val="24"/>
          <w:szCs w:val="24"/>
          <w:u w:val="single"/>
        </w:rPr>
      </w:pPr>
      <w:r w:rsidRPr="006F6EE5">
        <w:rPr>
          <w:sz w:val="24"/>
          <w:szCs w:val="24"/>
          <w:u w:val="single"/>
        </w:rPr>
        <w:t>Tilberedning af infusionsvæske, opløsning</w:t>
      </w:r>
    </w:p>
    <w:p w14:paraId="52D0DCB0" w14:textId="77777777" w:rsidR="00150AB9" w:rsidRPr="006F6EE5" w:rsidRDefault="00150AB9" w:rsidP="006F6EE5">
      <w:pPr>
        <w:ind w:left="851"/>
        <w:rPr>
          <w:sz w:val="24"/>
          <w:szCs w:val="24"/>
        </w:rPr>
      </w:pPr>
    </w:p>
    <w:tbl>
      <w:tblPr>
        <w:tblW w:w="5000" w:type="pct"/>
        <w:tblCellMar>
          <w:left w:w="0" w:type="dxa"/>
          <w:right w:w="0" w:type="dxa"/>
        </w:tblCellMar>
        <w:tblLook w:val="01E0" w:firstRow="1" w:lastRow="1" w:firstColumn="1" w:lastColumn="1" w:noHBand="0" w:noVBand="0"/>
      </w:tblPr>
      <w:tblGrid>
        <w:gridCol w:w="990"/>
        <w:gridCol w:w="2157"/>
        <w:gridCol w:w="2159"/>
        <w:gridCol w:w="2157"/>
        <w:gridCol w:w="2159"/>
      </w:tblGrid>
      <w:tr w:rsidR="00150AB9" w:rsidRPr="006F6EE5" w14:paraId="3DBE8F81" w14:textId="77777777" w:rsidTr="006F6EE5">
        <w:trPr>
          <w:trHeight w:hRule="exact" w:val="1983"/>
        </w:trPr>
        <w:tc>
          <w:tcPr>
            <w:tcW w:w="514" w:type="pct"/>
            <w:tcBorders>
              <w:top w:val="single" w:sz="6" w:space="0" w:color="000000"/>
              <w:left w:val="single" w:sz="6" w:space="0" w:color="000000"/>
              <w:bottom w:val="single" w:sz="6" w:space="0" w:color="000000"/>
              <w:right w:val="single" w:sz="6" w:space="0" w:color="000000"/>
            </w:tcBorders>
            <w:hideMark/>
          </w:tcPr>
          <w:p w14:paraId="31AF20C2" w14:textId="77777777" w:rsidR="00150AB9" w:rsidRPr="006F6EE5" w:rsidRDefault="00150AB9">
            <w:pPr>
              <w:widowControl w:val="0"/>
              <w:spacing w:before="1" w:line="252" w:lineRule="exact"/>
              <w:ind w:left="102" w:right="247"/>
              <w:rPr>
                <w:sz w:val="24"/>
                <w:szCs w:val="24"/>
                <w:lang w:val="en-GB"/>
              </w:rPr>
            </w:pPr>
            <w:proofErr w:type="spellStart"/>
            <w:r w:rsidRPr="006F6EE5">
              <w:rPr>
                <w:rFonts w:eastAsia="Calibri"/>
                <w:b/>
                <w:spacing w:val="-1"/>
                <w:sz w:val="24"/>
                <w:szCs w:val="24"/>
                <w:lang w:val="en-GB"/>
              </w:rPr>
              <w:t>Dosis</w:t>
            </w:r>
            <w:proofErr w:type="spellEnd"/>
            <w:r w:rsidRPr="006F6EE5">
              <w:rPr>
                <w:rFonts w:eastAsia="Calibri"/>
                <w:b/>
                <w:spacing w:val="22"/>
                <w:sz w:val="24"/>
                <w:szCs w:val="24"/>
                <w:lang w:val="en-GB"/>
              </w:rPr>
              <w:t xml:space="preserve"> </w:t>
            </w:r>
            <w:r w:rsidRPr="006F6EE5">
              <w:rPr>
                <w:rFonts w:eastAsia="Calibri"/>
                <w:b/>
                <w:spacing w:val="-1"/>
                <w:sz w:val="24"/>
                <w:szCs w:val="24"/>
                <w:lang w:val="en-GB"/>
              </w:rPr>
              <w:t>(mg)</w:t>
            </w:r>
          </w:p>
        </w:tc>
        <w:tc>
          <w:tcPr>
            <w:tcW w:w="1121" w:type="pct"/>
            <w:tcBorders>
              <w:top w:val="single" w:sz="6" w:space="0" w:color="000000"/>
              <w:left w:val="single" w:sz="6" w:space="0" w:color="000000"/>
              <w:bottom w:val="single" w:sz="6" w:space="0" w:color="000000"/>
              <w:right w:val="single" w:sz="6" w:space="0" w:color="000000"/>
            </w:tcBorders>
            <w:hideMark/>
          </w:tcPr>
          <w:p w14:paraId="26887DA2" w14:textId="28BAFF0E" w:rsidR="00150AB9" w:rsidRPr="006F6EE5" w:rsidRDefault="00150AB9">
            <w:pPr>
              <w:widowControl w:val="0"/>
              <w:ind w:left="102" w:right="122"/>
              <w:rPr>
                <w:sz w:val="24"/>
                <w:szCs w:val="24"/>
              </w:rPr>
            </w:pPr>
            <w:proofErr w:type="spellStart"/>
            <w:r w:rsidRPr="006F6EE5">
              <w:rPr>
                <w:rFonts w:eastAsia="Calibri"/>
                <w:b/>
                <w:spacing w:val="-1"/>
                <w:sz w:val="24"/>
                <w:szCs w:val="24"/>
              </w:rPr>
              <w:t>Micafungin</w:t>
            </w:r>
            <w:proofErr w:type="spellEnd"/>
            <w:r w:rsidRPr="006F6EE5">
              <w:rPr>
                <w:rFonts w:eastAsia="Calibri"/>
                <w:b/>
                <w:spacing w:val="-1"/>
                <w:sz w:val="24"/>
                <w:szCs w:val="24"/>
              </w:rPr>
              <w:t xml:space="preserve"> </w:t>
            </w:r>
            <w:r w:rsidR="006F6EE5">
              <w:rPr>
                <w:rFonts w:eastAsia="Calibri"/>
                <w:b/>
                <w:spacing w:val="-1"/>
                <w:sz w:val="24"/>
                <w:szCs w:val="24"/>
              </w:rPr>
              <w:t>"</w:t>
            </w:r>
            <w:proofErr w:type="spellStart"/>
            <w:r w:rsidRPr="006F6EE5">
              <w:rPr>
                <w:rFonts w:eastAsia="Calibri"/>
                <w:b/>
                <w:spacing w:val="-1"/>
                <w:sz w:val="24"/>
                <w:szCs w:val="24"/>
              </w:rPr>
              <w:t>Hikma</w:t>
            </w:r>
            <w:proofErr w:type="spellEnd"/>
            <w:r w:rsidR="006F6EE5">
              <w:rPr>
                <w:rFonts w:eastAsia="Calibri"/>
                <w:b/>
                <w:spacing w:val="-1"/>
                <w:sz w:val="24"/>
                <w:szCs w:val="24"/>
              </w:rPr>
              <w:t>"</w:t>
            </w:r>
            <w:r w:rsidRPr="006F6EE5">
              <w:rPr>
                <w:rFonts w:eastAsia="Calibri"/>
                <w:b/>
                <w:sz w:val="24"/>
                <w:szCs w:val="24"/>
              </w:rPr>
              <w:t xml:space="preserve"> </w:t>
            </w:r>
            <w:r w:rsidRPr="006F6EE5">
              <w:rPr>
                <w:rFonts w:eastAsia="Calibri"/>
                <w:b/>
                <w:spacing w:val="-1"/>
                <w:sz w:val="24"/>
                <w:szCs w:val="24"/>
              </w:rPr>
              <w:t>hætteglas, der skal bruges (mg/hætteglas)</w:t>
            </w:r>
          </w:p>
        </w:tc>
        <w:tc>
          <w:tcPr>
            <w:tcW w:w="1122" w:type="pct"/>
            <w:tcBorders>
              <w:top w:val="single" w:sz="6" w:space="0" w:color="000000"/>
              <w:left w:val="single" w:sz="6" w:space="0" w:color="000000"/>
              <w:bottom w:val="single" w:sz="6" w:space="0" w:color="000000"/>
              <w:right w:val="single" w:sz="6" w:space="0" w:color="000000"/>
            </w:tcBorders>
            <w:hideMark/>
          </w:tcPr>
          <w:p w14:paraId="5D486A72" w14:textId="77777777" w:rsidR="00150AB9" w:rsidRPr="006F6EE5" w:rsidRDefault="00150AB9">
            <w:pPr>
              <w:widowControl w:val="0"/>
              <w:spacing w:line="237" w:lineRule="auto"/>
              <w:ind w:left="99" w:right="182"/>
              <w:rPr>
                <w:b/>
                <w:bCs/>
                <w:sz w:val="24"/>
                <w:szCs w:val="24"/>
              </w:rPr>
            </w:pPr>
            <w:r w:rsidRPr="006F6EE5">
              <w:rPr>
                <w:b/>
                <w:bCs/>
                <w:sz w:val="24"/>
                <w:szCs w:val="24"/>
              </w:rPr>
              <w:t xml:space="preserve">Mængde </w:t>
            </w:r>
            <w:proofErr w:type="spellStart"/>
            <w:r w:rsidRPr="006F6EE5">
              <w:rPr>
                <w:b/>
                <w:bCs/>
                <w:sz w:val="24"/>
                <w:szCs w:val="24"/>
              </w:rPr>
              <w:t>natriumchlorid</w:t>
            </w:r>
            <w:proofErr w:type="spellEnd"/>
            <w:r w:rsidRPr="006F6EE5">
              <w:rPr>
                <w:b/>
                <w:bCs/>
                <w:sz w:val="24"/>
                <w:szCs w:val="24"/>
              </w:rPr>
              <w:t xml:space="preserve"> (0,9 %) eller </w:t>
            </w:r>
            <w:proofErr w:type="spellStart"/>
            <w:r w:rsidRPr="006F6EE5">
              <w:rPr>
                <w:b/>
                <w:bCs/>
                <w:sz w:val="24"/>
                <w:szCs w:val="24"/>
              </w:rPr>
              <w:t>glucose</w:t>
            </w:r>
            <w:proofErr w:type="spellEnd"/>
            <w:r w:rsidRPr="006F6EE5">
              <w:rPr>
                <w:b/>
                <w:bCs/>
                <w:sz w:val="24"/>
                <w:szCs w:val="24"/>
              </w:rPr>
              <w:t xml:space="preserve"> (5 %), der skal tilsættes til hvert hætteglas</w:t>
            </w:r>
          </w:p>
        </w:tc>
        <w:tc>
          <w:tcPr>
            <w:tcW w:w="1121" w:type="pct"/>
            <w:tcBorders>
              <w:top w:val="single" w:sz="6" w:space="0" w:color="000000"/>
              <w:left w:val="single" w:sz="6" w:space="0" w:color="000000"/>
              <w:bottom w:val="single" w:sz="6" w:space="0" w:color="000000"/>
              <w:right w:val="single" w:sz="6" w:space="0" w:color="000000"/>
            </w:tcBorders>
            <w:hideMark/>
          </w:tcPr>
          <w:p w14:paraId="3E2872E7" w14:textId="77777777" w:rsidR="00150AB9" w:rsidRPr="006F6EE5" w:rsidRDefault="00150AB9">
            <w:pPr>
              <w:widowControl w:val="0"/>
              <w:ind w:left="102" w:right="122"/>
              <w:rPr>
                <w:rFonts w:eastAsia="Calibri"/>
                <w:b/>
                <w:spacing w:val="-1"/>
                <w:sz w:val="24"/>
                <w:szCs w:val="24"/>
              </w:rPr>
            </w:pPr>
            <w:r w:rsidRPr="006F6EE5">
              <w:rPr>
                <w:rFonts w:eastAsia="Calibri"/>
                <w:b/>
                <w:spacing w:val="-1"/>
                <w:sz w:val="24"/>
                <w:szCs w:val="24"/>
              </w:rPr>
              <w:t xml:space="preserve">Volumen (koncentration) af </w:t>
            </w:r>
            <w:proofErr w:type="spellStart"/>
            <w:r w:rsidRPr="006F6EE5">
              <w:rPr>
                <w:rFonts w:eastAsia="Calibri"/>
                <w:b/>
                <w:spacing w:val="-1"/>
                <w:sz w:val="24"/>
                <w:szCs w:val="24"/>
              </w:rPr>
              <w:t>rekonstitueret</w:t>
            </w:r>
            <w:proofErr w:type="spellEnd"/>
            <w:r w:rsidRPr="006F6EE5">
              <w:rPr>
                <w:rFonts w:eastAsia="Calibri"/>
                <w:b/>
                <w:spacing w:val="-1"/>
                <w:sz w:val="24"/>
                <w:szCs w:val="24"/>
              </w:rPr>
              <w:t xml:space="preserve"> pulver</w:t>
            </w:r>
          </w:p>
        </w:tc>
        <w:tc>
          <w:tcPr>
            <w:tcW w:w="1122" w:type="pct"/>
            <w:tcBorders>
              <w:top w:val="single" w:sz="6" w:space="0" w:color="000000"/>
              <w:left w:val="single" w:sz="6" w:space="0" w:color="000000"/>
              <w:bottom w:val="single" w:sz="6" w:space="0" w:color="000000"/>
              <w:right w:val="single" w:sz="6" w:space="0" w:color="000000"/>
            </w:tcBorders>
            <w:hideMark/>
          </w:tcPr>
          <w:p w14:paraId="30CCD971" w14:textId="77777777" w:rsidR="00150AB9" w:rsidRPr="006F6EE5" w:rsidRDefault="00150AB9">
            <w:pPr>
              <w:widowControl w:val="0"/>
              <w:spacing w:before="1"/>
              <w:ind w:left="102" w:right="122"/>
              <w:rPr>
                <w:rFonts w:eastAsia="Calibri"/>
                <w:b/>
                <w:spacing w:val="-1"/>
                <w:sz w:val="24"/>
                <w:szCs w:val="24"/>
              </w:rPr>
            </w:pPr>
            <w:r w:rsidRPr="006F6EE5">
              <w:rPr>
                <w:rFonts w:eastAsia="Calibri"/>
                <w:b/>
                <w:spacing w:val="-1"/>
                <w:sz w:val="24"/>
                <w:szCs w:val="24"/>
              </w:rPr>
              <w:t>Standardinfusion (fyldt op til 100 ml) Slutkoncentration</w:t>
            </w:r>
          </w:p>
        </w:tc>
      </w:tr>
      <w:tr w:rsidR="00150AB9" w:rsidRPr="006F6EE5" w14:paraId="7B9D95DA" w14:textId="77777777" w:rsidTr="006F6EE5">
        <w:trPr>
          <w:trHeight w:hRule="exact" w:val="283"/>
        </w:trPr>
        <w:tc>
          <w:tcPr>
            <w:tcW w:w="514" w:type="pct"/>
            <w:tcBorders>
              <w:top w:val="single" w:sz="6" w:space="0" w:color="000000"/>
              <w:left w:val="single" w:sz="6" w:space="0" w:color="000000"/>
              <w:bottom w:val="single" w:sz="6" w:space="0" w:color="000000"/>
              <w:right w:val="single" w:sz="6" w:space="0" w:color="000000"/>
            </w:tcBorders>
            <w:hideMark/>
          </w:tcPr>
          <w:p w14:paraId="52941E54" w14:textId="77777777" w:rsidR="00150AB9" w:rsidRPr="006F6EE5" w:rsidRDefault="00150AB9">
            <w:pPr>
              <w:widowControl w:val="0"/>
              <w:spacing w:line="246" w:lineRule="exact"/>
              <w:ind w:left="212"/>
              <w:rPr>
                <w:sz w:val="24"/>
                <w:szCs w:val="24"/>
                <w:lang w:val="en-GB"/>
              </w:rPr>
            </w:pPr>
            <w:r w:rsidRPr="006F6EE5">
              <w:rPr>
                <w:rFonts w:eastAsia="Calibri"/>
                <w:sz w:val="24"/>
                <w:szCs w:val="24"/>
                <w:lang w:val="en-GB"/>
              </w:rPr>
              <w:t>50</w:t>
            </w:r>
          </w:p>
        </w:tc>
        <w:tc>
          <w:tcPr>
            <w:tcW w:w="1121" w:type="pct"/>
            <w:tcBorders>
              <w:top w:val="single" w:sz="6" w:space="0" w:color="000000"/>
              <w:left w:val="single" w:sz="6" w:space="0" w:color="000000"/>
              <w:bottom w:val="single" w:sz="6" w:space="0" w:color="000000"/>
              <w:right w:val="single" w:sz="6" w:space="0" w:color="000000"/>
            </w:tcBorders>
            <w:hideMark/>
          </w:tcPr>
          <w:p w14:paraId="175C6DE3" w14:textId="2026D234" w:rsidR="00150AB9" w:rsidRPr="006F6EE5" w:rsidRDefault="00150AB9">
            <w:pPr>
              <w:widowControl w:val="0"/>
              <w:spacing w:line="246" w:lineRule="exact"/>
              <w:ind w:left="102"/>
              <w:rPr>
                <w:sz w:val="24"/>
                <w:szCs w:val="24"/>
                <w:lang w:val="en-GB"/>
              </w:rPr>
            </w:pPr>
            <w:r w:rsidRPr="006F6EE5">
              <w:rPr>
                <w:rFonts w:eastAsia="Calibri"/>
                <w:sz w:val="24"/>
                <w:szCs w:val="24"/>
                <w:lang w:val="en-GB"/>
              </w:rPr>
              <w:t xml:space="preserve">1 </w:t>
            </w:r>
            <w:r w:rsidR="009C67C9">
              <w:rPr>
                <w:rFonts w:eastAsia="Calibri"/>
                <w:sz w:val="24"/>
                <w:szCs w:val="24"/>
                <w:lang w:val="en-GB"/>
              </w:rPr>
              <w:t>×</w:t>
            </w:r>
            <w:r w:rsidRPr="006F6EE5">
              <w:rPr>
                <w:rFonts w:eastAsia="Calibri"/>
                <w:sz w:val="24"/>
                <w:szCs w:val="24"/>
                <w:lang w:val="en-GB"/>
              </w:rPr>
              <w:t xml:space="preserve"> 50</w:t>
            </w:r>
          </w:p>
        </w:tc>
        <w:tc>
          <w:tcPr>
            <w:tcW w:w="1122" w:type="pct"/>
            <w:tcBorders>
              <w:top w:val="single" w:sz="6" w:space="0" w:color="000000"/>
              <w:left w:val="single" w:sz="6" w:space="0" w:color="000000"/>
              <w:bottom w:val="single" w:sz="6" w:space="0" w:color="000000"/>
              <w:right w:val="single" w:sz="6" w:space="0" w:color="000000"/>
            </w:tcBorders>
            <w:hideMark/>
          </w:tcPr>
          <w:p w14:paraId="4FF04A1F" w14:textId="77777777" w:rsidR="00150AB9" w:rsidRPr="006F6EE5" w:rsidRDefault="00150AB9">
            <w:pPr>
              <w:widowControl w:val="0"/>
              <w:spacing w:line="246" w:lineRule="exact"/>
              <w:ind w:left="99"/>
              <w:rPr>
                <w:sz w:val="24"/>
                <w:szCs w:val="24"/>
                <w:lang w:val="en-GB"/>
              </w:rPr>
            </w:pPr>
            <w:r w:rsidRPr="006F6EE5">
              <w:rPr>
                <w:rFonts w:eastAsia="Calibri"/>
                <w:sz w:val="24"/>
                <w:szCs w:val="24"/>
                <w:lang w:val="en-GB"/>
              </w:rPr>
              <w:t>5 </w:t>
            </w:r>
            <w:r w:rsidRPr="006F6EE5">
              <w:rPr>
                <w:rFonts w:eastAsia="Calibri"/>
                <w:spacing w:val="-4"/>
                <w:sz w:val="24"/>
                <w:szCs w:val="24"/>
                <w:lang w:val="en-GB"/>
              </w:rPr>
              <w:t>ml</w:t>
            </w:r>
          </w:p>
        </w:tc>
        <w:tc>
          <w:tcPr>
            <w:tcW w:w="1121" w:type="pct"/>
            <w:tcBorders>
              <w:top w:val="single" w:sz="6" w:space="0" w:color="000000"/>
              <w:left w:val="single" w:sz="6" w:space="0" w:color="000000"/>
              <w:bottom w:val="single" w:sz="6" w:space="0" w:color="000000"/>
              <w:right w:val="single" w:sz="6" w:space="0" w:color="000000"/>
            </w:tcBorders>
            <w:hideMark/>
          </w:tcPr>
          <w:p w14:paraId="50586AFE" w14:textId="77777777" w:rsidR="00150AB9" w:rsidRPr="006F6EE5" w:rsidRDefault="00150AB9">
            <w:pPr>
              <w:widowControl w:val="0"/>
              <w:spacing w:line="245" w:lineRule="exact"/>
              <w:ind w:left="102"/>
              <w:rPr>
                <w:sz w:val="24"/>
                <w:szCs w:val="24"/>
                <w:lang w:val="en-GB"/>
              </w:rPr>
            </w:pPr>
            <w:r w:rsidRPr="006F6EE5">
              <w:rPr>
                <w:rFonts w:eastAsia="Calibri"/>
                <w:spacing w:val="-1"/>
                <w:sz w:val="24"/>
                <w:szCs w:val="24"/>
                <w:lang w:val="en-GB"/>
              </w:rPr>
              <w:t>ca.</w:t>
            </w:r>
            <w:r w:rsidRPr="006F6EE5">
              <w:rPr>
                <w:rFonts w:eastAsia="Calibri"/>
                <w:sz w:val="24"/>
                <w:szCs w:val="24"/>
                <w:lang w:val="en-GB"/>
              </w:rPr>
              <w:t xml:space="preserve"> 5 </w:t>
            </w:r>
            <w:r w:rsidRPr="006F6EE5">
              <w:rPr>
                <w:rFonts w:eastAsia="Calibri"/>
                <w:spacing w:val="-4"/>
                <w:sz w:val="24"/>
                <w:szCs w:val="24"/>
                <w:lang w:val="en-GB"/>
              </w:rPr>
              <w:t>ml</w:t>
            </w:r>
            <w:r w:rsidRPr="006F6EE5">
              <w:rPr>
                <w:sz w:val="24"/>
                <w:szCs w:val="24"/>
                <w:lang w:val="en-GB"/>
              </w:rPr>
              <w:t xml:space="preserve"> </w:t>
            </w:r>
            <w:r w:rsidRPr="006F6EE5">
              <w:rPr>
                <w:rFonts w:eastAsia="Calibri"/>
                <w:sz w:val="24"/>
                <w:szCs w:val="24"/>
                <w:lang w:val="en-GB"/>
              </w:rPr>
              <w:t>(10 </w:t>
            </w:r>
            <w:r w:rsidRPr="006F6EE5">
              <w:rPr>
                <w:rFonts w:eastAsia="Calibri"/>
                <w:spacing w:val="-2"/>
                <w:sz w:val="24"/>
                <w:szCs w:val="24"/>
                <w:lang w:val="en-GB"/>
              </w:rPr>
              <w:t>mg/ml)</w:t>
            </w:r>
          </w:p>
        </w:tc>
        <w:tc>
          <w:tcPr>
            <w:tcW w:w="1122" w:type="pct"/>
            <w:tcBorders>
              <w:top w:val="single" w:sz="6" w:space="0" w:color="000000"/>
              <w:left w:val="single" w:sz="6" w:space="0" w:color="000000"/>
              <w:bottom w:val="single" w:sz="6" w:space="0" w:color="000000"/>
              <w:right w:val="single" w:sz="6" w:space="0" w:color="000000"/>
            </w:tcBorders>
            <w:hideMark/>
          </w:tcPr>
          <w:p w14:paraId="6B0D630B" w14:textId="77777777" w:rsidR="00150AB9" w:rsidRPr="006F6EE5" w:rsidRDefault="00150AB9">
            <w:pPr>
              <w:widowControl w:val="0"/>
              <w:spacing w:line="246" w:lineRule="exact"/>
              <w:ind w:left="102"/>
              <w:rPr>
                <w:sz w:val="24"/>
                <w:szCs w:val="24"/>
                <w:lang w:val="en-GB"/>
              </w:rPr>
            </w:pPr>
            <w:r w:rsidRPr="006F6EE5">
              <w:rPr>
                <w:rFonts w:eastAsia="Calibri"/>
                <w:sz w:val="24"/>
                <w:szCs w:val="24"/>
                <w:lang w:val="en-GB"/>
              </w:rPr>
              <w:t>0,5 </w:t>
            </w:r>
            <w:r w:rsidRPr="006F6EE5">
              <w:rPr>
                <w:rFonts w:eastAsia="Calibri"/>
                <w:spacing w:val="-3"/>
                <w:sz w:val="24"/>
                <w:szCs w:val="24"/>
                <w:lang w:val="en-GB"/>
              </w:rPr>
              <w:t>mg/ml</w:t>
            </w:r>
          </w:p>
        </w:tc>
      </w:tr>
      <w:tr w:rsidR="00150AB9" w:rsidRPr="006F6EE5" w14:paraId="4E85745E" w14:textId="77777777" w:rsidTr="006F6EE5">
        <w:trPr>
          <w:trHeight w:hRule="exact" w:val="288"/>
        </w:trPr>
        <w:tc>
          <w:tcPr>
            <w:tcW w:w="514" w:type="pct"/>
            <w:tcBorders>
              <w:top w:val="single" w:sz="6" w:space="0" w:color="000000"/>
              <w:left w:val="single" w:sz="6" w:space="0" w:color="000000"/>
              <w:bottom w:val="single" w:sz="6" w:space="0" w:color="000000"/>
              <w:right w:val="single" w:sz="6" w:space="0" w:color="000000"/>
            </w:tcBorders>
            <w:hideMark/>
          </w:tcPr>
          <w:p w14:paraId="678ACBF2" w14:textId="77777777" w:rsidR="00150AB9" w:rsidRPr="006F6EE5" w:rsidRDefault="00150AB9">
            <w:pPr>
              <w:widowControl w:val="0"/>
              <w:spacing w:line="246" w:lineRule="exact"/>
              <w:ind w:left="102"/>
              <w:rPr>
                <w:sz w:val="24"/>
                <w:szCs w:val="24"/>
                <w:lang w:val="en-GB"/>
              </w:rPr>
            </w:pPr>
            <w:r w:rsidRPr="006F6EE5">
              <w:rPr>
                <w:rFonts w:eastAsia="Calibri"/>
                <w:sz w:val="24"/>
                <w:szCs w:val="24"/>
                <w:lang w:val="en-GB"/>
              </w:rPr>
              <w:t>100</w:t>
            </w:r>
          </w:p>
        </w:tc>
        <w:tc>
          <w:tcPr>
            <w:tcW w:w="1121" w:type="pct"/>
            <w:tcBorders>
              <w:top w:val="single" w:sz="6" w:space="0" w:color="000000"/>
              <w:left w:val="single" w:sz="6" w:space="0" w:color="000000"/>
              <w:bottom w:val="single" w:sz="6" w:space="0" w:color="000000"/>
              <w:right w:val="single" w:sz="6" w:space="0" w:color="000000"/>
            </w:tcBorders>
            <w:hideMark/>
          </w:tcPr>
          <w:p w14:paraId="52BEF794" w14:textId="369F8F06" w:rsidR="00150AB9" w:rsidRPr="006F6EE5" w:rsidRDefault="00150AB9">
            <w:pPr>
              <w:widowControl w:val="0"/>
              <w:spacing w:line="246" w:lineRule="exact"/>
              <w:ind w:left="102"/>
              <w:rPr>
                <w:sz w:val="24"/>
                <w:szCs w:val="24"/>
                <w:lang w:val="en-GB"/>
              </w:rPr>
            </w:pPr>
            <w:r w:rsidRPr="006F6EE5">
              <w:rPr>
                <w:rFonts w:eastAsia="Calibri"/>
                <w:sz w:val="24"/>
                <w:szCs w:val="24"/>
                <w:lang w:val="en-GB"/>
              </w:rPr>
              <w:t xml:space="preserve">1 </w:t>
            </w:r>
            <w:r w:rsidR="009C67C9">
              <w:rPr>
                <w:rFonts w:eastAsia="Calibri"/>
                <w:sz w:val="24"/>
                <w:szCs w:val="24"/>
                <w:lang w:val="en-GB"/>
              </w:rPr>
              <w:t>×</w:t>
            </w:r>
            <w:r w:rsidRPr="006F6EE5">
              <w:rPr>
                <w:rFonts w:eastAsia="Calibri"/>
                <w:sz w:val="24"/>
                <w:szCs w:val="24"/>
                <w:lang w:val="en-GB"/>
              </w:rPr>
              <w:t xml:space="preserve"> 100</w:t>
            </w:r>
          </w:p>
        </w:tc>
        <w:tc>
          <w:tcPr>
            <w:tcW w:w="1122" w:type="pct"/>
            <w:tcBorders>
              <w:top w:val="single" w:sz="6" w:space="0" w:color="000000"/>
              <w:left w:val="single" w:sz="6" w:space="0" w:color="000000"/>
              <w:bottom w:val="single" w:sz="6" w:space="0" w:color="000000"/>
              <w:right w:val="single" w:sz="6" w:space="0" w:color="000000"/>
            </w:tcBorders>
            <w:hideMark/>
          </w:tcPr>
          <w:p w14:paraId="032CBB7E" w14:textId="77777777" w:rsidR="00150AB9" w:rsidRPr="006F6EE5" w:rsidRDefault="00150AB9">
            <w:pPr>
              <w:widowControl w:val="0"/>
              <w:spacing w:line="246" w:lineRule="exact"/>
              <w:ind w:left="99"/>
              <w:rPr>
                <w:sz w:val="24"/>
                <w:szCs w:val="24"/>
                <w:lang w:val="en-GB"/>
              </w:rPr>
            </w:pPr>
            <w:r w:rsidRPr="006F6EE5">
              <w:rPr>
                <w:rFonts w:eastAsia="Calibri"/>
                <w:sz w:val="24"/>
                <w:szCs w:val="24"/>
                <w:lang w:val="en-GB"/>
              </w:rPr>
              <w:t>5 </w:t>
            </w:r>
            <w:r w:rsidRPr="006F6EE5">
              <w:rPr>
                <w:rFonts w:eastAsia="Calibri"/>
                <w:spacing w:val="-4"/>
                <w:sz w:val="24"/>
                <w:szCs w:val="24"/>
                <w:lang w:val="en-GB"/>
              </w:rPr>
              <w:t>ml</w:t>
            </w:r>
          </w:p>
        </w:tc>
        <w:tc>
          <w:tcPr>
            <w:tcW w:w="1121" w:type="pct"/>
            <w:tcBorders>
              <w:top w:val="single" w:sz="6" w:space="0" w:color="000000"/>
              <w:left w:val="single" w:sz="6" w:space="0" w:color="000000"/>
              <w:bottom w:val="single" w:sz="6" w:space="0" w:color="000000"/>
              <w:right w:val="single" w:sz="6" w:space="0" w:color="000000"/>
            </w:tcBorders>
            <w:hideMark/>
          </w:tcPr>
          <w:p w14:paraId="66217244" w14:textId="77777777" w:rsidR="00150AB9" w:rsidRPr="006F6EE5" w:rsidRDefault="00150AB9">
            <w:pPr>
              <w:widowControl w:val="0"/>
              <w:spacing w:line="245" w:lineRule="exact"/>
              <w:ind w:left="102"/>
              <w:rPr>
                <w:sz w:val="24"/>
                <w:szCs w:val="24"/>
                <w:lang w:val="en-GB"/>
              </w:rPr>
            </w:pPr>
            <w:r w:rsidRPr="006F6EE5">
              <w:rPr>
                <w:rFonts w:eastAsia="Calibri"/>
                <w:spacing w:val="-1"/>
                <w:sz w:val="24"/>
                <w:szCs w:val="24"/>
                <w:lang w:val="en-GB"/>
              </w:rPr>
              <w:t>ca.</w:t>
            </w:r>
            <w:r w:rsidRPr="006F6EE5">
              <w:rPr>
                <w:rFonts w:eastAsia="Calibri"/>
                <w:sz w:val="24"/>
                <w:szCs w:val="24"/>
                <w:lang w:val="en-GB"/>
              </w:rPr>
              <w:t xml:space="preserve"> 5 </w:t>
            </w:r>
            <w:r w:rsidRPr="006F6EE5">
              <w:rPr>
                <w:rFonts w:eastAsia="Calibri"/>
                <w:spacing w:val="-4"/>
                <w:sz w:val="24"/>
                <w:szCs w:val="24"/>
                <w:lang w:val="en-GB"/>
              </w:rPr>
              <w:t>ml</w:t>
            </w:r>
            <w:r w:rsidRPr="006F6EE5">
              <w:rPr>
                <w:sz w:val="24"/>
                <w:szCs w:val="24"/>
                <w:lang w:val="en-GB"/>
              </w:rPr>
              <w:t xml:space="preserve"> </w:t>
            </w:r>
            <w:r w:rsidRPr="006F6EE5">
              <w:rPr>
                <w:rFonts w:eastAsia="Calibri"/>
                <w:sz w:val="24"/>
                <w:szCs w:val="24"/>
                <w:lang w:val="en-GB"/>
              </w:rPr>
              <w:t>(20 </w:t>
            </w:r>
            <w:r w:rsidRPr="006F6EE5">
              <w:rPr>
                <w:rFonts w:eastAsia="Calibri"/>
                <w:spacing w:val="-2"/>
                <w:sz w:val="24"/>
                <w:szCs w:val="24"/>
                <w:lang w:val="en-GB"/>
              </w:rPr>
              <w:t>mg/ml)</w:t>
            </w:r>
          </w:p>
        </w:tc>
        <w:tc>
          <w:tcPr>
            <w:tcW w:w="1122" w:type="pct"/>
            <w:tcBorders>
              <w:top w:val="single" w:sz="6" w:space="0" w:color="000000"/>
              <w:left w:val="single" w:sz="6" w:space="0" w:color="000000"/>
              <w:bottom w:val="single" w:sz="6" w:space="0" w:color="000000"/>
              <w:right w:val="single" w:sz="6" w:space="0" w:color="000000"/>
            </w:tcBorders>
            <w:hideMark/>
          </w:tcPr>
          <w:p w14:paraId="2C297BF7" w14:textId="77777777" w:rsidR="00150AB9" w:rsidRPr="006F6EE5" w:rsidRDefault="00150AB9">
            <w:pPr>
              <w:widowControl w:val="0"/>
              <w:spacing w:line="246" w:lineRule="exact"/>
              <w:ind w:left="102"/>
              <w:rPr>
                <w:sz w:val="24"/>
                <w:szCs w:val="24"/>
                <w:lang w:val="en-GB"/>
              </w:rPr>
            </w:pPr>
            <w:r w:rsidRPr="006F6EE5">
              <w:rPr>
                <w:rFonts w:eastAsia="Calibri"/>
                <w:sz w:val="24"/>
                <w:szCs w:val="24"/>
                <w:lang w:val="en-GB"/>
              </w:rPr>
              <w:t>1,0 </w:t>
            </w:r>
            <w:r w:rsidRPr="006F6EE5">
              <w:rPr>
                <w:rFonts w:eastAsia="Calibri"/>
                <w:spacing w:val="-3"/>
                <w:sz w:val="24"/>
                <w:szCs w:val="24"/>
                <w:lang w:val="en-GB"/>
              </w:rPr>
              <w:t>mg/ml</w:t>
            </w:r>
          </w:p>
        </w:tc>
      </w:tr>
      <w:tr w:rsidR="00150AB9" w:rsidRPr="006F6EE5" w14:paraId="74589104" w14:textId="77777777" w:rsidTr="006F6EE5">
        <w:trPr>
          <w:trHeight w:hRule="exact" w:val="291"/>
        </w:trPr>
        <w:tc>
          <w:tcPr>
            <w:tcW w:w="514" w:type="pct"/>
            <w:tcBorders>
              <w:top w:val="single" w:sz="6" w:space="0" w:color="000000"/>
              <w:left w:val="single" w:sz="6" w:space="0" w:color="000000"/>
              <w:bottom w:val="single" w:sz="6" w:space="0" w:color="000000"/>
              <w:right w:val="single" w:sz="6" w:space="0" w:color="000000"/>
            </w:tcBorders>
            <w:hideMark/>
          </w:tcPr>
          <w:p w14:paraId="70CE187B" w14:textId="77777777" w:rsidR="00150AB9" w:rsidRPr="006F6EE5" w:rsidRDefault="00150AB9">
            <w:pPr>
              <w:widowControl w:val="0"/>
              <w:spacing w:line="246" w:lineRule="exact"/>
              <w:ind w:left="102"/>
              <w:rPr>
                <w:sz w:val="24"/>
                <w:szCs w:val="24"/>
                <w:lang w:val="en-GB"/>
              </w:rPr>
            </w:pPr>
            <w:r w:rsidRPr="006F6EE5">
              <w:rPr>
                <w:rFonts w:eastAsia="Calibri"/>
                <w:sz w:val="24"/>
                <w:szCs w:val="24"/>
                <w:lang w:val="en-GB"/>
              </w:rPr>
              <w:t>150</w:t>
            </w:r>
          </w:p>
        </w:tc>
        <w:tc>
          <w:tcPr>
            <w:tcW w:w="1121" w:type="pct"/>
            <w:tcBorders>
              <w:top w:val="single" w:sz="6" w:space="0" w:color="000000"/>
              <w:left w:val="single" w:sz="6" w:space="0" w:color="000000"/>
              <w:bottom w:val="single" w:sz="6" w:space="0" w:color="000000"/>
              <w:right w:val="single" w:sz="6" w:space="0" w:color="000000"/>
            </w:tcBorders>
            <w:hideMark/>
          </w:tcPr>
          <w:p w14:paraId="2D8E1AD3" w14:textId="35CAD197" w:rsidR="00150AB9" w:rsidRPr="006F6EE5" w:rsidRDefault="00150AB9">
            <w:pPr>
              <w:widowControl w:val="0"/>
              <w:spacing w:line="245" w:lineRule="exact"/>
              <w:ind w:left="102"/>
              <w:rPr>
                <w:sz w:val="24"/>
                <w:szCs w:val="24"/>
                <w:lang w:val="en-GB"/>
              </w:rPr>
            </w:pPr>
            <w:r w:rsidRPr="006F6EE5">
              <w:rPr>
                <w:rFonts w:eastAsia="Calibri"/>
                <w:sz w:val="24"/>
                <w:szCs w:val="24"/>
                <w:lang w:val="en-GB"/>
              </w:rPr>
              <w:t xml:space="preserve">1 </w:t>
            </w:r>
            <w:r w:rsidR="009C67C9">
              <w:rPr>
                <w:rFonts w:eastAsia="Calibri"/>
                <w:sz w:val="24"/>
                <w:szCs w:val="24"/>
                <w:lang w:val="en-GB"/>
              </w:rPr>
              <w:t>×</w:t>
            </w:r>
            <w:r w:rsidRPr="006F6EE5">
              <w:rPr>
                <w:rFonts w:eastAsia="Calibri"/>
                <w:sz w:val="24"/>
                <w:szCs w:val="24"/>
                <w:lang w:val="en-GB"/>
              </w:rPr>
              <w:t xml:space="preserve"> 100 +</w:t>
            </w:r>
            <w:r w:rsidRPr="006F6EE5">
              <w:rPr>
                <w:rFonts w:eastAsia="Calibri"/>
                <w:spacing w:val="-2"/>
                <w:sz w:val="24"/>
                <w:szCs w:val="24"/>
                <w:lang w:val="en-GB"/>
              </w:rPr>
              <w:t xml:space="preserve"> </w:t>
            </w:r>
            <w:r w:rsidRPr="006F6EE5">
              <w:rPr>
                <w:rFonts w:eastAsia="Calibri"/>
                <w:sz w:val="24"/>
                <w:szCs w:val="24"/>
                <w:lang w:val="en-GB"/>
              </w:rPr>
              <w:t xml:space="preserve">1 </w:t>
            </w:r>
            <w:r w:rsidR="009C67C9">
              <w:rPr>
                <w:rFonts w:eastAsia="Calibri"/>
                <w:sz w:val="24"/>
                <w:szCs w:val="24"/>
                <w:lang w:val="en-GB"/>
              </w:rPr>
              <w:t>×</w:t>
            </w:r>
            <w:r w:rsidRPr="006F6EE5">
              <w:rPr>
                <w:sz w:val="24"/>
                <w:szCs w:val="24"/>
                <w:lang w:val="en-GB"/>
              </w:rPr>
              <w:t xml:space="preserve"> </w:t>
            </w:r>
            <w:r w:rsidRPr="006F6EE5">
              <w:rPr>
                <w:rFonts w:eastAsia="Calibri"/>
                <w:sz w:val="24"/>
                <w:szCs w:val="24"/>
                <w:lang w:val="en-GB"/>
              </w:rPr>
              <w:t>50</w:t>
            </w:r>
          </w:p>
        </w:tc>
        <w:tc>
          <w:tcPr>
            <w:tcW w:w="1122" w:type="pct"/>
            <w:tcBorders>
              <w:top w:val="single" w:sz="6" w:space="0" w:color="000000"/>
              <w:left w:val="single" w:sz="6" w:space="0" w:color="000000"/>
              <w:bottom w:val="single" w:sz="6" w:space="0" w:color="000000"/>
              <w:right w:val="single" w:sz="6" w:space="0" w:color="000000"/>
            </w:tcBorders>
            <w:hideMark/>
          </w:tcPr>
          <w:p w14:paraId="3FA7D91C" w14:textId="77777777" w:rsidR="00150AB9" w:rsidRPr="006F6EE5" w:rsidRDefault="00150AB9">
            <w:pPr>
              <w:widowControl w:val="0"/>
              <w:spacing w:line="246" w:lineRule="exact"/>
              <w:ind w:left="99"/>
              <w:rPr>
                <w:sz w:val="24"/>
                <w:szCs w:val="24"/>
                <w:lang w:val="en-GB"/>
              </w:rPr>
            </w:pPr>
            <w:r w:rsidRPr="006F6EE5">
              <w:rPr>
                <w:rFonts w:eastAsia="Calibri"/>
                <w:sz w:val="24"/>
                <w:szCs w:val="24"/>
                <w:lang w:val="en-GB"/>
              </w:rPr>
              <w:t>5 </w:t>
            </w:r>
            <w:r w:rsidRPr="006F6EE5">
              <w:rPr>
                <w:rFonts w:eastAsia="Calibri"/>
                <w:spacing w:val="-4"/>
                <w:sz w:val="24"/>
                <w:szCs w:val="24"/>
                <w:lang w:val="en-GB"/>
              </w:rPr>
              <w:t>ml</w:t>
            </w:r>
          </w:p>
        </w:tc>
        <w:tc>
          <w:tcPr>
            <w:tcW w:w="1121" w:type="pct"/>
            <w:tcBorders>
              <w:top w:val="single" w:sz="6" w:space="0" w:color="000000"/>
              <w:left w:val="single" w:sz="6" w:space="0" w:color="000000"/>
              <w:bottom w:val="single" w:sz="6" w:space="0" w:color="000000"/>
              <w:right w:val="single" w:sz="6" w:space="0" w:color="000000"/>
            </w:tcBorders>
            <w:hideMark/>
          </w:tcPr>
          <w:p w14:paraId="2540D373" w14:textId="77777777" w:rsidR="00150AB9" w:rsidRPr="006F6EE5" w:rsidRDefault="00150AB9">
            <w:pPr>
              <w:widowControl w:val="0"/>
              <w:spacing w:line="246" w:lineRule="exact"/>
              <w:ind w:left="102"/>
              <w:rPr>
                <w:sz w:val="24"/>
                <w:szCs w:val="24"/>
                <w:lang w:val="en-GB"/>
              </w:rPr>
            </w:pPr>
            <w:r w:rsidRPr="006F6EE5">
              <w:rPr>
                <w:rFonts w:eastAsia="Calibri"/>
                <w:spacing w:val="-1"/>
                <w:sz w:val="24"/>
                <w:szCs w:val="24"/>
                <w:lang w:val="en-GB"/>
              </w:rPr>
              <w:t>ca.</w:t>
            </w:r>
            <w:r w:rsidRPr="006F6EE5">
              <w:rPr>
                <w:rFonts w:eastAsia="Calibri"/>
                <w:sz w:val="24"/>
                <w:szCs w:val="24"/>
                <w:lang w:val="en-GB"/>
              </w:rPr>
              <w:t xml:space="preserve"> 10 </w:t>
            </w:r>
            <w:r w:rsidRPr="006F6EE5">
              <w:rPr>
                <w:rFonts w:eastAsia="Calibri"/>
                <w:spacing w:val="-4"/>
                <w:sz w:val="24"/>
                <w:szCs w:val="24"/>
                <w:lang w:val="en-GB"/>
              </w:rPr>
              <w:t>ml</w:t>
            </w:r>
          </w:p>
        </w:tc>
        <w:tc>
          <w:tcPr>
            <w:tcW w:w="1122" w:type="pct"/>
            <w:tcBorders>
              <w:top w:val="single" w:sz="6" w:space="0" w:color="000000"/>
              <w:left w:val="single" w:sz="6" w:space="0" w:color="000000"/>
              <w:bottom w:val="single" w:sz="6" w:space="0" w:color="000000"/>
              <w:right w:val="single" w:sz="6" w:space="0" w:color="000000"/>
            </w:tcBorders>
            <w:hideMark/>
          </w:tcPr>
          <w:p w14:paraId="42FCB92B" w14:textId="77777777" w:rsidR="00150AB9" w:rsidRPr="006F6EE5" w:rsidRDefault="00150AB9">
            <w:pPr>
              <w:widowControl w:val="0"/>
              <w:spacing w:line="246" w:lineRule="exact"/>
              <w:ind w:left="102"/>
              <w:rPr>
                <w:sz w:val="24"/>
                <w:szCs w:val="24"/>
                <w:lang w:val="en-GB"/>
              </w:rPr>
            </w:pPr>
            <w:r w:rsidRPr="006F6EE5">
              <w:rPr>
                <w:rFonts w:eastAsia="Calibri"/>
                <w:sz w:val="24"/>
                <w:szCs w:val="24"/>
                <w:lang w:val="en-GB"/>
              </w:rPr>
              <w:t>1,5 </w:t>
            </w:r>
            <w:r w:rsidRPr="006F6EE5">
              <w:rPr>
                <w:rFonts w:eastAsia="Calibri"/>
                <w:spacing w:val="-3"/>
                <w:sz w:val="24"/>
                <w:szCs w:val="24"/>
                <w:lang w:val="en-GB"/>
              </w:rPr>
              <w:t>mg/ml</w:t>
            </w:r>
          </w:p>
        </w:tc>
      </w:tr>
      <w:tr w:rsidR="00150AB9" w:rsidRPr="006F6EE5" w14:paraId="7DB04446" w14:textId="77777777" w:rsidTr="006F6EE5">
        <w:trPr>
          <w:trHeight w:hRule="exact" w:val="283"/>
        </w:trPr>
        <w:tc>
          <w:tcPr>
            <w:tcW w:w="514" w:type="pct"/>
            <w:tcBorders>
              <w:top w:val="single" w:sz="6" w:space="0" w:color="000000"/>
              <w:left w:val="single" w:sz="6" w:space="0" w:color="000000"/>
              <w:bottom w:val="single" w:sz="6" w:space="0" w:color="000000"/>
              <w:right w:val="single" w:sz="6" w:space="0" w:color="000000"/>
            </w:tcBorders>
            <w:hideMark/>
          </w:tcPr>
          <w:p w14:paraId="04C043F6" w14:textId="77777777" w:rsidR="00150AB9" w:rsidRPr="006F6EE5" w:rsidRDefault="00150AB9">
            <w:pPr>
              <w:widowControl w:val="0"/>
              <w:spacing w:line="246" w:lineRule="exact"/>
              <w:ind w:left="102"/>
              <w:rPr>
                <w:sz w:val="24"/>
                <w:szCs w:val="24"/>
                <w:lang w:val="en-GB"/>
              </w:rPr>
            </w:pPr>
            <w:r w:rsidRPr="006F6EE5">
              <w:rPr>
                <w:rFonts w:eastAsia="Calibri"/>
                <w:sz w:val="24"/>
                <w:szCs w:val="24"/>
                <w:lang w:val="en-GB"/>
              </w:rPr>
              <w:t>200</w:t>
            </w:r>
          </w:p>
        </w:tc>
        <w:tc>
          <w:tcPr>
            <w:tcW w:w="1121" w:type="pct"/>
            <w:tcBorders>
              <w:top w:val="single" w:sz="6" w:space="0" w:color="000000"/>
              <w:left w:val="single" w:sz="6" w:space="0" w:color="000000"/>
              <w:bottom w:val="single" w:sz="6" w:space="0" w:color="000000"/>
              <w:right w:val="single" w:sz="6" w:space="0" w:color="000000"/>
            </w:tcBorders>
            <w:hideMark/>
          </w:tcPr>
          <w:p w14:paraId="5EFBF16F" w14:textId="639B7547" w:rsidR="00150AB9" w:rsidRPr="006F6EE5" w:rsidRDefault="00150AB9">
            <w:pPr>
              <w:widowControl w:val="0"/>
              <w:spacing w:line="246" w:lineRule="exact"/>
              <w:ind w:left="102"/>
              <w:rPr>
                <w:sz w:val="24"/>
                <w:szCs w:val="24"/>
                <w:lang w:val="en-GB"/>
              </w:rPr>
            </w:pPr>
            <w:r w:rsidRPr="006F6EE5">
              <w:rPr>
                <w:rFonts w:eastAsia="Calibri"/>
                <w:sz w:val="24"/>
                <w:szCs w:val="24"/>
                <w:lang w:val="en-GB"/>
              </w:rPr>
              <w:t xml:space="preserve">2 </w:t>
            </w:r>
            <w:r w:rsidR="009C67C9">
              <w:rPr>
                <w:rFonts w:eastAsia="Calibri"/>
                <w:sz w:val="24"/>
                <w:szCs w:val="24"/>
                <w:lang w:val="en-GB"/>
              </w:rPr>
              <w:t>×</w:t>
            </w:r>
            <w:r w:rsidRPr="006F6EE5">
              <w:rPr>
                <w:rFonts w:eastAsia="Calibri"/>
                <w:sz w:val="24"/>
                <w:szCs w:val="24"/>
                <w:lang w:val="en-GB"/>
              </w:rPr>
              <w:t xml:space="preserve"> 100</w:t>
            </w:r>
          </w:p>
        </w:tc>
        <w:tc>
          <w:tcPr>
            <w:tcW w:w="1122" w:type="pct"/>
            <w:tcBorders>
              <w:top w:val="single" w:sz="6" w:space="0" w:color="000000"/>
              <w:left w:val="single" w:sz="6" w:space="0" w:color="000000"/>
              <w:bottom w:val="single" w:sz="6" w:space="0" w:color="000000"/>
              <w:right w:val="single" w:sz="6" w:space="0" w:color="000000"/>
            </w:tcBorders>
            <w:hideMark/>
          </w:tcPr>
          <w:p w14:paraId="026A0A97" w14:textId="77777777" w:rsidR="00150AB9" w:rsidRPr="006F6EE5" w:rsidRDefault="00150AB9">
            <w:pPr>
              <w:widowControl w:val="0"/>
              <w:spacing w:line="246" w:lineRule="exact"/>
              <w:ind w:left="99"/>
              <w:rPr>
                <w:sz w:val="24"/>
                <w:szCs w:val="24"/>
                <w:lang w:val="en-GB"/>
              </w:rPr>
            </w:pPr>
            <w:r w:rsidRPr="006F6EE5">
              <w:rPr>
                <w:rFonts w:eastAsia="Calibri"/>
                <w:sz w:val="24"/>
                <w:szCs w:val="24"/>
                <w:lang w:val="en-GB"/>
              </w:rPr>
              <w:t>5 </w:t>
            </w:r>
            <w:r w:rsidRPr="006F6EE5">
              <w:rPr>
                <w:rFonts w:eastAsia="Calibri"/>
                <w:spacing w:val="-4"/>
                <w:sz w:val="24"/>
                <w:szCs w:val="24"/>
                <w:lang w:val="en-GB"/>
              </w:rPr>
              <w:t>ml</w:t>
            </w:r>
          </w:p>
        </w:tc>
        <w:tc>
          <w:tcPr>
            <w:tcW w:w="1121" w:type="pct"/>
            <w:tcBorders>
              <w:top w:val="single" w:sz="6" w:space="0" w:color="000000"/>
              <w:left w:val="single" w:sz="6" w:space="0" w:color="000000"/>
              <w:bottom w:val="single" w:sz="6" w:space="0" w:color="000000"/>
              <w:right w:val="single" w:sz="6" w:space="0" w:color="000000"/>
            </w:tcBorders>
            <w:hideMark/>
          </w:tcPr>
          <w:p w14:paraId="3924FF79" w14:textId="77777777" w:rsidR="00150AB9" w:rsidRPr="006F6EE5" w:rsidRDefault="00150AB9">
            <w:pPr>
              <w:widowControl w:val="0"/>
              <w:spacing w:line="246" w:lineRule="exact"/>
              <w:ind w:left="102"/>
              <w:rPr>
                <w:sz w:val="24"/>
                <w:szCs w:val="24"/>
                <w:lang w:val="en-GB"/>
              </w:rPr>
            </w:pPr>
            <w:r w:rsidRPr="006F6EE5">
              <w:rPr>
                <w:rFonts w:eastAsia="Calibri"/>
                <w:spacing w:val="-1"/>
                <w:sz w:val="24"/>
                <w:szCs w:val="24"/>
                <w:lang w:val="en-GB"/>
              </w:rPr>
              <w:t>ca.</w:t>
            </w:r>
            <w:r w:rsidRPr="006F6EE5">
              <w:rPr>
                <w:rFonts w:eastAsia="Calibri"/>
                <w:sz w:val="24"/>
                <w:szCs w:val="24"/>
                <w:lang w:val="en-GB"/>
              </w:rPr>
              <w:t xml:space="preserve"> 10 </w:t>
            </w:r>
            <w:r w:rsidRPr="006F6EE5">
              <w:rPr>
                <w:rFonts w:eastAsia="Calibri"/>
                <w:spacing w:val="-4"/>
                <w:sz w:val="24"/>
                <w:szCs w:val="24"/>
                <w:lang w:val="en-GB"/>
              </w:rPr>
              <w:t>ml</w:t>
            </w:r>
          </w:p>
        </w:tc>
        <w:tc>
          <w:tcPr>
            <w:tcW w:w="1122" w:type="pct"/>
            <w:tcBorders>
              <w:top w:val="single" w:sz="6" w:space="0" w:color="000000"/>
              <w:left w:val="single" w:sz="6" w:space="0" w:color="000000"/>
              <w:bottom w:val="single" w:sz="6" w:space="0" w:color="000000"/>
              <w:right w:val="single" w:sz="6" w:space="0" w:color="000000"/>
            </w:tcBorders>
            <w:hideMark/>
          </w:tcPr>
          <w:p w14:paraId="5B699CC6" w14:textId="77777777" w:rsidR="00150AB9" w:rsidRPr="006F6EE5" w:rsidRDefault="00150AB9">
            <w:pPr>
              <w:widowControl w:val="0"/>
              <w:spacing w:line="246" w:lineRule="exact"/>
              <w:ind w:left="102"/>
              <w:rPr>
                <w:sz w:val="24"/>
                <w:szCs w:val="24"/>
                <w:lang w:val="en-GB"/>
              </w:rPr>
            </w:pPr>
            <w:r w:rsidRPr="006F6EE5">
              <w:rPr>
                <w:rFonts w:eastAsia="Calibri"/>
                <w:sz w:val="24"/>
                <w:szCs w:val="24"/>
                <w:lang w:val="en-GB"/>
              </w:rPr>
              <w:t>2,0 </w:t>
            </w:r>
            <w:r w:rsidRPr="006F6EE5">
              <w:rPr>
                <w:rFonts w:eastAsia="Calibri"/>
                <w:spacing w:val="-3"/>
                <w:sz w:val="24"/>
                <w:szCs w:val="24"/>
                <w:lang w:val="en-GB"/>
              </w:rPr>
              <w:t>mg/ml</w:t>
            </w:r>
          </w:p>
        </w:tc>
      </w:tr>
    </w:tbl>
    <w:p w14:paraId="6E38244B" w14:textId="77777777" w:rsidR="00150AB9" w:rsidRPr="006F6EE5" w:rsidRDefault="00150AB9" w:rsidP="00150AB9">
      <w:pPr>
        <w:rPr>
          <w:sz w:val="24"/>
          <w:szCs w:val="24"/>
        </w:rPr>
      </w:pPr>
    </w:p>
    <w:p w14:paraId="7AD53C9D" w14:textId="77777777" w:rsidR="00150AB9" w:rsidRPr="006F6EE5" w:rsidRDefault="00150AB9" w:rsidP="006F6EE5">
      <w:pPr>
        <w:ind w:left="851"/>
        <w:rPr>
          <w:sz w:val="24"/>
          <w:szCs w:val="24"/>
        </w:rPr>
      </w:pPr>
      <w:r w:rsidRPr="006F6EE5">
        <w:rPr>
          <w:sz w:val="24"/>
          <w:szCs w:val="24"/>
        </w:rPr>
        <w:t xml:space="preserve">Efter </w:t>
      </w:r>
      <w:proofErr w:type="spellStart"/>
      <w:r w:rsidRPr="006F6EE5">
        <w:rPr>
          <w:sz w:val="24"/>
          <w:szCs w:val="24"/>
        </w:rPr>
        <w:t>rekonstitution</w:t>
      </w:r>
      <w:proofErr w:type="spellEnd"/>
      <w:r w:rsidRPr="006F6EE5">
        <w:rPr>
          <w:sz w:val="24"/>
          <w:szCs w:val="24"/>
        </w:rPr>
        <w:t xml:space="preserve"> og fortynding skal opløsningen administreres ved intravenøs infusion over ca. 1 time.</w:t>
      </w:r>
    </w:p>
    <w:p w14:paraId="2704502D" w14:textId="77777777" w:rsidR="009260DE" w:rsidRPr="006F6EE5" w:rsidRDefault="009260DE" w:rsidP="000730CA">
      <w:pPr>
        <w:tabs>
          <w:tab w:val="left" w:pos="851"/>
        </w:tabs>
        <w:ind w:left="851"/>
        <w:rPr>
          <w:sz w:val="24"/>
          <w:szCs w:val="24"/>
        </w:rPr>
      </w:pPr>
    </w:p>
    <w:p w14:paraId="6B848F29" w14:textId="77777777" w:rsidR="009260DE" w:rsidRPr="006F6EE5" w:rsidRDefault="009260DE" w:rsidP="009260DE">
      <w:pPr>
        <w:tabs>
          <w:tab w:val="left" w:pos="851"/>
        </w:tabs>
        <w:ind w:left="851" w:hanging="851"/>
        <w:rPr>
          <w:b/>
          <w:sz w:val="24"/>
          <w:szCs w:val="24"/>
        </w:rPr>
      </w:pPr>
      <w:r w:rsidRPr="006F6EE5">
        <w:rPr>
          <w:b/>
          <w:sz w:val="24"/>
          <w:szCs w:val="24"/>
        </w:rPr>
        <w:t>7.</w:t>
      </w:r>
      <w:r w:rsidRPr="006F6EE5">
        <w:rPr>
          <w:b/>
          <w:sz w:val="24"/>
          <w:szCs w:val="24"/>
        </w:rPr>
        <w:tab/>
        <w:t>INDEHAVER AF MARKEDSFØRINGSTILLADELSEN</w:t>
      </w:r>
    </w:p>
    <w:p w14:paraId="26AD4954" w14:textId="77777777" w:rsidR="00150AB9" w:rsidRPr="006F6EE5" w:rsidRDefault="00150AB9" w:rsidP="006F6EE5">
      <w:pPr>
        <w:ind w:left="851"/>
        <w:rPr>
          <w:sz w:val="24"/>
          <w:szCs w:val="24"/>
        </w:rPr>
      </w:pPr>
      <w:proofErr w:type="spellStart"/>
      <w:r w:rsidRPr="006F6EE5">
        <w:rPr>
          <w:sz w:val="24"/>
          <w:szCs w:val="24"/>
        </w:rPr>
        <w:t>Hikma</w:t>
      </w:r>
      <w:proofErr w:type="spellEnd"/>
      <w:r w:rsidRPr="006F6EE5">
        <w:rPr>
          <w:sz w:val="24"/>
          <w:szCs w:val="24"/>
        </w:rPr>
        <w:t xml:space="preserve"> </w:t>
      </w:r>
      <w:proofErr w:type="spellStart"/>
      <w:r w:rsidRPr="006F6EE5">
        <w:rPr>
          <w:sz w:val="24"/>
          <w:szCs w:val="24"/>
        </w:rPr>
        <w:t>Farmacêutica</w:t>
      </w:r>
      <w:proofErr w:type="spellEnd"/>
      <w:r w:rsidRPr="006F6EE5">
        <w:rPr>
          <w:sz w:val="24"/>
          <w:szCs w:val="24"/>
        </w:rPr>
        <w:t xml:space="preserve"> (Portugal), S.A.</w:t>
      </w:r>
    </w:p>
    <w:p w14:paraId="60E2F0B5" w14:textId="77777777" w:rsidR="00150AB9" w:rsidRPr="006F6EE5" w:rsidRDefault="00150AB9" w:rsidP="006F6EE5">
      <w:pPr>
        <w:ind w:left="851"/>
        <w:rPr>
          <w:sz w:val="24"/>
          <w:szCs w:val="24"/>
          <w:lang w:val="en-US"/>
        </w:rPr>
      </w:pPr>
      <w:r w:rsidRPr="006F6EE5">
        <w:rPr>
          <w:sz w:val="24"/>
          <w:szCs w:val="24"/>
          <w:lang w:val="en-US"/>
        </w:rPr>
        <w:t xml:space="preserve">Estrada do Rio da </w:t>
      </w:r>
      <w:proofErr w:type="spellStart"/>
      <w:r w:rsidRPr="006F6EE5">
        <w:rPr>
          <w:sz w:val="24"/>
          <w:szCs w:val="24"/>
          <w:lang w:val="en-US"/>
        </w:rPr>
        <w:t>Mó</w:t>
      </w:r>
      <w:proofErr w:type="spellEnd"/>
      <w:r w:rsidRPr="006F6EE5">
        <w:rPr>
          <w:sz w:val="24"/>
          <w:szCs w:val="24"/>
          <w:lang w:val="en-US"/>
        </w:rPr>
        <w:t xml:space="preserve"> 8, 8A e 8B</w:t>
      </w:r>
    </w:p>
    <w:p w14:paraId="7D393DBF" w14:textId="77777777" w:rsidR="00150AB9" w:rsidRPr="006F6EE5" w:rsidRDefault="00150AB9" w:rsidP="006F6EE5">
      <w:pPr>
        <w:ind w:left="851"/>
        <w:rPr>
          <w:sz w:val="24"/>
          <w:szCs w:val="24"/>
        </w:rPr>
      </w:pPr>
      <w:proofErr w:type="spellStart"/>
      <w:r w:rsidRPr="006F6EE5">
        <w:rPr>
          <w:sz w:val="24"/>
          <w:szCs w:val="24"/>
        </w:rPr>
        <w:t>Fervença</w:t>
      </w:r>
      <w:proofErr w:type="spellEnd"/>
    </w:p>
    <w:p w14:paraId="1802BB1B" w14:textId="77777777" w:rsidR="00150AB9" w:rsidRPr="006F6EE5" w:rsidRDefault="00150AB9" w:rsidP="006F6EE5">
      <w:pPr>
        <w:ind w:left="851"/>
        <w:rPr>
          <w:sz w:val="24"/>
          <w:szCs w:val="24"/>
        </w:rPr>
      </w:pPr>
      <w:r w:rsidRPr="006F6EE5">
        <w:rPr>
          <w:sz w:val="24"/>
          <w:szCs w:val="24"/>
        </w:rPr>
        <w:t xml:space="preserve">2705-906 </w:t>
      </w:r>
      <w:proofErr w:type="spellStart"/>
      <w:r w:rsidRPr="006F6EE5">
        <w:rPr>
          <w:sz w:val="24"/>
          <w:szCs w:val="24"/>
        </w:rPr>
        <w:t>Terrugem</w:t>
      </w:r>
      <w:proofErr w:type="spellEnd"/>
      <w:r w:rsidRPr="006F6EE5">
        <w:rPr>
          <w:sz w:val="24"/>
          <w:szCs w:val="24"/>
        </w:rPr>
        <w:t xml:space="preserve"> SNT</w:t>
      </w:r>
    </w:p>
    <w:p w14:paraId="3BD0B1E2" w14:textId="77777777" w:rsidR="00150AB9" w:rsidRPr="006F6EE5" w:rsidRDefault="00150AB9" w:rsidP="006F6EE5">
      <w:pPr>
        <w:ind w:left="851"/>
        <w:rPr>
          <w:sz w:val="24"/>
          <w:szCs w:val="24"/>
        </w:rPr>
      </w:pPr>
      <w:r w:rsidRPr="006F6EE5">
        <w:rPr>
          <w:sz w:val="24"/>
          <w:szCs w:val="24"/>
        </w:rPr>
        <w:t>Portugal</w:t>
      </w:r>
    </w:p>
    <w:p w14:paraId="5DE39EB0" w14:textId="77777777" w:rsidR="00641C65" w:rsidRPr="006F6EE5" w:rsidRDefault="00641C65" w:rsidP="009260DE">
      <w:pPr>
        <w:tabs>
          <w:tab w:val="left" w:pos="851"/>
        </w:tabs>
        <w:ind w:left="851"/>
        <w:rPr>
          <w:sz w:val="24"/>
          <w:szCs w:val="24"/>
        </w:rPr>
      </w:pPr>
    </w:p>
    <w:p w14:paraId="004BC159" w14:textId="77777777" w:rsidR="009260DE" w:rsidRPr="006F6EE5" w:rsidRDefault="009260DE" w:rsidP="009260DE">
      <w:pPr>
        <w:tabs>
          <w:tab w:val="left" w:pos="851"/>
        </w:tabs>
        <w:ind w:left="851" w:hanging="851"/>
        <w:rPr>
          <w:b/>
          <w:sz w:val="24"/>
          <w:szCs w:val="24"/>
        </w:rPr>
      </w:pPr>
      <w:r w:rsidRPr="006F6EE5">
        <w:rPr>
          <w:b/>
          <w:sz w:val="24"/>
          <w:szCs w:val="24"/>
        </w:rPr>
        <w:t>8.</w:t>
      </w:r>
      <w:r w:rsidRPr="006F6EE5">
        <w:rPr>
          <w:b/>
          <w:sz w:val="24"/>
          <w:szCs w:val="24"/>
        </w:rPr>
        <w:tab/>
        <w:t>MARKEDSFØRINGSTILLADELSESNUMMER (</w:t>
      </w:r>
      <w:r w:rsidR="00BF6243" w:rsidRPr="006F6EE5">
        <w:rPr>
          <w:b/>
          <w:sz w:val="24"/>
          <w:szCs w:val="24"/>
        </w:rPr>
        <w:t>-</w:t>
      </w:r>
      <w:r w:rsidRPr="006F6EE5">
        <w:rPr>
          <w:b/>
          <w:sz w:val="24"/>
          <w:szCs w:val="24"/>
        </w:rPr>
        <w:t>NUMRE)</w:t>
      </w:r>
    </w:p>
    <w:p w14:paraId="6F8E6E08" w14:textId="020E2B79" w:rsidR="00150AB9" w:rsidRPr="006F6EE5" w:rsidRDefault="00150AB9" w:rsidP="006F6EE5">
      <w:pPr>
        <w:tabs>
          <w:tab w:val="left" w:pos="1985"/>
        </w:tabs>
        <w:ind w:left="851"/>
        <w:rPr>
          <w:sz w:val="24"/>
          <w:szCs w:val="24"/>
        </w:rPr>
      </w:pPr>
      <w:r w:rsidRPr="006F6EE5">
        <w:rPr>
          <w:sz w:val="24"/>
          <w:szCs w:val="24"/>
        </w:rPr>
        <w:t xml:space="preserve">50 mg: </w:t>
      </w:r>
      <w:r w:rsidR="006F6EE5" w:rsidRPr="006F6EE5">
        <w:rPr>
          <w:sz w:val="24"/>
          <w:szCs w:val="24"/>
        </w:rPr>
        <w:tab/>
      </w:r>
      <w:r w:rsidRPr="006F6EE5">
        <w:rPr>
          <w:sz w:val="24"/>
          <w:szCs w:val="24"/>
        </w:rPr>
        <w:t>71708</w:t>
      </w:r>
    </w:p>
    <w:p w14:paraId="4620109B" w14:textId="74A684C4" w:rsidR="00150AB9" w:rsidRPr="006F6EE5" w:rsidRDefault="00150AB9" w:rsidP="006F6EE5">
      <w:pPr>
        <w:tabs>
          <w:tab w:val="left" w:pos="1985"/>
        </w:tabs>
        <w:ind w:left="851"/>
        <w:rPr>
          <w:sz w:val="24"/>
          <w:szCs w:val="24"/>
        </w:rPr>
      </w:pPr>
      <w:r w:rsidRPr="006F6EE5">
        <w:rPr>
          <w:sz w:val="24"/>
          <w:szCs w:val="24"/>
        </w:rPr>
        <w:t xml:space="preserve">100 mg: </w:t>
      </w:r>
      <w:r w:rsidR="006F6EE5" w:rsidRPr="006F6EE5">
        <w:rPr>
          <w:sz w:val="24"/>
          <w:szCs w:val="24"/>
        </w:rPr>
        <w:tab/>
      </w:r>
      <w:r w:rsidRPr="006F6EE5">
        <w:rPr>
          <w:sz w:val="24"/>
          <w:szCs w:val="24"/>
        </w:rPr>
        <w:t>71710</w:t>
      </w:r>
    </w:p>
    <w:p w14:paraId="79DD3A23" w14:textId="77777777" w:rsidR="009260DE" w:rsidRPr="006F6EE5" w:rsidRDefault="009260DE" w:rsidP="009260DE">
      <w:pPr>
        <w:tabs>
          <w:tab w:val="left" w:pos="851"/>
        </w:tabs>
        <w:ind w:left="851"/>
        <w:jc w:val="both"/>
        <w:rPr>
          <w:sz w:val="24"/>
          <w:szCs w:val="24"/>
        </w:rPr>
      </w:pPr>
    </w:p>
    <w:p w14:paraId="370C3BCA" w14:textId="77777777" w:rsidR="009260DE" w:rsidRPr="006F6EE5" w:rsidRDefault="009260DE" w:rsidP="009260DE">
      <w:pPr>
        <w:tabs>
          <w:tab w:val="left" w:pos="851"/>
        </w:tabs>
        <w:ind w:left="851" w:hanging="851"/>
        <w:rPr>
          <w:b/>
          <w:sz w:val="24"/>
          <w:szCs w:val="24"/>
        </w:rPr>
      </w:pPr>
      <w:r w:rsidRPr="006F6EE5">
        <w:rPr>
          <w:b/>
          <w:sz w:val="24"/>
          <w:szCs w:val="24"/>
        </w:rPr>
        <w:t>9.</w:t>
      </w:r>
      <w:r w:rsidRPr="006F6EE5">
        <w:rPr>
          <w:b/>
          <w:sz w:val="24"/>
          <w:szCs w:val="24"/>
        </w:rPr>
        <w:tab/>
        <w:t>DATO FOR FØRSTE MARKEDSFØRINGSTILLADELSE</w:t>
      </w:r>
    </w:p>
    <w:p w14:paraId="6B5E7D96" w14:textId="16C5AEFA" w:rsidR="009260DE" w:rsidRPr="006F6EE5" w:rsidRDefault="00D45693" w:rsidP="009260DE">
      <w:pPr>
        <w:tabs>
          <w:tab w:val="left" w:pos="851"/>
        </w:tabs>
        <w:ind w:left="851"/>
        <w:rPr>
          <w:sz w:val="24"/>
          <w:szCs w:val="24"/>
        </w:rPr>
      </w:pPr>
      <w:r>
        <w:rPr>
          <w:sz w:val="24"/>
          <w:szCs w:val="24"/>
        </w:rPr>
        <w:t>27. marts 2025</w:t>
      </w:r>
    </w:p>
    <w:p w14:paraId="2304CF17" w14:textId="77777777" w:rsidR="009260DE" w:rsidRPr="006F6EE5" w:rsidRDefault="009260DE" w:rsidP="009260DE">
      <w:pPr>
        <w:tabs>
          <w:tab w:val="left" w:pos="851"/>
        </w:tabs>
        <w:ind w:left="851"/>
        <w:rPr>
          <w:sz w:val="24"/>
          <w:szCs w:val="24"/>
        </w:rPr>
      </w:pPr>
    </w:p>
    <w:p w14:paraId="0A8978E7" w14:textId="77777777" w:rsidR="009260DE" w:rsidRPr="006F6EE5" w:rsidRDefault="009260DE" w:rsidP="009260DE">
      <w:pPr>
        <w:tabs>
          <w:tab w:val="left" w:pos="851"/>
        </w:tabs>
        <w:ind w:left="851" w:hanging="851"/>
        <w:rPr>
          <w:b/>
          <w:sz w:val="24"/>
          <w:szCs w:val="24"/>
        </w:rPr>
      </w:pPr>
      <w:r w:rsidRPr="006F6EE5">
        <w:rPr>
          <w:b/>
          <w:sz w:val="24"/>
          <w:szCs w:val="24"/>
        </w:rPr>
        <w:t>10.</w:t>
      </w:r>
      <w:r w:rsidRPr="006F6EE5">
        <w:rPr>
          <w:b/>
          <w:sz w:val="24"/>
          <w:szCs w:val="24"/>
        </w:rPr>
        <w:tab/>
        <w:t>DATO FOR ÆNDRING AF TEKSTEN</w:t>
      </w:r>
    </w:p>
    <w:p w14:paraId="56EFFDB3" w14:textId="425984B0" w:rsidR="009260DE" w:rsidRPr="006F6EE5" w:rsidRDefault="00150AB9" w:rsidP="009260DE">
      <w:pPr>
        <w:tabs>
          <w:tab w:val="left" w:pos="851"/>
        </w:tabs>
        <w:ind w:left="851"/>
        <w:rPr>
          <w:sz w:val="24"/>
          <w:szCs w:val="24"/>
        </w:rPr>
      </w:pPr>
      <w:r w:rsidRPr="006F6EE5">
        <w:rPr>
          <w:sz w:val="24"/>
          <w:szCs w:val="24"/>
        </w:rPr>
        <w:t>-</w:t>
      </w:r>
    </w:p>
    <w:sectPr w:rsidR="009260DE" w:rsidRPr="006F6EE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79856" w14:textId="77777777" w:rsidR="00150AB9" w:rsidRDefault="00150AB9">
      <w:r>
        <w:separator/>
      </w:r>
    </w:p>
  </w:endnote>
  <w:endnote w:type="continuationSeparator" w:id="0">
    <w:p w14:paraId="48A86A85" w14:textId="77777777" w:rsidR="00150AB9" w:rsidRDefault="00150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B70F7" w14:textId="77777777" w:rsidR="00150AB9" w:rsidRDefault="00150AB9">
    <w:pPr>
      <w:pStyle w:val="Sidefod"/>
      <w:pBdr>
        <w:bottom w:val="single" w:sz="6" w:space="1" w:color="auto"/>
      </w:pBdr>
    </w:pPr>
  </w:p>
  <w:p w14:paraId="04F99C30" w14:textId="77777777" w:rsidR="00150AB9" w:rsidRDefault="00150AB9" w:rsidP="00C42586">
    <w:pPr>
      <w:pStyle w:val="Sidefod"/>
      <w:tabs>
        <w:tab w:val="clear" w:pos="4819"/>
        <w:tab w:val="left" w:pos="8505"/>
      </w:tabs>
      <w:rPr>
        <w:i/>
        <w:sz w:val="18"/>
        <w:szCs w:val="18"/>
      </w:rPr>
    </w:pPr>
  </w:p>
  <w:p w14:paraId="76E98020" w14:textId="3704A3F8" w:rsidR="00150AB9" w:rsidRPr="00B373D7" w:rsidRDefault="00150AB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DE6458">
      <w:rPr>
        <w:i/>
        <w:noProof/>
        <w:sz w:val="18"/>
        <w:szCs w:val="18"/>
      </w:rPr>
      <w:t>Micafungin Hikma, pulver til koncentrat til infusionsvæske, opløsning 50 mg og 100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54480" w14:textId="77777777" w:rsidR="00150AB9" w:rsidRDefault="00150AB9">
      <w:r>
        <w:separator/>
      </w:r>
    </w:p>
  </w:footnote>
  <w:footnote w:type="continuationSeparator" w:id="0">
    <w:p w14:paraId="524E8166" w14:textId="77777777" w:rsidR="00150AB9" w:rsidRDefault="00150A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57433F8"/>
    <w:multiLevelType w:val="hybridMultilevel"/>
    <w:tmpl w:val="D7602890"/>
    <w:lvl w:ilvl="0" w:tplc="163C5F9C">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31AB3903"/>
    <w:multiLevelType w:val="hybridMultilevel"/>
    <w:tmpl w:val="E702B620"/>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48F2135"/>
    <w:multiLevelType w:val="hybridMultilevel"/>
    <w:tmpl w:val="7250FCDA"/>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8AE2ABE"/>
    <w:multiLevelType w:val="multilevel"/>
    <w:tmpl w:val="04847FD6"/>
    <w:lvl w:ilvl="0">
      <w:start w:val="1"/>
      <w:numFmt w:val="decimal"/>
      <w:lvlText w:val="%1."/>
      <w:lvlJc w:val="left"/>
      <w:pPr>
        <w:ind w:left="785" w:hanging="556"/>
      </w:pPr>
      <w:rPr>
        <w:rFonts w:ascii="Times New Roman" w:eastAsia="Times New Roman" w:hAnsi="Times New Roman" w:cs="Times New Roman" w:hint="default"/>
        <w:b/>
        <w:bCs/>
        <w:i w:val="0"/>
        <w:iCs w:val="0"/>
        <w:spacing w:val="0"/>
        <w:w w:val="102"/>
        <w:sz w:val="22"/>
        <w:szCs w:val="22"/>
        <w:lang w:eastAsia="en-US" w:bidi="ar-SA"/>
      </w:rPr>
    </w:lvl>
    <w:lvl w:ilvl="1">
      <w:start w:val="1"/>
      <w:numFmt w:val="decimal"/>
      <w:lvlText w:val="%1.%2"/>
      <w:lvlJc w:val="left"/>
      <w:pPr>
        <w:ind w:left="799" w:hanging="570"/>
      </w:pPr>
      <w:rPr>
        <w:rFonts w:ascii="Times New Roman" w:eastAsia="Times New Roman" w:hAnsi="Times New Roman" w:cs="Times New Roman" w:hint="default"/>
        <w:b/>
        <w:bCs/>
        <w:i w:val="0"/>
        <w:iCs w:val="0"/>
        <w:spacing w:val="0"/>
        <w:w w:val="102"/>
        <w:sz w:val="22"/>
        <w:szCs w:val="22"/>
        <w:lang w:eastAsia="en-US" w:bidi="ar-SA"/>
      </w:rPr>
    </w:lvl>
    <w:lvl w:ilvl="2">
      <w:numFmt w:val="bullet"/>
      <w:lvlText w:val="-"/>
      <w:lvlJc w:val="left"/>
      <w:pPr>
        <w:ind w:left="421" w:hanging="421"/>
      </w:pPr>
      <w:rPr>
        <w:rFonts w:ascii="Times New Roman" w:eastAsia="Times New Roman" w:hAnsi="Times New Roman" w:cs="Times New Roman" w:hint="default"/>
        <w:b w:val="0"/>
        <w:bCs w:val="0"/>
        <w:i w:val="0"/>
        <w:iCs w:val="0"/>
        <w:spacing w:val="0"/>
        <w:w w:val="102"/>
        <w:sz w:val="22"/>
        <w:szCs w:val="22"/>
        <w:lang w:eastAsia="en-US" w:bidi="ar-SA"/>
      </w:rPr>
    </w:lvl>
    <w:lvl w:ilvl="3">
      <w:numFmt w:val="bullet"/>
      <w:lvlText w:val="•"/>
      <w:lvlJc w:val="left"/>
      <w:pPr>
        <w:ind w:left="1926" w:hanging="421"/>
      </w:pPr>
      <w:rPr>
        <w:lang w:eastAsia="en-US" w:bidi="ar-SA"/>
      </w:rPr>
    </w:lvl>
    <w:lvl w:ilvl="4">
      <w:numFmt w:val="bullet"/>
      <w:lvlText w:val="•"/>
      <w:lvlJc w:val="left"/>
      <w:pPr>
        <w:ind w:left="3052" w:hanging="421"/>
      </w:pPr>
      <w:rPr>
        <w:lang w:eastAsia="en-US" w:bidi="ar-SA"/>
      </w:rPr>
    </w:lvl>
    <w:lvl w:ilvl="5">
      <w:numFmt w:val="bullet"/>
      <w:lvlText w:val="•"/>
      <w:lvlJc w:val="left"/>
      <w:pPr>
        <w:ind w:left="4178" w:hanging="421"/>
      </w:pPr>
      <w:rPr>
        <w:lang w:eastAsia="en-US" w:bidi="ar-SA"/>
      </w:rPr>
    </w:lvl>
    <w:lvl w:ilvl="6">
      <w:numFmt w:val="bullet"/>
      <w:lvlText w:val="•"/>
      <w:lvlJc w:val="left"/>
      <w:pPr>
        <w:ind w:left="5305" w:hanging="421"/>
      </w:pPr>
      <w:rPr>
        <w:lang w:eastAsia="en-US" w:bidi="ar-SA"/>
      </w:rPr>
    </w:lvl>
    <w:lvl w:ilvl="7">
      <w:numFmt w:val="bullet"/>
      <w:lvlText w:val="•"/>
      <w:lvlJc w:val="left"/>
      <w:pPr>
        <w:ind w:left="6431" w:hanging="421"/>
      </w:pPr>
      <w:rPr>
        <w:lang w:eastAsia="en-US" w:bidi="ar-SA"/>
      </w:rPr>
    </w:lvl>
    <w:lvl w:ilvl="8">
      <w:numFmt w:val="bullet"/>
      <w:lvlText w:val="•"/>
      <w:lvlJc w:val="left"/>
      <w:pPr>
        <w:ind w:left="7557" w:hanging="421"/>
      </w:pPr>
      <w:rPr>
        <w:lang w:eastAsia="en-US" w:bidi="ar-SA"/>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EC95B3A"/>
    <w:multiLevelType w:val="hybridMultilevel"/>
    <w:tmpl w:val="12F6DF2A"/>
    <w:lvl w:ilvl="0" w:tplc="163C5F9C">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7A740FD6"/>
    <w:multiLevelType w:val="hybridMultilevel"/>
    <w:tmpl w:val="829ACF84"/>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1" w15:restartNumberingAfterBreak="0">
    <w:nsid w:val="7AB00E40"/>
    <w:multiLevelType w:val="hybridMultilevel"/>
    <w:tmpl w:val="DEB68DCA"/>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7ECC2D28"/>
    <w:multiLevelType w:val="hybridMultilevel"/>
    <w:tmpl w:val="80B05918"/>
    <w:lvl w:ilvl="0" w:tplc="163C5F9C">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4"/>
  </w:num>
  <w:num w:numId="11">
    <w:abstractNumId w:val="12"/>
  </w:num>
  <w:num w:numId="12">
    <w:abstractNumId w:val="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7A1"/>
    <w:rsid w:val="000259B9"/>
    <w:rsid w:val="00041491"/>
    <w:rsid w:val="00050D16"/>
    <w:rsid w:val="000730CA"/>
    <w:rsid w:val="00074F2A"/>
    <w:rsid w:val="000A1CA8"/>
    <w:rsid w:val="000A466B"/>
    <w:rsid w:val="000B058C"/>
    <w:rsid w:val="000D68B0"/>
    <w:rsid w:val="000E4EE6"/>
    <w:rsid w:val="001454E2"/>
    <w:rsid w:val="00150AB9"/>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6F6EE5"/>
    <w:rsid w:val="0071241E"/>
    <w:rsid w:val="00737275"/>
    <w:rsid w:val="00740EEC"/>
    <w:rsid w:val="0078011A"/>
    <w:rsid w:val="00782AF4"/>
    <w:rsid w:val="00790EE7"/>
    <w:rsid w:val="007B6649"/>
    <w:rsid w:val="0082576E"/>
    <w:rsid w:val="0083512F"/>
    <w:rsid w:val="00876DD4"/>
    <w:rsid w:val="0089346F"/>
    <w:rsid w:val="00907F75"/>
    <w:rsid w:val="009260DE"/>
    <w:rsid w:val="0093258A"/>
    <w:rsid w:val="009757A1"/>
    <w:rsid w:val="009C67C9"/>
    <w:rsid w:val="009C7BA3"/>
    <w:rsid w:val="009D1F5A"/>
    <w:rsid w:val="00A002EE"/>
    <w:rsid w:val="00A10294"/>
    <w:rsid w:val="00B003BF"/>
    <w:rsid w:val="00B373D7"/>
    <w:rsid w:val="00B55271"/>
    <w:rsid w:val="00BD7931"/>
    <w:rsid w:val="00BF6243"/>
    <w:rsid w:val="00C36276"/>
    <w:rsid w:val="00C42586"/>
    <w:rsid w:val="00C45F6B"/>
    <w:rsid w:val="00C60CCD"/>
    <w:rsid w:val="00C84483"/>
    <w:rsid w:val="00C95551"/>
    <w:rsid w:val="00C97F7F"/>
    <w:rsid w:val="00CB20D7"/>
    <w:rsid w:val="00D020B0"/>
    <w:rsid w:val="00D11748"/>
    <w:rsid w:val="00D237F6"/>
    <w:rsid w:val="00D34D98"/>
    <w:rsid w:val="00D366CF"/>
    <w:rsid w:val="00D45693"/>
    <w:rsid w:val="00D93992"/>
    <w:rsid w:val="00DE6458"/>
    <w:rsid w:val="00E108AA"/>
    <w:rsid w:val="00E3749A"/>
    <w:rsid w:val="00E7437F"/>
    <w:rsid w:val="00E865B8"/>
    <w:rsid w:val="00EC0B9B"/>
    <w:rsid w:val="00ED5E9F"/>
    <w:rsid w:val="00F66D4F"/>
    <w:rsid w:val="00F852AA"/>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504BC"/>
  <w15:chartTrackingRefBased/>
  <w15:docId w15:val="{A4F1703E-362C-4020-8A21-85B8B2CCD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150AB9"/>
    <w:rPr>
      <w:color w:val="0000FF"/>
      <w:u w:val="single"/>
    </w:rPr>
  </w:style>
  <w:style w:type="table" w:styleId="Tabel-Gitter">
    <w:name w:val="Table Grid"/>
    <w:basedOn w:val="Tabel-Normal"/>
    <w:rsid w:val="00150AB9"/>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50AB9"/>
    <w:pPr>
      <w:widowControl w:val="0"/>
    </w:pPr>
    <w:rPr>
      <w:rFonts w:asciiTheme="minorHAnsi" w:eastAsiaTheme="minorHAnsi" w:hAnsiTheme="minorHAnsi" w:cstheme="minorBidi"/>
      <w:sz w:val="22"/>
      <w:szCs w:val="22"/>
      <w:lang w:val="en-US"/>
    </w:rPr>
  </w:style>
  <w:style w:type="paragraph" w:styleId="Listeafsnit">
    <w:name w:val="List Paragraph"/>
    <w:basedOn w:val="Normal"/>
    <w:uiPriority w:val="34"/>
    <w:qFormat/>
    <w:rsid w:val="00150AB9"/>
    <w:pPr>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82369">
      <w:bodyDiv w:val="1"/>
      <w:marLeft w:val="0"/>
      <w:marRight w:val="0"/>
      <w:marTop w:val="0"/>
      <w:marBottom w:val="0"/>
      <w:divBdr>
        <w:top w:val="none" w:sz="0" w:space="0" w:color="auto"/>
        <w:left w:val="none" w:sz="0" w:space="0" w:color="auto"/>
        <w:bottom w:val="none" w:sz="0" w:space="0" w:color="auto"/>
        <w:right w:val="none" w:sz="0" w:space="0" w:color="auto"/>
      </w:divBdr>
    </w:div>
    <w:div w:id="93215392">
      <w:bodyDiv w:val="1"/>
      <w:marLeft w:val="0"/>
      <w:marRight w:val="0"/>
      <w:marTop w:val="0"/>
      <w:marBottom w:val="0"/>
      <w:divBdr>
        <w:top w:val="none" w:sz="0" w:space="0" w:color="auto"/>
        <w:left w:val="none" w:sz="0" w:space="0" w:color="auto"/>
        <w:bottom w:val="none" w:sz="0" w:space="0" w:color="auto"/>
        <w:right w:val="none" w:sz="0" w:space="0" w:color="auto"/>
      </w:divBdr>
    </w:div>
    <w:div w:id="10932520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70026257">
      <w:bodyDiv w:val="1"/>
      <w:marLeft w:val="0"/>
      <w:marRight w:val="0"/>
      <w:marTop w:val="0"/>
      <w:marBottom w:val="0"/>
      <w:divBdr>
        <w:top w:val="none" w:sz="0" w:space="0" w:color="auto"/>
        <w:left w:val="none" w:sz="0" w:space="0" w:color="auto"/>
        <w:bottom w:val="none" w:sz="0" w:space="0" w:color="auto"/>
        <w:right w:val="none" w:sz="0" w:space="0" w:color="auto"/>
      </w:divBdr>
    </w:div>
    <w:div w:id="560289640">
      <w:bodyDiv w:val="1"/>
      <w:marLeft w:val="0"/>
      <w:marRight w:val="0"/>
      <w:marTop w:val="0"/>
      <w:marBottom w:val="0"/>
      <w:divBdr>
        <w:top w:val="none" w:sz="0" w:space="0" w:color="auto"/>
        <w:left w:val="none" w:sz="0" w:space="0" w:color="auto"/>
        <w:bottom w:val="none" w:sz="0" w:space="0" w:color="auto"/>
        <w:right w:val="none" w:sz="0" w:space="0" w:color="auto"/>
      </w:divBdr>
    </w:div>
    <w:div w:id="583219483">
      <w:bodyDiv w:val="1"/>
      <w:marLeft w:val="0"/>
      <w:marRight w:val="0"/>
      <w:marTop w:val="0"/>
      <w:marBottom w:val="0"/>
      <w:divBdr>
        <w:top w:val="none" w:sz="0" w:space="0" w:color="auto"/>
        <w:left w:val="none" w:sz="0" w:space="0" w:color="auto"/>
        <w:bottom w:val="none" w:sz="0" w:space="0" w:color="auto"/>
        <w:right w:val="none" w:sz="0" w:space="0" w:color="auto"/>
      </w:divBdr>
    </w:div>
    <w:div w:id="851988512">
      <w:bodyDiv w:val="1"/>
      <w:marLeft w:val="0"/>
      <w:marRight w:val="0"/>
      <w:marTop w:val="0"/>
      <w:marBottom w:val="0"/>
      <w:divBdr>
        <w:top w:val="none" w:sz="0" w:space="0" w:color="auto"/>
        <w:left w:val="none" w:sz="0" w:space="0" w:color="auto"/>
        <w:bottom w:val="none" w:sz="0" w:space="0" w:color="auto"/>
        <w:right w:val="none" w:sz="0" w:space="0" w:color="auto"/>
      </w:divBdr>
    </w:div>
    <w:div w:id="970480062">
      <w:bodyDiv w:val="1"/>
      <w:marLeft w:val="0"/>
      <w:marRight w:val="0"/>
      <w:marTop w:val="0"/>
      <w:marBottom w:val="0"/>
      <w:divBdr>
        <w:top w:val="none" w:sz="0" w:space="0" w:color="auto"/>
        <w:left w:val="none" w:sz="0" w:space="0" w:color="auto"/>
        <w:bottom w:val="none" w:sz="0" w:space="0" w:color="auto"/>
        <w:right w:val="none" w:sz="0" w:space="0" w:color="auto"/>
      </w:divBdr>
    </w:div>
    <w:div w:id="971206554">
      <w:bodyDiv w:val="1"/>
      <w:marLeft w:val="0"/>
      <w:marRight w:val="0"/>
      <w:marTop w:val="0"/>
      <w:marBottom w:val="0"/>
      <w:divBdr>
        <w:top w:val="none" w:sz="0" w:space="0" w:color="auto"/>
        <w:left w:val="none" w:sz="0" w:space="0" w:color="auto"/>
        <w:bottom w:val="none" w:sz="0" w:space="0" w:color="auto"/>
        <w:right w:val="none" w:sz="0" w:space="0" w:color="auto"/>
      </w:divBdr>
    </w:div>
    <w:div w:id="1072696763">
      <w:bodyDiv w:val="1"/>
      <w:marLeft w:val="0"/>
      <w:marRight w:val="0"/>
      <w:marTop w:val="0"/>
      <w:marBottom w:val="0"/>
      <w:divBdr>
        <w:top w:val="none" w:sz="0" w:space="0" w:color="auto"/>
        <w:left w:val="none" w:sz="0" w:space="0" w:color="auto"/>
        <w:bottom w:val="none" w:sz="0" w:space="0" w:color="auto"/>
        <w:right w:val="none" w:sz="0" w:space="0" w:color="auto"/>
      </w:divBdr>
    </w:div>
    <w:div w:id="1126968074">
      <w:bodyDiv w:val="1"/>
      <w:marLeft w:val="0"/>
      <w:marRight w:val="0"/>
      <w:marTop w:val="0"/>
      <w:marBottom w:val="0"/>
      <w:divBdr>
        <w:top w:val="none" w:sz="0" w:space="0" w:color="auto"/>
        <w:left w:val="none" w:sz="0" w:space="0" w:color="auto"/>
        <w:bottom w:val="none" w:sz="0" w:space="0" w:color="auto"/>
        <w:right w:val="none" w:sz="0" w:space="0" w:color="auto"/>
      </w:divBdr>
    </w:div>
    <w:div w:id="1237008935">
      <w:bodyDiv w:val="1"/>
      <w:marLeft w:val="0"/>
      <w:marRight w:val="0"/>
      <w:marTop w:val="0"/>
      <w:marBottom w:val="0"/>
      <w:divBdr>
        <w:top w:val="none" w:sz="0" w:space="0" w:color="auto"/>
        <w:left w:val="none" w:sz="0" w:space="0" w:color="auto"/>
        <w:bottom w:val="none" w:sz="0" w:space="0" w:color="auto"/>
        <w:right w:val="none" w:sz="0" w:space="0" w:color="auto"/>
      </w:divBdr>
    </w:div>
    <w:div w:id="1458914602">
      <w:bodyDiv w:val="1"/>
      <w:marLeft w:val="0"/>
      <w:marRight w:val="0"/>
      <w:marTop w:val="0"/>
      <w:marBottom w:val="0"/>
      <w:divBdr>
        <w:top w:val="none" w:sz="0" w:space="0" w:color="auto"/>
        <w:left w:val="none" w:sz="0" w:space="0" w:color="auto"/>
        <w:bottom w:val="none" w:sz="0" w:space="0" w:color="auto"/>
        <w:right w:val="none" w:sz="0" w:space="0" w:color="auto"/>
      </w:divBdr>
    </w:div>
    <w:div w:id="1464271499">
      <w:bodyDiv w:val="1"/>
      <w:marLeft w:val="0"/>
      <w:marRight w:val="0"/>
      <w:marTop w:val="0"/>
      <w:marBottom w:val="0"/>
      <w:divBdr>
        <w:top w:val="none" w:sz="0" w:space="0" w:color="auto"/>
        <w:left w:val="none" w:sz="0" w:space="0" w:color="auto"/>
        <w:bottom w:val="none" w:sz="0" w:space="0" w:color="auto"/>
        <w:right w:val="none" w:sz="0" w:space="0" w:color="auto"/>
      </w:divBdr>
    </w:div>
    <w:div w:id="1477255292">
      <w:bodyDiv w:val="1"/>
      <w:marLeft w:val="0"/>
      <w:marRight w:val="0"/>
      <w:marTop w:val="0"/>
      <w:marBottom w:val="0"/>
      <w:divBdr>
        <w:top w:val="none" w:sz="0" w:space="0" w:color="auto"/>
        <w:left w:val="none" w:sz="0" w:space="0" w:color="auto"/>
        <w:bottom w:val="none" w:sz="0" w:space="0" w:color="auto"/>
        <w:right w:val="none" w:sz="0" w:space="0" w:color="auto"/>
      </w:divBdr>
    </w:div>
    <w:div w:id="1479104804">
      <w:bodyDiv w:val="1"/>
      <w:marLeft w:val="0"/>
      <w:marRight w:val="0"/>
      <w:marTop w:val="0"/>
      <w:marBottom w:val="0"/>
      <w:divBdr>
        <w:top w:val="none" w:sz="0" w:space="0" w:color="auto"/>
        <w:left w:val="none" w:sz="0" w:space="0" w:color="auto"/>
        <w:bottom w:val="none" w:sz="0" w:space="0" w:color="auto"/>
        <w:right w:val="none" w:sz="0" w:space="0" w:color="auto"/>
      </w:divBdr>
    </w:div>
    <w:div w:id="1522627648">
      <w:bodyDiv w:val="1"/>
      <w:marLeft w:val="0"/>
      <w:marRight w:val="0"/>
      <w:marTop w:val="0"/>
      <w:marBottom w:val="0"/>
      <w:divBdr>
        <w:top w:val="none" w:sz="0" w:space="0" w:color="auto"/>
        <w:left w:val="none" w:sz="0" w:space="0" w:color="auto"/>
        <w:bottom w:val="none" w:sz="0" w:space="0" w:color="auto"/>
        <w:right w:val="none" w:sz="0" w:space="0" w:color="auto"/>
      </w:divBdr>
    </w:div>
    <w:div w:id="1554460908">
      <w:bodyDiv w:val="1"/>
      <w:marLeft w:val="0"/>
      <w:marRight w:val="0"/>
      <w:marTop w:val="0"/>
      <w:marBottom w:val="0"/>
      <w:divBdr>
        <w:top w:val="none" w:sz="0" w:space="0" w:color="auto"/>
        <w:left w:val="none" w:sz="0" w:space="0" w:color="auto"/>
        <w:bottom w:val="none" w:sz="0" w:space="0" w:color="auto"/>
        <w:right w:val="none" w:sz="0" w:space="0" w:color="auto"/>
      </w:divBdr>
    </w:div>
    <w:div w:id="1702245604">
      <w:bodyDiv w:val="1"/>
      <w:marLeft w:val="0"/>
      <w:marRight w:val="0"/>
      <w:marTop w:val="0"/>
      <w:marBottom w:val="0"/>
      <w:divBdr>
        <w:top w:val="none" w:sz="0" w:space="0" w:color="auto"/>
        <w:left w:val="none" w:sz="0" w:space="0" w:color="auto"/>
        <w:bottom w:val="none" w:sz="0" w:space="0" w:color="auto"/>
        <w:right w:val="none" w:sz="0" w:space="0" w:color="auto"/>
      </w:divBdr>
    </w:div>
    <w:div w:id="1745451019">
      <w:bodyDiv w:val="1"/>
      <w:marLeft w:val="0"/>
      <w:marRight w:val="0"/>
      <w:marTop w:val="0"/>
      <w:marBottom w:val="0"/>
      <w:divBdr>
        <w:top w:val="none" w:sz="0" w:space="0" w:color="auto"/>
        <w:left w:val="none" w:sz="0" w:space="0" w:color="auto"/>
        <w:bottom w:val="none" w:sz="0" w:space="0" w:color="auto"/>
        <w:right w:val="none" w:sz="0" w:space="0" w:color="auto"/>
      </w:divBdr>
    </w:div>
    <w:div w:id="1772124005">
      <w:bodyDiv w:val="1"/>
      <w:marLeft w:val="0"/>
      <w:marRight w:val="0"/>
      <w:marTop w:val="0"/>
      <w:marBottom w:val="0"/>
      <w:divBdr>
        <w:top w:val="none" w:sz="0" w:space="0" w:color="auto"/>
        <w:left w:val="none" w:sz="0" w:space="0" w:color="auto"/>
        <w:bottom w:val="none" w:sz="0" w:space="0" w:color="auto"/>
        <w:right w:val="none" w:sz="0" w:space="0" w:color="auto"/>
      </w:divBdr>
    </w:div>
    <w:div w:id="19533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115</TotalTime>
  <Pages>17</Pages>
  <Words>5261</Words>
  <Characters>33481</Characters>
  <Application>Microsoft Office Word</Application>
  <DocSecurity>0</DocSecurity>
  <Lines>279</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2024044512, MT</dc:description>
  <cp:lastModifiedBy>Gitte Jørgensen</cp:lastModifiedBy>
  <cp:revision>8</cp:revision>
  <cp:lastPrinted>2012-08-22T08:53:00Z</cp:lastPrinted>
  <dcterms:created xsi:type="dcterms:W3CDTF">2025-03-26T10:20:00Z</dcterms:created>
  <dcterms:modified xsi:type="dcterms:W3CDTF">2025-03-27T07:32:00Z</dcterms:modified>
</cp:coreProperties>
</file>