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C01A0">
        <w:rPr>
          <w:szCs w:val="24"/>
        </w:rPr>
        <w:t>12. december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308D1" w:rsidP="009260DE">
      <w:pPr>
        <w:jc w:val="center"/>
        <w:rPr>
          <w:b/>
          <w:sz w:val="24"/>
          <w:szCs w:val="24"/>
        </w:rPr>
      </w:pPr>
      <w:r>
        <w:rPr>
          <w:b/>
          <w:sz w:val="24"/>
          <w:szCs w:val="24"/>
        </w:rPr>
        <w:t>Micrazym, hårde enterokapsler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308D1" w:rsidP="009260DE">
      <w:pPr>
        <w:tabs>
          <w:tab w:val="left" w:pos="851"/>
        </w:tabs>
        <w:ind w:left="851"/>
        <w:rPr>
          <w:sz w:val="24"/>
          <w:szCs w:val="24"/>
        </w:rPr>
      </w:pPr>
      <w:r>
        <w:rPr>
          <w:sz w:val="24"/>
          <w:szCs w:val="24"/>
        </w:rPr>
        <w:t>32151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308D1" w:rsidP="009260DE">
      <w:pPr>
        <w:tabs>
          <w:tab w:val="left" w:pos="851"/>
        </w:tabs>
        <w:ind w:left="851"/>
        <w:rPr>
          <w:sz w:val="24"/>
          <w:szCs w:val="24"/>
        </w:rPr>
      </w:pPr>
      <w:r>
        <w:rPr>
          <w:sz w:val="24"/>
          <w:szCs w:val="24"/>
        </w:rPr>
        <w:t>Micrazym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46077" w:rsidRPr="006C01A0"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lang w:val="sv-SE"/>
        </w:rPr>
      </w:pPr>
      <w:r w:rsidRPr="00F46077">
        <w:rPr>
          <w:sz w:val="24"/>
          <w:szCs w:val="24"/>
          <w:u w:val="single"/>
          <w:lang w:bidi="da-DK"/>
        </w:rPr>
        <w:t>10.000 Ph.Eur. enheder, hårde enterokapsler</w:t>
      </w:r>
    </w:p>
    <w:p w:rsidR="00F46077" w:rsidRPr="00F46077" w:rsidRDefault="00F46077" w:rsidP="00F46077">
      <w:pPr>
        <w:tabs>
          <w:tab w:val="left" w:pos="851"/>
        </w:tabs>
        <w:ind w:left="851"/>
        <w:rPr>
          <w:sz w:val="24"/>
          <w:szCs w:val="24"/>
          <w:lang w:bidi="da-DK"/>
        </w:rPr>
      </w:pPr>
      <w:r w:rsidRPr="00F46077">
        <w:rPr>
          <w:sz w:val="24"/>
          <w:szCs w:val="24"/>
          <w:lang w:bidi="da-DK"/>
        </w:rPr>
        <w:t xml:space="preserve">Hver enterokapsel indeholder pancreatin </w:t>
      </w:r>
      <w:bookmarkStart w:id="1" w:name="_Hlk139964796"/>
      <w:r w:rsidRPr="00F46077">
        <w:rPr>
          <w:sz w:val="24"/>
          <w:szCs w:val="24"/>
          <w:lang w:bidi="da-DK"/>
        </w:rPr>
        <w:t>(som pancreaspulver)</w:t>
      </w:r>
      <w:bookmarkEnd w:id="1"/>
      <w:r w:rsidRPr="00F46077">
        <w:rPr>
          <w:sz w:val="24"/>
          <w:szCs w:val="24"/>
          <w:lang w:bidi="da-DK"/>
        </w:rPr>
        <w:t>* svarende til</w:t>
      </w:r>
    </w:p>
    <w:p w:rsidR="00F46077" w:rsidRPr="00F46077" w:rsidRDefault="00F46077" w:rsidP="00F46077">
      <w:pPr>
        <w:tabs>
          <w:tab w:val="left" w:pos="851"/>
          <w:tab w:val="left" w:pos="1985"/>
        </w:tabs>
        <w:ind w:left="851"/>
        <w:rPr>
          <w:sz w:val="24"/>
          <w:szCs w:val="24"/>
          <w:lang w:val="fr-FR"/>
        </w:rPr>
      </w:pPr>
      <w:r w:rsidRPr="00F46077">
        <w:rPr>
          <w:sz w:val="24"/>
          <w:szCs w:val="24"/>
          <w:lang w:bidi="da-DK"/>
        </w:rPr>
        <w:t>Amylase</w:t>
      </w:r>
      <w:r w:rsidRPr="00F46077">
        <w:rPr>
          <w:sz w:val="24"/>
          <w:szCs w:val="24"/>
          <w:lang w:bidi="da-DK"/>
        </w:rPr>
        <w:tab/>
        <w:t>8.000 Ph. Eur. enheder</w:t>
      </w:r>
    </w:p>
    <w:p w:rsidR="00F46077" w:rsidRPr="00F46077" w:rsidRDefault="00F46077" w:rsidP="00F46077">
      <w:pPr>
        <w:tabs>
          <w:tab w:val="left" w:pos="851"/>
          <w:tab w:val="left" w:pos="1985"/>
        </w:tabs>
        <w:ind w:left="851"/>
        <w:rPr>
          <w:sz w:val="24"/>
          <w:szCs w:val="24"/>
          <w:lang w:val="fr-FR"/>
        </w:rPr>
      </w:pPr>
      <w:r w:rsidRPr="00F46077">
        <w:rPr>
          <w:sz w:val="24"/>
          <w:szCs w:val="24"/>
          <w:lang w:bidi="da-DK"/>
        </w:rPr>
        <w:t>Lipase</w:t>
      </w:r>
      <w:r w:rsidRPr="00F46077">
        <w:rPr>
          <w:sz w:val="24"/>
          <w:szCs w:val="24"/>
          <w:lang w:bidi="da-DK"/>
        </w:rPr>
        <w:tab/>
        <w:t>10.000 Ph. Eur. enheder</w:t>
      </w:r>
    </w:p>
    <w:p w:rsidR="00F46077" w:rsidRPr="00F46077" w:rsidRDefault="00F46077" w:rsidP="00F46077">
      <w:pPr>
        <w:tabs>
          <w:tab w:val="left" w:pos="851"/>
          <w:tab w:val="left" w:pos="1985"/>
        </w:tabs>
        <w:ind w:left="851"/>
        <w:rPr>
          <w:sz w:val="24"/>
          <w:szCs w:val="24"/>
          <w:lang w:val="sv-SE"/>
        </w:rPr>
      </w:pPr>
      <w:r w:rsidRPr="00F46077">
        <w:rPr>
          <w:sz w:val="24"/>
          <w:szCs w:val="24"/>
          <w:lang w:bidi="da-DK"/>
        </w:rPr>
        <w:t>Protease</w:t>
      </w:r>
      <w:r w:rsidRPr="00F46077">
        <w:rPr>
          <w:sz w:val="24"/>
          <w:szCs w:val="24"/>
          <w:lang w:bidi="da-DK"/>
        </w:rPr>
        <w:tab/>
        <w:t>600 Ph. Eur. enheder</w:t>
      </w:r>
    </w:p>
    <w:p w:rsidR="00F46077" w:rsidRPr="00F46077" w:rsidRDefault="00F46077" w:rsidP="00F46077">
      <w:pPr>
        <w:tabs>
          <w:tab w:val="left" w:pos="851"/>
        </w:tabs>
        <w:ind w:left="851"/>
        <w:rPr>
          <w:sz w:val="24"/>
          <w:szCs w:val="24"/>
          <w:u w:val="single"/>
          <w:lang w:val="sv-SE"/>
        </w:rPr>
      </w:pPr>
    </w:p>
    <w:p w:rsidR="00F46077" w:rsidRPr="00F46077" w:rsidRDefault="00F46077" w:rsidP="00F46077">
      <w:pPr>
        <w:tabs>
          <w:tab w:val="left" w:pos="851"/>
        </w:tabs>
        <w:ind w:left="851"/>
        <w:rPr>
          <w:sz w:val="24"/>
          <w:szCs w:val="24"/>
        </w:rPr>
      </w:pPr>
      <w:r w:rsidRPr="00F46077">
        <w:rPr>
          <w:sz w:val="24"/>
          <w:szCs w:val="24"/>
          <w:lang w:bidi="da-DK"/>
        </w:rPr>
        <w:t>*</w:t>
      </w:r>
      <w:r>
        <w:rPr>
          <w:sz w:val="24"/>
          <w:szCs w:val="24"/>
          <w:lang w:bidi="da-DK"/>
        </w:rPr>
        <w:t xml:space="preserve"> </w:t>
      </w:r>
      <w:r w:rsidRPr="00F46077">
        <w:rPr>
          <w:sz w:val="24"/>
          <w:szCs w:val="24"/>
          <w:lang w:bidi="da-DK"/>
        </w:rPr>
        <w:t>Fremstillet af porcint pancreasvæv.</w:t>
      </w:r>
    </w:p>
    <w:p w:rsidR="00F46077" w:rsidRPr="00F46077" w:rsidRDefault="00F46077" w:rsidP="00F46077">
      <w:pPr>
        <w:tabs>
          <w:tab w:val="left" w:pos="851"/>
        </w:tabs>
        <w:ind w:left="851"/>
        <w:rPr>
          <w:sz w:val="24"/>
          <w:szCs w:val="24"/>
          <w:u w:val="single"/>
          <w:lang w:val="sv-SE"/>
        </w:rPr>
      </w:pPr>
    </w:p>
    <w:p w:rsidR="00F46077" w:rsidRPr="00F46077" w:rsidRDefault="00F46077" w:rsidP="00F46077">
      <w:pPr>
        <w:tabs>
          <w:tab w:val="left" w:pos="851"/>
        </w:tabs>
        <w:ind w:left="851"/>
        <w:rPr>
          <w:i/>
          <w:sz w:val="24"/>
          <w:szCs w:val="24"/>
          <w:lang w:val="sv-SE"/>
        </w:rPr>
      </w:pPr>
      <w:r w:rsidRPr="00F46077">
        <w:rPr>
          <w:i/>
          <w:sz w:val="24"/>
          <w:szCs w:val="24"/>
          <w:lang w:bidi="da-DK"/>
        </w:rPr>
        <w:t>Hjælpestoffer, som behandleren skal være opmærksom på</w:t>
      </w:r>
    </w:p>
    <w:p w:rsidR="00F46077" w:rsidRPr="00F46077" w:rsidRDefault="00F46077" w:rsidP="00F46077">
      <w:pPr>
        <w:tabs>
          <w:tab w:val="left" w:pos="851"/>
        </w:tabs>
        <w:ind w:left="851"/>
        <w:rPr>
          <w:sz w:val="24"/>
          <w:szCs w:val="24"/>
          <w:lang w:val="sv-SE"/>
        </w:rPr>
      </w:pPr>
      <w:r w:rsidRPr="00F46077">
        <w:rPr>
          <w:sz w:val="24"/>
          <w:szCs w:val="24"/>
          <w:lang w:bidi="da-DK"/>
        </w:rPr>
        <w:t>Ponceau 4R (E124): 0,16 mg</w:t>
      </w:r>
      <w:r>
        <w:rPr>
          <w:sz w:val="24"/>
          <w:szCs w:val="24"/>
          <w:lang w:bidi="da-DK"/>
        </w:rPr>
        <w:t>.</w:t>
      </w:r>
    </w:p>
    <w:p w:rsidR="00F46077" w:rsidRPr="00F46077" w:rsidRDefault="00F46077" w:rsidP="00F46077">
      <w:pPr>
        <w:tabs>
          <w:tab w:val="left" w:pos="851"/>
        </w:tabs>
        <w:ind w:left="851"/>
        <w:rPr>
          <w:sz w:val="24"/>
          <w:szCs w:val="24"/>
          <w:u w:val="single"/>
          <w:lang w:val="sv-SE"/>
        </w:rPr>
      </w:pPr>
    </w:p>
    <w:p w:rsidR="00F46077" w:rsidRPr="00F46077" w:rsidRDefault="00F46077" w:rsidP="00F46077">
      <w:pPr>
        <w:tabs>
          <w:tab w:val="left" w:pos="851"/>
        </w:tabs>
        <w:ind w:left="851"/>
        <w:rPr>
          <w:sz w:val="24"/>
          <w:szCs w:val="24"/>
          <w:u w:val="single"/>
          <w:lang w:bidi="da-DK"/>
        </w:rPr>
      </w:pPr>
    </w:p>
    <w:p w:rsidR="00F46077" w:rsidRPr="00F46077" w:rsidRDefault="00F46077" w:rsidP="00F46077">
      <w:pPr>
        <w:tabs>
          <w:tab w:val="left" w:pos="851"/>
        </w:tabs>
        <w:ind w:left="851"/>
        <w:rPr>
          <w:sz w:val="24"/>
          <w:szCs w:val="24"/>
          <w:u w:val="single"/>
          <w:lang w:val="sv-SE"/>
        </w:rPr>
      </w:pPr>
      <w:r w:rsidRPr="00F46077">
        <w:rPr>
          <w:sz w:val="24"/>
          <w:szCs w:val="24"/>
          <w:u w:val="single"/>
          <w:lang w:bidi="da-DK"/>
        </w:rPr>
        <w:t>25.000 Ph.Eur. enheder, hårde enterokapsler</w:t>
      </w:r>
    </w:p>
    <w:p w:rsidR="00F46077" w:rsidRPr="00F46077" w:rsidRDefault="00F46077" w:rsidP="00F46077">
      <w:pPr>
        <w:tabs>
          <w:tab w:val="left" w:pos="851"/>
        </w:tabs>
        <w:ind w:left="851"/>
        <w:rPr>
          <w:sz w:val="24"/>
          <w:szCs w:val="24"/>
          <w:lang w:bidi="da-DK"/>
        </w:rPr>
      </w:pPr>
      <w:r w:rsidRPr="00F46077">
        <w:rPr>
          <w:sz w:val="24"/>
          <w:szCs w:val="24"/>
          <w:lang w:bidi="da-DK"/>
        </w:rPr>
        <w:t>Hver enterokapsel indeholder pancreatin (som pancreaspulver)* svarende til</w:t>
      </w:r>
    </w:p>
    <w:p w:rsidR="00F46077" w:rsidRPr="00F46077" w:rsidRDefault="00F46077" w:rsidP="00F46077">
      <w:pPr>
        <w:tabs>
          <w:tab w:val="left" w:pos="851"/>
          <w:tab w:val="left" w:pos="1985"/>
        </w:tabs>
        <w:ind w:left="851"/>
        <w:rPr>
          <w:sz w:val="24"/>
          <w:szCs w:val="24"/>
          <w:lang w:val="fr-FR"/>
        </w:rPr>
      </w:pPr>
      <w:r w:rsidRPr="00F46077">
        <w:rPr>
          <w:sz w:val="24"/>
          <w:szCs w:val="24"/>
          <w:lang w:bidi="da-DK"/>
        </w:rPr>
        <w:t>Amylase</w:t>
      </w:r>
      <w:r w:rsidRPr="00F46077">
        <w:rPr>
          <w:sz w:val="24"/>
          <w:szCs w:val="24"/>
          <w:lang w:bidi="da-DK"/>
        </w:rPr>
        <w:tab/>
        <w:t>18.000 Ph. Eur. enheder</w:t>
      </w:r>
    </w:p>
    <w:p w:rsidR="00F46077" w:rsidRPr="00F46077" w:rsidRDefault="00F46077" w:rsidP="00F46077">
      <w:pPr>
        <w:tabs>
          <w:tab w:val="left" w:pos="851"/>
          <w:tab w:val="left" w:pos="1985"/>
        </w:tabs>
        <w:ind w:left="851"/>
        <w:rPr>
          <w:sz w:val="24"/>
          <w:szCs w:val="24"/>
          <w:lang w:val="fr-FR"/>
        </w:rPr>
      </w:pPr>
      <w:r w:rsidRPr="00F46077">
        <w:rPr>
          <w:sz w:val="24"/>
          <w:szCs w:val="24"/>
          <w:lang w:bidi="da-DK"/>
        </w:rPr>
        <w:t>Lipase</w:t>
      </w:r>
      <w:r w:rsidRPr="00F46077">
        <w:rPr>
          <w:sz w:val="24"/>
          <w:szCs w:val="24"/>
          <w:lang w:bidi="da-DK"/>
        </w:rPr>
        <w:tab/>
        <w:t>25.000 Ph. Eur. enheder</w:t>
      </w:r>
    </w:p>
    <w:p w:rsidR="00F46077" w:rsidRPr="00F46077" w:rsidRDefault="00F46077" w:rsidP="00F46077">
      <w:pPr>
        <w:tabs>
          <w:tab w:val="left" w:pos="851"/>
          <w:tab w:val="left" w:pos="1985"/>
        </w:tabs>
        <w:ind w:left="851"/>
        <w:rPr>
          <w:sz w:val="24"/>
          <w:szCs w:val="24"/>
          <w:lang w:val="sv-SE"/>
        </w:rPr>
      </w:pPr>
      <w:r w:rsidRPr="00F46077">
        <w:rPr>
          <w:sz w:val="24"/>
          <w:szCs w:val="24"/>
          <w:lang w:bidi="da-DK"/>
        </w:rPr>
        <w:t>Protease</w:t>
      </w:r>
      <w:r w:rsidRPr="00F46077">
        <w:rPr>
          <w:sz w:val="24"/>
          <w:szCs w:val="24"/>
          <w:lang w:bidi="da-DK"/>
        </w:rPr>
        <w:tab/>
        <w:t>1.000 Ph. Eur. enheder</w:t>
      </w:r>
    </w:p>
    <w:p w:rsidR="00F46077" w:rsidRPr="00F46077" w:rsidRDefault="00F46077" w:rsidP="00F46077">
      <w:pPr>
        <w:tabs>
          <w:tab w:val="left" w:pos="851"/>
        </w:tabs>
        <w:ind w:left="851"/>
        <w:rPr>
          <w:sz w:val="24"/>
          <w:szCs w:val="24"/>
          <w:u w:val="single"/>
          <w:lang w:val="sv-SE"/>
        </w:rPr>
      </w:pPr>
    </w:p>
    <w:p w:rsidR="00F46077" w:rsidRPr="00F46077" w:rsidRDefault="00F46077" w:rsidP="00F46077">
      <w:pPr>
        <w:tabs>
          <w:tab w:val="left" w:pos="851"/>
        </w:tabs>
        <w:ind w:left="851"/>
        <w:rPr>
          <w:sz w:val="24"/>
          <w:szCs w:val="24"/>
        </w:rPr>
      </w:pPr>
      <w:r w:rsidRPr="00F46077">
        <w:rPr>
          <w:sz w:val="24"/>
          <w:szCs w:val="24"/>
          <w:lang w:bidi="da-DK"/>
        </w:rPr>
        <w:t>*</w:t>
      </w:r>
      <w:r>
        <w:rPr>
          <w:sz w:val="24"/>
          <w:szCs w:val="24"/>
          <w:lang w:bidi="da-DK"/>
        </w:rPr>
        <w:t xml:space="preserve"> </w:t>
      </w:r>
      <w:r w:rsidRPr="00F46077">
        <w:rPr>
          <w:sz w:val="24"/>
          <w:szCs w:val="24"/>
          <w:lang w:bidi="da-DK"/>
        </w:rPr>
        <w:t>Fremstillet af porcint pancreasvæv.</w:t>
      </w:r>
    </w:p>
    <w:p w:rsidR="00F46077" w:rsidRPr="00F46077" w:rsidRDefault="00F46077" w:rsidP="00F46077">
      <w:pPr>
        <w:tabs>
          <w:tab w:val="left" w:pos="851"/>
        </w:tabs>
        <w:ind w:left="851"/>
        <w:rPr>
          <w:sz w:val="24"/>
          <w:szCs w:val="24"/>
          <w:u w:val="single"/>
          <w:lang w:val="sv-SE"/>
        </w:rPr>
      </w:pPr>
    </w:p>
    <w:p w:rsidR="00F46077" w:rsidRPr="00F46077" w:rsidRDefault="00F46077" w:rsidP="00F46077">
      <w:pPr>
        <w:tabs>
          <w:tab w:val="left" w:pos="851"/>
        </w:tabs>
        <w:ind w:left="851"/>
        <w:rPr>
          <w:i/>
          <w:sz w:val="24"/>
          <w:szCs w:val="24"/>
          <w:lang w:val="sv-SE"/>
        </w:rPr>
      </w:pPr>
      <w:bookmarkStart w:id="2" w:name="_Hlk181871513"/>
      <w:r w:rsidRPr="00F46077">
        <w:rPr>
          <w:i/>
          <w:sz w:val="24"/>
          <w:szCs w:val="24"/>
          <w:lang w:bidi="da-DK"/>
        </w:rPr>
        <w:t>Hjælpestoffer, som behandleren skal være opmærksom på</w:t>
      </w:r>
    </w:p>
    <w:p w:rsidR="00F46077" w:rsidRPr="00F46077" w:rsidRDefault="00F46077" w:rsidP="00F46077">
      <w:pPr>
        <w:tabs>
          <w:tab w:val="left" w:pos="851"/>
        </w:tabs>
        <w:ind w:left="851"/>
        <w:rPr>
          <w:sz w:val="24"/>
          <w:szCs w:val="24"/>
          <w:lang w:val="en-US"/>
        </w:rPr>
      </w:pPr>
      <w:bookmarkStart w:id="3" w:name="_Hlk181871498"/>
      <w:r w:rsidRPr="00F46077">
        <w:rPr>
          <w:sz w:val="24"/>
          <w:szCs w:val="24"/>
          <w:lang w:val="en-US" w:bidi="da-DK"/>
        </w:rPr>
        <w:t>Sunset yellow FCF (E110): 0,25 mg.</w:t>
      </w:r>
    </w:p>
    <w:bookmarkEnd w:id="2"/>
    <w:bookmarkEnd w:id="3"/>
    <w:p w:rsidR="00F46077" w:rsidRPr="00F46077" w:rsidRDefault="00F46077" w:rsidP="00F46077">
      <w:pPr>
        <w:tabs>
          <w:tab w:val="left" w:pos="851"/>
        </w:tabs>
        <w:ind w:left="851"/>
        <w:rPr>
          <w:sz w:val="24"/>
          <w:szCs w:val="24"/>
          <w:lang w:val="en-US"/>
        </w:rPr>
      </w:pPr>
    </w:p>
    <w:p w:rsidR="00F46077" w:rsidRPr="00F46077" w:rsidRDefault="00F46077" w:rsidP="00F46077">
      <w:pPr>
        <w:tabs>
          <w:tab w:val="left" w:pos="851"/>
        </w:tabs>
        <w:ind w:left="851"/>
        <w:rPr>
          <w:sz w:val="24"/>
          <w:szCs w:val="24"/>
        </w:rPr>
      </w:pPr>
      <w:r w:rsidRPr="00F46077">
        <w:rPr>
          <w:sz w:val="24"/>
          <w:szCs w:val="24"/>
        </w:rPr>
        <w:t>Alle hjælpestoffer er anført under pkt. 6.1.</w:t>
      </w:r>
    </w:p>
    <w:p w:rsidR="00F46077" w:rsidRDefault="00F4607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46077" w:rsidRPr="00F46077" w:rsidRDefault="00F46077" w:rsidP="00F46077">
      <w:pPr>
        <w:tabs>
          <w:tab w:val="left" w:pos="851"/>
        </w:tabs>
        <w:ind w:left="851"/>
        <w:rPr>
          <w:bCs/>
          <w:sz w:val="24"/>
          <w:szCs w:val="24"/>
        </w:rPr>
      </w:pPr>
      <w:r w:rsidRPr="00F46077">
        <w:rPr>
          <w:sz w:val="24"/>
          <w:szCs w:val="24"/>
          <w:lang w:bidi="da-DK"/>
        </w:rPr>
        <w:t>Hårde enterokapsler</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bCs/>
          <w:sz w:val="24"/>
          <w:szCs w:val="24"/>
          <w:u w:val="single"/>
        </w:rPr>
      </w:pPr>
      <w:r w:rsidRPr="00F46077">
        <w:rPr>
          <w:sz w:val="24"/>
          <w:szCs w:val="24"/>
          <w:u w:val="single"/>
          <w:lang w:bidi="da-DK"/>
        </w:rPr>
        <w:t>10.000 Ph.Eur. enheder</w:t>
      </w:r>
    </w:p>
    <w:p w:rsidR="00F46077" w:rsidRPr="00F46077" w:rsidRDefault="00F46077" w:rsidP="00F46077">
      <w:pPr>
        <w:tabs>
          <w:tab w:val="left" w:pos="851"/>
        </w:tabs>
        <w:ind w:left="851"/>
        <w:rPr>
          <w:bCs/>
          <w:sz w:val="24"/>
          <w:szCs w:val="24"/>
        </w:rPr>
      </w:pPr>
      <w:r w:rsidRPr="00F46077">
        <w:rPr>
          <w:sz w:val="24"/>
          <w:szCs w:val="24"/>
          <w:lang w:bidi="da-DK"/>
        </w:rPr>
        <w:t>Hård gelatinekapsel i str. 2 (længde 17,8 ± 0,4 mm) med brun kapseloverdel og gennemsigtigt hylster fyldt med cylindriske, sfæriske eller uregelmæssigt formede gastro-resistente pellets (mikropellets) i en lysebrun til brun farve.</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25.000 Ph.Eur. enheder</w:t>
      </w:r>
    </w:p>
    <w:p w:rsidR="00F46077" w:rsidRPr="00F46077" w:rsidRDefault="00F46077" w:rsidP="00F46077">
      <w:pPr>
        <w:tabs>
          <w:tab w:val="left" w:pos="851"/>
        </w:tabs>
        <w:ind w:left="851"/>
        <w:rPr>
          <w:sz w:val="24"/>
          <w:szCs w:val="24"/>
          <w:lang w:bidi="da-DK"/>
        </w:rPr>
      </w:pPr>
      <w:r w:rsidRPr="00F46077">
        <w:rPr>
          <w:sz w:val="24"/>
          <w:szCs w:val="24"/>
          <w:lang w:bidi="da-DK"/>
        </w:rPr>
        <w:t xml:space="preserve">Hård gelatinekapsel i str. 00 (længde 23,5 ± 0,4 mm) med orange kapseloverdel og gennemsigtigt hylster fyldt med cylindriske, sfæriske eller uregelmæssigt formede gastro-resistente </w:t>
      </w:r>
      <w:bookmarkStart w:id="4" w:name="_Hlk181874971"/>
      <w:r w:rsidRPr="00F46077">
        <w:rPr>
          <w:sz w:val="24"/>
          <w:szCs w:val="24"/>
          <w:lang w:bidi="da-DK"/>
        </w:rPr>
        <w:t xml:space="preserve">pellets </w:t>
      </w:r>
    </w:p>
    <w:p w:rsidR="00F46077" w:rsidRPr="00F46077" w:rsidRDefault="00F46077" w:rsidP="00F46077">
      <w:pPr>
        <w:tabs>
          <w:tab w:val="left" w:pos="851"/>
        </w:tabs>
        <w:ind w:left="851"/>
        <w:rPr>
          <w:bCs/>
          <w:sz w:val="24"/>
          <w:szCs w:val="24"/>
        </w:rPr>
      </w:pPr>
      <w:r w:rsidRPr="00F46077">
        <w:rPr>
          <w:sz w:val="24"/>
          <w:szCs w:val="24"/>
          <w:lang w:bidi="da-DK"/>
        </w:rPr>
        <w:t xml:space="preserve">(mikropellets) </w:t>
      </w:r>
      <w:bookmarkEnd w:id="4"/>
      <w:r w:rsidRPr="00F46077">
        <w:rPr>
          <w:sz w:val="24"/>
          <w:szCs w:val="24"/>
          <w:lang w:bidi="da-DK"/>
        </w:rPr>
        <w:t>i en lysebrun til brun farve.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46077" w:rsidRPr="00F46077" w:rsidRDefault="00F46077" w:rsidP="00F46077">
      <w:pPr>
        <w:tabs>
          <w:tab w:val="left" w:pos="851"/>
        </w:tabs>
        <w:ind w:left="851"/>
        <w:rPr>
          <w:sz w:val="24"/>
          <w:szCs w:val="24"/>
        </w:rPr>
      </w:pPr>
      <w:r w:rsidRPr="00F46077">
        <w:rPr>
          <w:sz w:val="24"/>
          <w:szCs w:val="24"/>
          <w:lang w:bidi="da-DK"/>
        </w:rPr>
        <w:t>Micrazym er en erstatningsterapi indiceret til behandling af eksokrin pancreasinsufficiens på grund af mucoviscidose (cystisk fribrose) eller andre pancreassygdomme (kronisk pancreatitis, efter pancreatektomi, bugspytkirtelkræft) hos voksne, unge og børn.</w:t>
      </w:r>
    </w:p>
    <w:p w:rsidR="00F46077" w:rsidRPr="00F46077" w:rsidRDefault="00F46077" w:rsidP="00F4607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46077" w:rsidRPr="00F46077" w:rsidRDefault="00F46077" w:rsidP="00F46077">
      <w:pPr>
        <w:tabs>
          <w:tab w:val="left" w:pos="851"/>
        </w:tabs>
        <w:ind w:left="851"/>
        <w:rPr>
          <w:b/>
          <w:sz w:val="24"/>
          <w:szCs w:val="24"/>
        </w:rPr>
      </w:pPr>
    </w:p>
    <w:p w:rsidR="00F46077" w:rsidRPr="00F46077" w:rsidRDefault="00F46077" w:rsidP="00F46077">
      <w:pPr>
        <w:tabs>
          <w:tab w:val="left" w:pos="851"/>
        </w:tabs>
        <w:ind w:left="851"/>
        <w:rPr>
          <w:bCs/>
          <w:sz w:val="24"/>
          <w:szCs w:val="24"/>
          <w:u w:val="single"/>
        </w:rPr>
      </w:pPr>
      <w:r w:rsidRPr="00F46077">
        <w:rPr>
          <w:bCs/>
          <w:sz w:val="24"/>
          <w:szCs w:val="24"/>
          <w:u w:val="single"/>
        </w:rPr>
        <w:t>Dosering</w:t>
      </w:r>
    </w:p>
    <w:p w:rsidR="00F46077" w:rsidRPr="00F46077" w:rsidRDefault="00F46077" w:rsidP="00F46077">
      <w:pPr>
        <w:tabs>
          <w:tab w:val="left" w:pos="851"/>
        </w:tabs>
        <w:ind w:left="851"/>
        <w:rPr>
          <w:b/>
          <w:sz w:val="24"/>
          <w:szCs w:val="24"/>
        </w:rPr>
      </w:pPr>
    </w:p>
    <w:p w:rsidR="00F46077" w:rsidRPr="00F46077" w:rsidRDefault="00F46077" w:rsidP="00F46077">
      <w:pPr>
        <w:tabs>
          <w:tab w:val="left" w:pos="851"/>
        </w:tabs>
        <w:ind w:left="851"/>
        <w:rPr>
          <w:i/>
          <w:iCs/>
          <w:sz w:val="24"/>
          <w:szCs w:val="24"/>
        </w:rPr>
      </w:pPr>
      <w:bookmarkStart w:id="5" w:name="_Hlk139966010"/>
      <w:bookmarkStart w:id="6" w:name="_Hlk139964947"/>
      <w:r w:rsidRPr="00F46077">
        <w:rPr>
          <w:i/>
          <w:iCs/>
          <w:sz w:val="24"/>
          <w:szCs w:val="24"/>
        </w:rPr>
        <w:t>Dosering til børn og voksne patienter med cystisk fibrose</w:t>
      </w:r>
    </w:p>
    <w:p w:rsidR="00F46077" w:rsidRPr="00F46077" w:rsidRDefault="00F46077" w:rsidP="00F46077">
      <w:pPr>
        <w:tabs>
          <w:tab w:val="left" w:pos="851"/>
        </w:tabs>
        <w:ind w:left="851"/>
        <w:rPr>
          <w:sz w:val="24"/>
          <w:szCs w:val="24"/>
        </w:rPr>
      </w:pPr>
      <w:r w:rsidRPr="00F46077">
        <w:rPr>
          <w:sz w:val="24"/>
          <w:szCs w:val="24"/>
        </w:rPr>
        <w:t xml:space="preserve">Vægtbaseret enzymdosering bør begynde med 1.000 lipaseenheder/kg legemsvægt pr. måltid til børn </w:t>
      </w:r>
      <w:r w:rsidRPr="00F46077">
        <w:rPr>
          <w:sz w:val="24"/>
          <w:szCs w:val="24"/>
          <w:u w:val="single"/>
        </w:rPr>
        <w:t>under</w:t>
      </w:r>
      <w:r w:rsidRPr="00F46077">
        <w:rPr>
          <w:sz w:val="24"/>
          <w:szCs w:val="24"/>
        </w:rPr>
        <w:t xml:space="preserve"> 4 år og med 500 lipaseenheder/kg legemsvægt pr. måltid til børn </w:t>
      </w:r>
      <w:r w:rsidRPr="00F46077">
        <w:rPr>
          <w:sz w:val="24"/>
          <w:szCs w:val="24"/>
          <w:u w:val="single"/>
        </w:rPr>
        <w:t>over</w:t>
      </w:r>
      <w:r w:rsidRPr="00F46077">
        <w:rPr>
          <w:sz w:val="24"/>
          <w:szCs w:val="24"/>
        </w:rPr>
        <w:t xml:space="preserve"> 4 år. </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rPr>
        <w:t xml:space="preserve">Dosering bør justeres i henhold til sygdommens sværhedsgrad, kontrol af fedtdiarré og opretholdelse af god ernæringsstatus. </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rPr>
        <w:t>De fleste patienter bør forblive under eller bør ikke overstige 10.000 lipaseenheder/kg legemsvægt pr. dag eller 4.000 lipaseenheder pr. gram fedtindtag, og patienterne bør ikke overstige dosis på 2.500 lipaseenheder/kg legemsvægt pr. måltid.</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i/>
          <w:iCs/>
          <w:sz w:val="24"/>
          <w:szCs w:val="24"/>
        </w:rPr>
      </w:pPr>
      <w:r w:rsidRPr="00F46077">
        <w:rPr>
          <w:i/>
          <w:iCs/>
          <w:sz w:val="24"/>
          <w:szCs w:val="24"/>
        </w:rPr>
        <w:t>Dosering under andre forhold forbundet med eksokrin pancreasinsufficiens</w:t>
      </w:r>
    </w:p>
    <w:p w:rsidR="00F46077" w:rsidRPr="00F46077" w:rsidRDefault="00F46077" w:rsidP="00F46077">
      <w:pPr>
        <w:tabs>
          <w:tab w:val="left" w:pos="851"/>
        </w:tabs>
        <w:ind w:left="851"/>
        <w:rPr>
          <w:sz w:val="24"/>
          <w:szCs w:val="24"/>
          <w:u w:val="single"/>
        </w:rPr>
      </w:pPr>
      <w:r w:rsidRPr="00F46077">
        <w:rPr>
          <w:sz w:val="24"/>
          <w:szCs w:val="24"/>
        </w:rPr>
        <w:t>Dosering bør individualiseres af patienter i henhold til graden af dårlig fordøjelse og fedtindholdet i måltidet. Den krævede dosis til et måltid varierer fra ca. 25.000 til 80.000 Ph. Eur. lipase enheder og halvdelen af den individuelle dosis til mellemmåltider.</w:t>
      </w:r>
    </w:p>
    <w:bookmarkEnd w:id="5"/>
    <w:p w:rsidR="00F46077" w:rsidRPr="00F46077" w:rsidRDefault="00F46077" w:rsidP="00F46077">
      <w:pPr>
        <w:tabs>
          <w:tab w:val="left" w:pos="851"/>
        </w:tabs>
        <w:ind w:left="851"/>
        <w:rPr>
          <w:sz w:val="24"/>
          <w:szCs w:val="24"/>
        </w:rPr>
      </w:pPr>
    </w:p>
    <w:bookmarkEnd w:id="6"/>
    <w:p w:rsidR="00F46077" w:rsidRPr="00F46077" w:rsidRDefault="00F46077" w:rsidP="00F46077">
      <w:pPr>
        <w:tabs>
          <w:tab w:val="left" w:pos="851"/>
        </w:tabs>
        <w:ind w:left="851"/>
        <w:rPr>
          <w:sz w:val="24"/>
          <w:szCs w:val="24"/>
          <w:u w:val="single"/>
        </w:rPr>
      </w:pPr>
      <w:r w:rsidRPr="00F46077">
        <w:rPr>
          <w:sz w:val="24"/>
          <w:szCs w:val="24"/>
          <w:u w:val="single"/>
          <w:lang w:bidi="da-DK"/>
        </w:rPr>
        <w:t>Administration</w:t>
      </w:r>
    </w:p>
    <w:p w:rsidR="00F46077" w:rsidRPr="00F46077" w:rsidRDefault="00F46077" w:rsidP="00F46077">
      <w:pPr>
        <w:tabs>
          <w:tab w:val="left" w:pos="851"/>
        </w:tabs>
        <w:ind w:left="851"/>
        <w:rPr>
          <w:sz w:val="24"/>
          <w:szCs w:val="24"/>
        </w:rPr>
      </w:pPr>
      <w:r w:rsidRPr="00F46077">
        <w:rPr>
          <w:sz w:val="24"/>
          <w:szCs w:val="24"/>
          <w:lang w:bidi="da-DK"/>
        </w:rPr>
        <w:t>Micrazym kapslerne indtages oralt.</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Det anbefales at indtage enzymerne under eller umiddelbart efter måltiderne.</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 xml:space="preserve">Kapslerne skal sluges hele, </w:t>
      </w:r>
      <w:r w:rsidRPr="00F46077">
        <w:rPr>
          <w:sz w:val="24"/>
          <w:szCs w:val="24"/>
        </w:rPr>
        <w:t>uden at knuse eller tygge, med tilstrækkelig væske, under eller efter hvert måltid eller mellemmåltid.</w:t>
      </w:r>
      <w:r w:rsidRPr="00F46077">
        <w:rPr>
          <w:sz w:val="24"/>
          <w:szCs w:val="24"/>
          <w:lang w:bidi="da-DK"/>
        </w:rPr>
        <w:t xml:space="preserve"> </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Hvis der er problemer med at synke kapslerne (f.eks. for små børn eller ældre patienter), kan kapslerne åbnes forsigtigt, og de entero-overtrukne pellets kan blandes i syreholdig blød mad [pH &lt; 5,5], der ikke kræver tygning, eller i en syrlig væske [pH &lt; 5,5]. Det kunne være æblemos, yoghurt eller appelsin- eller ananasjuice med en pH-værdi på under 5,5, f.eks. æble-, appelsin- eller ananasjuice. En sådan blanding bør ikke opbevares. De entero-overtrukne pellets bør ikke blandes i vand, mælk eller varm mad. Den bløde mad eller væskeblanding skal synkes straks uden at tygge, og efterfølges med vand eller juice for at sikre fuldstændig indtagelse.</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lang w:bidi="da-DK"/>
        </w:rPr>
      </w:pPr>
      <w:r w:rsidRPr="00F46077">
        <w:rPr>
          <w:sz w:val="24"/>
          <w:szCs w:val="24"/>
          <w:lang w:bidi="da-DK"/>
        </w:rPr>
        <w:t>Hvis de entero-overtrukne pellets knuses, tygges eller blandes med mad eller væske med en pH-værdi på over 5,5, kan det beskyttende, syreresistente entero-overtræk blive ødelagt. Det kan resultere i tidlig frigivelse af enzymer i mundhulen og kan føre til nedsat virkning og irritation af slimhinderne.</w:t>
      </w:r>
    </w:p>
    <w:p w:rsidR="00F46077" w:rsidRPr="00F46077" w:rsidRDefault="00F46077" w:rsidP="00F46077">
      <w:pPr>
        <w:tabs>
          <w:tab w:val="left" w:pos="851"/>
        </w:tabs>
        <w:ind w:left="851"/>
        <w:rPr>
          <w:sz w:val="24"/>
          <w:szCs w:val="24"/>
        </w:rPr>
      </w:pPr>
      <w:r w:rsidRPr="00F46077">
        <w:rPr>
          <w:sz w:val="24"/>
          <w:szCs w:val="24"/>
        </w:rPr>
        <w:t>Vær opmærksom på, at der ikke bliver noget tilbage i munden.</w:t>
      </w:r>
    </w:p>
    <w:p w:rsidR="00F46077" w:rsidRPr="00F46077" w:rsidRDefault="00F46077" w:rsidP="00F46077">
      <w:pPr>
        <w:tabs>
          <w:tab w:val="left" w:pos="851"/>
        </w:tabs>
        <w:ind w:left="851"/>
        <w:rPr>
          <w:sz w:val="24"/>
          <w:szCs w:val="24"/>
        </w:rPr>
      </w:pPr>
      <w:r w:rsidRPr="00F46077">
        <w:rPr>
          <w:sz w:val="24"/>
          <w:szCs w:val="24"/>
          <w:lang w:bidi="da-DK"/>
        </w:rPr>
        <w:t xml:space="preserve"> </w:t>
      </w:r>
    </w:p>
    <w:p w:rsidR="00F46077" w:rsidRPr="00F46077" w:rsidRDefault="00F46077" w:rsidP="00F46077">
      <w:pPr>
        <w:tabs>
          <w:tab w:val="left" w:pos="851"/>
        </w:tabs>
        <w:ind w:left="851"/>
        <w:rPr>
          <w:sz w:val="24"/>
          <w:szCs w:val="24"/>
        </w:rPr>
      </w:pPr>
      <w:r w:rsidRPr="00F46077">
        <w:rPr>
          <w:sz w:val="24"/>
          <w:szCs w:val="24"/>
          <w:lang w:bidi="da-DK"/>
        </w:rPr>
        <w:t>Det er vigtigt at sikre tilstrækkelig væsketilførsel til patienten på alle tidspunkter, især i perioder med øget væsketab. Utilstrækkelig væsketilførsel kan forværre forstoppelse.</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Der er rapporteret fibroserende colonopati hos patienter med cystisk fibrose, der tager over 10.000 lipase enheder pr. kg kropsvægt pr. dag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46077" w:rsidRPr="00F46077" w:rsidRDefault="00F46077" w:rsidP="00F46077">
      <w:pPr>
        <w:tabs>
          <w:tab w:val="left" w:pos="851"/>
        </w:tabs>
        <w:ind w:left="851"/>
        <w:rPr>
          <w:sz w:val="24"/>
          <w:szCs w:val="24"/>
          <w:lang w:bidi="da-DK"/>
        </w:rPr>
      </w:pPr>
      <w:r w:rsidRPr="00F46077">
        <w:rPr>
          <w:sz w:val="24"/>
          <w:szCs w:val="24"/>
          <w:lang w:bidi="da-DK"/>
        </w:rPr>
        <w:t>Overfølsomhed over for pancreatin af porcin oprindelse eller over for et af de hjælpestoffer, der er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Fibroserende colonopati</w:t>
      </w:r>
    </w:p>
    <w:p w:rsidR="00F46077" w:rsidRPr="00F46077" w:rsidRDefault="00F46077" w:rsidP="00F46077">
      <w:pPr>
        <w:tabs>
          <w:tab w:val="left" w:pos="851"/>
        </w:tabs>
        <w:ind w:left="851"/>
        <w:rPr>
          <w:sz w:val="24"/>
          <w:szCs w:val="24"/>
        </w:rPr>
      </w:pPr>
      <w:r w:rsidRPr="00F46077">
        <w:rPr>
          <w:sz w:val="24"/>
          <w:szCs w:val="24"/>
          <w:lang w:bidi="da-DK"/>
        </w:rPr>
        <w:t>Strikturer i ileo-cecalregionen og colon (fibroserende colonopati) er blevet rapporteret hos patienter med cystisk fibrose, der indtager høje doser af pancreatinpræparater. Som en sikkerhedsforanstaltning bør usædvanlige abdominale symptomer eller ændringer i abdominale symptomer vurderes medicinsk for at udelukke muligheden for fibroserende colonopati, især hvis patienten indtager mere end 10.000 lipase enheder pr. kg legemsvægt pr. dag.</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Anafylaktiske reaktioner</w:t>
      </w:r>
    </w:p>
    <w:p w:rsidR="00F46077" w:rsidRPr="00F46077" w:rsidRDefault="00F46077" w:rsidP="00F46077">
      <w:pPr>
        <w:tabs>
          <w:tab w:val="left" w:pos="851"/>
        </w:tabs>
        <w:ind w:left="851"/>
        <w:rPr>
          <w:sz w:val="24"/>
          <w:szCs w:val="24"/>
        </w:rPr>
      </w:pPr>
      <w:r w:rsidRPr="00F46077">
        <w:rPr>
          <w:sz w:val="24"/>
          <w:szCs w:val="24"/>
          <w:lang w:bidi="da-DK"/>
        </w:rPr>
        <w:t>Anafylaktiske reaktioner er sjældent rapporteret ved brug af pancreasenzymprodukter med forskellige formuleringer af den samme aktive ingrediens (pancreaspulver). Hvis en sådan reaktion opstår, skal patienterne rådes til straks at afbryde behandlingen og søge akut lægehjælp.</w:t>
      </w:r>
    </w:p>
    <w:p w:rsidR="00F46077" w:rsidRPr="00F46077" w:rsidRDefault="00F46077" w:rsidP="00F46077">
      <w:pPr>
        <w:tabs>
          <w:tab w:val="left" w:pos="851"/>
        </w:tabs>
        <w:ind w:left="851"/>
        <w:rPr>
          <w:sz w:val="24"/>
          <w:szCs w:val="24"/>
        </w:rPr>
      </w:pPr>
      <w:r w:rsidRPr="00F46077">
        <w:rPr>
          <w:sz w:val="24"/>
          <w:szCs w:val="24"/>
          <w:lang w:bidi="da-DK"/>
        </w:rPr>
        <w:t>For at mindske risikoen for bivirkninger som følge af overfølsomhed, anbefales det at behandle patienter med allergi over for svineproteiner med forsigtighed.</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Potentiel irritation af mundslimhinden</w:t>
      </w:r>
    </w:p>
    <w:p w:rsidR="00F46077" w:rsidRPr="00F46077" w:rsidRDefault="00F46077" w:rsidP="00F46077">
      <w:pPr>
        <w:tabs>
          <w:tab w:val="left" w:pos="851"/>
        </w:tabs>
        <w:ind w:left="851"/>
        <w:rPr>
          <w:sz w:val="24"/>
          <w:szCs w:val="24"/>
        </w:rPr>
      </w:pPr>
      <w:r w:rsidRPr="00F46077">
        <w:rPr>
          <w:sz w:val="24"/>
          <w:szCs w:val="24"/>
        </w:rPr>
        <w:t>Vær opmærksom på, at der ikke bliver noget tilbage i munden.</w:t>
      </w:r>
      <w:r w:rsidRPr="00F46077">
        <w:rPr>
          <w:sz w:val="24"/>
          <w:szCs w:val="24"/>
          <w:lang w:bidi="da-DK"/>
        </w:rPr>
        <w:t xml:space="preserve"> Micrazym må ikke knuses eller tygges eller holdes for længe i munden og/eller blandes i fødevarer med en pH-værdi på over 5,5. Dette kan ødelægge den beskyttende entero-overtræk belægning, hvilket kan resultere i tidlig frigivelse af enzymer, orale smerter, irritation af mundslimhinden, blødning, sårdannelse i munden og/eller tab af enzymaktivitet (se pkt. 4.2).</w:t>
      </w:r>
    </w:p>
    <w:p w:rsidR="00F46077" w:rsidRPr="00F46077" w:rsidRDefault="00F46077" w:rsidP="00F46077">
      <w:pPr>
        <w:tabs>
          <w:tab w:val="left" w:pos="851"/>
        </w:tabs>
        <w:ind w:left="851"/>
        <w:rPr>
          <w:sz w:val="24"/>
          <w:szCs w:val="24"/>
        </w:rPr>
      </w:pPr>
      <w:r w:rsidRPr="00F46077">
        <w:rPr>
          <w:sz w:val="24"/>
          <w:szCs w:val="24"/>
          <w:lang w:bidi="da-DK"/>
        </w:rPr>
        <w:lastRenderedPageBreak/>
        <w:t>Det kan hjælpe at skylle munden og drikke et glas vand, hvis der er indledende tegn på irritation i munden.</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Sporbarhed</w:t>
      </w:r>
    </w:p>
    <w:p w:rsidR="00F46077" w:rsidRPr="00F46077" w:rsidRDefault="00F46077" w:rsidP="00F46077">
      <w:pPr>
        <w:tabs>
          <w:tab w:val="left" w:pos="851"/>
        </w:tabs>
        <w:ind w:left="851"/>
        <w:rPr>
          <w:sz w:val="24"/>
          <w:szCs w:val="24"/>
        </w:rPr>
      </w:pPr>
      <w:r w:rsidRPr="00F46077">
        <w:rPr>
          <w:sz w:val="24"/>
          <w:szCs w:val="24"/>
          <w:lang w:bidi="da-DK"/>
        </w:rPr>
        <w:t>For at forbedre sporbarheden af biologiske lægemidler bør navn og batchnummer på det administrerede lægemiddel registreres tydeligt.</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lang w:bidi="da-DK"/>
        </w:rPr>
      </w:pPr>
      <w:r w:rsidRPr="00F46077">
        <w:rPr>
          <w:sz w:val="24"/>
          <w:szCs w:val="24"/>
          <w:lang w:bidi="da-DK"/>
        </w:rPr>
        <w:t>Dette lægemiddel er i det væsentlige natriumfrit.</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Hjælpestoffer i Micrazym 10.000 Ph.Eur. enheder: Ponceau 4 R (E124)</w:t>
      </w:r>
    </w:p>
    <w:p w:rsidR="00F46077" w:rsidRPr="00F46077" w:rsidRDefault="00F46077" w:rsidP="00F46077">
      <w:pPr>
        <w:tabs>
          <w:tab w:val="left" w:pos="851"/>
        </w:tabs>
        <w:ind w:left="851"/>
        <w:rPr>
          <w:sz w:val="24"/>
          <w:szCs w:val="24"/>
        </w:rPr>
      </w:pPr>
      <w:r w:rsidRPr="00F46077">
        <w:rPr>
          <w:sz w:val="24"/>
          <w:szCs w:val="24"/>
          <w:lang w:bidi="da-DK"/>
        </w:rPr>
        <w:t>Hjælpestoffet Ponceau 4 R (E124), der indgår i kapselskallen, kan forårsage allergiske reaktioner.</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rPr>
      </w:pPr>
      <w:r w:rsidRPr="00F46077">
        <w:rPr>
          <w:sz w:val="24"/>
          <w:szCs w:val="24"/>
          <w:lang w:bidi="da-DK"/>
        </w:rPr>
        <w:t>Hjælpestoffer i Micrazym 25.000 Ph.Eur. enheder: Sunset yellow FCF (E110)</w:t>
      </w:r>
    </w:p>
    <w:p w:rsidR="00F46077" w:rsidRPr="00F46077" w:rsidRDefault="00F46077" w:rsidP="00F46077">
      <w:pPr>
        <w:tabs>
          <w:tab w:val="left" w:pos="851"/>
        </w:tabs>
        <w:ind w:left="851"/>
        <w:rPr>
          <w:sz w:val="24"/>
          <w:szCs w:val="24"/>
        </w:rPr>
      </w:pPr>
      <w:r w:rsidRPr="00F46077">
        <w:rPr>
          <w:sz w:val="24"/>
          <w:szCs w:val="24"/>
          <w:lang w:bidi="da-DK"/>
        </w:rPr>
        <w:t>Hjælpestoffet Sunset yellow FCF (E110), der indgår i kapselskallen, kan forårsage allergiske reaktioner.</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rPr>
        <w:t>Alkohol</w:t>
      </w:r>
    </w:p>
    <w:p w:rsidR="00F46077" w:rsidRPr="00F46077" w:rsidRDefault="00F46077" w:rsidP="00F46077">
      <w:pPr>
        <w:tabs>
          <w:tab w:val="left" w:pos="851"/>
        </w:tabs>
        <w:ind w:left="851"/>
        <w:rPr>
          <w:sz w:val="24"/>
          <w:szCs w:val="24"/>
        </w:rPr>
      </w:pPr>
      <w:r w:rsidRPr="00F46077">
        <w:rPr>
          <w:sz w:val="24"/>
          <w:szCs w:val="24"/>
        </w:rPr>
        <w:t>Brug af Micrazym samtidig med et større forbrug af alkohol anbefales ikke og gælder alle de foreslåede styrker (se pkt. 5.2).</w:t>
      </w:r>
    </w:p>
    <w:p w:rsidR="00F46077" w:rsidRPr="00F46077" w:rsidRDefault="00F46077" w:rsidP="00F4607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46077" w:rsidRPr="00F46077" w:rsidRDefault="00F46077" w:rsidP="00F46077">
      <w:pPr>
        <w:tabs>
          <w:tab w:val="left" w:pos="851"/>
        </w:tabs>
        <w:ind w:left="851"/>
        <w:rPr>
          <w:sz w:val="24"/>
          <w:szCs w:val="24"/>
        </w:rPr>
      </w:pPr>
      <w:r w:rsidRPr="00F46077">
        <w:rPr>
          <w:sz w:val="24"/>
          <w:szCs w:val="24"/>
          <w:lang w:bidi="da-DK"/>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46077" w:rsidRPr="00F46077" w:rsidRDefault="00F46077" w:rsidP="00F46077">
      <w:pPr>
        <w:tabs>
          <w:tab w:val="left" w:pos="851"/>
        </w:tabs>
        <w:ind w:left="851"/>
        <w:rPr>
          <w:b/>
          <w:bCs/>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Graviditet</w:t>
      </w:r>
    </w:p>
    <w:p w:rsidR="00F46077" w:rsidRPr="00F46077" w:rsidRDefault="00F46077" w:rsidP="00F46077">
      <w:pPr>
        <w:tabs>
          <w:tab w:val="left" w:pos="851"/>
        </w:tabs>
        <w:ind w:left="851"/>
        <w:rPr>
          <w:sz w:val="24"/>
          <w:szCs w:val="24"/>
        </w:rPr>
      </w:pPr>
      <w:r w:rsidRPr="00F46077">
        <w:rPr>
          <w:sz w:val="24"/>
          <w:szCs w:val="24"/>
          <w:lang w:bidi="da-DK"/>
        </w:rPr>
        <w:t>Der er ingen eller kun en begrænset mængde data (mindre end 300 graviditetsresultater) fra brugen af porcine pancreasenzymer hos gravide kvinder. Der er ingen data fra dyreforsøg vedrørende reproduktiv toksicitet (se pkt.  5.3), men dyreforsøg viser ingen tegn på absorption af porcine pancreasenzymer. Der forventes derfor ingen reproduktions- eller udviklingstoksicitet. Dette lægemiddel kan, om nødvendigt, anvendes under graviditet, hvis der er behov for at sikre en tilstrækkelig ernæringsstatus til gravide kvinder med eksokrin pancreasinsufficiens.</w:t>
      </w:r>
    </w:p>
    <w:p w:rsidR="00F46077" w:rsidRPr="00F46077" w:rsidRDefault="00F46077" w:rsidP="00F46077">
      <w:pPr>
        <w:tabs>
          <w:tab w:val="left" w:pos="851"/>
        </w:tabs>
        <w:ind w:left="851"/>
        <w:rPr>
          <w:sz w:val="24"/>
          <w:szCs w:val="24"/>
          <w:u w:val="single"/>
        </w:rPr>
      </w:pPr>
    </w:p>
    <w:p w:rsidR="00F46077" w:rsidRPr="00F46077" w:rsidRDefault="00F46077" w:rsidP="00F46077">
      <w:pPr>
        <w:tabs>
          <w:tab w:val="left" w:pos="851"/>
        </w:tabs>
        <w:ind w:left="851"/>
        <w:rPr>
          <w:sz w:val="24"/>
          <w:szCs w:val="24"/>
          <w:u w:val="single"/>
        </w:rPr>
      </w:pPr>
      <w:r w:rsidRPr="00F46077">
        <w:rPr>
          <w:sz w:val="24"/>
          <w:szCs w:val="24"/>
          <w:u w:val="single"/>
          <w:lang w:bidi="da-DK"/>
        </w:rPr>
        <w:t>Amning</w:t>
      </w:r>
    </w:p>
    <w:p w:rsidR="00F46077" w:rsidRPr="00F46077" w:rsidRDefault="00F46077" w:rsidP="00F46077">
      <w:pPr>
        <w:tabs>
          <w:tab w:val="left" w:pos="851"/>
        </w:tabs>
        <w:ind w:left="851"/>
        <w:rPr>
          <w:sz w:val="24"/>
          <w:szCs w:val="24"/>
        </w:rPr>
      </w:pPr>
      <w:r w:rsidRPr="00F46077">
        <w:rPr>
          <w:sz w:val="24"/>
          <w:szCs w:val="24"/>
          <w:lang w:bidi="da-DK"/>
        </w:rPr>
        <w:t>Der forventes ingen indvirkning på ammende nyfødte/spædbørn, da den systemiske eksponering af den ammende kvinde for porcine pancreasenzymer er ubetydelig. Pancreasenzymer kan anvendes under amning.</w:t>
      </w:r>
    </w:p>
    <w:p w:rsidR="00F46077" w:rsidRPr="00F46077" w:rsidRDefault="00F46077" w:rsidP="00F46077">
      <w:pPr>
        <w:tabs>
          <w:tab w:val="left" w:pos="851"/>
        </w:tabs>
        <w:ind w:left="851"/>
        <w:rPr>
          <w:sz w:val="24"/>
          <w:szCs w:val="24"/>
        </w:rPr>
      </w:pPr>
    </w:p>
    <w:p w:rsidR="00F46077" w:rsidRPr="00F46077" w:rsidRDefault="00F46077" w:rsidP="00F46077">
      <w:pPr>
        <w:tabs>
          <w:tab w:val="left" w:pos="851"/>
        </w:tabs>
        <w:ind w:left="851"/>
        <w:rPr>
          <w:sz w:val="24"/>
          <w:szCs w:val="24"/>
          <w:u w:val="single"/>
        </w:rPr>
      </w:pPr>
      <w:r w:rsidRPr="00F46077">
        <w:rPr>
          <w:sz w:val="24"/>
          <w:szCs w:val="24"/>
          <w:u w:val="single"/>
          <w:lang w:bidi="da-DK"/>
        </w:rPr>
        <w:t>Fertilitet</w:t>
      </w:r>
    </w:p>
    <w:p w:rsidR="00F46077" w:rsidRPr="00F46077" w:rsidRDefault="00F46077" w:rsidP="00F46077">
      <w:pPr>
        <w:tabs>
          <w:tab w:val="left" w:pos="851"/>
        </w:tabs>
        <w:ind w:left="851"/>
        <w:rPr>
          <w:sz w:val="24"/>
          <w:szCs w:val="24"/>
          <w:lang w:bidi="da-DK"/>
        </w:rPr>
      </w:pPr>
      <w:r w:rsidRPr="00F46077">
        <w:rPr>
          <w:sz w:val="24"/>
          <w:szCs w:val="24"/>
          <w:lang w:bidi="da-DK"/>
        </w:rPr>
        <w:t>Der forventes ingen indvirkninger på fertiliteten, da pancreasenzymer ikke absorberes fra mave-tarmkanalen.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F46077" w:rsidRPr="00F46077" w:rsidRDefault="00F46077" w:rsidP="00F46077">
      <w:pPr>
        <w:tabs>
          <w:tab w:val="left" w:pos="851"/>
        </w:tabs>
        <w:ind w:left="851"/>
        <w:rPr>
          <w:sz w:val="24"/>
          <w:szCs w:val="24"/>
        </w:rPr>
      </w:pPr>
      <w:r w:rsidRPr="00F46077">
        <w:rPr>
          <w:sz w:val="24"/>
          <w:szCs w:val="24"/>
        </w:rPr>
        <w:t xml:space="preserve">Ikke mærkning. </w:t>
      </w:r>
    </w:p>
    <w:p w:rsidR="00F46077" w:rsidRPr="00F46077" w:rsidRDefault="00F46077" w:rsidP="00F46077">
      <w:pPr>
        <w:tabs>
          <w:tab w:val="left" w:pos="851"/>
        </w:tabs>
        <w:ind w:left="851"/>
        <w:rPr>
          <w:sz w:val="24"/>
          <w:szCs w:val="24"/>
        </w:rPr>
      </w:pPr>
      <w:r w:rsidRPr="00F46077">
        <w:rPr>
          <w:sz w:val="24"/>
          <w:szCs w:val="24"/>
          <w:lang w:bidi="da-DK"/>
        </w:rPr>
        <w:t>Micrazym påvirker ikke eller kun i ubetydelig grad evnen til at føre motorkøretøj og og betjene maskiner.</w:t>
      </w:r>
    </w:p>
    <w:p w:rsidR="00F46077" w:rsidRDefault="00F4607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F46077" w:rsidRPr="00F46077" w:rsidRDefault="00F46077" w:rsidP="00F46077">
      <w:pPr>
        <w:autoSpaceDE w:val="0"/>
        <w:autoSpaceDN w:val="0"/>
        <w:adjustRightInd w:val="0"/>
        <w:ind w:left="851"/>
        <w:rPr>
          <w:sz w:val="24"/>
          <w:szCs w:val="24"/>
        </w:rPr>
      </w:pPr>
      <w:r w:rsidRPr="00F46077">
        <w:rPr>
          <w:sz w:val="24"/>
          <w:szCs w:val="24"/>
          <w:lang w:bidi="da-DK"/>
        </w:rPr>
        <w:t>De vigtigste alvorlige bivirkninger, der er observeret ved lægemidler med pancreasenzymer, er anafylaktiske reaktioner (se pkt.  4.4) samt fibroserende colonopati (se pkt.  4.4).</w:t>
      </w:r>
    </w:p>
    <w:p w:rsidR="00F46077" w:rsidRPr="00F46077" w:rsidRDefault="00F46077" w:rsidP="00F46077">
      <w:pPr>
        <w:autoSpaceDE w:val="0"/>
        <w:autoSpaceDN w:val="0"/>
        <w:adjustRightInd w:val="0"/>
        <w:ind w:left="851"/>
        <w:rPr>
          <w:sz w:val="24"/>
          <w:szCs w:val="24"/>
        </w:rPr>
      </w:pPr>
    </w:p>
    <w:p w:rsidR="00F46077" w:rsidRPr="00F46077" w:rsidRDefault="00F46077" w:rsidP="00F46077">
      <w:pPr>
        <w:autoSpaceDE w:val="0"/>
        <w:autoSpaceDN w:val="0"/>
        <w:adjustRightInd w:val="0"/>
        <w:ind w:left="851"/>
        <w:rPr>
          <w:sz w:val="24"/>
          <w:szCs w:val="24"/>
        </w:rPr>
      </w:pPr>
      <w:r w:rsidRPr="00F46077">
        <w:rPr>
          <w:sz w:val="24"/>
          <w:szCs w:val="24"/>
          <w:lang w:bidi="da-DK"/>
        </w:rPr>
        <w:t>I kliniske forsøg er mere end 1000 patienter blevet eksponeret for pancreatin. De hyppigst rapporterede bivirkninger var gastrointestinale lidelser og var primært milde eller moderate i sværhedsgrad.</w:t>
      </w:r>
    </w:p>
    <w:p w:rsidR="00F46077" w:rsidRPr="00F46077" w:rsidRDefault="00F46077" w:rsidP="00F46077">
      <w:pPr>
        <w:autoSpaceDE w:val="0"/>
        <w:autoSpaceDN w:val="0"/>
        <w:adjustRightInd w:val="0"/>
        <w:ind w:left="851"/>
        <w:rPr>
          <w:sz w:val="24"/>
          <w:szCs w:val="24"/>
        </w:rPr>
      </w:pPr>
    </w:p>
    <w:p w:rsidR="00F46077" w:rsidRPr="00F46077" w:rsidRDefault="00F46077" w:rsidP="00F46077">
      <w:pPr>
        <w:autoSpaceDE w:val="0"/>
        <w:autoSpaceDN w:val="0"/>
        <w:adjustRightInd w:val="0"/>
        <w:ind w:left="851"/>
        <w:rPr>
          <w:sz w:val="24"/>
          <w:szCs w:val="24"/>
          <w:lang w:bidi="da-DK"/>
        </w:rPr>
      </w:pPr>
      <w:r w:rsidRPr="00F46077">
        <w:rPr>
          <w:sz w:val="24"/>
          <w:szCs w:val="24"/>
          <w:lang w:bidi="da-DK"/>
        </w:rPr>
        <w:t>Følgende bivirkninger er observeret med de nedenfor angivne hyppigheder:</w:t>
      </w:r>
    </w:p>
    <w:p w:rsidR="00F46077" w:rsidRPr="00F46077" w:rsidRDefault="00F46077" w:rsidP="00F46077">
      <w:pPr>
        <w:autoSpaceDE w:val="0"/>
        <w:autoSpaceDN w:val="0"/>
        <w:adjustRightInd w:val="0"/>
        <w:ind w:left="851"/>
        <w:rPr>
          <w:sz w:val="24"/>
          <w:szCs w:val="24"/>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639"/>
        <w:gridCol w:w="1477"/>
        <w:gridCol w:w="1546"/>
        <w:gridCol w:w="2426"/>
      </w:tblGrid>
      <w:tr w:rsidR="00F46077" w:rsidTr="00F46077">
        <w:tc>
          <w:tcPr>
            <w:tcW w:w="2126"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2"/>
                <w:lang w:val="en-GB"/>
              </w:rPr>
            </w:pPr>
            <w:r>
              <w:rPr>
                <w:b/>
                <w:sz w:val="22"/>
                <w:szCs w:val="22"/>
                <w:lang w:bidi="da-DK"/>
              </w:rPr>
              <w:t>Organsystem</w:t>
            </w:r>
          </w:p>
        </w:tc>
        <w:tc>
          <w:tcPr>
            <w:tcW w:w="1639"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rPr>
            </w:pPr>
            <w:r>
              <w:rPr>
                <w:b/>
                <w:sz w:val="22"/>
                <w:szCs w:val="22"/>
                <w:lang w:bidi="da-DK"/>
              </w:rPr>
              <w:t>Meget almindelig</w:t>
            </w:r>
          </w:p>
          <w:p w:rsidR="00F46077" w:rsidRDefault="00F46077">
            <w:pPr>
              <w:rPr>
                <w:sz w:val="22"/>
                <w:szCs w:val="22"/>
              </w:rPr>
            </w:pPr>
            <w:r>
              <w:rPr>
                <w:b/>
                <w:sz w:val="22"/>
                <w:szCs w:val="22"/>
                <w:lang w:bidi="da-DK"/>
              </w:rPr>
              <w:t>≥ 1/10</w:t>
            </w:r>
          </w:p>
        </w:tc>
        <w:tc>
          <w:tcPr>
            <w:tcW w:w="1477"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rPr>
            </w:pPr>
            <w:r>
              <w:rPr>
                <w:b/>
                <w:sz w:val="22"/>
                <w:szCs w:val="22"/>
                <w:lang w:bidi="da-DK"/>
              </w:rPr>
              <w:t>Almindelig</w:t>
            </w:r>
          </w:p>
          <w:p w:rsidR="00F46077" w:rsidRDefault="00F46077">
            <w:pPr>
              <w:rPr>
                <w:b/>
                <w:sz w:val="22"/>
                <w:szCs w:val="22"/>
                <w:lang w:bidi="da-DK"/>
              </w:rPr>
            </w:pPr>
            <w:r>
              <w:rPr>
                <w:b/>
                <w:sz w:val="22"/>
                <w:szCs w:val="22"/>
                <w:lang w:bidi="da-DK"/>
              </w:rPr>
              <w:t xml:space="preserve">≥ 1/100 til </w:t>
            </w:r>
          </w:p>
          <w:p w:rsidR="00F46077" w:rsidRDefault="00F46077">
            <w:pPr>
              <w:rPr>
                <w:b/>
                <w:sz w:val="22"/>
                <w:szCs w:val="22"/>
                <w:lang w:val="en-GB"/>
              </w:rPr>
            </w:pPr>
            <w:r>
              <w:rPr>
                <w:b/>
                <w:sz w:val="22"/>
                <w:szCs w:val="22"/>
                <w:lang w:bidi="da-DK"/>
              </w:rPr>
              <w:t>&lt; 1/10</w:t>
            </w:r>
          </w:p>
        </w:tc>
        <w:tc>
          <w:tcPr>
            <w:tcW w:w="1546"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rPr>
            </w:pPr>
            <w:r>
              <w:rPr>
                <w:b/>
                <w:sz w:val="22"/>
                <w:szCs w:val="22"/>
                <w:lang w:bidi="da-DK"/>
              </w:rPr>
              <w:t>Ikke almindelig</w:t>
            </w:r>
          </w:p>
          <w:p w:rsidR="00F46077" w:rsidRDefault="00F46077">
            <w:pPr>
              <w:rPr>
                <w:b/>
                <w:sz w:val="22"/>
                <w:szCs w:val="22"/>
              </w:rPr>
            </w:pPr>
            <w:r>
              <w:rPr>
                <w:b/>
                <w:sz w:val="22"/>
                <w:szCs w:val="22"/>
                <w:lang w:bidi="da-DK"/>
              </w:rPr>
              <w:t>≥ 1/1000 til</w:t>
            </w:r>
          </w:p>
          <w:p w:rsidR="00F46077" w:rsidRDefault="00F46077">
            <w:pPr>
              <w:rPr>
                <w:b/>
                <w:sz w:val="22"/>
                <w:szCs w:val="22"/>
              </w:rPr>
            </w:pPr>
            <w:r>
              <w:rPr>
                <w:b/>
                <w:sz w:val="22"/>
                <w:szCs w:val="22"/>
                <w:lang w:bidi="da-DK"/>
              </w:rPr>
              <w:t>&lt; 1/100</w:t>
            </w:r>
          </w:p>
        </w:tc>
        <w:tc>
          <w:tcPr>
            <w:tcW w:w="2426" w:type="dxa"/>
            <w:tcBorders>
              <w:top w:val="single" w:sz="4" w:space="0" w:color="auto"/>
              <w:left w:val="single" w:sz="4" w:space="0" w:color="auto"/>
              <w:bottom w:val="single" w:sz="4" w:space="0" w:color="auto"/>
              <w:right w:val="single" w:sz="4" w:space="0" w:color="auto"/>
            </w:tcBorders>
            <w:hideMark/>
          </w:tcPr>
          <w:p w:rsidR="00F46077" w:rsidRDefault="00F46077">
            <w:pPr>
              <w:autoSpaceDE w:val="0"/>
              <w:autoSpaceDN w:val="0"/>
              <w:adjustRightInd w:val="0"/>
              <w:rPr>
                <w:sz w:val="22"/>
                <w:szCs w:val="22"/>
              </w:rPr>
            </w:pPr>
            <w:r>
              <w:rPr>
                <w:b/>
                <w:sz w:val="22"/>
                <w:szCs w:val="22"/>
                <w:lang w:bidi="da-DK"/>
              </w:rPr>
              <w:t>Frekvens ikke kendt (kan ikke estimeres ud fra forhåndenværende data)</w:t>
            </w:r>
          </w:p>
        </w:tc>
      </w:tr>
      <w:tr w:rsidR="00F46077" w:rsidTr="00F46077">
        <w:tc>
          <w:tcPr>
            <w:tcW w:w="2126"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lang w:val="en-GB"/>
              </w:rPr>
            </w:pPr>
            <w:r>
              <w:rPr>
                <w:b/>
                <w:sz w:val="22"/>
                <w:szCs w:val="22"/>
                <w:lang w:bidi="da-DK"/>
              </w:rPr>
              <w:t>Immunsystemet</w:t>
            </w:r>
          </w:p>
        </w:tc>
        <w:tc>
          <w:tcPr>
            <w:tcW w:w="1639" w:type="dxa"/>
            <w:tcBorders>
              <w:top w:val="single" w:sz="4" w:space="0" w:color="auto"/>
              <w:left w:val="single" w:sz="4" w:space="0" w:color="auto"/>
              <w:bottom w:val="single" w:sz="4" w:space="0" w:color="auto"/>
              <w:right w:val="single" w:sz="4" w:space="0" w:color="auto"/>
            </w:tcBorders>
          </w:tcPr>
          <w:p w:rsidR="00F46077" w:rsidRDefault="00F46077">
            <w:pPr>
              <w:rPr>
                <w:sz w:val="22"/>
                <w:szCs w:val="22"/>
              </w:rPr>
            </w:pPr>
          </w:p>
        </w:tc>
        <w:tc>
          <w:tcPr>
            <w:tcW w:w="1477" w:type="dxa"/>
            <w:tcBorders>
              <w:top w:val="single" w:sz="4" w:space="0" w:color="auto"/>
              <w:left w:val="single" w:sz="4" w:space="0" w:color="auto"/>
              <w:bottom w:val="single" w:sz="4" w:space="0" w:color="auto"/>
              <w:right w:val="single" w:sz="4" w:space="0" w:color="auto"/>
            </w:tcBorders>
          </w:tcPr>
          <w:p w:rsidR="00F46077" w:rsidRDefault="00F46077">
            <w:pPr>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F46077" w:rsidRDefault="00F46077">
            <w:pPr>
              <w:rPr>
                <w:sz w:val="22"/>
                <w:szCs w:val="22"/>
              </w:rPr>
            </w:pPr>
          </w:p>
        </w:tc>
        <w:tc>
          <w:tcPr>
            <w:tcW w:w="2426"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2"/>
              </w:rPr>
            </w:pPr>
            <w:r>
              <w:rPr>
                <w:sz w:val="22"/>
                <w:szCs w:val="22"/>
                <w:lang w:bidi="da-DK"/>
              </w:rPr>
              <w:t>Overfølsomhed*, anafylaktiske</w:t>
            </w:r>
          </w:p>
          <w:p w:rsidR="00F46077" w:rsidRDefault="00F46077">
            <w:pPr>
              <w:rPr>
                <w:sz w:val="22"/>
                <w:szCs w:val="22"/>
              </w:rPr>
            </w:pPr>
            <w:r>
              <w:rPr>
                <w:sz w:val="22"/>
                <w:szCs w:val="22"/>
                <w:lang w:bidi="da-DK"/>
              </w:rPr>
              <w:t>reaktioner*</w:t>
            </w:r>
          </w:p>
        </w:tc>
      </w:tr>
      <w:tr w:rsidR="00F46077" w:rsidTr="00F46077">
        <w:tc>
          <w:tcPr>
            <w:tcW w:w="2126"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rPr>
            </w:pPr>
            <w:r>
              <w:rPr>
                <w:b/>
                <w:sz w:val="22"/>
                <w:szCs w:val="22"/>
                <w:lang w:bidi="da-DK"/>
              </w:rPr>
              <w:t>Mave-tarm-kanalen</w:t>
            </w:r>
          </w:p>
        </w:tc>
        <w:tc>
          <w:tcPr>
            <w:tcW w:w="1639" w:type="dxa"/>
            <w:tcBorders>
              <w:top w:val="single" w:sz="4" w:space="0" w:color="auto"/>
              <w:left w:val="single" w:sz="4" w:space="0" w:color="auto"/>
              <w:bottom w:val="single" w:sz="4" w:space="0" w:color="auto"/>
              <w:right w:val="single" w:sz="4" w:space="0" w:color="auto"/>
            </w:tcBorders>
            <w:hideMark/>
          </w:tcPr>
          <w:p w:rsidR="00F46077" w:rsidRDefault="00F46077" w:rsidP="00F46077">
            <w:pPr>
              <w:rPr>
                <w:sz w:val="22"/>
                <w:szCs w:val="22"/>
              </w:rPr>
            </w:pPr>
            <w:r>
              <w:rPr>
                <w:sz w:val="22"/>
                <w:szCs w:val="22"/>
                <w:lang w:bidi="da-DK"/>
              </w:rPr>
              <w:t>Mavesmerter**</w:t>
            </w:r>
          </w:p>
        </w:tc>
        <w:tc>
          <w:tcPr>
            <w:tcW w:w="1477"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2"/>
              </w:rPr>
            </w:pPr>
            <w:r>
              <w:rPr>
                <w:sz w:val="22"/>
                <w:szCs w:val="22"/>
                <w:lang w:bidi="da-DK"/>
              </w:rPr>
              <w:t>Kvalme, opkastning,</w:t>
            </w:r>
          </w:p>
          <w:p w:rsidR="00F46077" w:rsidRDefault="00F46077">
            <w:pPr>
              <w:rPr>
                <w:sz w:val="22"/>
                <w:szCs w:val="22"/>
              </w:rPr>
            </w:pPr>
            <w:r>
              <w:rPr>
                <w:sz w:val="22"/>
                <w:szCs w:val="22"/>
              </w:rPr>
              <w:t>obstipation, oppustet abdomen</w:t>
            </w:r>
            <w:r>
              <w:rPr>
                <w:sz w:val="22"/>
                <w:szCs w:val="22"/>
                <w:lang w:bidi="da-DK"/>
              </w:rPr>
              <w:t>,</w:t>
            </w:r>
          </w:p>
          <w:p w:rsidR="00F46077" w:rsidRDefault="00F46077">
            <w:pPr>
              <w:rPr>
                <w:sz w:val="22"/>
                <w:szCs w:val="22"/>
                <w:lang w:val="en-GB"/>
              </w:rPr>
            </w:pPr>
            <w:r>
              <w:rPr>
                <w:sz w:val="22"/>
                <w:szCs w:val="22"/>
                <w:lang w:bidi="da-DK"/>
              </w:rPr>
              <w:t>diarré**</w:t>
            </w:r>
          </w:p>
        </w:tc>
        <w:tc>
          <w:tcPr>
            <w:tcW w:w="1546" w:type="dxa"/>
            <w:tcBorders>
              <w:top w:val="single" w:sz="4" w:space="0" w:color="auto"/>
              <w:left w:val="single" w:sz="4" w:space="0" w:color="auto"/>
              <w:bottom w:val="single" w:sz="4" w:space="0" w:color="auto"/>
              <w:right w:val="single" w:sz="4" w:space="0" w:color="auto"/>
            </w:tcBorders>
          </w:tcPr>
          <w:p w:rsidR="00F46077" w:rsidRDefault="00F46077">
            <w:pPr>
              <w:rPr>
                <w:sz w:val="22"/>
                <w:szCs w:val="22"/>
              </w:rPr>
            </w:pPr>
          </w:p>
        </w:tc>
        <w:tc>
          <w:tcPr>
            <w:tcW w:w="2426"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2"/>
                <w:lang w:bidi="da-DK"/>
              </w:rPr>
            </w:pPr>
            <w:r>
              <w:rPr>
                <w:sz w:val="22"/>
                <w:szCs w:val="22"/>
                <w:lang w:bidi="da-DK"/>
              </w:rPr>
              <w:t>Strikturer i</w:t>
            </w:r>
          </w:p>
          <w:p w:rsidR="00F46077" w:rsidRDefault="00F46077">
            <w:pPr>
              <w:rPr>
                <w:sz w:val="22"/>
                <w:szCs w:val="22"/>
                <w:lang w:val="sv-SE"/>
              </w:rPr>
            </w:pPr>
            <w:r>
              <w:rPr>
                <w:sz w:val="22"/>
                <w:szCs w:val="22"/>
                <w:lang w:bidi="da-DK"/>
              </w:rPr>
              <w:t>ileo-cecalregionen og</w:t>
            </w:r>
          </w:p>
          <w:p w:rsidR="00F46077" w:rsidRPr="00F46077" w:rsidRDefault="00F46077">
            <w:pPr>
              <w:rPr>
                <w:sz w:val="22"/>
                <w:szCs w:val="22"/>
              </w:rPr>
            </w:pPr>
            <w:r>
              <w:rPr>
                <w:sz w:val="22"/>
                <w:szCs w:val="22"/>
                <w:lang w:bidi="da-DK"/>
              </w:rPr>
              <w:t>colon (fibroserende</w:t>
            </w:r>
          </w:p>
          <w:p w:rsidR="00F46077" w:rsidRDefault="00F46077">
            <w:pPr>
              <w:rPr>
                <w:sz w:val="22"/>
                <w:szCs w:val="22"/>
              </w:rPr>
            </w:pPr>
            <w:r>
              <w:rPr>
                <w:sz w:val="22"/>
                <w:szCs w:val="22"/>
                <w:lang w:bidi="da-DK"/>
              </w:rPr>
              <w:t>colonopati)</w:t>
            </w:r>
          </w:p>
        </w:tc>
      </w:tr>
      <w:tr w:rsidR="00F46077" w:rsidTr="00F46077">
        <w:tc>
          <w:tcPr>
            <w:tcW w:w="2126" w:type="dxa"/>
            <w:tcBorders>
              <w:top w:val="single" w:sz="4" w:space="0" w:color="auto"/>
              <w:left w:val="single" w:sz="4" w:space="0" w:color="auto"/>
              <w:bottom w:val="single" w:sz="4" w:space="0" w:color="auto"/>
              <w:right w:val="single" w:sz="4" w:space="0" w:color="auto"/>
            </w:tcBorders>
            <w:hideMark/>
          </w:tcPr>
          <w:p w:rsidR="00F46077" w:rsidRDefault="00F46077">
            <w:pPr>
              <w:rPr>
                <w:b/>
                <w:sz w:val="22"/>
                <w:szCs w:val="22"/>
                <w:lang w:val="sv-SE"/>
              </w:rPr>
            </w:pPr>
            <w:r>
              <w:rPr>
                <w:b/>
                <w:sz w:val="22"/>
                <w:szCs w:val="22"/>
                <w:lang w:bidi="da-DK"/>
              </w:rPr>
              <w:t>Hud og subkutane væv</w:t>
            </w:r>
          </w:p>
        </w:tc>
        <w:tc>
          <w:tcPr>
            <w:tcW w:w="1639" w:type="dxa"/>
            <w:tcBorders>
              <w:top w:val="single" w:sz="4" w:space="0" w:color="auto"/>
              <w:left w:val="single" w:sz="4" w:space="0" w:color="auto"/>
              <w:bottom w:val="single" w:sz="4" w:space="0" w:color="auto"/>
              <w:right w:val="single" w:sz="4" w:space="0" w:color="auto"/>
            </w:tcBorders>
          </w:tcPr>
          <w:p w:rsidR="00F46077" w:rsidRDefault="00F46077">
            <w:pPr>
              <w:rPr>
                <w:sz w:val="22"/>
                <w:szCs w:val="22"/>
                <w:lang w:val="sv-SE"/>
              </w:rPr>
            </w:pPr>
          </w:p>
        </w:tc>
        <w:tc>
          <w:tcPr>
            <w:tcW w:w="1477" w:type="dxa"/>
            <w:tcBorders>
              <w:top w:val="single" w:sz="4" w:space="0" w:color="auto"/>
              <w:left w:val="single" w:sz="4" w:space="0" w:color="auto"/>
              <w:bottom w:val="single" w:sz="4" w:space="0" w:color="auto"/>
              <w:right w:val="single" w:sz="4" w:space="0" w:color="auto"/>
            </w:tcBorders>
          </w:tcPr>
          <w:p w:rsidR="00F46077" w:rsidRDefault="00F46077">
            <w:pPr>
              <w:rPr>
                <w:sz w:val="22"/>
                <w:szCs w:val="22"/>
                <w:lang w:val="sv-SE"/>
              </w:rPr>
            </w:pPr>
          </w:p>
        </w:tc>
        <w:tc>
          <w:tcPr>
            <w:tcW w:w="1546"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2"/>
                <w:lang w:val="en-GB"/>
              </w:rPr>
            </w:pPr>
            <w:r>
              <w:rPr>
                <w:sz w:val="22"/>
                <w:szCs w:val="22"/>
                <w:lang w:bidi="da-DK"/>
              </w:rPr>
              <w:t>Udslæt</w:t>
            </w:r>
          </w:p>
        </w:tc>
        <w:tc>
          <w:tcPr>
            <w:tcW w:w="2426" w:type="dxa"/>
            <w:tcBorders>
              <w:top w:val="single" w:sz="4" w:space="0" w:color="auto"/>
              <w:left w:val="single" w:sz="4" w:space="0" w:color="auto"/>
              <w:bottom w:val="single" w:sz="4" w:space="0" w:color="auto"/>
              <w:right w:val="single" w:sz="4" w:space="0" w:color="auto"/>
            </w:tcBorders>
            <w:hideMark/>
          </w:tcPr>
          <w:p w:rsidR="00F46077" w:rsidRDefault="00F46077">
            <w:pPr>
              <w:rPr>
                <w:sz w:val="22"/>
                <w:szCs w:val="24"/>
              </w:rPr>
            </w:pPr>
            <w:r>
              <w:rPr>
                <w:sz w:val="22"/>
              </w:rPr>
              <w:t>Pruritus,</w:t>
            </w:r>
          </w:p>
          <w:p w:rsidR="00F46077" w:rsidRDefault="00F46077">
            <w:pPr>
              <w:rPr>
                <w:sz w:val="22"/>
                <w:szCs w:val="22"/>
                <w:lang w:val="en-GB"/>
              </w:rPr>
            </w:pPr>
            <w:r>
              <w:rPr>
                <w:sz w:val="22"/>
              </w:rPr>
              <w:t>urticaria</w:t>
            </w:r>
          </w:p>
        </w:tc>
      </w:tr>
    </w:tbl>
    <w:p w:rsidR="00F46077" w:rsidRDefault="00F46077" w:rsidP="00F46077">
      <w:pPr>
        <w:rPr>
          <w:sz w:val="22"/>
          <w:szCs w:val="22"/>
          <w:lang w:val="en-GB"/>
        </w:rPr>
      </w:pPr>
    </w:p>
    <w:p w:rsidR="00F46077" w:rsidRDefault="00F46077" w:rsidP="006831A1">
      <w:pPr>
        <w:ind w:left="1134" w:hanging="283"/>
        <w:rPr>
          <w:sz w:val="20"/>
          <w:szCs w:val="22"/>
        </w:rPr>
      </w:pPr>
      <w:r>
        <w:rPr>
          <w:sz w:val="20"/>
          <w:szCs w:val="22"/>
          <w:lang w:bidi="da-DK"/>
        </w:rPr>
        <w:t>*</w:t>
      </w:r>
      <w:r w:rsidR="006831A1">
        <w:rPr>
          <w:sz w:val="20"/>
          <w:szCs w:val="22"/>
          <w:lang w:bidi="da-DK"/>
        </w:rPr>
        <w:tab/>
      </w:r>
      <w:r>
        <w:rPr>
          <w:sz w:val="20"/>
          <w:szCs w:val="22"/>
          <w:lang w:bidi="da-DK"/>
        </w:rPr>
        <w:t>Følgende symptomer på overfølsomhed er blevet observeret under brug efter godkendelsen:</w:t>
      </w:r>
    </w:p>
    <w:p w:rsidR="00F46077" w:rsidRDefault="00F46077" w:rsidP="006831A1">
      <w:pPr>
        <w:ind w:left="1134"/>
        <w:rPr>
          <w:sz w:val="20"/>
          <w:szCs w:val="22"/>
        </w:rPr>
      </w:pPr>
      <w:r>
        <w:rPr>
          <w:sz w:val="20"/>
          <w:szCs w:val="22"/>
          <w:lang w:bidi="da-DK"/>
        </w:rPr>
        <w:t>Generaliseret udslæt, angioødem, hævelse af læberne, hævelse af mundslimhinden og ansigtet, svie og hævelse omkring øjnene, astmatiske tilstande. Desuden er der rapporteret om takykardi og hypotension i form af anafylaktisk shock.</w:t>
      </w:r>
    </w:p>
    <w:p w:rsidR="00F46077" w:rsidRDefault="00F46077" w:rsidP="006831A1">
      <w:pPr>
        <w:pStyle w:val="Default"/>
        <w:ind w:left="1134" w:hanging="283"/>
        <w:rPr>
          <w:rFonts w:ascii="Times New Roman" w:hAnsi="Times New Roman" w:cs="Times New Roman"/>
          <w:sz w:val="20"/>
          <w:szCs w:val="22"/>
          <w:lang w:val="da-DK" w:eastAsia="ru-RU"/>
        </w:rPr>
      </w:pPr>
      <w:r>
        <w:rPr>
          <w:rFonts w:ascii="Times New Roman" w:hAnsi="Times New Roman" w:cs="Times New Roman"/>
          <w:sz w:val="20"/>
          <w:szCs w:val="22"/>
          <w:lang w:val="da-DK" w:bidi="da-DK"/>
        </w:rPr>
        <w:t>**</w:t>
      </w:r>
      <w:r w:rsidR="006831A1">
        <w:rPr>
          <w:rFonts w:ascii="Times New Roman" w:hAnsi="Times New Roman" w:cs="Times New Roman"/>
          <w:sz w:val="20"/>
          <w:szCs w:val="22"/>
          <w:lang w:val="da-DK" w:bidi="da-DK"/>
        </w:rPr>
        <w:tab/>
      </w:r>
      <w:r>
        <w:rPr>
          <w:rFonts w:ascii="Times New Roman" w:hAnsi="Times New Roman" w:cs="Times New Roman"/>
          <w:sz w:val="20"/>
          <w:szCs w:val="22"/>
          <w:lang w:val="da-DK" w:bidi="da-DK"/>
        </w:rPr>
        <w:t>Gastrointestinale lidelser er hovedsageligt forbundet med underliggende sygdom. Der blev rapporteret lignende eller lavere incidens sammenlignet med placebo for mavesmerter og diarré.</w:t>
      </w:r>
    </w:p>
    <w:p w:rsidR="00F46077" w:rsidRPr="00F46077" w:rsidRDefault="00F46077" w:rsidP="00F46077">
      <w:pPr>
        <w:autoSpaceDE w:val="0"/>
        <w:autoSpaceDN w:val="0"/>
        <w:adjustRightInd w:val="0"/>
        <w:ind w:left="851"/>
        <w:rPr>
          <w:sz w:val="24"/>
          <w:szCs w:val="24"/>
        </w:rPr>
      </w:pPr>
    </w:p>
    <w:p w:rsidR="00F46077" w:rsidRDefault="00F46077" w:rsidP="00F46077">
      <w:pPr>
        <w:autoSpaceDE w:val="0"/>
        <w:autoSpaceDN w:val="0"/>
        <w:adjustRightInd w:val="0"/>
        <w:ind w:left="851"/>
        <w:rPr>
          <w:sz w:val="24"/>
          <w:szCs w:val="24"/>
          <w:lang w:bidi="da-DK"/>
        </w:rPr>
      </w:pPr>
      <w:r w:rsidRPr="00F46077">
        <w:rPr>
          <w:sz w:val="24"/>
          <w:szCs w:val="24"/>
          <w:lang w:bidi="da-DK"/>
        </w:rPr>
        <w:t>Der er rapporteret om strikturer i ileo-cecalregionen og colon (fibroserende colonopati) hos patienter med cystisk fibrose, der indtager høje doser af pancreatinpræparater, se pkt. 4.4 ”Særlige advarsler og forholdsregler ved brug”.</w:t>
      </w:r>
    </w:p>
    <w:p w:rsidR="00F46077" w:rsidRPr="00F46077" w:rsidRDefault="00F46077" w:rsidP="00F46077">
      <w:pPr>
        <w:autoSpaceDE w:val="0"/>
        <w:autoSpaceDN w:val="0"/>
        <w:adjustRightInd w:val="0"/>
        <w:ind w:left="851"/>
        <w:rPr>
          <w:sz w:val="24"/>
          <w:szCs w:val="24"/>
        </w:rPr>
      </w:pPr>
    </w:p>
    <w:p w:rsidR="00F46077" w:rsidRPr="00F46077" w:rsidRDefault="00F46077" w:rsidP="00F46077">
      <w:pPr>
        <w:pStyle w:val="Overskrift2"/>
        <w:spacing w:before="0" w:after="0"/>
        <w:ind w:left="851"/>
        <w:rPr>
          <w:rFonts w:ascii="Times New Roman" w:hAnsi="Times New Roman"/>
          <w:b w:val="0"/>
          <w:i w:val="0"/>
          <w:sz w:val="24"/>
          <w:szCs w:val="24"/>
          <w:u w:val="single"/>
          <w:lang w:val="da-DK" w:eastAsia="en-US"/>
        </w:rPr>
      </w:pPr>
      <w:r w:rsidRPr="00F46077">
        <w:rPr>
          <w:rFonts w:ascii="Times New Roman" w:hAnsi="Times New Roman"/>
          <w:b w:val="0"/>
          <w:i w:val="0"/>
          <w:sz w:val="24"/>
          <w:szCs w:val="24"/>
          <w:u w:val="single"/>
          <w:lang w:val="da-DK" w:bidi="da-DK"/>
        </w:rPr>
        <w:t>Pædiatrisk population</w:t>
      </w:r>
    </w:p>
    <w:p w:rsidR="00F46077" w:rsidRPr="00F46077" w:rsidRDefault="00F46077" w:rsidP="00F46077">
      <w:pPr>
        <w:autoSpaceDE w:val="0"/>
        <w:autoSpaceDN w:val="0"/>
        <w:adjustRightInd w:val="0"/>
        <w:ind w:left="851"/>
        <w:rPr>
          <w:sz w:val="24"/>
          <w:szCs w:val="24"/>
        </w:rPr>
      </w:pPr>
      <w:r w:rsidRPr="00F46077">
        <w:rPr>
          <w:sz w:val="24"/>
          <w:szCs w:val="24"/>
          <w:lang w:bidi="da-DK"/>
        </w:rPr>
        <w:t>Ingen specifikke bivirkninger blev identificeret hos børn. Hyppigheden, typen og sværhedsgraden af bivirkningerne var ens hos børn med cystisk fibrose sammenlignet med voksne.</w:t>
      </w:r>
    </w:p>
    <w:p w:rsidR="00F46077" w:rsidRPr="00F46077" w:rsidRDefault="00F46077" w:rsidP="00F46077">
      <w:pPr>
        <w:pStyle w:val="Default"/>
        <w:ind w:left="851"/>
        <w:rPr>
          <w:rFonts w:ascii="Times New Roman" w:hAnsi="Times New Roman" w:cs="Times New Roman"/>
          <w:color w:val="auto"/>
          <w:u w:val="single"/>
          <w:lang w:val="da-DK"/>
        </w:rPr>
      </w:pPr>
    </w:p>
    <w:p w:rsidR="00F46077" w:rsidRPr="00F46077" w:rsidRDefault="00F46077" w:rsidP="00F46077">
      <w:pPr>
        <w:pStyle w:val="Default"/>
        <w:ind w:left="851"/>
        <w:rPr>
          <w:rFonts w:ascii="Times New Roman" w:hAnsi="Times New Roman" w:cs="Times New Roman"/>
          <w:color w:val="auto"/>
          <w:u w:val="single"/>
          <w:lang w:val="da-DK"/>
        </w:rPr>
      </w:pPr>
      <w:r w:rsidRPr="00F46077">
        <w:rPr>
          <w:rFonts w:ascii="Times New Roman" w:hAnsi="Times New Roman" w:cs="Times New Roman"/>
          <w:color w:val="auto"/>
          <w:u w:val="single"/>
          <w:lang w:val="da-DK" w:bidi="da-DK"/>
        </w:rPr>
        <w:t>Indberetning af formodede bivirkninger</w:t>
      </w:r>
    </w:p>
    <w:p w:rsidR="00F46077" w:rsidRPr="00F46077" w:rsidRDefault="00F46077" w:rsidP="00F46077">
      <w:pPr>
        <w:ind w:left="851"/>
        <w:rPr>
          <w:sz w:val="24"/>
          <w:szCs w:val="24"/>
          <w:lang w:eastAsia="da-DK"/>
        </w:rPr>
      </w:pPr>
      <w:r w:rsidRPr="00F46077">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F46077" w:rsidRPr="00F46077" w:rsidRDefault="00F46077" w:rsidP="00F46077">
      <w:pPr>
        <w:ind w:left="851"/>
        <w:rPr>
          <w:sz w:val="24"/>
          <w:szCs w:val="24"/>
          <w:lang w:bidi="da-DK"/>
        </w:rPr>
      </w:pPr>
      <w:r w:rsidRPr="00F46077">
        <w:rPr>
          <w:sz w:val="24"/>
          <w:szCs w:val="24"/>
          <w:lang w:bidi="da-DK"/>
        </w:rPr>
        <w:t xml:space="preserve"> </w:t>
      </w:r>
    </w:p>
    <w:p w:rsidR="00F46077" w:rsidRPr="00F46077" w:rsidRDefault="00F46077" w:rsidP="00F46077">
      <w:pPr>
        <w:ind w:left="851"/>
        <w:rPr>
          <w:rFonts w:eastAsia="Calibri"/>
          <w:color w:val="000000"/>
          <w:sz w:val="24"/>
          <w:szCs w:val="24"/>
          <w:lang w:eastAsia="zh-CN"/>
        </w:rPr>
      </w:pPr>
      <w:r w:rsidRPr="00F46077">
        <w:rPr>
          <w:sz w:val="24"/>
          <w:szCs w:val="24"/>
        </w:rPr>
        <w:t>Lægemiddelstyrelsen</w:t>
      </w:r>
    </w:p>
    <w:p w:rsidR="00F46077" w:rsidRPr="00F46077" w:rsidRDefault="00F46077" w:rsidP="00F46077">
      <w:pPr>
        <w:ind w:left="851"/>
        <w:rPr>
          <w:rFonts w:eastAsia="Calibri"/>
          <w:noProof/>
          <w:sz w:val="24"/>
          <w:szCs w:val="24"/>
          <w:lang w:eastAsia="zh-CN"/>
        </w:rPr>
      </w:pPr>
      <w:r w:rsidRPr="00F46077">
        <w:rPr>
          <w:rFonts w:eastAsia="Calibri"/>
          <w:sz w:val="24"/>
          <w:szCs w:val="24"/>
          <w:lang w:eastAsia="zh-CN"/>
        </w:rPr>
        <w:t>Axel Heides Gade 1</w:t>
      </w:r>
    </w:p>
    <w:p w:rsidR="00F46077" w:rsidRPr="00F46077" w:rsidRDefault="00F46077" w:rsidP="00F46077">
      <w:pPr>
        <w:ind w:left="851"/>
        <w:rPr>
          <w:rFonts w:eastAsia="Calibri"/>
          <w:noProof/>
          <w:sz w:val="24"/>
          <w:szCs w:val="24"/>
          <w:lang w:eastAsia="zh-CN"/>
        </w:rPr>
      </w:pPr>
      <w:r w:rsidRPr="00F46077">
        <w:rPr>
          <w:rFonts w:eastAsia="Calibri"/>
          <w:noProof/>
          <w:sz w:val="24"/>
          <w:szCs w:val="24"/>
          <w:lang w:eastAsia="zh-CN"/>
        </w:rPr>
        <w:t xml:space="preserve">DK-2300 </w:t>
      </w:r>
      <w:r w:rsidRPr="00F46077">
        <w:rPr>
          <w:rFonts w:eastAsia="Calibri"/>
          <w:sz w:val="24"/>
          <w:szCs w:val="24"/>
          <w:lang w:eastAsia="zh-CN"/>
        </w:rPr>
        <w:t>København S</w:t>
      </w:r>
    </w:p>
    <w:p w:rsidR="00F46077" w:rsidRPr="00F46077" w:rsidRDefault="00F46077" w:rsidP="00F46077">
      <w:pPr>
        <w:tabs>
          <w:tab w:val="left" w:pos="-720"/>
        </w:tabs>
        <w:suppressAutoHyphens/>
        <w:ind w:left="851"/>
        <w:rPr>
          <w:rFonts w:eastAsia="Calibri"/>
          <w:noProof/>
          <w:sz w:val="24"/>
          <w:szCs w:val="24"/>
          <w:lang w:eastAsia="zh-CN"/>
        </w:rPr>
      </w:pPr>
      <w:r w:rsidRPr="00F46077">
        <w:rPr>
          <w:rFonts w:eastAsia="Calibri"/>
          <w:sz w:val="24"/>
          <w:szCs w:val="24"/>
          <w:lang w:eastAsia="zh-CN"/>
        </w:rPr>
        <w:t>Websted</w:t>
      </w:r>
      <w:r w:rsidRPr="00F46077">
        <w:rPr>
          <w:rFonts w:eastAsia="Calibri"/>
          <w:noProof/>
          <w:sz w:val="24"/>
          <w:szCs w:val="24"/>
          <w:lang w:eastAsia="zh-CN"/>
        </w:rPr>
        <w:t xml:space="preserve">: </w:t>
      </w:r>
      <w:r w:rsidRPr="006831A1">
        <w:rPr>
          <w:rFonts w:eastAsia="Calibri"/>
          <w:noProof/>
          <w:sz w:val="24"/>
          <w:szCs w:val="24"/>
          <w:lang w:eastAsia="zh-CN"/>
        </w:rPr>
        <w:t>www.meldenbivirkning.dk</w:t>
      </w:r>
    </w:p>
    <w:p w:rsidR="009260DE" w:rsidRPr="00F46077" w:rsidRDefault="009260DE" w:rsidP="00F4607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6831A1" w:rsidRPr="006831A1" w:rsidRDefault="006831A1" w:rsidP="006831A1">
      <w:pPr>
        <w:tabs>
          <w:tab w:val="left" w:pos="851"/>
        </w:tabs>
        <w:ind w:left="851"/>
        <w:rPr>
          <w:sz w:val="24"/>
          <w:szCs w:val="24"/>
        </w:rPr>
      </w:pPr>
      <w:r w:rsidRPr="006831A1">
        <w:rPr>
          <w:sz w:val="24"/>
          <w:szCs w:val="24"/>
          <w:lang w:bidi="da-DK"/>
        </w:rPr>
        <w:t>Kroniske høje doser af produkter med pancreasenzymer er blevet kædet sammen med fibroserende colonopati og som følge heraf i nogle tilfælde tarmforsnævringer (se pkt. 4.2 og 4.4).</w:t>
      </w:r>
    </w:p>
    <w:p w:rsidR="006831A1" w:rsidRPr="006831A1" w:rsidRDefault="006831A1" w:rsidP="006831A1">
      <w:pPr>
        <w:tabs>
          <w:tab w:val="left" w:pos="851"/>
        </w:tabs>
        <w:ind w:left="851"/>
        <w:rPr>
          <w:sz w:val="24"/>
          <w:szCs w:val="24"/>
          <w:lang w:bidi="da-DK"/>
        </w:rPr>
      </w:pPr>
      <w:r w:rsidRPr="006831A1">
        <w:rPr>
          <w:sz w:val="24"/>
          <w:szCs w:val="24"/>
          <w:lang w:bidi="da-DK"/>
        </w:rPr>
        <w:t>Det er rapporteret, at ekstremt høje doser af pancreatin har været associeret med hyperuricosuri og hyperurikæmi.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831A1" w:rsidP="009260DE">
      <w:pPr>
        <w:tabs>
          <w:tab w:val="left" w:pos="851"/>
        </w:tabs>
        <w:ind w:left="851"/>
        <w:rPr>
          <w:sz w:val="24"/>
          <w:szCs w:val="24"/>
        </w:rPr>
      </w:pPr>
      <w:r>
        <w:rPr>
          <w:sz w:val="24"/>
          <w:szCs w:val="24"/>
        </w:rPr>
        <w:t>HA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831A1" w:rsidRPr="006831A1" w:rsidRDefault="006831A1" w:rsidP="006831A1">
      <w:pPr>
        <w:tabs>
          <w:tab w:val="left" w:pos="851"/>
        </w:tabs>
        <w:ind w:left="851"/>
        <w:rPr>
          <w:sz w:val="24"/>
          <w:szCs w:val="24"/>
          <w:lang w:bidi="da-DK"/>
        </w:rPr>
      </w:pPr>
      <w:r w:rsidRPr="006831A1">
        <w:rPr>
          <w:sz w:val="24"/>
          <w:szCs w:val="24"/>
          <w:lang w:bidi="da-DK"/>
        </w:rPr>
        <w:t>Farmakoterapeutisk klassifikation: Multienzymer (amylase, lipase, protease).</w:t>
      </w:r>
    </w:p>
    <w:p w:rsidR="006831A1" w:rsidRPr="006831A1" w:rsidRDefault="006831A1" w:rsidP="006831A1">
      <w:pPr>
        <w:tabs>
          <w:tab w:val="left" w:pos="851"/>
        </w:tabs>
        <w:ind w:left="851"/>
        <w:rPr>
          <w:sz w:val="24"/>
          <w:szCs w:val="24"/>
        </w:rPr>
      </w:pPr>
      <w:r w:rsidRPr="006831A1">
        <w:rPr>
          <w:sz w:val="24"/>
          <w:szCs w:val="24"/>
          <w:lang w:bidi="da-DK"/>
        </w:rPr>
        <w:t>ATC-kode: A 09 AA 02</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u w:val="single"/>
        </w:rPr>
      </w:pPr>
      <w:r w:rsidRPr="006831A1">
        <w:rPr>
          <w:sz w:val="24"/>
          <w:szCs w:val="24"/>
          <w:u w:val="single"/>
          <w:lang w:bidi="da-DK"/>
        </w:rPr>
        <w:t>Virkningsmekanisme</w:t>
      </w:r>
    </w:p>
    <w:p w:rsidR="006831A1" w:rsidRPr="006831A1" w:rsidRDefault="006831A1" w:rsidP="006831A1">
      <w:pPr>
        <w:tabs>
          <w:tab w:val="left" w:pos="851"/>
        </w:tabs>
        <w:ind w:left="851"/>
        <w:rPr>
          <w:sz w:val="24"/>
          <w:szCs w:val="24"/>
        </w:rPr>
      </w:pPr>
      <w:r w:rsidRPr="006831A1">
        <w:rPr>
          <w:sz w:val="24"/>
          <w:szCs w:val="24"/>
          <w:lang w:bidi="da-DK"/>
        </w:rPr>
        <w:t>Micrazym indeholder porcint pancreatin i form af (syreresistente) pellets indkapslet i enterokapsler af gelatine.</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rPr>
      </w:pPr>
      <w:r w:rsidRPr="006831A1">
        <w:rPr>
          <w:sz w:val="24"/>
          <w:szCs w:val="24"/>
          <w:lang w:bidi="da-DK"/>
        </w:rPr>
        <w:t>Kapslerne opløses hurtigt i maven og frigiver masser af pellets. Der er tale om et flerdoseringsprincip, der er udviklet til at opnå en god sammenblanding med fordøjelsessekreterne, idet de tømmes fra maven sammen med fordøjelsessekreterne og efter frigivelsen fordeler enzymerne godt i fordøjelsessekreterne.</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u w:val="single"/>
        </w:rPr>
      </w:pPr>
      <w:r w:rsidRPr="006831A1">
        <w:rPr>
          <w:sz w:val="24"/>
          <w:szCs w:val="24"/>
          <w:u w:val="single"/>
          <w:lang w:bidi="da-DK"/>
        </w:rPr>
        <w:t>Klinisk virkning</w:t>
      </w:r>
    </w:p>
    <w:p w:rsidR="006831A1" w:rsidRPr="006831A1" w:rsidRDefault="006831A1" w:rsidP="006831A1">
      <w:pPr>
        <w:tabs>
          <w:tab w:val="left" w:pos="851"/>
        </w:tabs>
        <w:ind w:left="851"/>
        <w:rPr>
          <w:sz w:val="24"/>
          <w:szCs w:val="24"/>
        </w:rPr>
      </w:pPr>
      <w:r w:rsidRPr="006831A1">
        <w:rPr>
          <w:sz w:val="24"/>
          <w:szCs w:val="24"/>
          <w:lang w:bidi="da-DK"/>
        </w:rPr>
        <w:t>Der er i alt gennemført 33 studier af effekten af pancreatin på patienter med eksokrin pancreasinsufficiens. Elleve af disse var placebokontrollerede studier på patienter med cystisk fibrose, kronisk pancreasbetændelse eller postkirurgiske tilstande.</w:t>
      </w:r>
    </w:p>
    <w:p w:rsidR="006831A1" w:rsidRPr="006831A1" w:rsidRDefault="006831A1" w:rsidP="006831A1">
      <w:pPr>
        <w:tabs>
          <w:tab w:val="left" w:pos="851"/>
        </w:tabs>
        <w:ind w:left="851"/>
        <w:rPr>
          <w:sz w:val="24"/>
          <w:szCs w:val="24"/>
        </w:rPr>
      </w:pPr>
      <w:r w:rsidRPr="006831A1">
        <w:rPr>
          <w:sz w:val="24"/>
          <w:szCs w:val="24"/>
          <w:lang w:bidi="da-DK"/>
        </w:rPr>
        <w:t>I alle de randomiserede, placebokontrollerede effektstudier var det foruddefinerede primære formål at påvise pancreatins overlegenhed i forhold til placebo på den primære effektparameter, fedt-absorptionskoefficienten (CFA).</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rPr>
      </w:pPr>
      <w:r w:rsidRPr="006831A1">
        <w:rPr>
          <w:sz w:val="24"/>
          <w:szCs w:val="24"/>
          <w:lang w:bidi="da-DK"/>
        </w:rPr>
        <w:t>Fedt-absorptionskoefficienten bestemmer den procentdel af fedt, der optages i kroppen, idet der tages hensyn til fedtindtag og fækal fedtudskillelse. I de placebokontrollerede PEI-studier var den gennemsnitlige CFA (%) højere med pancreatinbehandling (83,0 %) sammenlignet med placebo (59,1 %). I alle studier, uanset design, svarer den gennemsnitlige CFA (%) ved behandlingsperiodens afslutning med pancreatin med de gennemsnitlige CFA-værdier for pancreatin i de placebokontrollerede studier.</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rPr>
      </w:pPr>
      <w:r w:rsidRPr="006831A1">
        <w:rPr>
          <w:sz w:val="24"/>
          <w:szCs w:val="24"/>
          <w:lang w:bidi="da-DK"/>
        </w:rPr>
        <w:t>Behandling med pancreatin forbedrer markant symptomerne på eksokrin pancreasinsufficiens, herunder afføringens konsistens, mavesmerter, flatulens og afføringshyppighed, uafhængigt af den underliggende sygdom.</w:t>
      </w:r>
    </w:p>
    <w:p w:rsidR="006831A1" w:rsidRPr="006831A1" w:rsidRDefault="006831A1" w:rsidP="006831A1">
      <w:pPr>
        <w:tabs>
          <w:tab w:val="left" w:pos="851"/>
        </w:tabs>
        <w:ind w:left="851"/>
        <w:rPr>
          <w:sz w:val="24"/>
          <w:szCs w:val="24"/>
        </w:rPr>
      </w:pPr>
    </w:p>
    <w:p w:rsidR="006831A1" w:rsidRPr="006831A1" w:rsidRDefault="006831A1" w:rsidP="006831A1">
      <w:pPr>
        <w:tabs>
          <w:tab w:val="left" w:pos="851"/>
        </w:tabs>
        <w:ind w:left="851"/>
        <w:rPr>
          <w:sz w:val="24"/>
          <w:szCs w:val="24"/>
          <w:u w:val="single"/>
        </w:rPr>
      </w:pPr>
      <w:r w:rsidRPr="006831A1">
        <w:rPr>
          <w:sz w:val="24"/>
          <w:szCs w:val="24"/>
          <w:u w:val="single"/>
          <w:lang w:bidi="da-DK"/>
        </w:rPr>
        <w:t>Pædiatrisk population</w:t>
      </w:r>
    </w:p>
    <w:p w:rsidR="006831A1" w:rsidRPr="006831A1" w:rsidRDefault="006831A1" w:rsidP="006831A1">
      <w:pPr>
        <w:tabs>
          <w:tab w:val="left" w:pos="851"/>
        </w:tabs>
        <w:ind w:left="851"/>
        <w:rPr>
          <w:sz w:val="24"/>
          <w:szCs w:val="24"/>
        </w:rPr>
      </w:pPr>
      <w:r w:rsidRPr="006831A1">
        <w:rPr>
          <w:sz w:val="24"/>
          <w:szCs w:val="24"/>
          <w:lang w:bidi="da-DK"/>
        </w:rPr>
        <w:t>Ved cystisk fibrose (CF) blev effekten af pancreatin påvist hos 340 børn i aldersgruppen fra nyfødte til unge patienter. I alle studier oversteg de gennemsnitlige CFA-værdier ved behandlingens afslutning 80 % for pancreatin i alle pædiatriske aldersgrupper.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rsidR="006831A1" w:rsidRPr="006831A1" w:rsidRDefault="006831A1" w:rsidP="006831A1">
      <w:pPr>
        <w:tabs>
          <w:tab w:val="left" w:pos="851"/>
        </w:tabs>
        <w:ind w:left="851"/>
        <w:rPr>
          <w:sz w:val="24"/>
          <w:szCs w:val="24"/>
          <w:u w:val="single"/>
        </w:rPr>
      </w:pPr>
    </w:p>
    <w:p w:rsidR="006831A1" w:rsidRPr="006831A1" w:rsidRDefault="006831A1" w:rsidP="006831A1">
      <w:pPr>
        <w:tabs>
          <w:tab w:val="left" w:pos="851"/>
        </w:tabs>
        <w:ind w:left="851"/>
        <w:rPr>
          <w:sz w:val="24"/>
          <w:szCs w:val="24"/>
          <w:u w:val="single"/>
          <w:lang w:bidi="da-DK"/>
        </w:rPr>
      </w:pPr>
      <w:r w:rsidRPr="006831A1">
        <w:rPr>
          <w:sz w:val="24"/>
          <w:szCs w:val="24"/>
          <w:u w:val="single"/>
          <w:lang w:bidi="da-DK"/>
        </w:rPr>
        <w:t>Alkohol</w:t>
      </w:r>
    </w:p>
    <w:p w:rsidR="006831A1" w:rsidRPr="006831A1" w:rsidRDefault="006831A1" w:rsidP="006831A1">
      <w:pPr>
        <w:tabs>
          <w:tab w:val="left" w:pos="851"/>
        </w:tabs>
        <w:ind w:left="851"/>
        <w:rPr>
          <w:sz w:val="24"/>
          <w:szCs w:val="24"/>
          <w:lang w:bidi="da-DK"/>
        </w:rPr>
      </w:pPr>
      <w:r w:rsidRPr="006831A1">
        <w:rPr>
          <w:sz w:val="24"/>
          <w:szCs w:val="24"/>
          <w:lang w:bidi="da-DK"/>
        </w:rPr>
        <w:t xml:space="preserve">Et </w:t>
      </w:r>
      <w:r w:rsidRPr="006831A1">
        <w:rPr>
          <w:i/>
          <w:sz w:val="24"/>
          <w:szCs w:val="24"/>
          <w:lang w:bidi="da-DK"/>
        </w:rPr>
        <w:t>in vitro</w:t>
      </w:r>
      <w:r w:rsidRPr="006831A1">
        <w:rPr>
          <w:sz w:val="24"/>
          <w:szCs w:val="24"/>
          <w:lang w:bidi="da-DK"/>
        </w:rPr>
        <w:t>-studie viste, at der efter 2 timer i 20% alkohol skete en signifikant stigning i frigivelse af pankreatin fra Micrazym kapsler til ca. 48% af de angivne værdier. Virkningen af 5% og 10% alkohol på frigivelsen af pankreatin blev efter 2 timer observeret til ca. 4% og 6% af de angivne værdier.</w:t>
      </w:r>
    </w:p>
    <w:p w:rsidR="006831A1" w:rsidRPr="006831A1" w:rsidRDefault="006831A1" w:rsidP="006831A1">
      <w:pPr>
        <w:tabs>
          <w:tab w:val="left" w:pos="851"/>
        </w:tabs>
        <w:ind w:left="851"/>
        <w:rPr>
          <w:sz w:val="24"/>
          <w:szCs w:val="24"/>
        </w:rPr>
      </w:pPr>
      <w:bookmarkStart w:id="7" w:name="_Hlk139964979"/>
    </w:p>
    <w:bookmarkEnd w:id="7"/>
    <w:p w:rsidR="006831A1" w:rsidRPr="006831A1" w:rsidRDefault="006831A1" w:rsidP="006831A1">
      <w:pPr>
        <w:tabs>
          <w:tab w:val="left" w:pos="851"/>
        </w:tabs>
        <w:ind w:left="851"/>
        <w:rPr>
          <w:sz w:val="24"/>
          <w:szCs w:val="24"/>
        </w:rPr>
      </w:pPr>
      <w:r w:rsidRPr="006831A1">
        <w:rPr>
          <w:sz w:val="24"/>
          <w:szCs w:val="24"/>
          <w:lang w:bidi="da-DK"/>
        </w:rPr>
        <w:t>Dyreforsøg viste ingen tegn på absorption af intakte enzymer, og der er derfor ikke udført klassiske  farmakokinetik studier. Tilskud af pancreasenzym forudsætter ikke absorption for at udøve sin virkning. Tværtimod udøves enzymernes fulde terapeutiske aktivitet inde fra selve mave-tarm-kanalen. Desuden er der tale om proteiner, og som sådan undergår de en proteolytisk nedbrydning, mens de passerer gennem mave-tarm-kanalen, inden de absorberes som peptider og aminosyrer.</w:t>
      </w:r>
    </w:p>
    <w:p w:rsidR="006831A1" w:rsidRPr="006831A1" w:rsidRDefault="006831A1" w:rsidP="006831A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831A1" w:rsidRPr="006831A1" w:rsidRDefault="006831A1" w:rsidP="006831A1">
      <w:pPr>
        <w:tabs>
          <w:tab w:val="left" w:pos="851"/>
        </w:tabs>
        <w:ind w:left="851"/>
        <w:rPr>
          <w:sz w:val="24"/>
          <w:szCs w:val="24"/>
        </w:rPr>
      </w:pPr>
      <w:r w:rsidRPr="006831A1">
        <w:rPr>
          <w:sz w:val="24"/>
          <w:szCs w:val="24"/>
          <w:lang w:bidi="da-DK"/>
        </w:rPr>
        <w:t>Prækliniske data viser ingen relevant toksicitet ved gentagen dosis. Dyreforsøg viser ingen tegn på absorption af procine pancreasenzymer fra mave-tarm-kanalen efter oral administration. Der er ikke udført studier af genotoksicitet, carcinogenicitet eller reproduktionstoksicitet.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831A1" w:rsidRPr="006831A1" w:rsidRDefault="006831A1" w:rsidP="006831A1">
      <w:pPr>
        <w:tabs>
          <w:tab w:val="left" w:pos="851"/>
        </w:tabs>
        <w:ind w:left="851"/>
        <w:rPr>
          <w:b/>
          <w:sz w:val="24"/>
          <w:szCs w:val="24"/>
        </w:rPr>
      </w:pPr>
    </w:p>
    <w:p w:rsidR="006831A1" w:rsidRPr="006831A1" w:rsidRDefault="006831A1" w:rsidP="006831A1">
      <w:pPr>
        <w:tabs>
          <w:tab w:val="left" w:pos="851"/>
        </w:tabs>
        <w:ind w:left="851"/>
        <w:rPr>
          <w:sz w:val="24"/>
          <w:szCs w:val="24"/>
          <w:u w:val="single"/>
        </w:rPr>
      </w:pPr>
      <w:r w:rsidRPr="006831A1">
        <w:rPr>
          <w:sz w:val="24"/>
          <w:szCs w:val="24"/>
          <w:u w:val="single"/>
          <w:lang w:bidi="da-DK"/>
        </w:rPr>
        <w:t>Pellets</w:t>
      </w:r>
    </w:p>
    <w:p w:rsidR="006831A1" w:rsidRPr="006831A1" w:rsidRDefault="006831A1" w:rsidP="006831A1">
      <w:pPr>
        <w:tabs>
          <w:tab w:val="left" w:pos="851"/>
        </w:tabs>
        <w:ind w:left="851"/>
        <w:rPr>
          <w:sz w:val="24"/>
          <w:szCs w:val="24"/>
          <w:lang w:bidi="da-DK"/>
        </w:rPr>
      </w:pPr>
      <w:r w:rsidRPr="006831A1">
        <w:rPr>
          <w:sz w:val="24"/>
          <w:szCs w:val="24"/>
          <w:lang w:bidi="da-DK"/>
        </w:rPr>
        <w:t xml:space="preserve">Cetylalkohol </w:t>
      </w:r>
    </w:p>
    <w:p w:rsidR="006831A1" w:rsidRPr="006831A1" w:rsidRDefault="006831A1" w:rsidP="006831A1">
      <w:pPr>
        <w:tabs>
          <w:tab w:val="left" w:pos="851"/>
        </w:tabs>
        <w:ind w:left="851"/>
        <w:rPr>
          <w:bCs/>
          <w:sz w:val="24"/>
          <w:szCs w:val="24"/>
        </w:rPr>
      </w:pPr>
      <w:r w:rsidRPr="006831A1">
        <w:rPr>
          <w:sz w:val="24"/>
          <w:szCs w:val="24"/>
          <w:lang w:bidi="da-DK"/>
        </w:rPr>
        <w:t>Poloxamer</w:t>
      </w:r>
    </w:p>
    <w:p w:rsidR="006831A1" w:rsidRPr="006831A1" w:rsidRDefault="006831A1" w:rsidP="006831A1">
      <w:pPr>
        <w:tabs>
          <w:tab w:val="left" w:pos="851"/>
        </w:tabs>
        <w:ind w:left="851"/>
        <w:rPr>
          <w:sz w:val="24"/>
          <w:szCs w:val="24"/>
        </w:rPr>
      </w:pPr>
    </w:p>
    <w:p w:rsidR="006831A1" w:rsidRPr="006C01A0" w:rsidRDefault="006831A1" w:rsidP="006831A1">
      <w:pPr>
        <w:tabs>
          <w:tab w:val="left" w:pos="851"/>
        </w:tabs>
        <w:ind w:left="851"/>
        <w:rPr>
          <w:sz w:val="24"/>
          <w:szCs w:val="24"/>
          <w:u w:val="single"/>
          <w:lang w:val="en-US"/>
        </w:rPr>
      </w:pPr>
      <w:r w:rsidRPr="006C01A0">
        <w:rPr>
          <w:sz w:val="24"/>
          <w:szCs w:val="24"/>
          <w:u w:val="single"/>
          <w:lang w:val="en-US" w:bidi="da-DK"/>
        </w:rPr>
        <w:t>Entero-overtræk</w:t>
      </w:r>
    </w:p>
    <w:p w:rsidR="006831A1" w:rsidRPr="006831A1" w:rsidRDefault="006831A1" w:rsidP="006831A1">
      <w:pPr>
        <w:tabs>
          <w:tab w:val="left" w:pos="851"/>
        </w:tabs>
        <w:ind w:left="851"/>
        <w:rPr>
          <w:sz w:val="24"/>
          <w:szCs w:val="24"/>
          <w:lang w:val="en-US" w:bidi="da-DK"/>
        </w:rPr>
      </w:pPr>
      <w:r w:rsidRPr="006831A1">
        <w:rPr>
          <w:sz w:val="24"/>
          <w:szCs w:val="24"/>
          <w:lang w:val="en-US" w:bidi="da-DK"/>
        </w:rPr>
        <w:t xml:space="preserve">Methacrylsyre-ethylacrylat copolymer (1:1) dispersion 30 % </w:t>
      </w:r>
    </w:p>
    <w:p w:rsidR="006831A1" w:rsidRPr="006831A1" w:rsidRDefault="006831A1" w:rsidP="006831A1">
      <w:pPr>
        <w:tabs>
          <w:tab w:val="left" w:pos="851"/>
        </w:tabs>
        <w:ind w:left="851"/>
        <w:rPr>
          <w:sz w:val="24"/>
          <w:szCs w:val="24"/>
          <w:lang w:val="en-US" w:bidi="da-DK"/>
        </w:rPr>
      </w:pPr>
      <w:r w:rsidRPr="006831A1">
        <w:rPr>
          <w:sz w:val="24"/>
          <w:szCs w:val="24"/>
          <w:lang w:val="en-US" w:bidi="da-DK"/>
        </w:rPr>
        <w:t>Macrogol 4000</w:t>
      </w:r>
    </w:p>
    <w:p w:rsidR="006831A1" w:rsidRPr="006C01A0" w:rsidRDefault="006831A1" w:rsidP="006831A1">
      <w:pPr>
        <w:tabs>
          <w:tab w:val="left" w:pos="851"/>
        </w:tabs>
        <w:ind w:left="851"/>
        <w:rPr>
          <w:bCs/>
          <w:sz w:val="24"/>
          <w:szCs w:val="24"/>
          <w:lang w:val="en-US"/>
        </w:rPr>
      </w:pPr>
      <w:r w:rsidRPr="006C01A0">
        <w:rPr>
          <w:sz w:val="24"/>
          <w:szCs w:val="24"/>
          <w:lang w:val="en-US" w:bidi="da-DK"/>
        </w:rPr>
        <w:t>Talcum</w:t>
      </w:r>
    </w:p>
    <w:p w:rsidR="006831A1" w:rsidRPr="006C01A0" w:rsidRDefault="006831A1" w:rsidP="006831A1">
      <w:pPr>
        <w:tabs>
          <w:tab w:val="left" w:pos="851"/>
        </w:tabs>
        <w:ind w:left="851"/>
        <w:rPr>
          <w:sz w:val="24"/>
          <w:szCs w:val="24"/>
          <w:lang w:val="en-US" w:bidi="da-DK"/>
        </w:rPr>
      </w:pPr>
      <w:r w:rsidRPr="006C01A0">
        <w:rPr>
          <w:sz w:val="24"/>
          <w:szCs w:val="24"/>
          <w:lang w:val="en-US" w:bidi="da-DK"/>
        </w:rPr>
        <w:t>Simeticon</w:t>
      </w:r>
    </w:p>
    <w:p w:rsidR="006831A1" w:rsidRPr="006C01A0" w:rsidRDefault="006831A1" w:rsidP="006831A1">
      <w:pPr>
        <w:tabs>
          <w:tab w:val="left" w:pos="851"/>
        </w:tabs>
        <w:ind w:left="851"/>
        <w:rPr>
          <w:sz w:val="24"/>
          <w:szCs w:val="24"/>
          <w:lang w:val="en-US" w:bidi="da-DK"/>
        </w:rPr>
      </w:pPr>
      <w:r w:rsidRPr="006C01A0">
        <w:rPr>
          <w:sz w:val="24"/>
          <w:szCs w:val="24"/>
          <w:lang w:val="en-US" w:bidi="da-DK"/>
        </w:rPr>
        <w:t>Methylcellulose</w:t>
      </w:r>
    </w:p>
    <w:p w:rsidR="006831A1" w:rsidRPr="006831A1" w:rsidRDefault="006831A1" w:rsidP="006831A1">
      <w:pPr>
        <w:tabs>
          <w:tab w:val="left" w:pos="851"/>
        </w:tabs>
        <w:ind w:left="851"/>
        <w:rPr>
          <w:bCs/>
          <w:sz w:val="24"/>
          <w:szCs w:val="24"/>
          <w:lang w:val="it-IT"/>
        </w:rPr>
      </w:pPr>
      <w:r w:rsidRPr="006831A1">
        <w:rPr>
          <w:sz w:val="24"/>
          <w:szCs w:val="24"/>
          <w:lang w:bidi="da-DK"/>
        </w:rPr>
        <w:t>Sorbinsyre</w:t>
      </w:r>
    </w:p>
    <w:p w:rsidR="006831A1" w:rsidRPr="006831A1" w:rsidRDefault="006831A1" w:rsidP="006831A1">
      <w:pPr>
        <w:tabs>
          <w:tab w:val="left" w:pos="851"/>
        </w:tabs>
        <w:ind w:left="851"/>
        <w:rPr>
          <w:sz w:val="24"/>
          <w:szCs w:val="24"/>
          <w:lang w:val="it-IT"/>
        </w:rPr>
      </w:pPr>
    </w:p>
    <w:p w:rsidR="006831A1" w:rsidRPr="006831A1" w:rsidRDefault="006831A1" w:rsidP="006831A1">
      <w:pPr>
        <w:tabs>
          <w:tab w:val="left" w:pos="851"/>
        </w:tabs>
        <w:ind w:left="851"/>
        <w:rPr>
          <w:bCs/>
          <w:sz w:val="24"/>
          <w:szCs w:val="24"/>
          <w:u w:val="single"/>
        </w:rPr>
      </w:pPr>
      <w:r w:rsidRPr="006831A1">
        <w:rPr>
          <w:sz w:val="24"/>
          <w:szCs w:val="24"/>
          <w:u w:val="single"/>
          <w:lang w:bidi="da-DK"/>
        </w:rPr>
        <w:t>Hårde gelatinekapsler</w:t>
      </w:r>
    </w:p>
    <w:p w:rsidR="006831A1" w:rsidRPr="006831A1" w:rsidRDefault="006831A1" w:rsidP="006831A1">
      <w:pPr>
        <w:tabs>
          <w:tab w:val="left" w:pos="851"/>
        </w:tabs>
        <w:ind w:left="851"/>
        <w:rPr>
          <w:bCs/>
          <w:sz w:val="24"/>
          <w:szCs w:val="24"/>
          <w:lang w:val="it-IT"/>
        </w:rPr>
      </w:pPr>
      <w:r w:rsidRPr="006831A1">
        <w:rPr>
          <w:sz w:val="24"/>
          <w:szCs w:val="24"/>
          <w:lang w:bidi="da-DK"/>
        </w:rPr>
        <w:t>Micrazym 10.000 Ph.Eur. enheder: gelatine, ponceau 4R (E124), patentblå (E131), titandioxid (E171), kinolingul (E104).</w:t>
      </w:r>
    </w:p>
    <w:p w:rsidR="006831A1" w:rsidRPr="006831A1" w:rsidRDefault="006831A1" w:rsidP="006831A1">
      <w:pPr>
        <w:tabs>
          <w:tab w:val="left" w:pos="851"/>
        </w:tabs>
        <w:ind w:left="851"/>
        <w:rPr>
          <w:bCs/>
          <w:sz w:val="24"/>
          <w:szCs w:val="24"/>
          <w:u w:val="single"/>
          <w:lang w:val="it-IT"/>
        </w:rPr>
      </w:pPr>
    </w:p>
    <w:p w:rsidR="006831A1" w:rsidRPr="006831A1" w:rsidRDefault="006831A1" w:rsidP="006831A1">
      <w:pPr>
        <w:tabs>
          <w:tab w:val="left" w:pos="851"/>
        </w:tabs>
        <w:ind w:left="851"/>
        <w:rPr>
          <w:bCs/>
          <w:sz w:val="24"/>
          <w:szCs w:val="24"/>
          <w:lang w:val="it-IT"/>
        </w:rPr>
      </w:pPr>
      <w:r w:rsidRPr="006831A1">
        <w:rPr>
          <w:sz w:val="24"/>
          <w:szCs w:val="24"/>
          <w:lang w:bidi="da-DK"/>
        </w:rPr>
        <w:t xml:space="preserve">Micrazym </w:t>
      </w:r>
      <w:r w:rsidRPr="006831A1">
        <w:rPr>
          <w:sz w:val="24"/>
          <w:szCs w:val="24"/>
          <w:lang w:val="it-IT"/>
        </w:rPr>
        <w:t xml:space="preserve">25.000 </w:t>
      </w:r>
      <w:r w:rsidRPr="006831A1">
        <w:rPr>
          <w:sz w:val="24"/>
          <w:szCs w:val="24"/>
          <w:lang w:bidi="da-DK"/>
        </w:rPr>
        <w:t xml:space="preserve">Ph.Eur. </w:t>
      </w:r>
      <w:r w:rsidRPr="006831A1">
        <w:rPr>
          <w:sz w:val="24"/>
          <w:szCs w:val="24"/>
          <w:lang w:val="it-IT"/>
        </w:rPr>
        <w:t>enheder: gelatine, sunset yellow FCF (E110), titandioxid (E171).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831A1" w:rsidRPr="006831A1" w:rsidRDefault="006831A1" w:rsidP="006831A1">
      <w:pPr>
        <w:tabs>
          <w:tab w:val="left" w:pos="851"/>
        </w:tabs>
        <w:ind w:left="851"/>
        <w:rPr>
          <w:sz w:val="24"/>
          <w:szCs w:val="24"/>
        </w:rPr>
      </w:pPr>
      <w:r w:rsidRPr="006831A1">
        <w:rPr>
          <w:sz w:val="24"/>
          <w:szCs w:val="24"/>
          <w:lang w:bidi="da-DK"/>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831A1" w:rsidRPr="006831A1" w:rsidRDefault="006831A1" w:rsidP="006831A1">
      <w:pPr>
        <w:tabs>
          <w:tab w:val="left" w:pos="851"/>
        </w:tabs>
        <w:ind w:left="851"/>
        <w:rPr>
          <w:sz w:val="24"/>
          <w:szCs w:val="24"/>
        </w:rPr>
      </w:pPr>
      <w:r w:rsidRPr="006831A1">
        <w:rPr>
          <w:sz w:val="24"/>
          <w:szCs w:val="24"/>
          <w:lang w:bidi="da-DK"/>
        </w:rPr>
        <w:t>24 måneder</w:t>
      </w:r>
      <w:r>
        <w:rPr>
          <w:sz w:val="24"/>
          <w:szCs w:val="24"/>
          <w:lang w:bidi="da-DK"/>
        </w:rPr>
        <w:t>.</w:t>
      </w:r>
    </w:p>
    <w:p w:rsidR="006831A1" w:rsidRDefault="006831A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52EBD" w:rsidRDefault="00552EBD" w:rsidP="00552EBD">
      <w:pPr>
        <w:tabs>
          <w:tab w:val="left" w:pos="851"/>
        </w:tabs>
        <w:ind w:left="851"/>
        <w:rPr>
          <w:sz w:val="24"/>
          <w:szCs w:val="24"/>
          <w:lang w:bidi="da-DK"/>
        </w:rPr>
      </w:pPr>
      <w:r w:rsidRPr="00552EBD">
        <w:rPr>
          <w:sz w:val="24"/>
          <w:szCs w:val="24"/>
          <w:lang w:bidi="da-DK"/>
        </w:rPr>
        <w:t>Opbevares ved temperaturer under 25 °C.</w:t>
      </w:r>
    </w:p>
    <w:p w:rsidR="00552EBD" w:rsidRPr="00552EBD" w:rsidRDefault="00552EBD" w:rsidP="00552EBD">
      <w:pPr>
        <w:tabs>
          <w:tab w:val="left" w:pos="851"/>
        </w:tabs>
        <w:ind w:left="851"/>
        <w:rPr>
          <w:sz w:val="24"/>
          <w:szCs w:val="24"/>
        </w:rPr>
      </w:pPr>
      <w:r w:rsidRPr="00552EBD">
        <w:rPr>
          <w:sz w:val="24"/>
          <w:szCs w:val="24"/>
          <w:lang w:bidi="da-DK"/>
        </w:rPr>
        <w:t xml:space="preserve">Hold beholderen tæt tillukket for at beskytte mod fugt. </w:t>
      </w:r>
    </w:p>
    <w:p w:rsidR="00552EBD" w:rsidRDefault="00552EBD" w:rsidP="00552EBD">
      <w:pPr>
        <w:tabs>
          <w:tab w:val="left" w:pos="851"/>
        </w:tabs>
        <w:ind w:left="851"/>
        <w:rPr>
          <w:sz w:val="24"/>
          <w:szCs w:val="24"/>
          <w:lang w:bidi="da-DK"/>
        </w:rPr>
      </w:pPr>
    </w:p>
    <w:p w:rsidR="00552EBD" w:rsidRPr="00552EBD" w:rsidRDefault="00552EBD" w:rsidP="00552EBD">
      <w:pPr>
        <w:tabs>
          <w:tab w:val="left" w:pos="851"/>
        </w:tabs>
        <w:ind w:left="851"/>
        <w:rPr>
          <w:sz w:val="24"/>
          <w:szCs w:val="24"/>
        </w:rPr>
      </w:pPr>
      <w:r>
        <w:rPr>
          <w:sz w:val="24"/>
          <w:szCs w:val="24"/>
          <w:lang w:bidi="da-DK"/>
        </w:rPr>
        <w:t xml:space="preserve">Efter anbrud: </w:t>
      </w:r>
      <w:r w:rsidRPr="00552EBD">
        <w:rPr>
          <w:sz w:val="24"/>
          <w:szCs w:val="24"/>
          <w:lang w:bidi="da-DK"/>
        </w:rPr>
        <w:t xml:space="preserve">Anvendes senest 3 måneder efter anbrud.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52EBD" w:rsidRDefault="00552EBD" w:rsidP="00552EBD">
      <w:pPr>
        <w:tabs>
          <w:tab w:val="left" w:pos="851"/>
        </w:tabs>
        <w:ind w:left="851"/>
        <w:rPr>
          <w:sz w:val="24"/>
          <w:szCs w:val="24"/>
          <w:lang w:bidi="da-DK"/>
        </w:rPr>
      </w:pPr>
    </w:p>
    <w:p w:rsidR="00552EBD" w:rsidRPr="00552EBD" w:rsidRDefault="00552EBD" w:rsidP="00552EBD">
      <w:pPr>
        <w:tabs>
          <w:tab w:val="left" w:pos="851"/>
        </w:tabs>
        <w:ind w:left="851"/>
        <w:rPr>
          <w:sz w:val="24"/>
          <w:szCs w:val="24"/>
          <w:u w:val="single"/>
          <w:lang w:bidi="da-DK"/>
        </w:rPr>
      </w:pPr>
      <w:r w:rsidRPr="00552EBD">
        <w:rPr>
          <w:sz w:val="24"/>
          <w:szCs w:val="24"/>
          <w:u w:val="single"/>
          <w:lang w:bidi="da-DK"/>
        </w:rPr>
        <w:t xml:space="preserve">Micrazym 10.000 </w:t>
      </w:r>
    </w:p>
    <w:p w:rsidR="00552EBD" w:rsidRPr="00552EBD" w:rsidRDefault="00552EBD" w:rsidP="00552EBD">
      <w:pPr>
        <w:tabs>
          <w:tab w:val="left" w:pos="851"/>
        </w:tabs>
        <w:ind w:left="851"/>
        <w:rPr>
          <w:sz w:val="24"/>
          <w:szCs w:val="24"/>
          <w:lang w:bidi="da-DK"/>
        </w:rPr>
      </w:pPr>
      <w:r>
        <w:rPr>
          <w:sz w:val="24"/>
          <w:szCs w:val="24"/>
          <w:lang w:bidi="da-DK"/>
        </w:rPr>
        <w:t>E</w:t>
      </w:r>
      <w:r w:rsidRPr="00552EBD">
        <w:rPr>
          <w:sz w:val="24"/>
          <w:szCs w:val="24"/>
          <w:lang w:bidi="da-DK"/>
        </w:rPr>
        <w:t xml:space="preserve">n 75 ml hvid HDPE-beholder med et hvidt PP-skruelåg indeholdende en farvet hvid indsatsblok lavet af lavdensitets-polyethylen med tørremiddel indeni (kiselgel). </w:t>
      </w:r>
    </w:p>
    <w:p w:rsidR="00552EBD" w:rsidRPr="00552EBD" w:rsidRDefault="00552EBD" w:rsidP="00552EBD">
      <w:pPr>
        <w:tabs>
          <w:tab w:val="left" w:pos="851"/>
        </w:tabs>
        <w:ind w:left="851"/>
        <w:rPr>
          <w:sz w:val="24"/>
          <w:szCs w:val="24"/>
        </w:rPr>
      </w:pPr>
      <w:r>
        <w:rPr>
          <w:sz w:val="24"/>
          <w:szCs w:val="24"/>
        </w:rPr>
        <w:t xml:space="preserve">Pakningsstørrelser: </w:t>
      </w:r>
      <w:r w:rsidRPr="00552EBD">
        <w:rPr>
          <w:sz w:val="24"/>
          <w:szCs w:val="24"/>
        </w:rPr>
        <w:t>100 kapsler, pakket i en kartonæske.</w:t>
      </w:r>
    </w:p>
    <w:p w:rsidR="00552EBD" w:rsidRPr="00552EBD" w:rsidRDefault="00552EBD" w:rsidP="00552EBD">
      <w:pPr>
        <w:tabs>
          <w:tab w:val="left" w:pos="851"/>
        </w:tabs>
        <w:ind w:left="851"/>
        <w:rPr>
          <w:sz w:val="24"/>
          <w:szCs w:val="24"/>
          <w:lang w:bidi="da-DK"/>
        </w:rPr>
      </w:pPr>
    </w:p>
    <w:p w:rsidR="00552EBD" w:rsidRPr="00552EBD" w:rsidRDefault="00552EBD" w:rsidP="00552EBD">
      <w:pPr>
        <w:tabs>
          <w:tab w:val="left" w:pos="851"/>
        </w:tabs>
        <w:ind w:left="851"/>
        <w:rPr>
          <w:sz w:val="24"/>
          <w:szCs w:val="24"/>
          <w:u w:val="single"/>
        </w:rPr>
      </w:pPr>
      <w:r w:rsidRPr="00552EBD">
        <w:rPr>
          <w:sz w:val="24"/>
          <w:szCs w:val="24"/>
          <w:u w:val="single"/>
          <w:lang w:bidi="da-DK"/>
        </w:rPr>
        <w:t xml:space="preserve">Micrazym </w:t>
      </w:r>
      <w:r w:rsidRPr="00552EBD">
        <w:rPr>
          <w:sz w:val="24"/>
          <w:szCs w:val="24"/>
          <w:u w:val="single"/>
        </w:rPr>
        <w:t>25.000</w:t>
      </w:r>
    </w:p>
    <w:p w:rsidR="00552EBD" w:rsidRDefault="00552EBD" w:rsidP="00552EBD">
      <w:pPr>
        <w:tabs>
          <w:tab w:val="left" w:pos="851"/>
        </w:tabs>
        <w:ind w:left="851"/>
        <w:rPr>
          <w:sz w:val="24"/>
          <w:szCs w:val="24"/>
        </w:rPr>
      </w:pPr>
      <w:r>
        <w:rPr>
          <w:sz w:val="24"/>
          <w:szCs w:val="24"/>
        </w:rPr>
        <w:t>E</w:t>
      </w:r>
      <w:r w:rsidRPr="00552EBD">
        <w:rPr>
          <w:sz w:val="24"/>
          <w:szCs w:val="24"/>
        </w:rPr>
        <w:t>n 150 ml hvid HDPE-beholder med et hvidt PP-skruelåg indeholdende en farvet hvid indsatsblok lavet af lavdensitets-polyethylen med tørremiddel indeni (kiselgel).</w:t>
      </w:r>
    </w:p>
    <w:p w:rsidR="00552EBD" w:rsidRPr="00552EBD" w:rsidRDefault="00552EBD" w:rsidP="00552EBD">
      <w:pPr>
        <w:tabs>
          <w:tab w:val="left" w:pos="851"/>
        </w:tabs>
        <w:ind w:left="851"/>
        <w:rPr>
          <w:sz w:val="24"/>
          <w:szCs w:val="24"/>
        </w:rPr>
      </w:pPr>
      <w:r>
        <w:rPr>
          <w:sz w:val="24"/>
          <w:szCs w:val="24"/>
        </w:rPr>
        <w:t xml:space="preserve">Pakningsstørrelser: </w:t>
      </w:r>
      <w:r w:rsidRPr="00552EBD">
        <w:rPr>
          <w:sz w:val="24"/>
          <w:szCs w:val="24"/>
        </w:rPr>
        <w:t>100 kapsler, pakket i en kartonæske.</w:t>
      </w:r>
    </w:p>
    <w:p w:rsidR="00552EBD" w:rsidRPr="00552EBD" w:rsidRDefault="00552EBD" w:rsidP="00552EBD">
      <w:pPr>
        <w:tabs>
          <w:tab w:val="left" w:pos="851"/>
        </w:tabs>
        <w:ind w:left="851"/>
        <w:rPr>
          <w:bCs/>
          <w:sz w:val="24"/>
          <w:szCs w:val="24"/>
        </w:rPr>
      </w:pPr>
    </w:p>
    <w:p w:rsidR="00552EBD" w:rsidRPr="00552EBD" w:rsidRDefault="00552EBD" w:rsidP="00552EBD">
      <w:pPr>
        <w:tabs>
          <w:tab w:val="left" w:pos="851"/>
        </w:tabs>
        <w:ind w:left="851"/>
        <w:rPr>
          <w:sz w:val="24"/>
          <w:szCs w:val="24"/>
        </w:rPr>
      </w:pPr>
      <w:r w:rsidRPr="00552EBD">
        <w:rPr>
          <w:sz w:val="24"/>
          <w:szCs w:val="24"/>
          <w:lang w:bidi="da-DK"/>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552EBD" w:rsidRPr="00552EBD" w:rsidRDefault="00552EBD" w:rsidP="00552EBD">
      <w:pPr>
        <w:tabs>
          <w:tab w:val="left" w:pos="851"/>
        </w:tabs>
        <w:ind w:left="851"/>
        <w:rPr>
          <w:sz w:val="24"/>
          <w:szCs w:val="24"/>
        </w:rPr>
      </w:pPr>
      <w:r w:rsidRPr="00552EBD">
        <w:rPr>
          <w:sz w:val="24"/>
          <w:szCs w:val="24"/>
          <w:lang w:bidi="da-DK"/>
        </w:rPr>
        <w:t>Ingen særlige krav.</w:t>
      </w:r>
    </w:p>
    <w:p w:rsidR="00552EBD" w:rsidRPr="00552EBD" w:rsidRDefault="00552EBD" w:rsidP="00552EBD">
      <w:pPr>
        <w:tabs>
          <w:tab w:val="left" w:pos="851"/>
        </w:tabs>
        <w:ind w:left="851"/>
        <w:rPr>
          <w:sz w:val="24"/>
          <w:szCs w:val="24"/>
        </w:rPr>
      </w:pPr>
    </w:p>
    <w:p w:rsidR="00552EBD" w:rsidRPr="00552EBD" w:rsidRDefault="00552EBD" w:rsidP="00552EBD">
      <w:pPr>
        <w:tabs>
          <w:tab w:val="left" w:pos="851"/>
        </w:tabs>
        <w:ind w:left="851"/>
        <w:rPr>
          <w:sz w:val="24"/>
          <w:szCs w:val="24"/>
        </w:rPr>
      </w:pPr>
      <w:r w:rsidRPr="00552EBD">
        <w:rPr>
          <w:sz w:val="24"/>
          <w:szCs w:val="24"/>
          <w:lang w:bidi="da-DK"/>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52EBD" w:rsidRDefault="00552EBD" w:rsidP="00552EBD">
      <w:pPr>
        <w:numPr>
          <w:ilvl w:val="12"/>
          <w:numId w:val="0"/>
        </w:numPr>
        <w:ind w:left="851" w:right="-2"/>
        <w:rPr>
          <w:noProof/>
          <w:sz w:val="22"/>
          <w:szCs w:val="22"/>
          <w:lang w:val="sv-SE"/>
        </w:rPr>
      </w:pPr>
      <w:r>
        <w:rPr>
          <w:noProof/>
          <w:sz w:val="22"/>
          <w:szCs w:val="22"/>
          <w:lang w:val="sv-SE"/>
        </w:rPr>
        <w:t>Circius Pharma AB</w:t>
      </w:r>
    </w:p>
    <w:p w:rsidR="00552EBD" w:rsidRDefault="00552EBD" w:rsidP="00552EBD">
      <w:pPr>
        <w:autoSpaceDE w:val="0"/>
        <w:autoSpaceDN w:val="0"/>
        <w:ind w:left="851"/>
        <w:rPr>
          <w:sz w:val="22"/>
          <w:szCs w:val="22"/>
          <w:lang w:val="sv-SE" w:eastAsia="sv-SE"/>
        </w:rPr>
      </w:pPr>
      <w:r>
        <w:rPr>
          <w:sz w:val="22"/>
          <w:szCs w:val="22"/>
          <w:lang w:val="sv-SE" w:eastAsia="sv-SE"/>
        </w:rPr>
        <w:t>Södra Långebergsgatan 34-36</w:t>
      </w:r>
    </w:p>
    <w:p w:rsidR="00552EBD" w:rsidRDefault="00552EBD" w:rsidP="00552EBD">
      <w:pPr>
        <w:autoSpaceDE w:val="0"/>
        <w:autoSpaceDN w:val="0"/>
        <w:ind w:left="851"/>
        <w:rPr>
          <w:sz w:val="22"/>
          <w:szCs w:val="22"/>
          <w:lang w:val="sv-SE" w:eastAsia="sv-SE"/>
        </w:rPr>
      </w:pPr>
      <w:r>
        <w:rPr>
          <w:sz w:val="22"/>
          <w:szCs w:val="22"/>
          <w:lang w:val="sv-SE" w:eastAsia="sv-SE"/>
        </w:rPr>
        <w:t>SE-43632 Askim</w:t>
      </w:r>
    </w:p>
    <w:p w:rsidR="00552EBD" w:rsidRDefault="00552EBD" w:rsidP="00552EBD">
      <w:pPr>
        <w:autoSpaceDE w:val="0"/>
        <w:autoSpaceDN w:val="0"/>
        <w:ind w:left="851"/>
        <w:rPr>
          <w:sz w:val="22"/>
          <w:szCs w:val="22"/>
          <w:lang w:val="sv-SE" w:eastAsia="sv-SE"/>
        </w:rPr>
      </w:pPr>
      <w:r>
        <w:rPr>
          <w:sz w:val="22"/>
          <w:szCs w:val="22"/>
          <w:lang w:val="sv-SE" w:eastAsia="sv-SE"/>
        </w:rPr>
        <w:t>Sverige</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B361F5" w:rsidRPr="00B361F5" w:rsidRDefault="00B361F5" w:rsidP="00B361F5">
      <w:pPr>
        <w:tabs>
          <w:tab w:val="left" w:pos="851"/>
        </w:tabs>
        <w:ind w:left="851"/>
        <w:jc w:val="both"/>
        <w:rPr>
          <w:sz w:val="24"/>
          <w:szCs w:val="24"/>
          <w:lang w:bidi="da-DK"/>
        </w:rPr>
      </w:pPr>
      <w:r>
        <w:rPr>
          <w:sz w:val="24"/>
          <w:szCs w:val="24"/>
          <w:lang w:bidi="da-DK"/>
        </w:rPr>
        <w:t xml:space="preserve">Lipase </w:t>
      </w:r>
      <w:r w:rsidRPr="00B361F5">
        <w:rPr>
          <w:sz w:val="24"/>
          <w:szCs w:val="24"/>
          <w:lang w:bidi="da-DK"/>
        </w:rPr>
        <w:t xml:space="preserve">10.000 Ph.Eur. enheder: 64772 </w:t>
      </w:r>
    </w:p>
    <w:p w:rsidR="00B361F5" w:rsidRPr="00B361F5" w:rsidRDefault="00B361F5" w:rsidP="00B361F5">
      <w:pPr>
        <w:tabs>
          <w:tab w:val="left" w:pos="851"/>
        </w:tabs>
        <w:ind w:left="851"/>
        <w:jc w:val="both"/>
        <w:rPr>
          <w:sz w:val="24"/>
          <w:szCs w:val="24"/>
        </w:rPr>
      </w:pPr>
      <w:r>
        <w:rPr>
          <w:sz w:val="24"/>
          <w:szCs w:val="24"/>
          <w:lang w:bidi="da-DK"/>
        </w:rPr>
        <w:t xml:space="preserve">Lipase </w:t>
      </w:r>
      <w:r w:rsidRPr="00B361F5">
        <w:rPr>
          <w:sz w:val="24"/>
          <w:szCs w:val="24"/>
          <w:lang w:bidi="da-DK"/>
        </w:rPr>
        <w:t>25.000 Ph.Eur. enheder: 64773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C01A0" w:rsidP="009260DE">
      <w:pPr>
        <w:tabs>
          <w:tab w:val="left" w:pos="851"/>
        </w:tabs>
        <w:ind w:left="851"/>
        <w:rPr>
          <w:sz w:val="24"/>
          <w:szCs w:val="24"/>
        </w:rPr>
      </w:pPr>
      <w:r>
        <w:rPr>
          <w:sz w:val="24"/>
          <w:szCs w:val="24"/>
        </w:rPr>
        <w:t>12.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361F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D1" w:rsidRDefault="00B308D1">
      <w:r>
        <w:separator/>
      </w:r>
    </w:p>
  </w:endnote>
  <w:endnote w:type="continuationSeparator" w:id="0">
    <w:p w:rsidR="00B308D1" w:rsidRDefault="00B3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C01A0">
      <w:rPr>
        <w:i/>
        <w:noProof/>
        <w:sz w:val="18"/>
        <w:szCs w:val="18"/>
      </w:rPr>
      <w:t>Micrazym, hårde enterokapsler Lipase 10.000 EP-e og Lipase 25.000 EP-e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D1" w:rsidRDefault="00B308D1">
      <w:r>
        <w:separator/>
      </w:r>
    </w:p>
  </w:footnote>
  <w:footnote w:type="continuationSeparator" w:id="0">
    <w:p w:rsidR="00B308D1" w:rsidRDefault="00B30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D1"/>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52EBD"/>
    <w:rsid w:val="00565F0F"/>
    <w:rsid w:val="00594A86"/>
    <w:rsid w:val="00596D86"/>
    <w:rsid w:val="00637F5A"/>
    <w:rsid w:val="00641C65"/>
    <w:rsid w:val="006560B1"/>
    <w:rsid w:val="006756DD"/>
    <w:rsid w:val="006831A1"/>
    <w:rsid w:val="006C01A0"/>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08D1"/>
    <w:rsid w:val="00B361F5"/>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4607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C9D2B"/>
  <w15:chartTrackingRefBased/>
  <w15:docId w15:val="{18550BE8-F208-440F-BE51-D2DD1BC5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F46077"/>
    <w:pPr>
      <w:keepNext/>
      <w:spacing w:before="240" w:after="60"/>
      <w:outlineLvl w:val="1"/>
    </w:pPr>
    <w:rPr>
      <w:rFonts w:ascii="Cambria" w:hAnsi="Cambria"/>
      <w:b/>
      <w:bCs/>
      <w:i/>
      <w:iCs/>
      <w:sz w:val="28"/>
      <w:szCs w:val="28"/>
      <w:lang w:val="en-GB" w:eastAsia="x-none"/>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F46077"/>
    <w:rPr>
      <w:rFonts w:ascii="Cambria" w:hAnsi="Cambria"/>
      <w:b/>
      <w:bCs/>
      <w:i/>
      <w:iCs/>
      <w:sz w:val="28"/>
      <w:szCs w:val="28"/>
      <w:lang w:val="en-GB" w:eastAsia="x-none"/>
    </w:rPr>
  </w:style>
  <w:style w:type="character" w:styleId="Hyperlink">
    <w:name w:val="Hyperlink"/>
    <w:basedOn w:val="Standardskrifttypeiafsnit"/>
    <w:uiPriority w:val="99"/>
    <w:semiHidden/>
    <w:unhideWhenUsed/>
    <w:rsid w:val="00F46077"/>
    <w:rPr>
      <w:color w:val="0563C1" w:themeColor="hyperlink"/>
      <w:u w:val="single"/>
    </w:rPr>
  </w:style>
  <w:style w:type="paragraph" w:customStyle="1" w:styleId="Default">
    <w:name w:val="Default"/>
    <w:rsid w:val="00F46077"/>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
      <w:bodyDiv w:val="1"/>
      <w:marLeft w:val="0"/>
      <w:marRight w:val="0"/>
      <w:marTop w:val="0"/>
      <w:marBottom w:val="0"/>
      <w:divBdr>
        <w:top w:val="none" w:sz="0" w:space="0" w:color="auto"/>
        <w:left w:val="none" w:sz="0" w:space="0" w:color="auto"/>
        <w:bottom w:val="none" w:sz="0" w:space="0" w:color="auto"/>
        <w:right w:val="none" w:sz="0" w:space="0" w:color="auto"/>
      </w:divBdr>
    </w:div>
    <w:div w:id="47993430">
      <w:bodyDiv w:val="1"/>
      <w:marLeft w:val="0"/>
      <w:marRight w:val="0"/>
      <w:marTop w:val="0"/>
      <w:marBottom w:val="0"/>
      <w:divBdr>
        <w:top w:val="none" w:sz="0" w:space="0" w:color="auto"/>
        <w:left w:val="none" w:sz="0" w:space="0" w:color="auto"/>
        <w:bottom w:val="none" w:sz="0" w:space="0" w:color="auto"/>
        <w:right w:val="none" w:sz="0" w:space="0" w:color="auto"/>
      </w:divBdr>
    </w:div>
    <w:div w:id="72437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472448">
      <w:bodyDiv w:val="1"/>
      <w:marLeft w:val="0"/>
      <w:marRight w:val="0"/>
      <w:marTop w:val="0"/>
      <w:marBottom w:val="0"/>
      <w:divBdr>
        <w:top w:val="none" w:sz="0" w:space="0" w:color="auto"/>
        <w:left w:val="none" w:sz="0" w:space="0" w:color="auto"/>
        <w:bottom w:val="none" w:sz="0" w:space="0" w:color="auto"/>
        <w:right w:val="none" w:sz="0" w:space="0" w:color="auto"/>
      </w:divBdr>
    </w:div>
    <w:div w:id="211889979">
      <w:bodyDiv w:val="1"/>
      <w:marLeft w:val="0"/>
      <w:marRight w:val="0"/>
      <w:marTop w:val="0"/>
      <w:marBottom w:val="0"/>
      <w:divBdr>
        <w:top w:val="none" w:sz="0" w:space="0" w:color="auto"/>
        <w:left w:val="none" w:sz="0" w:space="0" w:color="auto"/>
        <w:bottom w:val="none" w:sz="0" w:space="0" w:color="auto"/>
        <w:right w:val="none" w:sz="0" w:space="0" w:color="auto"/>
      </w:divBdr>
    </w:div>
    <w:div w:id="255945094">
      <w:bodyDiv w:val="1"/>
      <w:marLeft w:val="0"/>
      <w:marRight w:val="0"/>
      <w:marTop w:val="0"/>
      <w:marBottom w:val="0"/>
      <w:divBdr>
        <w:top w:val="none" w:sz="0" w:space="0" w:color="auto"/>
        <w:left w:val="none" w:sz="0" w:space="0" w:color="auto"/>
        <w:bottom w:val="none" w:sz="0" w:space="0" w:color="auto"/>
        <w:right w:val="none" w:sz="0" w:space="0" w:color="auto"/>
      </w:divBdr>
    </w:div>
    <w:div w:id="300692943">
      <w:bodyDiv w:val="1"/>
      <w:marLeft w:val="0"/>
      <w:marRight w:val="0"/>
      <w:marTop w:val="0"/>
      <w:marBottom w:val="0"/>
      <w:divBdr>
        <w:top w:val="none" w:sz="0" w:space="0" w:color="auto"/>
        <w:left w:val="none" w:sz="0" w:space="0" w:color="auto"/>
        <w:bottom w:val="none" w:sz="0" w:space="0" w:color="auto"/>
        <w:right w:val="none" w:sz="0" w:space="0" w:color="auto"/>
      </w:divBdr>
    </w:div>
    <w:div w:id="369308936">
      <w:bodyDiv w:val="1"/>
      <w:marLeft w:val="0"/>
      <w:marRight w:val="0"/>
      <w:marTop w:val="0"/>
      <w:marBottom w:val="0"/>
      <w:divBdr>
        <w:top w:val="none" w:sz="0" w:space="0" w:color="auto"/>
        <w:left w:val="none" w:sz="0" w:space="0" w:color="auto"/>
        <w:bottom w:val="none" w:sz="0" w:space="0" w:color="auto"/>
        <w:right w:val="none" w:sz="0" w:space="0" w:color="auto"/>
      </w:divBdr>
    </w:div>
    <w:div w:id="376514682">
      <w:bodyDiv w:val="1"/>
      <w:marLeft w:val="0"/>
      <w:marRight w:val="0"/>
      <w:marTop w:val="0"/>
      <w:marBottom w:val="0"/>
      <w:divBdr>
        <w:top w:val="none" w:sz="0" w:space="0" w:color="auto"/>
        <w:left w:val="none" w:sz="0" w:space="0" w:color="auto"/>
        <w:bottom w:val="none" w:sz="0" w:space="0" w:color="auto"/>
        <w:right w:val="none" w:sz="0" w:space="0" w:color="auto"/>
      </w:divBdr>
    </w:div>
    <w:div w:id="533620928">
      <w:bodyDiv w:val="1"/>
      <w:marLeft w:val="0"/>
      <w:marRight w:val="0"/>
      <w:marTop w:val="0"/>
      <w:marBottom w:val="0"/>
      <w:divBdr>
        <w:top w:val="none" w:sz="0" w:space="0" w:color="auto"/>
        <w:left w:val="none" w:sz="0" w:space="0" w:color="auto"/>
        <w:bottom w:val="none" w:sz="0" w:space="0" w:color="auto"/>
        <w:right w:val="none" w:sz="0" w:space="0" w:color="auto"/>
      </w:divBdr>
    </w:div>
    <w:div w:id="593436172">
      <w:bodyDiv w:val="1"/>
      <w:marLeft w:val="0"/>
      <w:marRight w:val="0"/>
      <w:marTop w:val="0"/>
      <w:marBottom w:val="0"/>
      <w:divBdr>
        <w:top w:val="none" w:sz="0" w:space="0" w:color="auto"/>
        <w:left w:val="none" w:sz="0" w:space="0" w:color="auto"/>
        <w:bottom w:val="none" w:sz="0" w:space="0" w:color="auto"/>
        <w:right w:val="none" w:sz="0" w:space="0" w:color="auto"/>
      </w:divBdr>
    </w:div>
    <w:div w:id="678851789">
      <w:bodyDiv w:val="1"/>
      <w:marLeft w:val="0"/>
      <w:marRight w:val="0"/>
      <w:marTop w:val="0"/>
      <w:marBottom w:val="0"/>
      <w:divBdr>
        <w:top w:val="none" w:sz="0" w:space="0" w:color="auto"/>
        <w:left w:val="none" w:sz="0" w:space="0" w:color="auto"/>
        <w:bottom w:val="none" w:sz="0" w:space="0" w:color="auto"/>
        <w:right w:val="none" w:sz="0" w:space="0" w:color="auto"/>
      </w:divBdr>
    </w:div>
    <w:div w:id="735933860">
      <w:bodyDiv w:val="1"/>
      <w:marLeft w:val="0"/>
      <w:marRight w:val="0"/>
      <w:marTop w:val="0"/>
      <w:marBottom w:val="0"/>
      <w:divBdr>
        <w:top w:val="none" w:sz="0" w:space="0" w:color="auto"/>
        <w:left w:val="none" w:sz="0" w:space="0" w:color="auto"/>
        <w:bottom w:val="none" w:sz="0" w:space="0" w:color="auto"/>
        <w:right w:val="none" w:sz="0" w:space="0" w:color="auto"/>
      </w:divBdr>
    </w:div>
    <w:div w:id="821121123">
      <w:bodyDiv w:val="1"/>
      <w:marLeft w:val="0"/>
      <w:marRight w:val="0"/>
      <w:marTop w:val="0"/>
      <w:marBottom w:val="0"/>
      <w:divBdr>
        <w:top w:val="none" w:sz="0" w:space="0" w:color="auto"/>
        <w:left w:val="none" w:sz="0" w:space="0" w:color="auto"/>
        <w:bottom w:val="none" w:sz="0" w:space="0" w:color="auto"/>
        <w:right w:val="none" w:sz="0" w:space="0" w:color="auto"/>
      </w:divBdr>
    </w:div>
    <w:div w:id="916406991">
      <w:bodyDiv w:val="1"/>
      <w:marLeft w:val="0"/>
      <w:marRight w:val="0"/>
      <w:marTop w:val="0"/>
      <w:marBottom w:val="0"/>
      <w:divBdr>
        <w:top w:val="none" w:sz="0" w:space="0" w:color="auto"/>
        <w:left w:val="none" w:sz="0" w:space="0" w:color="auto"/>
        <w:bottom w:val="none" w:sz="0" w:space="0" w:color="auto"/>
        <w:right w:val="none" w:sz="0" w:space="0" w:color="auto"/>
      </w:divBdr>
    </w:div>
    <w:div w:id="949241930">
      <w:bodyDiv w:val="1"/>
      <w:marLeft w:val="0"/>
      <w:marRight w:val="0"/>
      <w:marTop w:val="0"/>
      <w:marBottom w:val="0"/>
      <w:divBdr>
        <w:top w:val="none" w:sz="0" w:space="0" w:color="auto"/>
        <w:left w:val="none" w:sz="0" w:space="0" w:color="auto"/>
        <w:bottom w:val="none" w:sz="0" w:space="0" w:color="auto"/>
        <w:right w:val="none" w:sz="0" w:space="0" w:color="auto"/>
      </w:divBdr>
    </w:div>
    <w:div w:id="992026790">
      <w:bodyDiv w:val="1"/>
      <w:marLeft w:val="0"/>
      <w:marRight w:val="0"/>
      <w:marTop w:val="0"/>
      <w:marBottom w:val="0"/>
      <w:divBdr>
        <w:top w:val="none" w:sz="0" w:space="0" w:color="auto"/>
        <w:left w:val="none" w:sz="0" w:space="0" w:color="auto"/>
        <w:bottom w:val="none" w:sz="0" w:space="0" w:color="auto"/>
        <w:right w:val="none" w:sz="0" w:space="0" w:color="auto"/>
      </w:divBdr>
    </w:div>
    <w:div w:id="1002658076">
      <w:bodyDiv w:val="1"/>
      <w:marLeft w:val="0"/>
      <w:marRight w:val="0"/>
      <w:marTop w:val="0"/>
      <w:marBottom w:val="0"/>
      <w:divBdr>
        <w:top w:val="none" w:sz="0" w:space="0" w:color="auto"/>
        <w:left w:val="none" w:sz="0" w:space="0" w:color="auto"/>
        <w:bottom w:val="none" w:sz="0" w:space="0" w:color="auto"/>
        <w:right w:val="none" w:sz="0" w:space="0" w:color="auto"/>
      </w:divBdr>
    </w:div>
    <w:div w:id="1012682550">
      <w:bodyDiv w:val="1"/>
      <w:marLeft w:val="0"/>
      <w:marRight w:val="0"/>
      <w:marTop w:val="0"/>
      <w:marBottom w:val="0"/>
      <w:divBdr>
        <w:top w:val="none" w:sz="0" w:space="0" w:color="auto"/>
        <w:left w:val="none" w:sz="0" w:space="0" w:color="auto"/>
        <w:bottom w:val="none" w:sz="0" w:space="0" w:color="auto"/>
        <w:right w:val="none" w:sz="0" w:space="0" w:color="auto"/>
      </w:divBdr>
    </w:div>
    <w:div w:id="1013071381">
      <w:bodyDiv w:val="1"/>
      <w:marLeft w:val="0"/>
      <w:marRight w:val="0"/>
      <w:marTop w:val="0"/>
      <w:marBottom w:val="0"/>
      <w:divBdr>
        <w:top w:val="none" w:sz="0" w:space="0" w:color="auto"/>
        <w:left w:val="none" w:sz="0" w:space="0" w:color="auto"/>
        <w:bottom w:val="none" w:sz="0" w:space="0" w:color="auto"/>
        <w:right w:val="none" w:sz="0" w:space="0" w:color="auto"/>
      </w:divBdr>
    </w:div>
    <w:div w:id="1030911921">
      <w:bodyDiv w:val="1"/>
      <w:marLeft w:val="0"/>
      <w:marRight w:val="0"/>
      <w:marTop w:val="0"/>
      <w:marBottom w:val="0"/>
      <w:divBdr>
        <w:top w:val="none" w:sz="0" w:space="0" w:color="auto"/>
        <w:left w:val="none" w:sz="0" w:space="0" w:color="auto"/>
        <w:bottom w:val="none" w:sz="0" w:space="0" w:color="auto"/>
        <w:right w:val="none" w:sz="0" w:space="0" w:color="auto"/>
      </w:divBdr>
    </w:div>
    <w:div w:id="1116414427">
      <w:bodyDiv w:val="1"/>
      <w:marLeft w:val="0"/>
      <w:marRight w:val="0"/>
      <w:marTop w:val="0"/>
      <w:marBottom w:val="0"/>
      <w:divBdr>
        <w:top w:val="none" w:sz="0" w:space="0" w:color="auto"/>
        <w:left w:val="none" w:sz="0" w:space="0" w:color="auto"/>
        <w:bottom w:val="none" w:sz="0" w:space="0" w:color="auto"/>
        <w:right w:val="none" w:sz="0" w:space="0" w:color="auto"/>
      </w:divBdr>
    </w:div>
    <w:div w:id="1169365045">
      <w:bodyDiv w:val="1"/>
      <w:marLeft w:val="0"/>
      <w:marRight w:val="0"/>
      <w:marTop w:val="0"/>
      <w:marBottom w:val="0"/>
      <w:divBdr>
        <w:top w:val="none" w:sz="0" w:space="0" w:color="auto"/>
        <w:left w:val="none" w:sz="0" w:space="0" w:color="auto"/>
        <w:bottom w:val="none" w:sz="0" w:space="0" w:color="auto"/>
        <w:right w:val="none" w:sz="0" w:space="0" w:color="auto"/>
      </w:divBdr>
    </w:div>
    <w:div w:id="1222670109">
      <w:bodyDiv w:val="1"/>
      <w:marLeft w:val="0"/>
      <w:marRight w:val="0"/>
      <w:marTop w:val="0"/>
      <w:marBottom w:val="0"/>
      <w:divBdr>
        <w:top w:val="none" w:sz="0" w:space="0" w:color="auto"/>
        <w:left w:val="none" w:sz="0" w:space="0" w:color="auto"/>
        <w:bottom w:val="none" w:sz="0" w:space="0" w:color="auto"/>
        <w:right w:val="none" w:sz="0" w:space="0" w:color="auto"/>
      </w:divBdr>
    </w:div>
    <w:div w:id="1225139944">
      <w:bodyDiv w:val="1"/>
      <w:marLeft w:val="0"/>
      <w:marRight w:val="0"/>
      <w:marTop w:val="0"/>
      <w:marBottom w:val="0"/>
      <w:divBdr>
        <w:top w:val="none" w:sz="0" w:space="0" w:color="auto"/>
        <w:left w:val="none" w:sz="0" w:space="0" w:color="auto"/>
        <w:bottom w:val="none" w:sz="0" w:space="0" w:color="auto"/>
        <w:right w:val="none" w:sz="0" w:space="0" w:color="auto"/>
      </w:divBdr>
    </w:div>
    <w:div w:id="1228763867">
      <w:bodyDiv w:val="1"/>
      <w:marLeft w:val="0"/>
      <w:marRight w:val="0"/>
      <w:marTop w:val="0"/>
      <w:marBottom w:val="0"/>
      <w:divBdr>
        <w:top w:val="none" w:sz="0" w:space="0" w:color="auto"/>
        <w:left w:val="none" w:sz="0" w:space="0" w:color="auto"/>
        <w:bottom w:val="none" w:sz="0" w:space="0" w:color="auto"/>
        <w:right w:val="none" w:sz="0" w:space="0" w:color="auto"/>
      </w:divBdr>
    </w:div>
    <w:div w:id="1262835236">
      <w:bodyDiv w:val="1"/>
      <w:marLeft w:val="0"/>
      <w:marRight w:val="0"/>
      <w:marTop w:val="0"/>
      <w:marBottom w:val="0"/>
      <w:divBdr>
        <w:top w:val="none" w:sz="0" w:space="0" w:color="auto"/>
        <w:left w:val="none" w:sz="0" w:space="0" w:color="auto"/>
        <w:bottom w:val="none" w:sz="0" w:space="0" w:color="auto"/>
        <w:right w:val="none" w:sz="0" w:space="0" w:color="auto"/>
      </w:divBdr>
    </w:div>
    <w:div w:id="12631429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43650019">
      <w:bodyDiv w:val="1"/>
      <w:marLeft w:val="0"/>
      <w:marRight w:val="0"/>
      <w:marTop w:val="0"/>
      <w:marBottom w:val="0"/>
      <w:divBdr>
        <w:top w:val="none" w:sz="0" w:space="0" w:color="auto"/>
        <w:left w:val="none" w:sz="0" w:space="0" w:color="auto"/>
        <w:bottom w:val="none" w:sz="0" w:space="0" w:color="auto"/>
        <w:right w:val="none" w:sz="0" w:space="0" w:color="auto"/>
      </w:divBdr>
    </w:div>
    <w:div w:id="1567565285">
      <w:bodyDiv w:val="1"/>
      <w:marLeft w:val="0"/>
      <w:marRight w:val="0"/>
      <w:marTop w:val="0"/>
      <w:marBottom w:val="0"/>
      <w:divBdr>
        <w:top w:val="none" w:sz="0" w:space="0" w:color="auto"/>
        <w:left w:val="none" w:sz="0" w:space="0" w:color="auto"/>
        <w:bottom w:val="none" w:sz="0" w:space="0" w:color="auto"/>
        <w:right w:val="none" w:sz="0" w:space="0" w:color="auto"/>
      </w:divBdr>
    </w:div>
    <w:div w:id="1582637254">
      <w:bodyDiv w:val="1"/>
      <w:marLeft w:val="0"/>
      <w:marRight w:val="0"/>
      <w:marTop w:val="0"/>
      <w:marBottom w:val="0"/>
      <w:divBdr>
        <w:top w:val="none" w:sz="0" w:space="0" w:color="auto"/>
        <w:left w:val="none" w:sz="0" w:space="0" w:color="auto"/>
        <w:bottom w:val="none" w:sz="0" w:space="0" w:color="auto"/>
        <w:right w:val="none" w:sz="0" w:space="0" w:color="auto"/>
      </w:divBdr>
    </w:div>
    <w:div w:id="1613829508">
      <w:bodyDiv w:val="1"/>
      <w:marLeft w:val="0"/>
      <w:marRight w:val="0"/>
      <w:marTop w:val="0"/>
      <w:marBottom w:val="0"/>
      <w:divBdr>
        <w:top w:val="none" w:sz="0" w:space="0" w:color="auto"/>
        <w:left w:val="none" w:sz="0" w:space="0" w:color="auto"/>
        <w:bottom w:val="none" w:sz="0" w:space="0" w:color="auto"/>
        <w:right w:val="none" w:sz="0" w:space="0" w:color="auto"/>
      </w:divBdr>
    </w:div>
    <w:div w:id="1674065359">
      <w:bodyDiv w:val="1"/>
      <w:marLeft w:val="0"/>
      <w:marRight w:val="0"/>
      <w:marTop w:val="0"/>
      <w:marBottom w:val="0"/>
      <w:divBdr>
        <w:top w:val="none" w:sz="0" w:space="0" w:color="auto"/>
        <w:left w:val="none" w:sz="0" w:space="0" w:color="auto"/>
        <w:bottom w:val="none" w:sz="0" w:space="0" w:color="auto"/>
        <w:right w:val="none" w:sz="0" w:space="0" w:color="auto"/>
      </w:divBdr>
    </w:div>
    <w:div w:id="1698461447">
      <w:bodyDiv w:val="1"/>
      <w:marLeft w:val="0"/>
      <w:marRight w:val="0"/>
      <w:marTop w:val="0"/>
      <w:marBottom w:val="0"/>
      <w:divBdr>
        <w:top w:val="none" w:sz="0" w:space="0" w:color="auto"/>
        <w:left w:val="none" w:sz="0" w:space="0" w:color="auto"/>
        <w:bottom w:val="none" w:sz="0" w:space="0" w:color="auto"/>
        <w:right w:val="none" w:sz="0" w:space="0" w:color="auto"/>
      </w:divBdr>
    </w:div>
    <w:div w:id="1705130741">
      <w:bodyDiv w:val="1"/>
      <w:marLeft w:val="0"/>
      <w:marRight w:val="0"/>
      <w:marTop w:val="0"/>
      <w:marBottom w:val="0"/>
      <w:divBdr>
        <w:top w:val="none" w:sz="0" w:space="0" w:color="auto"/>
        <w:left w:val="none" w:sz="0" w:space="0" w:color="auto"/>
        <w:bottom w:val="none" w:sz="0" w:space="0" w:color="auto"/>
        <w:right w:val="none" w:sz="0" w:space="0" w:color="auto"/>
      </w:divBdr>
    </w:div>
    <w:div w:id="1810200854">
      <w:bodyDiv w:val="1"/>
      <w:marLeft w:val="0"/>
      <w:marRight w:val="0"/>
      <w:marTop w:val="0"/>
      <w:marBottom w:val="0"/>
      <w:divBdr>
        <w:top w:val="none" w:sz="0" w:space="0" w:color="auto"/>
        <w:left w:val="none" w:sz="0" w:space="0" w:color="auto"/>
        <w:bottom w:val="none" w:sz="0" w:space="0" w:color="auto"/>
        <w:right w:val="none" w:sz="0" w:space="0" w:color="auto"/>
      </w:divBdr>
    </w:div>
    <w:div w:id="1850101036">
      <w:bodyDiv w:val="1"/>
      <w:marLeft w:val="0"/>
      <w:marRight w:val="0"/>
      <w:marTop w:val="0"/>
      <w:marBottom w:val="0"/>
      <w:divBdr>
        <w:top w:val="none" w:sz="0" w:space="0" w:color="auto"/>
        <w:left w:val="none" w:sz="0" w:space="0" w:color="auto"/>
        <w:bottom w:val="none" w:sz="0" w:space="0" w:color="auto"/>
        <w:right w:val="none" w:sz="0" w:space="0" w:color="auto"/>
      </w:divBdr>
    </w:div>
    <w:div w:id="1872765628">
      <w:bodyDiv w:val="1"/>
      <w:marLeft w:val="0"/>
      <w:marRight w:val="0"/>
      <w:marTop w:val="0"/>
      <w:marBottom w:val="0"/>
      <w:divBdr>
        <w:top w:val="none" w:sz="0" w:space="0" w:color="auto"/>
        <w:left w:val="none" w:sz="0" w:space="0" w:color="auto"/>
        <w:bottom w:val="none" w:sz="0" w:space="0" w:color="auto"/>
        <w:right w:val="none" w:sz="0" w:space="0" w:color="auto"/>
      </w:divBdr>
    </w:div>
    <w:div w:id="1999767438">
      <w:bodyDiv w:val="1"/>
      <w:marLeft w:val="0"/>
      <w:marRight w:val="0"/>
      <w:marTop w:val="0"/>
      <w:marBottom w:val="0"/>
      <w:divBdr>
        <w:top w:val="none" w:sz="0" w:space="0" w:color="auto"/>
        <w:left w:val="none" w:sz="0" w:space="0" w:color="auto"/>
        <w:bottom w:val="none" w:sz="0" w:space="0" w:color="auto"/>
        <w:right w:val="none" w:sz="0" w:space="0" w:color="auto"/>
      </w:divBdr>
    </w:div>
    <w:div w:id="2004505862">
      <w:bodyDiv w:val="1"/>
      <w:marLeft w:val="0"/>
      <w:marRight w:val="0"/>
      <w:marTop w:val="0"/>
      <w:marBottom w:val="0"/>
      <w:divBdr>
        <w:top w:val="none" w:sz="0" w:space="0" w:color="auto"/>
        <w:left w:val="none" w:sz="0" w:space="0" w:color="auto"/>
        <w:bottom w:val="none" w:sz="0" w:space="0" w:color="auto"/>
        <w:right w:val="none" w:sz="0" w:space="0" w:color="auto"/>
      </w:divBdr>
    </w:div>
    <w:div w:id="2032026929">
      <w:bodyDiv w:val="1"/>
      <w:marLeft w:val="0"/>
      <w:marRight w:val="0"/>
      <w:marTop w:val="0"/>
      <w:marBottom w:val="0"/>
      <w:divBdr>
        <w:top w:val="none" w:sz="0" w:space="0" w:color="auto"/>
        <w:left w:val="none" w:sz="0" w:space="0" w:color="auto"/>
        <w:bottom w:val="none" w:sz="0" w:space="0" w:color="auto"/>
        <w:right w:val="none" w:sz="0" w:space="0" w:color="auto"/>
      </w:divBdr>
    </w:div>
    <w:div w:id="20608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8</Pages>
  <Words>2055</Words>
  <Characters>13499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2020073119 mt</dc:description>
  <cp:lastModifiedBy>Hanne Thy Iversen</cp:lastModifiedBy>
  <cp:revision>5</cp:revision>
  <cp:lastPrinted>2012-08-22T08:53:00Z</cp:lastPrinted>
  <dcterms:created xsi:type="dcterms:W3CDTF">2024-12-02T11:50:00Z</dcterms:created>
  <dcterms:modified xsi:type="dcterms:W3CDTF">2024-12-12T09:05:00Z</dcterms:modified>
</cp:coreProperties>
</file>