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8A315" w14:textId="77777777" w:rsidR="009260DE" w:rsidRPr="000E70D5" w:rsidRDefault="0021526C" w:rsidP="009260DE">
      <w:pPr>
        <w:rPr>
          <w:sz w:val="24"/>
          <w:szCs w:val="24"/>
        </w:rPr>
      </w:pPr>
      <w:bookmarkStart w:id="0" w:name="_GoBack"/>
      <w:bookmarkEnd w:id="0"/>
      <w:r w:rsidRPr="000E70D5">
        <w:rPr>
          <w:noProof/>
          <w:sz w:val="24"/>
          <w:szCs w:val="24"/>
          <w:lang w:eastAsia="da-DK"/>
        </w:rPr>
        <w:drawing>
          <wp:anchor distT="0" distB="0" distL="114300" distR="114300" simplePos="0" relativeHeight="251658240" behindDoc="0" locked="0" layoutInCell="1" allowOverlap="1" wp14:anchorId="6F066194" wp14:editId="62DA6D1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E70D5">
        <w:rPr>
          <w:sz w:val="24"/>
          <w:szCs w:val="24"/>
        </w:rPr>
        <w:br w:type="textWrapping" w:clear="all"/>
      </w:r>
    </w:p>
    <w:p w14:paraId="26188F89" w14:textId="01723ABE" w:rsidR="009260DE" w:rsidRPr="000E70D5" w:rsidRDefault="009260DE" w:rsidP="009260DE">
      <w:pPr>
        <w:pStyle w:val="Titel"/>
        <w:tabs>
          <w:tab w:val="right" w:pos="9356"/>
        </w:tabs>
        <w:jc w:val="left"/>
        <w:rPr>
          <w:b w:val="0"/>
          <w:szCs w:val="24"/>
          <w:lang w:eastAsia="en-US"/>
        </w:rPr>
      </w:pPr>
      <w:r w:rsidRPr="000E70D5">
        <w:rPr>
          <w:b w:val="0"/>
          <w:szCs w:val="24"/>
          <w:lang w:eastAsia="en-US"/>
        </w:rPr>
        <w:tab/>
      </w:r>
      <w:r w:rsidR="004255EF">
        <w:rPr>
          <w:szCs w:val="24"/>
        </w:rPr>
        <w:t>16. oktober 2025</w:t>
      </w:r>
    </w:p>
    <w:p w14:paraId="174742B4" w14:textId="77777777" w:rsidR="009260DE" w:rsidRPr="000E70D5" w:rsidRDefault="009260DE" w:rsidP="009260DE">
      <w:pPr>
        <w:pStyle w:val="Titel"/>
        <w:tabs>
          <w:tab w:val="left" w:pos="8222"/>
        </w:tabs>
        <w:jc w:val="left"/>
        <w:rPr>
          <w:b w:val="0"/>
          <w:szCs w:val="24"/>
        </w:rPr>
      </w:pPr>
    </w:p>
    <w:p w14:paraId="23D6B541" w14:textId="77777777" w:rsidR="009260DE" w:rsidRPr="000E70D5" w:rsidRDefault="009260DE" w:rsidP="009260DE">
      <w:pPr>
        <w:pStyle w:val="Titel"/>
        <w:jc w:val="left"/>
        <w:rPr>
          <w:b w:val="0"/>
          <w:szCs w:val="24"/>
        </w:rPr>
      </w:pPr>
    </w:p>
    <w:p w14:paraId="7EF44B7C" w14:textId="77777777" w:rsidR="009260DE" w:rsidRPr="000E70D5" w:rsidRDefault="009260DE" w:rsidP="009260DE">
      <w:pPr>
        <w:pStyle w:val="Titel"/>
        <w:jc w:val="left"/>
        <w:rPr>
          <w:b w:val="0"/>
          <w:szCs w:val="24"/>
        </w:rPr>
      </w:pPr>
    </w:p>
    <w:p w14:paraId="7D00E22F" w14:textId="77777777" w:rsidR="009260DE" w:rsidRPr="000E70D5" w:rsidRDefault="009260DE" w:rsidP="009260DE">
      <w:pPr>
        <w:jc w:val="center"/>
        <w:rPr>
          <w:b/>
          <w:sz w:val="24"/>
          <w:szCs w:val="24"/>
        </w:rPr>
      </w:pPr>
      <w:r w:rsidRPr="000E70D5">
        <w:rPr>
          <w:b/>
          <w:sz w:val="24"/>
          <w:szCs w:val="24"/>
        </w:rPr>
        <w:t>PRODUKTRESUMÉ</w:t>
      </w:r>
    </w:p>
    <w:p w14:paraId="25F214F2" w14:textId="77777777" w:rsidR="009260DE" w:rsidRPr="000E70D5" w:rsidRDefault="009260DE" w:rsidP="009260DE">
      <w:pPr>
        <w:jc w:val="center"/>
        <w:rPr>
          <w:b/>
          <w:sz w:val="24"/>
          <w:szCs w:val="24"/>
        </w:rPr>
      </w:pPr>
    </w:p>
    <w:p w14:paraId="531A42BB" w14:textId="77777777" w:rsidR="009260DE" w:rsidRPr="000E70D5" w:rsidRDefault="009260DE" w:rsidP="009260DE">
      <w:pPr>
        <w:jc w:val="center"/>
        <w:rPr>
          <w:b/>
          <w:sz w:val="24"/>
          <w:szCs w:val="24"/>
        </w:rPr>
      </w:pPr>
      <w:r w:rsidRPr="000E70D5">
        <w:rPr>
          <w:b/>
          <w:sz w:val="24"/>
          <w:szCs w:val="24"/>
        </w:rPr>
        <w:t>for</w:t>
      </w:r>
    </w:p>
    <w:p w14:paraId="317EF054" w14:textId="77777777" w:rsidR="000B058C" w:rsidRPr="000E70D5" w:rsidRDefault="000B058C" w:rsidP="009260DE">
      <w:pPr>
        <w:jc w:val="center"/>
        <w:rPr>
          <w:b/>
          <w:sz w:val="24"/>
          <w:szCs w:val="24"/>
        </w:rPr>
      </w:pPr>
    </w:p>
    <w:p w14:paraId="6DD68BAC" w14:textId="1A47A8E2" w:rsidR="009260DE" w:rsidRPr="000E70D5" w:rsidRDefault="00410592" w:rsidP="009260DE">
      <w:pPr>
        <w:jc w:val="center"/>
        <w:rPr>
          <w:b/>
          <w:sz w:val="24"/>
          <w:szCs w:val="24"/>
        </w:rPr>
      </w:pPr>
      <w:proofErr w:type="spellStart"/>
      <w:r w:rsidRPr="000E70D5">
        <w:rPr>
          <w:b/>
          <w:sz w:val="24"/>
          <w:szCs w:val="24"/>
        </w:rPr>
        <w:t>Midazolam</w:t>
      </w:r>
      <w:proofErr w:type="spellEnd"/>
      <w:r w:rsidRPr="000E70D5">
        <w:rPr>
          <w:b/>
          <w:sz w:val="24"/>
          <w:szCs w:val="24"/>
        </w:rPr>
        <w:t xml:space="preserve"> </w:t>
      </w:r>
      <w:r w:rsidR="006A4CF2">
        <w:rPr>
          <w:b/>
          <w:sz w:val="24"/>
          <w:szCs w:val="24"/>
        </w:rPr>
        <w:t>"</w:t>
      </w:r>
      <w:proofErr w:type="spellStart"/>
      <w:r w:rsidRPr="000E70D5">
        <w:rPr>
          <w:b/>
          <w:sz w:val="24"/>
          <w:szCs w:val="24"/>
        </w:rPr>
        <w:t>Aguettant</w:t>
      </w:r>
      <w:proofErr w:type="spellEnd"/>
      <w:r w:rsidR="006A4CF2">
        <w:rPr>
          <w:b/>
          <w:sz w:val="24"/>
          <w:szCs w:val="24"/>
        </w:rPr>
        <w:t>"</w:t>
      </w:r>
      <w:r w:rsidRPr="000E70D5">
        <w:rPr>
          <w:b/>
          <w:sz w:val="24"/>
          <w:szCs w:val="24"/>
        </w:rPr>
        <w:t>, injektions-/infusionsvæske, opløsning</w:t>
      </w:r>
    </w:p>
    <w:p w14:paraId="5AB9386C" w14:textId="77777777" w:rsidR="009260DE" w:rsidRPr="000E70D5" w:rsidRDefault="009260DE" w:rsidP="009260DE">
      <w:pPr>
        <w:jc w:val="both"/>
        <w:rPr>
          <w:sz w:val="24"/>
          <w:szCs w:val="24"/>
        </w:rPr>
      </w:pPr>
    </w:p>
    <w:p w14:paraId="0EB679A7" w14:textId="77777777" w:rsidR="009260DE" w:rsidRPr="000E70D5" w:rsidRDefault="009260DE" w:rsidP="009260DE">
      <w:pPr>
        <w:jc w:val="both"/>
        <w:rPr>
          <w:sz w:val="24"/>
          <w:szCs w:val="24"/>
        </w:rPr>
      </w:pPr>
    </w:p>
    <w:p w14:paraId="0965BD29" w14:textId="77777777" w:rsidR="009260DE" w:rsidRPr="000E70D5" w:rsidRDefault="009260DE" w:rsidP="009260DE">
      <w:pPr>
        <w:tabs>
          <w:tab w:val="left" w:pos="851"/>
        </w:tabs>
        <w:ind w:left="851" w:hanging="851"/>
        <w:rPr>
          <w:b/>
          <w:sz w:val="24"/>
          <w:szCs w:val="24"/>
        </w:rPr>
      </w:pPr>
      <w:r w:rsidRPr="000E70D5">
        <w:rPr>
          <w:b/>
          <w:sz w:val="24"/>
          <w:szCs w:val="24"/>
        </w:rPr>
        <w:t>0.</w:t>
      </w:r>
      <w:r w:rsidRPr="000E70D5">
        <w:rPr>
          <w:b/>
          <w:sz w:val="24"/>
          <w:szCs w:val="24"/>
        </w:rPr>
        <w:tab/>
        <w:t>D.SP.NR.</w:t>
      </w:r>
    </w:p>
    <w:p w14:paraId="1F1677EF" w14:textId="40E0DA9D" w:rsidR="009260DE" w:rsidRPr="000E70D5" w:rsidRDefault="00410592" w:rsidP="009260DE">
      <w:pPr>
        <w:tabs>
          <w:tab w:val="left" w:pos="851"/>
        </w:tabs>
        <w:ind w:left="851"/>
        <w:rPr>
          <w:sz w:val="24"/>
          <w:szCs w:val="24"/>
        </w:rPr>
      </w:pPr>
      <w:r w:rsidRPr="000E70D5">
        <w:rPr>
          <w:sz w:val="24"/>
          <w:szCs w:val="24"/>
        </w:rPr>
        <w:t>33398</w:t>
      </w:r>
    </w:p>
    <w:p w14:paraId="3C03BB7B" w14:textId="77777777" w:rsidR="009260DE" w:rsidRPr="000E70D5" w:rsidRDefault="009260DE" w:rsidP="009260DE">
      <w:pPr>
        <w:tabs>
          <w:tab w:val="left" w:pos="851"/>
        </w:tabs>
        <w:ind w:left="851"/>
        <w:rPr>
          <w:sz w:val="24"/>
          <w:szCs w:val="24"/>
        </w:rPr>
      </w:pPr>
    </w:p>
    <w:p w14:paraId="763C253D" w14:textId="77777777" w:rsidR="009260DE" w:rsidRPr="000E70D5" w:rsidRDefault="009260DE" w:rsidP="009260DE">
      <w:pPr>
        <w:tabs>
          <w:tab w:val="left" w:pos="851"/>
        </w:tabs>
        <w:ind w:left="851" w:hanging="851"/>
        <w:rPr>
          <w:b/>
          <w:sz w:val="24"/>
          <w:szCs w:val="24"/>
        </w:rPr>
      </w:pPr>
      <w:r w:rsidRPr="000E70D5">
        <w:rPr>
          <w:b/>
          <w:sz w:val="24"/>
          <w:szCs w:val="24"/>
        </w:rPr>
        <w:t>1.</w:t>
      </w:r>
      <w:r w:rsidRPr="000E70D5">
        <w:rPr>
          <w:b/>
          <w:sz w:val="24"/>
          <w:szCs w:val="24"/>
        </w:rPr>
        <w:tab/>
        <w:t>LÆGEMIDLETS NAVN</w:t>
      </w:r>
    </w:p>
    <w:p w14:paraId="7C6D80E7" w14:textId="3785AE38" w:rsidR="009260DE" w:rsidRPr="000E70D5" w:rsidRDefault="00410592" w:rsidP="009260DE">
      <w:pPr>
        <w:tabs>
          <w:tab w:val="left" w:pos="851"/>
        </w:tabs>
        <w:ind w:left="851"/>
        <w:rPr>
          <w:sz w:val="24"/>
          <w:szCs w:val="24"/>
        </w:rPr>
      </w:pPr>
      <w:proofErr w:type="spellStart"/>
      <w:r w:rsidRPr="000E70D5">
        <w:rPr>
          <w:sz w:val="24"/>
          <w:szCs w:val="24"/>
        </w:rPr>
        <w:t>Midazolam</w:t>
      </w:r>
      <w:proofErr w:type="spellEnd"/>
      <w:r w:rsidRPr="000E70D5">
        <w:rPr>
          <w:sz w:val="24"/>
          <w:szCs w:val="24"/>
        </w:rPr>
        <w:t xml:space="preserve"> </w:t>
      </w:r>
      <w:r w:rsidR="006A4CF2">
        <w:rPr>
          <w:sz w:val="24"/>
          <w:szCs w:val="24"/>
        </w:rPr>
        <w:t>"</w:t>
      </w:r>
      <w:proofErr w:type="spellStart"/>
      <w:r w:rsidRPr="000E70D5">
        <w:rPr>
          <w:sz w:val="24"/>
          <w:szCs w:val="24"/>
        </w:rPr>
        <w:t>Aguettant</w:t>
      </w:r>
      <w:proofErr w:type="spellEnd"/>
      <w:r w:rsidR="006A4CF2">
        <w:rPr>
          <w:sz w:val="24"/>
          <w:szCs w:val="24"/>
        </w:rPr>
        <w:t>"</w:t>
      </w:r>
    </w:p>
    <w:p w14:paraId="0FF725EB" w14:textId="77777777" w:rsidR="009260DE" w:rsidRPr="000E70D5" w:rsidRDefault="009260DE" w:rsidP="009260DE">
      <w:pPr>
        <w:tabs>
          <w:tab w:val="left" w:pos="851"/>
        </w:tabs>
        <w:ind w:left="851"/>
        <w:rPr>
          <w:sz w:val="24"/>
          <w:szCs w:val="24"/>
        </w:rPr>
      </w:pPr>
    </w:p>
    <w:p w14:paraId="17764F90" w14:textId="77777777" w:rsidR="009260DE" w:rsidRPr="000E70D5" w:rsidRDefault="009260DE" w:rsidP="009260DE">
      <w:pPr>
        <w:tabs>
          <w:tab w:val="left" w:pos="851"/>
        </w:tabs>
        <w:ind w:left="851" w:hanging="851"/>
        <w:rPr>
          <w:b/>
          <w:sz w:val="24"/>
          <w:szCs w:val="24"/>
        </w:rPr>
      </w:pPr>
      <w:r w:rsidRPr="000E70D5">
        <w:rPr>
          <w:b/>
          <w:sz w:val="24"/>
          <w:szCs w:val="24"/>
        </w:rPr>
        <w:t>2.</w:t>
      </w:r>
      <w:r w:rsidRPr="000E70D5">
        <w:rPr>
          <w:b/>
          <w:sz w:val="24"/>
          <w:szCs w:val="24"/>
        </w:rPr>
        <w:tab/>
        <w:t>KVALITATIV OG KVANTITATIV SAMMENSÆTNING</w:t>
      </w:r>
    </w:p>
    <w:p w14:paraId="41E346B9" w14:textId="77777777" w:rsidR="00ED1CF0" w:rsidRDefault="00ED1CF0" w:rsidP="00445723">
      <w:pPr>
        <w:ind w:left="851"/>
        <w:rPr>
          <w:sz w:val="24"/>
          <w:szCs w:val="24"/>
        </w:rPr>
      </w:pPr>
    </w:p>
    <w:p w14:paraId="2F794726" w14:textId="777B0B2B" w:rsidR="005C5AEF" w:rsidRPr="00ED1CF0" w:rsidRDefault="005C5AEF" w:rsidP="00445723">
      <w:pPr>
        <w:ind w:left="851"/>
        <w:rPr>
          <w:sz w:val="24"/>
          <w:szCs w:val="24"/>
          <w:u w:val="single"/>
        </w:rPr>
      </w:pPr>
      <w:proofErr w:type="spellStart"/>
      <w:r w:rsidRPr="00ED1CF0">
        <w:rPr>
          <w:sz w:val="24"/>
          <w:szCs w:val="24"/>
          <w:u w:val="single"/>
        </w:rPr>
        <w:t>Midazolam</w:t>
      </w:r>
      <w:proofErr w:type="spellEnd"/>
      <w:r w:rsidRPr="00ED1CF0">
        <w:rPr>
          <w:sz w:val="24"/>
          <w:szCs w:val="24"/>
          <w:u w:val="single"/>
        </w:rPr>
        <w:t xml:space="preserve"> </w:t>
      </w:r>
      <w:r w:rsidR="006A4CF2">
        <w:rPr>
          <w:sz w:val="24"/>
          <w:szCs w:val="24"/>
          <w:u w:val="single"/>
        </w:rPr>
        <w:t>"</w:t>
      </w:r>
      <w:proofErr w:type="spellStart"/>
      <w:r w:rsidRPr="00ED1CF0">
        <w:rPr>
          <w:sz w:val="24"/>
          <w:szCs w:val="24"/>
          <w:u w:val="single"/>
        </w:rPr>
        <w:t>Aguettant</w:t>
      </w:r>
      <w:proofErr w:type="spellEnd"/>
      <w:r w:rsidR="006A4CF2">
        <w:rPr>
          <w:sz w:val="24"/>
          <w:szCs w:val="24"/>
          <w:u w:val="single"/>
        </w:rPr>
        <w:t>"</w:t>
      </w:r>
      <w:r w:rsidRPr="00ED1CF0">
        <w:rPr>
          <w:sz w:val="24"/>
          <w:szCs w:val="24"/>
          <w:u w:val="single"/>
        </w:rPr>
        <w:t xml:space="preserve"> 1 mg/ml injektions-/infusionsvæske, opløsning</w:t>
      </w:r>
    </w:p>
    <w:p w14:paraId="5AAB5106" w14:textId="77777777" w:rsidR="005C5AEF" w:rsidRPr="000E70D5" w:rsidRDefault="005C5AEF" w:rsidP="00445723">
      <w:pPr>
        <w:ind w:left="851"/>
        <w:rPr>
          <w:sz w:val="24"/>
          <w:szCs w:val="24"/>
        </w:rPr>
      </w:pPr>
      <w:r w:rsidRPr="000E70D5">
        <w:rPr>
          <w:sz w:val="24"/>
          <w:szCs w:val="24"/>
        </w:rPr>
        <w:t xml:space="preserve">Hver ml injektions-/infusionsvæske, opløsning indeholder 1 mg </w:t>
      </w:r>
      <w:proofErr w:type="spellStart"/>
      <w:r w:rsidRPr="000E70D5">
        <w:rPr>
          <w:sz w:val="24"/>
          <w:szCs w:val="24"/>
        </w:rPr>
        <w:t>midazolam</w:t>
      </w:r>
      <w:proofErr w:type="spellEnd"/>
      <w:r w:rsidRPr="000E70D5">
        <w:rPr>
          <w:sz w:val="24"/>
          <w:szCs w:val="24"/>
        </w:rPr>
        <w:t>.</w:t>
      </w:r>
    </w:p>
    <w:p w14:paraId="79503ED0" w14:textId="77777777" w:rsidR="005C5AEF" w:rsidRPr="000E70D5" w:rsidRDefault="005C5AEF" w:rsidP="00445723">
      <w:pPr>
        <w:ind w:left="851"/>
        <w:rPr>
          <w:sz w:val="24"/>
          <w:szCs w:val="24"/>
        </w:rPr>
      </w:pPr>
      <w:r w:rsidRPr="000E70D5">
        <w:rPr>
          <w:sz w:val="24"/>
          <w:szCs w:val="24"/>
        </w:rPr>
        <w:t xml:space="preserve">Hver ampul med 5 ml indeholder 5 mg </w:t>
      </w:r>
      <w:proofErr w:type="spellStart"/>
      <w:r w:rsidRPr="000E70D5">
        <w:rPr>
          <w:sz w:val="24"/>
          <w:szCs w:val="24"/>
        </w:rPr>
        <w:t>midazolam</w:t>
      </w:r>
      <w:proofErr w:type="spellEnd"/>
      <w:r w:rsidRPr="000E70D5">
        <w:rPr>
          <w:sz w:val="24"/>
          <w:szCs w:val="24"/>
        </w:rPr>
        <w:t>.</w:t>
      </w:r>
    </w:p>
    <w:p w14:paraId="16869BD0" w14:textId="77777777" w:rsidR="005C5AEF" w:rsidRPr="000E70D5" w:rsidRDefault="005C5AEF" w:rsidP="00445723">
      <w:pPr>
        <w:ind w:left="851"/>
        <w:rPr>
          <w:sz w:val="24"/>
          <w:szCs w:val="24"/>
        </w:rPr>
      </w:pPr>
    </w:p>
    <w:p w14:paraId="451443EB" w14:textId="5B29C513" w:rsidR="005C5AEF" w:rsidRPr="00ED1CF0" w:rsidRDefault="005C5AEF" w:rsidP="00445723">
      <w:pPr>
        <w:ind w:left="851"/>
        <w:rPr>
          <w:sz w:val="24"/>
          <w:szCs w:val="24"/>
          <w:u w:val="single"/>
        </w:rPr>
      </w:pPr>
      <w:proofErr w:type="spellStart"/>
      <w:r w:rsidRPr="00ED1CF0">
        <w:rPr>
          <w:sz w:val="24"/>
          <w:szCs w:val="24"/>
          <w:u w:val="single"/>
        </w:rPr>
        <w:t>Midazolam</w:t>
      </w:r>
      <w:proofErr w:type="spellEnd"/>
      <w:r w:rsidRPr="00ED1CF0">
        <w:rPr>
          <w:sz w:val="24"/>
          <w:szCs w:val="24"/>
          <w:u w:val="single"/>
        </w:rPr>
        <w:t xml:space="preserve"> </w:t>
      </w:r>
      <w:r w:rsidR="006A4CF2">
        <w:rPr>
          <w:sz w:val="24"/>
          <w:szCs w:val="24"/>
          <w:u w:val="single"/>
        </w:rPr>
        <w:t>"</w:t>
      </w:r>
      <w:proofErr w:type="spellStart"/>
      <w:r w:rsidRPr="00ED1CF0">
        <w:rPr>
          <w:sz w:val="24"/>
          <w:szCs w:val="24"/>
          <w:u w:val="single"/>
        </w:rPr>
        <w:t>Aguettant</w:t>
      </w:r>
      <w:proofErr w:type="spellEnd"/>
      <w:r w:rsidR="006A4CF2">
        <w:rPr>
          <w:sz w:val="24"/>
          <w:szCs w:val="24"/>
          <w:u w:val="single"/>
        </w:rPr>
        <w:t>"</w:t>
      </w:r>
      <w:r w:rsidRPr="00ED1CF0">
        <w:rPr>
          <w:sz w:val="24"/>
          <w:szCs w:val="24"/>
          <w:u w:val="single"/>
        </w:rPr>
        <w:t xml:space="preserve"> 5 mg/ml injektions-/infusionsvæske, opløsning</w:t>
      </w:r>
    </w:p>
    <w:p w14:paraId="357E618B" w14:textId="77777777" w:rsidR="005C5AEF" w:rsidRPr="000E70D5" w:rsidRDefault="005C5AEF" w:rsidP="00445723">
      <w:pPr>
        <w:ind w:left="851"/>
        <w:rPr>
          <w:sz w:val="24"/>
          <w:szCs w:val="24"/>
        </w:rPr>
      </w:pPr>
      <w:r w:rsidRPr="000E70D5">
        <w:rPr>
          <w:sz w:val="24"/>
          <w:szCs w:val="24"/>
        </w:rPr>
        <w:t xml:space="preserve">Hver ml injektions-/infusionsvæske, opløsning indeholder 5 mg </w:t>
      </w:r>
      <w:proofErr w:type="spellStart"/>
      <w:r w:rsidRPr="000E70D5">
        <w:rPr>
          <w:sz w:val="24"/>
          <w:szCs w:val="24"/>
        </w:rPr>
        <w:t>midazolam</w:t>
      </w:r>
      <w:proofErr w:type="spellEnd"/>
      <w:r w:rsidRPr="000E70D5">
        <w:rPr>
          <w:sz w:val="24"/>
          <w:szCs w:val="24"/>
        </w:rPr>
        <w:t>.</w:t>
      </w:r>
    </w:p>
    <w:p w14:paraId="4C70DCCC" w14:textId="77777777" w:rsidR="005C5AEF" w:rsidRPr="000E70D5" w:rsidRDefault="005C5AEF" w:rsidP="00445723">
      <w:pPr>
        <w:ind w:left="851"/>
        <w:rPr>
          <w:sz w:val="24"/>
          <w:szCs w:val="24"/>
        </w:rPr>
      </w:pPr>
      <w:bookmarkStart w:id="1" w:name="_Hlk201835316"/>
      <w:r w:rsidRPr="000E70D5">
        <w:rPr>
          <w:sz w:val="24"/>
          <w:szCs w:val="24"/>
        </w:rPr>
        <w:t xml:space="preserve">Hver ampul med 1 ml indeholder 5 mg </w:t>
      </w:r>
      <w:proofErr w:type="spellStart"/>
      <w:r w:rsidRPr="000E70D5">
        <w:rPr>
          <w:sz w:val="24"/>
          <w:szCs w:val="24"/>
        </w:rPr>
        <w:t>midazolam</w:t>
      </w:r>
      <w:bookmarkEnd w:id="1"/>
      <w:proofErr w:type="spellEnd"/>
    </w:p>
    <w:p w14:paraId="20D36D01" w14:textId="77777777" w:rsidR="005C5AEF" w:rsidRPr="000E70D5" w:rsidRDefault="005C5AEF" w:rsidP="00445723">
      <w:pPr>
        <w:ind w:left="851"/>
        <w:rPr>
          <w:sz w:val="24"/>
          <w:szCs w:val="24"/>
        </w:rPr>
      </w:pPr>
      <w:r w:rsidRPr="000E70D5">
        <w:rPr>
          <w:sz w:val="24"/>
          <w:szCs w:val="24"/>
        </w:rPr>
        <w:t xml:space="preserve">Hver ampul med 2 ml indeholder 10 mg </w:t>
      </w:r>
      <w:proofErr w:type="spellStart"/>
      <w:r w:rsidRPr="000E70D5">
        <w:rPr>
          <w:sz w:val="24"/>
          <w:szCs w:val="24"/>
        </w:rPr>
        <w:t>midazolam</w:t>
      </w:r>
      <w:proofErr w:type="spellEnd"/>
    </w:p>
    <w:p w14:paraId="6A09929B" w14:textId="77777777" w:rsidR="005C5AEF" w:rsidRPr="000E70D5" w:rsidRDefault="005C5AEF" w:rsidP="00445723">
      <w:pPr>
        <w:ind w:left="851"/>
        <w:rPr>
          <w:sz w:val="24"/>
          <w:szCs w:val="24"/>
        </w:rPr>
      </w:pPr>
      <w:r w:rsidRPr="000E70D5">
        <w:rPr>
          <w:sz w:val="24"/>
          <w:szCs w:val="24"/>
        </w:rPr>
        <w:t xml:space="preserve">Hver ampul med 3 ml indeholder 15 mg </w:t>
      </w:r>
      <w:proofErr w:type="spellStart"/>
      <w:r w:rsidRPr="000E70D5">
        <w:rPr>
          <w:sz w:val="24"/>
          <w:szCs w:val="24"/>
        </w:rPr>
        <w:t>midazolam</w:t>
      </w:r>
      <w:proofErr w:type="spellEnd"/>
    </w:p>
    <w:p w14:paraId="0C4A3CF2" w14:textId="77777777" w:rsidR="005C5AEF" w:rsidRPr="000E70D5" w:rsidRDefault="005C5AEF" w:rsidP="00445723">
      <w:pPr>
        <w:ind w:left="851"/>
        <w:rPr>
          <w:sz w:val="24"/>
          <w:szCs w:val="24"/>
        </w:rPr>
      </w:pPr>
      <w:r w:rsidRPr="000E70D5">
        <w:rPr>
          <w:sz w:val="24"/>
          <w:szCs w:val="24"/>
        </w:rPr>
        <w:t xml:space="preserve">Hver ampul med 10 ml indeholder 50 mg </w:t>
      </w:r>
      <w:proofErr w:type="spellStart"/>
      <w:r w:rsidRPr="000E70D5">
        <w:rPr>
          <w:sz w:val="24"/>
          <w:szCs w:val="24"/>
        </w:rPr>
        <w:t>midazolam</w:t>
      </w:r>
      <w:proofErr w:type="spellEnd"/>
    </w:p>
    <w:p w14:paraId="1710D454" w14:textId="77777777" w:rsidR="005C5AEF" w:rsidRPr="000E70D5" w:rsidRDefault="005C5AEF" w:rsidP="00445723">
      <w:pPr>
        <w:ind w:left="851"/>
        <w:rPr>
          <w:sz w:val="24"/>
          <w:szCs w:val="24"/>
        </w:rPr>
      </w:pPr>
    </w:p>
    <w:p w14:paraId="7BAE47C5" w14:textId="77777777" w:rsidR="005C5AEF" w:rsidRPr="00ED1CF0" w:rsidRDefault="005C5AEF" w:rsidP="00445723">
      <w:pPr>
        <w:ind w:left="851"/>
        <w:rPr>
          <w:sz w:val="24"/>
          <w:szCs w:val="24"/>
          <w:u w:val="single"/>
        </w:rPr>
      </w:pPr>
      <w:r w:rsidRPr="00ED1CF0">
        <w:rPr>
          <w:sz w:val="24"/>
          <w:szCs w:val="24"/>
          <w:u w:val="single"/>
        </w:rPr>
        <w:t>Hjælpestof, som behandleren skal være opmærksom på</w:t>
      </w:r>
    </w:p>
    <w:p w14:paraId="680445AD" w14:textId="30CB045C"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w:t>
      </w:r>
      <w:r w:rsidR="006A4CF2">
        <w:rPr>
          <w:sz w:val="24"/>
          <w:szCs w:val="24"/>
        </w:rPr>
        <w:t>"</w:t>
      </w:r>
      <w:proofErr w:type="spellStart"/>
      <w:r w:rsidRPr="000E70D5">
        <w:rPr>
          <w:sz w:val="24"/>
          <w:szCs w:val="24"/>
        </w:rPr>
        <w:t>Aguettant</w:t>
      </w:r>
      <w:proofErr w:type="spellEnd"/>
      <w:r w:rsidR="006A4CF2">
        <w:rPr>
          <w:sz w:val="24"/>
          <w:szCs w:val="24"/>
        </w:rPr>
        <w:t>"</w:t>
      </w:r>
      <w:r w:rsidRPr="000E70D5">
        <w:rPr>
          <w:sz w:val="24"/>
          <w:szCs w:val="24"/>
        </w:rPr>
        <w:t xml:space="preserve"> 5 mg/ml </w:t>
      </w:r>
      <w:bookmarkStart w:id="2" w:name="_Hlk201836179"/>
      <w:r w:rsidRPr="000E70D5">
        <w:rPr>
          <w:sz w:val="24"/>
          <w:szCs w:val="24"/>
        </w:rPr>
        <w:t>injektions-/infusionsvæske, opløsning</w:t>
      </w:r>
      <w:bookmarkEnd w:id="2"/>
    </w:p>
    <w:p w14:paraId="06F1FA75" w14:textId="77777777" w:rsidR="005C5AEF" w:rsidRPr="000E70D5" w:rsidRDefault="005C5AEF" w:rsidP="00445723">
      <w:pPr>
        <w:ind w:left="851"/>
        <w:rPr>
          <w:sz w:val="24"/>
          <w:szCs w:val="24"/>
        </w:rPr>
      </w:pPr>
      <w:r w:rsidRPr="000E70D5">
        <w:rPr>
          <w:sz w:val="24"/>
          <w:szCs w:val="24"/>
        </w:rPr>
        <w:t>Hver ml indeholder 2,83 mg natrium, svarende til 0,12 mmol, natrium.</w:t>
      </w:r>
    </w:p>
    <w:p w14:paraId="0C22109B" w14:textId="77777777" w:rsidR="005C5AEF" w:rsidRPr="000E70D5" w:rsidRDefault="005C5AEF" w:rsidP="00445723">
      <w:pPr>
        <w:ind w:left="851"/>
        <w:rPr>
          <w:sz w:val="24"/>
          <w:szCs w:val="24"/>
        </w:rPr>
      </w:pPr>
      <w:r w:rsidRPr="000E70D5">
        <w:rPr>
          <w:sz w:val="24"/>
          <w:szCs w:val="24"/>
        </w:rPr>
        <w:t>Alle hjælpestoffer er anført under pkt. 6.1.</w:t>
      </w:r>
    </w:p>
    <w:p w14:paraId="425D092F" w14:textId="77777777" w:rsidR="009260DE" w:rsidRPr="000E70D5" w:rsidRDefault="009260DE" w:rsidP="009260DE">
      <w:pPr>
        <w:tabs>
          <w:tab w:val="left" w:pos="851"/>
        </w:tabs>
        <w:ind w:left="851"/>
        <w:rPr>
          <w:sz w:val="24"/>
          <w:szCs w:val="24"/>
        </w:rPr>
      </w:pPr>
    </w:p>
    <w:p w14:paraId="06362D97" w14:textId="77777777" w:rsidR="009260DE" w:rsidRPr="000E70D5" w:rsidRDefault="009260DE" w:rsidP="009260DE">
      <w:pPr>
        <w:tabs>
          <w:tab w:val="left" w:pos="851"/>
        </w:tabs>
        <w:ind w:left="851" w:hanging="851"/>
        <w:rPr>
          <w:b/>
          <w:sz w:val="24"/>
          <w:szCs w:val="24"/>
        </w:rPr>
      </w:pPr>
      <w:r w:rsidRPr="000E70D5">
        <w:rPr>
          <w:b/>
          <w:sz w:val="24"/>
          <w:szCs w:val="24"/>
        </w:rPr>
        <w:t>3.</w:t>
      </w:r>
      <w:r w:rsidRPr="000E70D5">
        <w:rPr>
          <w:b/>
          <w:sz w:val="24"/>
          <w:szCs w:val="24"/>
        </w:rPr>
        <w:tab/>
        <w:t>LÆGEMIDDELFORM</w:t>
      </w:r>
    </w:p>
    <w:p w14:paraId="098B280C" w14:textId="77777777" w:rsidR="005C5AEF" w:rsidRPr="000E70D5" w:rsidRDefault="005C5AEF" w:rsidP="00445723">
      <w:pPr>
        <w:ind w:left="851"/>
        <w:rPr>
          <w:sz w:val="24"/>
          <w:szCs w:val="24"/>
        </w:rPr>
      </w:pPr>
      <w:r w:rsidRPr="000E70D5">
        <w:rPr>
          <w:sz w:val="24"/>
          <w:szCs w:val="24"/>
        </w:rPr>
        <w:t>Injektions-/infusionsvæske, opløsning (injektions-/infusionsvæske)</w:t>
      </w:r>
    </w:p>
    <w:p w14:paraId="3A8BF7BA" w14:textId="77777777" w:rsidR="005C5AEF" w:rsidRPr="000E70D5" w:rsidRDefault="005C5AEF" w:rsidP="00445723">
      <w:pPr>
        <w:ind w:left="851"/>
        <w:rPr>
          <w:sz w:val="24"/>
          <w:szCs w:val="24"/>
        </w:rPr>
      </w:pPr>
      <w:r w:rsidRPr="000E70D5">
        <w:rPr>
          <w:sz w:val="24"/>
          <w:szCs w:val="24"/>
        </w:rPr>
        <w:t>Klar og farveløs opløsning</w:t>
      </w:r>
    </w:p>
    <w:p w14:paraId="26AB6A39" w14:textId="77777777" w:rsidR="005C5AEF" w:rsidRPr="000E70D5" w:rsidRDefault="005C5AEF" w:rsidP="00445723">
      <w:pPr>
        <w:ind w:left="851"/>
        <w:rPr>
          <w:sz w:val="24"/>
          <w:szCs w:val="24"/>
        </w:rPr>
      </w:pPr>
      <w:r w:rsidRPr="000E70D5">
        <w:rPr>
          <w:sz w:val="24"/>
          <w:szCs w:val="24"/>
        </w:rPr>
        <w:t>pH: 3,0-3,6</w:t>
      </w:r>
    </w:p>
    <w:p w14:paraId="1916C368" w14:textId="77777777" w:rsidR="005C5AEF" w:rsidRPr="000E70D5" w:rsidRDefault="005C5AEF" w:rsidP="00445723">
      <w:pPr>
        <w:ind w:left="851"/>
        <w:rPr>
          <w:sz w:val="24"/>
          <w:szCs w:val="24"/>
        </w:rPr>
      </w:pPr>
      <w:proofErr w:type="spellStart"/>
      <w:r w:rsidRPr="000E70D5">
        <w:rPr>
          <w:sz w:val="24"/>
          <w:szCs w:val="24"/>
        </w:rPr>
        <w:t>Osmolalitet</w:t>
      </w:r>
      <w:proofErr w:type="spellEnd"/>
      <w:r w:rsidRPr="000E70D5">
        <w:rPr>
          <w:sz w:val="24"/>
          <w:szCs w:val="24"/>
        </w:rPr>
        <w:t>: 270-300 </w:t>
      </w:r>
      <w:proofErr w:type="spellStart"/>
      <w:r w:rsidRPr="000E70D5">
        <w:rPr>
          <w:sz w:val="24"/>
          <w:szCs w:val="24"/>
        </w:rPr>
        <w:t>mOsm</w:t>
      </w:r>
      <w:proofErr w:type="spellEnd"/>
      <w:r w:rsidRPr="000E70D5">
        <w:rPr>
          <w:sz w:val="24"/>
          <w:szCs w:val="24"/>
        </w:rPr>
        <w:t>/kg</w:t>
      </w:r>
    </w:p>
    <w:p w14:paraId="265D7C3F" w14:textId="77777777" w:rsidR="009260DE" w:rsidRPr="000E70D5" w:rsidRDefault="009260DE" w:rsidP="009260DE">
      <w:pPr>
        <w:tabs>
          <w:tab w:val="left" w:pos="851"/>
        </w:tabs>
        <w:ind w:left="851"/>
        <w:rPr>
          <w:sz w:val="24"/>
          <w:szCs w:val="24"/>
        </w:rPr>
      </w:pPr>
    </w:p>
    <w:p w14:paraId="6B74371B" w14:textId="6596D7D6" w:rsidR="00A3780A" w:rsidRDefault="00A3780A">
      <w:pPr>
        <w:rPr>
          <w:sz w:val="24"/>
          <w:szCs w:val="24"/>
        </w:rPr>
      </w:pPr>
      <w:r>
        <w:rPr>
          <w:sz w:val="24"/>
          <w:szCs w:val="24"/>
        </w:rPr>
        <w:br w:type="page"/>
      </w:r>
    </w:p>
    <w:p w14:paraId="66E31677" w14:textId="77777777" w:rsidR="009260DE" w:rsidRPr="000E70D5" w:rsidRDefault="009260DE" w:rsidP="009260DE">
      <w:pPr>
        <w:tabs>
          <w:tab w:val="left" w:pos="851"/>
        </w:tabs>
        <w:ind w:left="851"/>
        <w:rPr>
          <w:sz w:val="24"/>
          <w:szCs w:val="24"/>
        </w:rPr>
      </w:pPr>
    </w:p>
    <w:p w14:paraId="6472E5D1" w14:textId="77777777" w:rsidR="009260DE" w:rsidRPr="000E70D5" w:rsidRDefault="009260DE" w:rsidP="009260DE">
      <w:pPr>
        <w:tabs>
          <w:tab w:val="left" w:pos="851"/>
        </w:tabs>
        <w:ind w:left="851" w:hanging="851"/>
        <w:rPr>
          <w:b/>
          <w:sz w:val="24"/>
          <w:szCs w:val="24"/>
        </w:rPr>
      </w:pPr>
      <w:r w:rsidRPr="000E70D5">
        <w:rPr>
          <w:b/>
          <w:sz w:val="24"/>
          <w:szCs w:val="24"/>
        </w:rPr>
        <w:t>4.</w:t>
      </w:r>
      <w:r w:rsidRPr="000E70D5">
        <w:rPr>
          <w:b/>
          <w:sz w:val="24"/>
          <w:szCs w:val="24"/>
        </w:rPr>
        <w:tab/>
        <w:t>KLINISKE OPLYSNINGER</w:t>
      </w:r>
    </w:p>
    <w:p w14:paraId="26E7690E" w14:textId="77777777" w:rsidR="009260DE" w:rsidRPr="000E70D5" w:rsidRDefault="009260DE" w:rsidP="009260DE">
      <w:pPr>
        <w:tabs>
          <w:tab w:val="left" w:pos="851"/>
        </w:tabs>
        <w:ind w:left="851"/>
        <w:rPr>
          <w:b/>
          <w:sz w:val="24"/>
          <w:szCs w:val="24"/>
        </w:rPr>
      </w:pPr>
    </w:p>
    <w:p w14:paraId="16B607AB" w14:textId="77777777" w:rsidR="009260DE" w:rsidRPr="000E70D5" w:rsidRDefault="009260DE" w:rsidP="009260DE">
      <w:pPr>
        <w:tabs>
          <w:tab w:val="left" w:pos="851"/>
        </w:tabs>
        <w:ind w:left="851" w:hanging="851"/>
        <w:rPr>
          <w:b/>
          <w:sz w:val="24"/>
          <w:szCs w:val="24"/>
          <w:u w:val="single"/>
        </w:rPr>
      </w:pPr>
      <w:r w:rsidRPr="000E70D5">
        <w:rPr>
          <w:b/>
          <w:sz w:val="24"/>
          <w:szCs w:val="24"/>
        </w:rPr>
        <w:t>4.1</w:t>
      </w:r>
      <w:r w:rsidRPr="000E70D5">
        <w:rPr>
          <w:b/>
          <w:sz w:val="24"/>
          <w:szCs w:val="24"/>
        </w:rPr>
        <w:tab/>
        <w:t>Terapeutiske indikationer</w:t>
      </w:r>
    </w:p>
    <w:p w14:paraId="32A54137" w14:textId="57169763"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w:t>
      </w:r>
      <w:r w:rsidR="006A4CF2">
        <w:rPr>
          <w:sz w:val="24"/>
          <w:szCs w:val="24"/>
        </w:rPr>
        <w:t>"</w:t>
      </w:r>
      <w:proofErr w:type="spellStart"/>
      <w:r w:rsidRPr="000E70D5">
        <w:rPr>
          <w:sz w:val="24"/>
          <w:szCs w:val="24"/>
        </w:rPr>
        <w:t>Aguettant</w:t>
      </w:r>
      <w:proofErr w:type="spellEnd"/>
      <w:r w:rsidR="006A4CF2">
        <w:rPr>
          <w:sz w:val="24"/>
          <w:szCs w:val="24"/>
        </w:rPr>
        <w:t>"</w:t>
      </w:r>
      <w:r w:rsidRPr="000E70D5">
        <w:rPr>
          <w:sz w:val="24"/>
          <w:szCs w:val="24"/>
        </w:rPr>
        <w:t xml:space="preserve"> er et korttidsvirkende søvninducerende lægemiddel, som er indiceret:</w:t>
      </w:r>
    </w:p>
    <w:p w14:paraId="08C3BBB7" w14:textId="77777777" w:rsidR="005C5AEF" w:rsidRPr="000E70D5" w:rsidRDefault="005C5AEF" w:rsidP="00A3780A">
      <w:pPr>
        <w:ind w:left="851"/>
        <w:rPr>
          <w:sz w:val="24"/>
          <w:szCs w:val="24"/>
        </w:rPr>
      </w:pPr>
    </w:p>
    <w:p w14:paraId="58052210" w14:textId="77777777" w:rsidR="005C5AEF" w:rsidRPr="000E70D5" w:rsidRDefault="005C5AEF" w:rsidP="00A3780A">
      <w:pPr>
        <w:ind w:left="851"/>
        <w:rPr>
          <w:sz w:val="24"/>
          <w:szCs w:val="24"/>
          <w:u w:val="single"/>
        </w:rPr>
      </w:pPr>
      <w:r w:rsidRPr="000E70D5">
        <w:rPr>
          <w:sz w:val="24"/>
          <w:szCs w:val="24"/>
          <w:u w:val="single"/>
        </w:rPr>
        <w:t>Til voksne</w:t>
      </w:r>
    </w:p>
    <w:p w14:paraId="57F89DB2" w14:textId="77777777" w:rsidR="005C5AEF" w:rsidRPr="006A4CF2" w:rsidRDefault="005C5AEF" w:rsidP="00A3780A">
      <w:pPr>
        <w:pStyle w:val="Listeafsnit"/>
        <w:numPr>
          <w:ilvl w:val="0"/>
          <w:numId w:val="17"/>
        </w:numPr>
        <w:tabs>
          <w:tab w:val="clear" w:pos="567"/>
        </w:tabs>
        <w:spacing w:line="240" w:lineRule="auto"/>
        <w:ind w:left="1276" w:hanging="425"/>
        <w:rPr>
          <w:sz w:val="24"/>
          <w:szCs w:val="24"/>
        </w:rPr>
      </w:pPr>
      <w:r w:rsidRPr="006A4CF2">
        <w:rPr>
          <w:sz w:val="24"/>
          <w:szCs w:val="24"/>
        </w:rPr>
        <w:t>SEDATION MED BEVARET BEVIDSTHED før og under diagnostiske eller terapeutiske procedurer med eller uden lokalanæstesi.</w:t>
      </w:r>
    </w:p>
    <w:p w14:paraId="77C6A65A" w14:textId="77777777" w:rsidR="005C5AEF" w:rsidRPr="006A4CF2" w:rsidRDefault="005C5AEF" w:rsidP="00A3780A">
      <w:pPr>
        <w:pStyle w:val="Listeafsnit"/>
        <w:numPr>
          <w:ilvl w:val="0"/>
          <w:numId w:val="17"/>
        </w:numPr>
        <w:tabs>
          <w:tab w:val="clear" w:pos="567"/>
        </w:tabs>
        <w:spacing w:line="240" w:lineRule="auto"/>
        <w:ind w:left="1276" w:hanging="425"/>
        <w:rPr>
          <w:sz w:val="24"/>
          <w:szCs w:val="24"/>
        </w:rPr>
      </w:pPr>
      <w:r w:rsidRPr="006A4CF2">
        <w:rPr>
          <w:sz w:val="24"/>
          <w:szCs w:val="24"/>
        </w:rPr>
        <w:t>ANÆSTESI</w:t>
      </w:r>
    </w:p>
    <w:p w14:paraId="1AE8D218" w14:textId="77777777" w:rsidR="005C5AEF" w:rsidRPr="006A4CF2" w:rsidRDefault="005C5AEF" w:rsidP="00A3780A">
      <w:pPr>
        <w:pStyle w:val="Listeafsnit"/>
        <w:numPr>
          <w:ilvl w:val="0"/>
          <w:numId w:val="18"/>
        </w:numPr>
        <w:tabs>
          <w:tab w:val="clear" w:pos="567"/>
        </w:tabs>
        <w:spacing w:line="240" w:lineRule="auto"/>
        <w:ind w:left="1701" w:hanging="425"/>
        <w:rPr>
          <w:sz w:val="24"/>
          <w:szCs w:val="24"/>
        </w:rPr>
      </w:pPr>
      <w:proofErr w:type="spellStart"/>
      <w:r w:rsidRPr="006A4CF2">
        <w:rPr>
          <w:sz w:val="24"/>
          <w:szCs w:val="24"/>
        </w:rPr>
        <w:t>Præmedikation</w:t>
      </w:r>
      <w:proofErr w:type="spellEnd"/>
      <w:r w:rsidRPr="006A4CF2">
        <w:rPr>
          <w:sz w:val="24"/>
          <w:szCs w:val="24"/>
        </w:rPr>
        <w:t xml:space="preserve"> før induktion af anæstesi</w:t>
      </w:r>
    </w:p>
    <w:p w14:paraId="70D09EE2" w14:textId="77777777" w:rsidR="005C5AEF" w:rsidRPr="006A4CF2" w:rsidRDefault="005C5AEF" w:rsidP="00A3780A">
      <w:pPr>
        <w:pStyle w:val="Listeafsnit"/>
        <w:numPr>
          <w:ilvl w:val="0"/>
          <w:numId w:val="18"/>
        </w:numPr>
        <w:tabs>
          <w:tab w:val="clear" w:pos="567"/>
        </w:tabs>
        <w:spacing w:line="240" w:lineRule="auto"/>
        <w:ind w:left="1701" w:hanging="425"/>
        <w:rPr>
          <w:sz w:val="24"/>
          <w:szCs w:val="24"/>
        </w:rPr>
      </w:pPr>
      <w:r w:rsidRPr="006A4CF2">
        <w:rPr>
          <w:sz w:val="24"/>
          <w:szCs w:val="24"/>
        </w:rPr>
        <w:t>Induktion af anæstesi</w:t>
      </w:r>
    </w:p>
    <w:p w14:paraId="0E6C3ED6" w14:textId="77777777" w:rsidR="005C5AEF" w:rsidRPr="006A4CF2" w:rsidRDefault="005C5AEF" w:rsidP="00A3780A">
      <w:pPr>
        <w:pStyle w:val="Listeafsnit"/>
        <w:numPr>
          <w:ilvl w:val="0"/>
          <w:numId w:val="18"/>
        </w:numPr>
        <w:tabs>
          <w:tab w:val="clear" w:pos="567"/>
        </w:tabs>
        <w:spacing w:line="240" w:lineRule="auto"/>
        <w:ind w:left="1701" w:hanging="425"/>
        <w:rPr>
          <w:sz w:val="24"/>
          <w:szCs w:val="24"/>
        </w:rPr>
      </w:pPr>
      <w:r w:rsidRPr="006A4CF2">
        <w:rPr>
          <w:sz w:val="24"/>
          <w:szCs w:val="24"/>
        </w:rPr>
        <w:t>Som sedativ komponent ved kombinationsanæstesi</w:t>
      </w:r>
    </w:p>
    <w:p w14:paraId="69B35F99" w14:textId="77777777" w:rsidR="005C5AEF" w:rsidRPr="006A4CF2" w:rsidRDefault="005C5AEF" w:rsidP="00A3780A">
      <w:pPr>
        <w:pStyle w:val="Listeafsnit"/>
        <w:numPr>
          <w:ilvl w:val="0"/>
          <w:numId w:val="17"/>
        </w:numPr>
        <w:tabs>
          <w:tab w:val="clear" w:pos="567"/>
        </w:tabs>
        <w:spacing w:line="240" w:lineRule="auto"/>
        <w:ind w:left="1276" w:hanging="425"/>
        <w:rPr>
          <w:sz w:val="24"/>
          <w:szCs w:val="24"/>
        </w:rPr>
      </w:pPr>
      <w:r w:rsidRPr="006A4CF2">
        <w:rPr>
          <w:sz w:val="24"/>
          <w:szCs w:val="24"/>
        </w:rPr>
        <w:t>SEDATION PÅ INTENSIVAFDELINGER</w:t>
      </w:r>
    </w:p>
    <w:p w14:paraId="216751D7" w14:textId="77777777" w:rsidR="005C5AEF" w:rsidRPr="000E70D5" w:rsidRDefault="005C5AEF" w:rsidP="00A3780A">
      <w:pPr>
        <w:ind w:left="851"/>
        <w:rPr>
          <w:sz w:val="24"/>
          <w:szCs w:val="24"/>
        </w:rPr>
      </w:pPr>
    </w:p>
    <w:p w14:paraId="13BB761B" w14:textId="77777777" w:rsidR="005C5AEF" w:rsidRPr="000E70D5" w:rsidRDefault="005C5AEF" w:rsidP="00A3780A">
      <w:pPr>
        <w:ind w:left="851"/>
        <w:rPr>
          <w:sz w:val="24"/>
          <w:szCs w:val="24"/>
          <w:u w:val="single"/>
        </w:rPr>
      </w:pPr>
      <w:r w:rsidRPr="000E70D5">
        <w:rPr>
          <w:sz w:val="24"/>
          <w:szCs w:val="24"/>
          <w:u w:val="single"/>
        </w:rPr>
        <w:t>Til børn</w:t>
      </w:r>
    </w:p>
    <w:p w14:paraId="19AEAAD9" w14:textId="77777777" w:rsidR="005C5AEF" w:rsidRPr="006A4CF2" w:rsidRDefault="005C5AEF" w:rsidP="00A3780A">
      <w:pPr>
        <w:pStyle w:val="Listeafsnit"/>
        <w:numPr>
          <w:ilvl w:val="0"/>
          <w:numId w:val="19"/>
        </w:numPr>
        <w:tabs>
          <w:tab w:val="clear" w:pos="567"/>
        </w:tabs>
        <w:spacing w:line="240" w:lineRule="auto"/>
        <w:ind w:left="1276" w:hanging="425"/>
        <w:rPr>
          <w:sz w:val="24"/>
          <w:szCs w:val="24"/>
        </w:rPr>
      </w:pPr>
      <w:r w:rsidRPr="006A4CF2">
        <w:rPr>
          <w:sz w:val="24"/>
          <w:szCs w:val="24"/>
        </w:rPr>
        <w:t>SEDATION MED BEVARET BEVIDSTHED før og under diagnostiske eller terapeutiske procedurer med eller uden lokalanæstesi.</w:t>
      </w:r>
    </w:p>
    <w:p w14:paraId="5CDD13C8" w14:textId="77777777" w:rsidR="005C5AEF" w:rsidRPr="006A4CF2" w:rsidRDefault="005C5AEF" w:rsidP="00A3780A">
      <w:pPr>
        <w:pStyle w:val="Listeafsnit"/>
        <w:numPr>
          <w:ilvl w:val="0"/>
          <w:numId w:val="19"/>
        </w:numPr>
        <w:tabs>
          <w:tab w:val="clear" w:pos="567"/>
        </w:tabs>
        <w:spacing w:line="240" w:lineRule="auto"/>
        <w:ind w:left="1276" w:hanging="425"/>
        <w:rPr>
          <w:sz w:val="24"/>
          <w:szCs w:val="24"/>
        </w:rPr>
      </w:pPr>
      <w:r w:rsidRPr="006A4CF2">
        <w:rPr>
          <w:sz w:val="24"/>
          <w:szCs w:val="24"/>
        </w:rPr>
        <w:t>ANÆSTESI</w:t>
      </w:r>
    </w:p>
    <w:p w14:paraId="284CCE67" w14:textId="77777777" w:rsidR="005C5AEF" w:rsidRPr="006A4CF2" w:rsidRDefault="005C5AEF" w:rsidP="00A3780A">
      <w:pPr>
        <w:pStyle w:val="Listeafsnit"/>
        <w:numPr>
          <w:ilvl w:val="0"/>
          <w:numId w:val="20"/>
        </w:numPr>
        <w:tabs>
          <w:tab w:val="clear" w:pos="567"/>
        </w:tabs>
        <w:spacing w:line="240" w:lineRule="auto"/>
        <w:ind w:left="1701" w:hanging="425"/>
        <w:rPr>
          <w:sz w:val="24"/>
          <w:szCs w:val="24"/>
        </w:rPr>
      </w:pPr>
      <w:proofErr w:type="spellStart"/>
      <w:r w:rsidRPr="006A4CF2">
        <w:rPr>
          <w:sz w:val="24"/>
          <w:szCs w:val="24"/>
        </w:rPr>
        <w:t>Præmedikation</w:t>
      </w:r>
      <w:proofErr w:type="spellEnd"/>
      <w:r w:rsidRPr="006A4CF2">
        <w:rPr>
          <w:sz w:val="24"/>
          <w:szCs w:val="24"/>
        </w:rPr>
        <w:t xml:space="preserve"> før induktion af anæstesi</w:t>
      </w:r>
    </w:p>
    <w:p w14:paraId="25970ABB" w14:textId="77777777" w:rsidR="005C5AEF" w:rsidRPr="006A4CF2" w:rsidRDefault="005C5AEF" w:rsidP="00A3780A">
      <w:pPr>
        <w:pStyle w:val="Listeafsnit"/>
        <w:numPr>
          <w:ilvl w:val="0"/>
          <w:numId w:val="19"/>
        </w:numPr>
        <w:tabs>
          <w:tab w:val="clear" w:pos="567"/>
        </w:tabs>
        <w:spacing w:line="240" w:lineRule="auto"/>
        <w:ind w:left="1276" w:hanging="425"/>
        <w:rPr>
          <w:sz w:val="24"/>
          <w:szCs w:val="24"/>
        </w:rPr>
      </w:pPr>
      <w:r w:rsidRPr="006A4CF2">
        <w:rPr>
          <w:sz w:val="24"/>
          <w:szCs w:val="24"/>
        </w:rPr>
        <w:t>SEDATION PÅ INTENSIVAFDELINGER</w:t>
      </w:r>
    </w:p>
    <w:p w14:paraId="1B9A8CAF" w14:textId="77777777" w:rsidR="009260DE" w:rsidRPr="000E70D5" w:rsidRDefault="009260DE" w:rsidP="00A3780A">
      <w:pPr>
        <w:tabs>
          <w:tab w:val="left" w:pos="851"/>
        </w:tabs>
        <w:ind w:left="851"/>
        <w:rPr>
          <w:sz w:val="24"/>
          <w:szCs w:val="24"/>
        </w:rPr>
      </w:pPr>
    </w:p>
    <w:p w14:paraId="1313DF3B" w14:textId="77777777" w:rsidR="009260DE" w:rsidRPr="000E70D5" w:rsidRDefault="009260DE" w:rsidP="009260DE">
      <w:pPr>
        <w:tabs>
          <w:tab w:val="left" w:pos="851"/>
        </w:tabs>
        <w:ind w:left="851" w:hanging="851"/>
        <w:rPr>
          <w:b/>
          <w:sz w:val="24"/>
          <w:szCs w:val="24"/>
        </w:rPr>
      </w:pPr>
      <w:r w:rsidRPr="000E70D5">
        <w:rPr>
          <w:b/>
          <w:sz w:val="24"/>
          <w:szCs w:val="24"/>
        </w:rPr>
        <w:t>4.2</w:t>
      </w:r>
      <w:r w:rsidRPr="000E70D5">
        <w:rPr>
          <w:b/>
          <w:sz w:val="24"/>
          <w:szCs w:val="24"/>
        </w:rPr>
        <w:tab/>
        <w:t xml:space="preserve">Dosering og </w:t>
      </w:r>
      <w:r w:rsidR="002C1EC0" w:rsidRPr="000E70D5">
        <w:rPr>
          <w:b/>
          <w:sz w:val="24"/>
          <w:szCs w:val="24"/>
        </w:rPr>
        <w:t>administration</w:t>
      </w:r>
    </w:p>
    <w:p w14:paraId="48D1AB0A" w14:textId="77777777" w:rsidR="006A4CF2" w:rsidRDefault="006A4CF2" w:rsidP="00445723">
      <w:pPr>
        <w:ind w:left="851"/>
        <w:rPr>
          <w:sz w:val="24"/>
          <w:szCs w:val="24"/>
        </w:rPr>
      </w:pPr>
    </w:p>
    <w:p w14:paraId="763E5103" w14:textId="68B6D336" w:rsidR="005C5AEF" w:rsidRPr="006A4CF2" w:rsidRDefault="005C5AEF" w:rsidP="00445723">
      <w:pPr>
        <w:ind w:left="851"/>
        <w:rPr>
          <w:sz w:val="24"/>
          <w:szCs w:val="24"/>
          <w:u w:val="single"/>
        </w:rPr>
      </w:pPr>
      <w:r w:rsidRPr="006A4CF2">
        <w:rPr>
          <w:sz w:val="24"/>
          <w:szCs w:val="24"/>
          <w:u w:val="single"/>
        </w:rPr>
        <w:t>Standarddosering</w:t>
      </w:r>
    </w:p>
    <w:p w14:paraId="4FB6CB03"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er et potent, sedativt stof, som kræver dosistitrering og langsom administration. Det anbefales på det kraftigste at titrere dosis for at opnå den ønskede sedationsgrad på en sikker måde i henhold til klinisk behov, fysisk status, alder og ledsagende medicin. Hos voksne over 60 år og hos svækkede eller kronisk syge patienter og pædiatriske patienter skal dosis bestemmes med forsigtighed, og den enkelte patients risikofaktorer skal tages i betragtning. Standarddoseringen fremgår af tabellen nedenfor. Yderligere oplysninger fremgår af teksten efter tabellen.</w:t>
      </w:r>
    </w:p>
    <w:p w14:paraId="329713B9" w14:textId="77777777" w:rsidR="005C5AEF" w:rsidRPr="000E70D5" w:rsidRDefault="005C5AEF" w:rsidP="00445723">
      <w:pPr>
        <w:ind w:left="851"/>
        <w:rPr>
          <w:sz w:val="24"/>
          <w:szCs w:val="24"/>
        </w:rPr>
      </w:pPr>
    </w:p>
    <w:tbl>
      <w:tblPr>
        <w:tblStyle w:val="TableNormal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841"/>
        <w:gridCol w:w="2591"/>
        <w:gridCol w:w="2593"/>
        <w:gridCol w:w="2593"/>
      </w:tblGrid>
      <w:tr w:rsidR="005C5AEF" w:rsidRPr="00A3780A" w14:paraId="1343F69D" w14:textId="77777777" w:rsidTr="006A4CF2">
        <w:tc>
          <w:tcPr>
            <w:tcW w:w="957" w:type="pct"/>
            <w:tcBorders>
              <w:top w:val="single" w:sz="8" w:space="0" w:color="000000"/>
              <w:left w:val="single" w:sz="8" w:space="0" w:color="000000"/>
              <w:bottom w:val="single" w:sz="8" w:space="0" w:color="000000"/>
              <w:right w:val="single" w:sz="8" w:space="0" w:color="000000"/>
            </w:tcBorders>
            <w:hideMark/>
          </w:tcPr>
          <w:p w14:paraId="68DC6DAE"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lastRenderedPageBreak/>
              <w:t>Indikation</w:t>
            </w:r>
          </w:p>
        </w:tc>
        <w:tc>
          <w:tcPr>
            <w:tcW w:w="1347" w:type="pct"/>
            <w:tcBorders>
              <w:top w:val="single" w:sz="8" w:space="0" w:color="000000"/>
              <w:left w:val="single" w:sz="8" w:space="0" w:color="000000"/>
              <w:bottom w:val="single" w:sz="8" w:space="0" w:color="000000"/>
              <w:right w:val="single" w:sz="8" w:space="0" w:color="000000"/>
            </w:tcBorders>
            <w:hideMark/>
          </w:tcPr>
          <w:p w14:paraId="6B68A55E"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Voksne &lt; 60 år</w:t>
            </w:r>
          </w:p>
        </w:tc>
        <w:tc>
          <w:tcPr>
            <w:tcW w:w="1348" w:type="pct"/>
            <w:tcBorders>
              <w:top w:val="single" w:sz="8" w:space="0" w:color="000000"/>
              <w:left w:val="single" w:sz="8" w:space="0" w:color="000000"/>
              <w:bottom w:val="single" w:sz="8" w:space="0" w:color="000000"/>
              <w:right w:val="single" w:sz="8" w:space="0" w:color="000000"/>
            </w:tcBorders>
            <w:hideMark/>
          </w:tcPr>
          <w:p w14:paraId="289CFC57"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Voksne ≥ 60 år/svækkede eller kronisk syge patienter</w:t>
            </w:r>
          </w:p>
        </w:tc>
        <w:tc>
          <w:tcPr>
            <w:tcW w:w="1348" w:type="pct"/>
            <w:tcBorders>
              <w:top w:val="single" w:sz="8" w:space="0" w:color="000000"/>
              <w:left w:val="single" w:sz="8" w:space="0" w:color="000000"/>
              <w:bottom w:val="single" w:sz="8" w:space="0" w:color="000000"/>
              <w:right w:val="single" w:sz="8" w:space="0" w:color="000000"/>
            </w:tcBorders>
            <w:hideMark/>
          </w:tcPr>
          <w:p w14:paraId="29894C61"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 xml:space="preserve">Børn </w:t>
            </w:r>
          </w:p>
        </w:tc>
      </w:tr>
      <w:tr w:rsidR="005C5AEF" w:rsidRPr="00A3780A" w14:paraId="130E28B3" w14:textId="77777777" w:rsidTr="006A4CF2">
        <w:tc>
          <w:tcPr>
            <w:tcW w:w="957" w:type="pct"/>
            <w:tcBorders>
              <w:top w:val="single" w:sz="8" w:space="0" w:color="000000"/>
              <w:left w:val="single" w:sz="8" w:space="0" w:color="000000"/>
              <w:bottom w:val="single" w:sz="8" w:space="0" w:color="000000"/>
              <w:right w:val="single" w:sz="8" w:space="0" w:color="000000"/>
            </w:tcBorders>
            <w:hideMark/>
          </w:tcPr>
          <w:p w14:paraId="3158A28D"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Sedation med bevaret bevidsthed</w:t>
            </w:r>
          </w:p>
        </w:tc>
        <w:tc>
          <w:tcPr>
            <w:tcW w:w="1347" w:type="pct"/>
            <w:tcBorders>
              <w:top w:val="single" w:sz="8" w:space="0" w:color="000000"/>
              <w:left w:val="single" w:sz="8" w:space="0" w:color="000000"/>
              <w:bottom w:val="single" w:sz="8" w:space="0" w:color="000000"/>
              <w:right w:val="single" w:sz="8" w:space="0" w:color="000000"/>
            </w:tcBorders>
            <w:hideMark/>
          </w:tcPr>
          <w:p w14:paraId="3060D9EF" w14:textId="77777777" w:rsidR="005C5AEF" w:rsidRPr="00A3780A" w:rsidRDefault="005C5AEF" w:rsidP="00A3780A">
            <w:pPr>
              <w:pStyle w:val="TableParagraph"/>
              <w:keepNext/>
              <w:ind w:left="0"/>
              <w:rPr>
                <w:rFonts w:ascii="Times New Roman" w:hAnsi="Times New Roman" w:cs="Times New Roman"/>
                <w:b/>
                <w:lang w:val="nb-NO"/>
              </w:rPr>
            </w:pPr>
            <w:r w:rsidRPr="00A3780A">
              <w:rPr>
                <w:rFonts w:ascii="Times New Roman" w:hAnsi="Times New Roman" w:cs="Times New Roman"/>
                <w:b/>
                <w:lang w:val="nb-NO"/>
              </w:rPr>
              <w:t>i.v.</w:t>
            </w:r>
          </w:p>
          <w:p w14:paraId="0E957015" w14:textId="77777777" w:rsidR="005C5AEF" w:rsidRPr="00A3780A" w:rsidRDefault="005C5AEF" w:rsidP="00A3780A">
            <w:pPr>
              <w:pStyle w:val="TableParagraph"/>
              <w:keepNext/>
              <w:ind w:left="0"/>
              <w:rPr>
                <w:rFonts w:ascii="Times New Roman" w:hAnsi="Times New Roman" w:cs="Times New Roman"/>
                <w:lang w:val="nb-NO"/>
              </w:rPr>
            </w:pPr>
            <w:r w:rsidRPr="00A3780A">
              <w:rPr>
                <w:rFonts w:ascii="Times New Roman" w:hAnsi="Times New Roman" w:cs="Times New Roman"/>
                <w:lang w:val="nb-NO"/>
              </w:rPr>
              <w:t>Initialdosis: 2-2,5 mg</w:t>
            </w:r>
          </w:p>
          <w:p w14:paraId="15F98955" w14:textId="77777777" w:rsidR="005C5AEF" w:rsidRPr="00A3780A" w:rsidRDefault="005C5AEF" w:rsidP="00A3780A">
            <w:pPr>
              <w:pStyle w:val="TableParagraph"/>
              <w:keepNext/>
              <w:ind w:left="0"/>
              <w:rPr>
                <w:rFonts w:ascii="Times New Roman" w:hAnsi="Times New Roman" w:cs="Times New Roman"/>
                <w:lang w:val="nb-NO"/>
              </w:rPr>
            </w:pPr>
            <w:r w:rsidRPr="00A3780A">
              <w:rPr>
                <w:rFonts w:ascii="Times New Roman" w:hAnsi="Times New Roman" w:cs="Times New Roman"/>
                <w:lang w:val="nb-NO"/>
              </w:rPr>
              <w:t>Titreringsdoser: 1 mg</w:t>
            </w:r>
          </w:p>
          <w:p w14:paraId="21164218"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b/>
                <w:bCs/>
              </w:rPr>
              <w:t>Totaldosis: 3,5-7,5 mg</w:t>
            </w:r>
          </w:p>
        </w:tc>
        <w:tc>
          <w:tcPr>
            <w:tcW w:w="1348" w:type="pct"/>
            <w:tcBorders>
              <w:top w:val="single" w:sz="8" w:space="0" w:color="000000"/>
              <w:left w:val="single" w:sz="8" w:space="0" w:color="000000"/>
              <w:bottom w:val="single" w:sz="8" w:space="0" w:color="000000"/>
              <w:right w:val="single" w:sz="8" w:space="0" w:color="000000"/>
            </w:tcBorders>
            <w:hideMark/>
          </w:tcPr>
          <w:p w14:paraId="6DF25FBE" w14:textId="77777777" w:rsidR="005C5AEF" w:rsidRPr="00A3780A" w:rsidRDefault="005C5AEF" w:rsidP="00A3780A">
            <w:pPr>
              <w:pStyle w:val="TableParagraph"/>
              <w:keepNext/>
              <w:ind w:left="0"/>
              <w:rPr>
                <w:rFonts w:ascii="Times New Roman" w:hAnsi="Times New Roman" w:cs="Times New Roman"/>
                <w:b/>
                <w:lang w:val="nb-NO"/>
              </w:rPr>
            </w:pPr>
            <w:r w:rsidRPr="00A3780A">
              <w:rPr>
                <w:rFonts w:ascii="Times New Roman" w:hAnsi="Times New Roman" w:cs="Times New Roman"/>
                <w:b/>
                <w:lang w:val="nb-NO"/>
              </w:rPr>
              <w:t>i.v.</w:t>
            </w:r>
          </w:p>
          <w:p w14:paraId="064FF1BD" w14:textId="77777777" w:rsidR="005C5AEF" w:rsidRPr="00A3780A" w:rsidRDefault="005C5AEF" w:rsidP="00A3780A">
            <w:pPr>
              <w:pStyle w:val="TableParagraph"/>
              <w:keepNext/>
              <w:ind w:left="0"/>
              <w:rPr>
                <w:rFonts w:ascii="Times New Roman" w:hAnsi="Times New Roman" w:cs="Times New Roman"/>
                <w:lang w:val="nb-NO"/>
              </w:rPr>
            </w:pPr>
            <w:r w:rsidRPr="00A3780A">
              <w:rPr>
                <w:rFonts w:ascii="Times New Roman" w:hAnsi="Times New Roman" w:cs="Times New Roman"/>
                <w:lang w:val="nb-NO"/>
              </w:rPr>
              <w:t>Initialdosis: 0,5-1 mg</w:t>
            </w:r>
          </w:p>
          <w:p w14:paraId="43F9A0EC" w14:textId="77777777" w:rsidR="005C5AEF" w:rsidRPr="00A3780A" w:rsidRDefault="005C5AEF" w:rsidP="00A3780A">
            <w:pPr>
              <w:pStyle w:val="TableParagraph"/>
              <w:keepNext/>
              <w:ind w:left="0"/>
              <w:rPr>
                <w:rFonts w:ascii="Times New Roman" w:hAnsi="Times New Roman" w:cs="Times New Roman"/>
                <w:lang w:val="nb-NO"/>
              </w:rPr>
            </w:pPr>
            <w:r w:rsidRPr="00A3780A">
              <w:rPr>
                <w:rFonts w:ascii="Times New Roman" w:hAnsi="Times New Roman" w:cs="Times New Roman"/>
                <w:lang w:val="nb-NO"/>
              </w:rPr>
              <w:t>Titreringsdoser:</w:t>
            </w:r>
          </w:p>
          <w:p w14:paraId="5A9F5F97"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0,5-1 mg</w:t>
            </w:r>
          </w:p>
          <w:p w14:paraId="2F23063D"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Totaldosis: &lt; 3,5 mg</w:t>
            </w:r>
          </w:p>
        </w:tc>
        <w:tc>
          <w:tcPr>
            <w:tcW w:w="1348" w:type="pct"/>
            <w:tcBorders>
              <w:top w:val="single" w:sz="8" w:space="0" w:color="000000"/>
              <w:left w:val="single" w:sz="8" w:space="0" w:color="000000"/>
              <w:bottom w:val="single" w:sz="8" w:space="0" w:color="000000"/>
              <w:right w:val="single" w:sz="8" w:space="0" w:color="000000"/>
            </w:tcBorders>
          </w:tcPr>
          <w:p w14:paraId="6DB31897" w14:textId="77777777" w:rsidR="005C5AEF" w:rsidRPr="00A3780A" w:rsidRDefault="005C5AEF" w:rsidP="00A3780A">
            <w:pPr>
              <w:keepNext/>
              <w:rPr>
                <w:rFonts w:ascii="Times New Roman" w:hAnsi="Times New Roman" w:cs="Times New Roman"/>
                <w:b/>
                <w:bCs/>
                <w:sz w:val="22"/>
              </w:rPr>
            </w:pPr>
            <w:proofErr w:type="spellStart"/>
            <w:r w:rsidRPr="00A3780A">
              <w:rPr>
                <w:rFonts w:ascii="Times New Roman" w:hAnsi="Times New Roman" w:cs="Times New Roman"/>
                <w:b/>
                <w:bCs/>
                <w:sz w:val="22"/>
              </w:rPr>
              <w:t>i.v</w:t>
            </w:r>
            <w:proofErr w:type="spellEnd"/>
            <w:r w:rsidRPr="00A3780A">
              <w:rPr>
                <w:rFonts w:ascii="Times New Roman" w:hAnsi="Times New Roman" w:cs="Times New Roman"/>
                <w:b/>
                <w:bCs/>
                <w:sz w:val="22"/>
              </w:rPr>
              <w:t>. (6 måneder – 5 år)</w:t>
            </w:r>
          </w:p>
          <w:p w14:paraId="0AC34F2C" w14:textId="77777777" w:rsidR="005C5AEF" w:rsidRPr="00A3780A" w:rsidRDefault="005C5AEF" w:rsidP="00A3780A">
            <w:pPr>
              <w:keepNext/>
              <w:rPr>
                <w:rFonts w:ascii="Times New Roman" w:hAnsi="Times New Roman" w:cs="Times New Roman"/>
                <w:sz w:val="22"/>
              </w:rPr>
            </w:pPr>
            <w:r w:rsidRPr="00A3780A">
              <w:rPr>
                <w:rFonts w:ascii="Times New Roman" w:hAnsi="Times New Roman" w:cs="Times New Roman"/>
                <w:sz w:val="22"/>
              </w:rPr>
              <w:t>Initialdosis: 0,5-0,1 mg/kg</w:t>
            </w:r>
          </w:p>
          <w:p w14:paraId="01C0F745" w14:textId="77777777" w:rsidR="005C5AEF" w:rsidRPr="00A3780A" w:rsidRDefault="005C5AEF" w:rsidP="00A3780A">
            <w:pPr>
              <w:keepNext/>
              <w:rPr>
                <w:rFonts w:ascii="Times New Roman" w:hAnsi="Times New Roman" w:cs="Times New Roman"/>
                <w:b/>
                <w:bCs/>
                <w:sz w:val="22"/>
              </w:rPr>
            </w:pPr>
            <w:r w:rsidRPr="00A3780A">
              <w:rPr>
                <w:rFonts w:ascii="Times New Roman" w:hAnsi="Times New Roman" w:cs="Times New Roman"/>
                <w:b/>
                <w:bCs/>
                <w:sz w:val="22"/>
              </w:rPr>
              <w:t>Totaldosis: &lt; 6</w:t>
            </w:r>
            <w:r w:rsidRPr="00A3780A">
              <w:rPr>
                <w:rFonts w:ascii="Times New Roman" w:eastAsia="Times New Roman" w:hAnsi="Times New Roman" w:cs="Times New Roman"/>
                <w:b/>
                <w:bCs/>
                <w:sz w:val="22"/>
              </w:rPr>
              <w:t> </w:t>
            </w:r>
            <w:r w:rsidRPr="00A3780A">
              <w:rPr>
                <w:rFonts w:ascii="Times New Roman" w:hAnsi="Times New Roman" w:cs="Times New Roman"/>
                <w:b/>
                <w:bCs/>
                <w:sz w:val="22"/>
              </w:rPr>
              <w:t>mg</w:t>
            </w:r>
          </w:p>
          <w:p w14:paraId="62DAD2F4" w14:textId="77777777" w:rsidR="005C5AEF" w:rsidRPr="00A3780A" w:rsidRDefault="005C5AEF" w:rsidP="00A3780A">
            <w:pPr>
              <w:keepNext/>
              <w:rPr>
                <w:rFonts w:ascii="Times New Roman" w:hAnsi="Times New Roman" w:cs="Times New Roman"/>
                <w:b/>
                <w:bCs/>
                <w:sz w:val="22"/>
              </w:rPr>
            </w:pPr>
          </w:p>
          <w:p w14:paraId="7FDBC004" w14:textId="77777777" w:rsidR="005C5AEF" w:rsidRPr="00A3780A" w:rsidRDefault="005C5AEF" w:rsidP="00A3780A">
            <w:pPr>
              <w:keepNext/>
              <w:rPr>
                <w:rFonts w:ascii="Times New Roman" w:hAnsi="Times New Roman" w:cs="Times New Roman"/>
                <w:b/>
                <w:bCs/>
                <w:sz w:val="22"/>
              </w:rPr>
            </w:pPr>
            <w:proofErr w:type="spellStart"/>
            <w:r w:rsidRPr="00A3780A">
              <w:rPr>
                <w:rFonts w:ascii="Times New Roman" w:hAnsi="Times New Roman" w:cs="Times New Roman"/>
                <w:b/>
                <w:bCs/>
                <w:sz w:val="22"/>
              </w:rPr>
              <w:t>i.v</w:t>
            </w:r>
            <w:proofErr w:type="spellEnd"/>
            <w:r w:rsidRPr="00A3780A">
              <w:rPr>
                <w:rFonts w:ascii="Times New Roman" w:hAnsi="Times New Roman" w:cs="Times New Roman"/>
                <w:b/>
                <w:bCs/>
                <w:sz w:val="22"/>
              </w:rPr>
              <w:t>. (6-12 år)</w:t>
            </w:r>
          </w:p>
          <w:p w14:paraId="2C626772" w14:textId="77777777" w:rsidR="005C5AEF" w:rsidRPr="00A3780A" w:rsidRDefault="005C5AEF" w:rsidP="00A3780A">
            <w:pPr>
              <w:suppressAutoHyphens/>
              <w:rPr>
                <w:rFonts w:ascii="Times New Roman" w:eastAsia="Segoe UI" w:hAnsi="Times New Roman" w:cs="Times New Roman"/>
                <w:sz w:val="22"/>
              </w:rPr>
            </w:pPr>
            <w:r w:rsidRPr="00A3780A">
              <w:rPr>
                <w:rFonts w:ascii="Times New Roman" w:eastAsia="Segoe UI" w:hAnsi="Times New Roman" w:cs="Times New Roman"/>
                <w:sz w:val="22"/>
              </w:rPr>
              <w:t>Initialdosis: 0,025-0,05 mg/kg</w:t>
            </w:r>
          </w:p>
          <w:p w14:paraId="56273BFB" w14:textId="77777777" w:rsidR="005C5AEF" w:rsidRPr="00A3780A" w:rsidRDefault="005C5AEF" w:rsidP="00A3780A">
            <w:pPr>
              <w:keepNext/>
              <w:rPr>
                <w:rFonts w:ascii="Times New Roman" w:hAnsi="Times New Roman" w:cs="Times New Roman"/>
                <w:b/>
                <w:bCs/>
                <w:sz w:val="22"/>
              </w:rPr>
            </w:pPr>
            <w:r w:rsidRPr="00A3780A">
              <w:rPr>
                <w:rFonts w:ascii="Times New Roman" w:hAnsi="Times New Roman" w:cs="Times New Roman"/>
                <w:b/>
                <w:bCs/>
                <w:sz w:val="22"/>
              </w:rPr>
              <w:t>Totaldosis: &lt;</w:t>
            </w:r>
            <w:r w:rsidRPr="00A3780A">
              <w:rPr>
                <w:rFonts w:ascii="Times New Roman" w:eastAsia="Times New Roman" w:hAnsi="Times New Roman" w:cs="Times New Roman"/>
                <w:b/>
                <w:bCs/>
                <w:sz w:val="22"/>
              </w:rPr>
              <w:t> </w:t>
            </w:r>
            <w:r w:rsidRPr="00A3780A">
              <w:rPr>
                <w:rFonts w:ascii="Times New Roman" w:hAnsi="Times New Roman" w:cs="Times New Roman"/>
                <w:b/>
                <w:bCs/>
                <w:sz w:val="22"/>
              </w:rPr>
              <w:t>10 mg</w:t>
            </w:r>
          </w:p>
          <w:p w14:paraId="3A34F589" w14:textId="77777777" w:rsidR="005C5AEF" w:rsidRPr="00A3780A" w:rsidRDefault="005C5AEF" w:rsidP="00A3780A">
            <w:pPr>
              <w:keepNext/>
              <w:rPr>
                <w:rFonts w:ascii="Times New Roman" w:hAnsi="Times New Roman" w:cs="Times New Roman"/>
                <w:b/>
                <w:bCs/>
                <w:sz w:val="22"/>
              </w:rPr>
            </w:pPr>
          </w:p>
          <w:p w14:paraId="1CBC4B15" w14:textId="77777777" w:rsidR="005C5AEF" w:rsidRPr="00A3780A" w:rsidRDefault="005C5AEF" w:rsidP="00A3780A">
            <w:pPr>
              <w:keepNext/>
              <w:rPr>
                <w:rFonts w:ascii="Times New Roman" w:hAnsi="Times New Roman" w:cs="Times New Roman"/>
                <w:b/>
                <w:bCs/>
                <w:sz w:val="22"/>
              </w:rPr>
            </w:pPr>
            <w:proofErr w:type="spellStart"/>
            <w:r w:rsidRPr="00A3780A">
              <w:rPr>
                <w:rFonts w:ascii="Times New Roman" w:hAnsi="Times New Roman" w:cs="Times New Roman"/>
                <w:b/>
                <w:bCs/>
                <w:sz w:val="22"/>
              </w:rPr>
              <w:t>Rektal</w:t>
            </w:r>
            <w:proofErr w:type="spellEnd"/>
            <w:r w:rsidRPr="00A3780A">
              <w:rPr>
                <w:rFonts w:ascii="Times New Roman" w:hAnsi="Times New Roman" w:cs="Times New Roman"/>
                <w:b/>
                <w:bCs/>
                <w:sz w:val="22"/>
              </w:rPr>
              <w:t xml:space="preserve"> (&gt;</w:t>
            </w:r>
            <w:r w:rsidRPr="00A3780A">
              <w:rPr>
                <w:rFonts w:ascii="Times New Roman" w:eastAsia="Times New Roman" w:hAnsi="Times New Roman" w:cs="Times New Roman"/>
                <w:b/>
                <w:bCs/>
                <w:sz w:val="22"/>
              </w:rPr>
              <w:t> </w:t>
            </w:r>
            <w:r w:rsidRPr="00A3780A">
              <w:rPr>
                <w:rFonts w:ascii="Times New Roman" w:hAnsi="Times New Roman" w:cs="Times New Roman"/>
                <w:b/>
                <w:bCs/>
                <w:sz w:val="22"/>
              </w:rPr>
              <w:t>6</w:t>
            </w:r>
            <w:r w:rsidRPr="00A3780A">
              <w:rPr>
                <w:rFonts w:ascii="Times New Roman" w:eastAsia="Times New Roman" w:hAnsi="Times New Roman" w:cs="Times New Roman"/>
                <w:b/>
                <w:bCs/>
                <w:sz w:val="22"/>
              </w:rPr>
              <w:t> </w:t>
            </w:r>
            <w:r w:rsidRPr="00A3780A">
              <w:rPr>
                <w:rFonts w:ascii="Times New Roman" w:hAnsi="Times New Roman" w:cs="Times New Roman"/>
                <w:b/>
                <w:bCs/>
                <w:sz w:val="22"/>
              </w:rPr>
              <w:t>måneder):</w:t>
            </w:r>
          </w:p>
          <w:p w14:paraId="7E9934F3" w14:textId="77777777" w:rsidR="005C5AEF" w:rsidRPr="00A3780A" w:rsidRDefault="005C5AEF" w:rsidP="00A3780A">
            <w:pPr>
              <w:suppressAutoHyphens/>
              <w:jc w:val="both"/>
              <w:rPr>
                <w:rFonts w:ascii="Times New Roman" w:eastAsia="Segoe UI" w:hAnsi="Times New Roman" w:cs="Times New Roman"/>
                <w:sz w:val="22"/>
              </w:rPr>
            </w:pPr>
            <w:r w:rsidRPr="00A3780A">
              <w:rPr>
                <w:rFonts w:ascii="Times New Roman" w:eastAsia="Segoe UI" w:hAnsi="Times New Roman" w:cs="Times New Roman"/>
                <w:sz w:val="22"/>
              </w:rPr>
              <w:t>0,3</w:t>
            </w:r>
            <w:r w:rsidRPr="00A3780A">
              <w:rPr>
                <w:rFonts w:ascii="Times New Roman" w:hAnsi="Times New Roman" w:cs="Times New Roman"/>
                <w:sz w:val="22"/>
              </w:rPr>
              <w:t>-</w:t>
            </w:r>
            <w:r w:rsidRPr="00A3780A">
              <w:rPr>
                <w:rFonts w:ascii="Times New Roman" w:eastAsia="Segoe UI" w:hAnsi="Times New Roman" w:cs="Times New Roman"/>
                <w:sz w:val="22"/>
              </w:rPr>
              <w:t>0,5 mg/kg</w:t>
            </w:r>
          </w:p>
          <w:p w14:paraId="569143B0" w14:textId="77777777" w:rsidR="005C5AEF" w:rsidRPr="00A3780A" w:rsidRDefault="005C5AEF" w:rsidP="00A3780A">
            <w:pPr>
              <w:keepNext/>
              <w:rPr>
                <w:rFonts w:ascii="Times New Roman" w:hAnsi="Times New Roman" w:cs="Times New Roman"/>
                <w:b/>
                <w:bCs/>
                <w:sz w:val="22"/>
              </w:rPr>
            </w:pPr>
          </w:p>
          <w:p w14:paraId="1DDEA90E" w14:textId="77777777" w:rsidR="005C5AEF" w:rsidRPr="00A3780A" w:rsidRDefault="005C5AEF" w:rsidP="00A3780A">
            <w:pPr>
              <w:keepNext/>
              <w:rPr>
                <w:rFonts w:ascii="Times New Roman" w:hAnsi="Times New Roman" w:cs="Times New Roman"/>
                <w:b/>
                <w:bCs/>
                <w:sz w:val="22"/>
              </w:rPr>
            </w:pPr>
            <w:proofErr w:type="spellStart"/>
            <w:r w:rsidRPr="00A3780A">
              <w:rPr>
                <w:rFonts w:ascii="Times New Roman" w:hAnsi="Times New Roman" w:cs="Times New Roman"/>
                <w:b/>
                <w:bCs/>
                <w:sz w:val="22"/>
              </w:rPr>
              <w:t>i.m</w:t>
            </w:r>
            <w:proofErr w:type="spellEnd"/>
            <w:r w:rsidRPr="00A3780A">
              <w:rPr>
                <w:rFonts w:ascii="Times New Roman" w:hAnsi="Times New Roman" w:cs="Times New Roman"/>
                <w:b/>
                <w:bCs/>
                <w:sz w:val="22"/>
              </w:rPr>
              <w:t>. (1-15 år)</w:t>
            </w:r>
          </w:p>
          <w:p w14:paraId="02084A11" w14:textId="77777777" w:rsidR="005C5AEF" w:rsidRPr="00A3780A" w:rsidRDefault="005C5AEF" w:rsidP="00A3780A">
            <w:pPr>
              <w:keepNext/>
              <w:rPr>
                <w:rFonts w:ascii="Times New Roman" w:eastAsia="Times New Roman" w:hAnsi="Times New Roman" w:cs="Times New Roman"/>
                <w:sz w:val="22"/>
              </w:rPr>
            </w:pPr>
            <w:r w:rsidRPr="00A3780A">
              <w:rPr>
                <w:rFonts w:ascii="Times New Roman" w:hAnsi="Times New Roman" w:cs="Times New Roman"/>
                <w:sz w:val="22"/>
              </w:rPr>
              <w:t>0,05-0,15 mg/kg</w:t>
            </w:r>
          </w:p>
        </w:tc>
      </w:tr>
      <w:tr w:rsidR="005C5AEF" w:rsidRPr="00A3780A" w14:paraId="4BA30360" w14:textId="77777777" w:rsidTr="006A4CF2">
        <w:tc>
          <w:tcPr>
            <w:tcW w:w="957" w:type="pct"/>
            <w:tcBorders>
              <w:top w:val="single" w:sz="8" w:space="0" w:color="000000"/>
              <w:left w:val="single" w:sz="8" w:space="0" w:color="000000"/>
              <w:bottom w:val="single" w:sz="8" w:space="0" w:color="000000"/>
              <w:right w:val="single" w:sz="8" w:space="0" w:color="000000"/>
            </w:tcBorders>
            <w:hideMark/>
          </w:tcPr>
          <w:p w14:paraId="213C0930" w14:textId="77777777" w:rsidR="005C5AEF" w:rsidRPr="00A3780A" w:rsidRDefault="005C5AEF" w:rsidP="00A3780A">
            <w:pPr>
              <w:pStyle w:val="TableParagraph"/>
              <w:keepNext/>
              <w:ind w:left="0"/>
              <w:rPr>
                <w:rFonts w:ascii="Times New Roman" w:hAnsi="Times New Roman" w:cs="Times New Roman"/>
              </w:rPr>
            </w:pPr>
            <w:proofErr w:type="spellStart"/>
            <w:r w:rsidRPr="00A3780A">
              <w:rPr>
                <w:rFonts w:ascii="Times New Roman" w:hAnsi="Times New Roman" w:cs="Times New Roman"/>
              </w:rPr>
              <w:t>Præmedikation</w:t>
            </w:r>
            <w:proofErr w:type="spellEnd"/>
            <w:r w:rsidRPr="00A3780A">
              <w:rPr>
                <w:rFonts w:ascii="Times New Roman" w:hAnsi="Times New Roman" w:cs="Times New Roman"/>
              </w:rPr>
              <w:t xml:space="preserve"> før anæstesi</w:t>
            </w:r>
            <w:r w:rsidRPr="00A3780A">
              <w:rPr>
                <w:rFonts w:ascii="Times New Roman" w:hAnsi="Times New Roman" w:cs="Times New Roman"/>
              </w:rPr>
              <w:br/>
            </w:r>
          </w:p>
        </w:tc>
        <w:tc>
          <w:tcPr>
            <w:tcW w:w="1347" w:type="pct"/>
            <w:tcBorders>
              <w:top w:val="single" w:sz="8" w:space="0" w:color="000000"/>
              <w:left w:val="single" w:sz="8" w:space="0" w:color="000000"/>
              <w:bottom w:val="single" w:sz="8" w:space="0" w:color="000000"/>
              <w:right w:val="single" w:sz="8" w:space="0" w:color="000000"/>
            </w:tcBorders>
            <w:hideMark/>
          </w:tcPr>
          <w:p w14:paraId="17393CB9"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w:t>
            </w:r>
          </w:p>
          <w:p w14:paraId="09DB4739" w14:textId="77777777" w:rsidR="005C5AEF" w:rsidRPr="00A3780A" w:rsidRDefault="005C5AEF" w:rsidP="00A3780A">
            <w:pPr>
              <w:pStyle w:val="TableParagraph"/>
              <w:keepNext/>
              <w:ind w:left="0"/>
              <w:jc w:val="both"/>
              <w:rPr>
                <w:rFonts w:ascii="Times New Roman" w:hAnsi="Times New Roman" w:cs="Times New Roman"/>
              </w:rPr>
            </w:pPr>
            <w:r w:rsidRPr="00A3780A">
              <w:rPr>
                <w:rFonts w:ascii="Times New Roman" w:hAnsi="Times New Roman" w:cs="Times New Roman"/>
              </w:rPr>
              <w:t xml:space="preserve">1-2 mg gentaget </w:t>
            </w:r>
          </w:p>
          <w:p w14:paraId="3C480A28" w14:textId="77777777" w:rsidR="005C5AEF" w:rsidRPr="00A3780A" w:rsidRDefault="005C5AEF" w:rsidP="00A3780A">
            <w:pPr>
              <w:pStyle w:val="TableParagraph"/>
              <w:keepNext/>
              <w:ind w:left="0"/>
              <w:jc w:val="both"/>
              <w:rPr>
                <w:rFonts w:ascii="Times New Roman" w:hAnsi="Times New Roman" w:cs="Times New Roman"/>
              </w:rPr>
            </w:pPr>
            <w:proofErr w:type="spellStart"/>
            <w:r w:rsidRPr="00A3780A">
              <w:rPr>
                <w:rFonts w:ascii="Times New Roman" w:hAnsi="Times New Roman" w:cs="Times New Roman"/>
                <w:b/>
              </w:rPr>
              <w:t>i.m</w:t>
            </w:r>
            <w:proofErr w:type="spellEnd"/>
            <w:r w:rsidRPr="00A3780A">
              <w:rPr>
                <w:rFonts w:ascii="Times New Roman" w:hAnsi="Times New Roman" w:cs="Times New Roman"/>
              </w:rPr>
              <w:t>.</w:t>
            </w:r>
          </w:p>
          <w:p w14:paraId="32BA8011"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0,07-0,1 mg/kg</w:t>
            </w:r>
          </w:p>
        </w:tc>
        <w:tc>
          <w:tcPr>
            <w:tcW w:w="1348" w:type="pct"/>
            <w:tcBorders>
              <w:top w:val="single" w:sz="8" w:space="0" w:color="000000"/>
              <w:left w:val="single" w:sz="8" w:space="0" w:color="000000"/>
              <w:bottom w:val="single" w:sz="8" w:space="0" w:color="000000"/>
              <w:right w:val="single" w:sz="8" w:space="0" w:color="000000"/>
            </w:tcBorders>
            <w:hideMark/>
          </w:tcPr>
          <w:p w14:paraId="37CFD65B"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w:t>
            </w:r>
          </w:p>
          <w:p w14:paraId="3B5F3428"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Initialdosis: 0,5 mg</w:t>
            </w:r>
          </w:p>
          <w:p w14:paraId="4E60A6DE"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 xml:space="preserve">Langsom </w:t>
            </w:r>
            <w:proofErr w:type="spellStart"/>
            <w:r w:rsidRPr="00A3780A">
              <w:rPr>
                <w:rFonts w:ascii="Times New Roman" w:hAnsi="Times New Roman" w:cs="Times New Roman"/>
              </w:rPr>
              <w:t>optitrering</w:t>
            </w:r>
            <w:proofErr w:type="spellEnd"/>
            <w:r w:rsidRPr="00A3780A">
              <w:rPr>
                <w:rFonts w:ascii="Times New Roman" w:hAnsi="Times New Roman" w:cs="Times New Roman"/>
              </w:rPr>
              <w:t xml:space="preserve"> efter </w:t>
            </w:r>
          </w:p>
          <w:p w14:paraId="6CEE5F4C"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 xml:space="preserve">behov </w:t>
            </w:r>
          </w:p>
          <w:p w14:paraId="0FCADFD9"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i.m</w:t>
            </w:r>
            <w:proofErr w:type="spellEnd"/>
            <w:r w:rsidRPr="00A3780A">
              <w:rPr>
                <w:rFonts w:ascii="Times New Roman" w:hAnsi="Times New Roman" w:cs="Times New Roman"/>
                <w:b/>
              </w:rPr>
              <w:t>.</w:t>
            </w:r>
          </w:p>
          <w:p w14:paraId="74FA3769"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0,025-0,05 mg/kg</w:t>
            </w:r>
          </w:p>
        </w:tc>
        <w:tc>
          <w:tcPr>
            <w:tcW w:w="1348" w:type="pct"/>
            <w:tcBorders>
              <w:top w:val="single" w:sz="8" w:space="0" w:color="000000"/>
              <w:left w:val="single" w:sz="8" w:space="0" w:color="000000"/>
              <w:bottom w:val="single" w:sz="8" w:space="0" w:color="000000"/>
              <w:right w:val="single" w:sz="8" w:space="0" w:color="000000"/>
            </w:tcBorders>
          </w:tcPr>
          <w:p w14:paraId="3E2C9E19" w14:textId="77777777" w:rsidR="005C5AEF" w:rsidRPr="00A3780A" w:rsidRDefault="005C5AEF" w:rsidP="00A3780A">
            <w:pPr>
              <w:keepNext/>
              <w:rPr>
                <w:rFonts w:ascii="Times New Roman" w:hAnsi="Times New Roman" w:cs="Times New Roman"/>
                <w:b/>
                <w:bCs/>
                <w:sz w:val="22"/>
              </w:rPr>
            </w:pPr>
            <w:proofErr w:type="spellStart"/>
            <w:r w:rsidRPr="00A3780A">
              <w:rPr>
                <w:rFonts w:ascii="Times New Roman" w:hAnsi="Times New Roman" w:cs="Times New Roman"/>
                <w:b/>
                <w:bCs/>
                <w:sz w:val="22"/>
              </w:rPr>
              <w:t>Rektal</w:t>
            </w:r>
            <w:proofErr w:type="spellEnd"/>
            <w:r w:rsidRPr="00A3780A">
              <w:rPr>
                <w:rFonts w:ascii="Times New Roman" w:hAnsi="Times New Roman" w:cs="Times New Roman"/>
                <w:b/>
                <w:bCs/>
                <w:sz w:val="22"/>
              </w:rPr>
              <w:t xml:space="preserve"> (&gt;</w:t>
            </w:r>
            <w:r w:rsidRPr="00A3780A">
              <w:rPr>
                <w:rFonts w:ascii="Times New Roman" w:eastAsia="Times New Roman" w:hAnsi="Times New Roman" w:cs="Times New Roman"/>
                <w:b/>
                <w:bCs/>
                <w:sz w:val="22"/>
              </w:rPr>
              <w:t> </w:t>
            </w:r>
            <w:r w:rsidRPr="00A3780A">
              <w:rPr>
                <w:rFonts w:ascii="Times New Roman" w:hAnsi="Times New Roman" w:cs="Times New Roman"/>
                <w:b/>
                <w:bCs/>
                <w:sz w:val="22"/>
              </w:rPr>
              <w:t>6</w:t>
            </w:r>
            <w:r w:rsidRPr="00A3780A">
              <w:rPr>
                <w:rFonts w:ascii="Times New Roman" w:eastAsia="Times New Roman" w:hAnsi="Times New Roman" w:cs="Times New Roman"/>
                <w:b/>
                <w:bCs/>
                <w:sz w:val="22"/>
              </w:rPr>
              <w:t> </w:t>
            </w:r>
            <w:r w:rsidRPr="00A3780A">
              <w:rPr>
                <w:rFonts w:ascii="Times New Roman" w:hAnsi="Times New Roman" w:cs="Times New Roman"/>
                <w:b/>
                <w:bCs/>
                <w:sz w:val="22"/>
              </w:rPr>
              <w:t>måneder)</w:t>
            </w:r>
          </w:p>
          <w:p w14:paraId="50B9EEBC" w14:textId="77777777" w:rsidR="005C5AEF" w:rsidRPr="00A3780A" w:rsidRDefault="005C5AEF" w:rsidP="00A3780A">
            <w:pPr>
              <w:suppressAutoHyphens/>
              <w:jc w:val="both"/>
              <w:rPr>
                <w:rFonts w:ascii="Times New Roman" w:eastAsia="Segoe UI" w:hAnsi="Times New Roman" w:cs="Times New Roman"/>
                <w:sz w:val="22"/>
              </w:rPr>
            </w:pPr>
            <w:r w:rsidRPr="00A3780A">
              <w:rPr>
                <w:rFonts w:ascii="Times New Roman" w:eastAsia="Segoe UI" w:hAnsi="Times New Roman" w:cs="Times New Roman"/>
                <w:sz w:val="22"/>
              </w:rPr>
              <w:t>0,3</w:t>
            </w:r>
            <w:r w:rsidRPr="00A3780A">
              <w:rPr>
                <w:rFonts w:ascii="Times New Roman" w:hAnsi="Times New Roman" w:cs="Times New Roman"/>
                <w:sz w:val="22"/>
              </w:rPr>
              <w:t>-</w:t>
            </w:r>
            <w:r w:rsidRPr="00A3780A">
              <w:rPr>
                <w:rFonts w:ascii="Times New Roman" w:eastAsia="Segoe UI" w:hAnsi="Times New Roman" w:cs="Times New Roman"/>
                <w:sz w:val="22"/>
              </w:rPr>
              <w:t>0,5 mg/kg</w:t>
            </w:r>
          </w:p>
          <w:p w14:paraId="08089158" w14:textId="77777777" w:rsidR="005C5AEF" w:rsidRPr="00A3780A" w:rsidRDefault="005C5AEF" w:rsidP="00A3780A">
            <w:pPr>
              <w:pStyle w:val="TableParagraph"/>
              <w:keepNext/>
              <w:ind w:left="0"/>
              <w:rPr>
                <w:rFonts w:ascii="Times New Roman" w:hAnsi="Times New Roman" w:cs="Times New Roman"/>
                <w:b/>
              </w:rPr>
            </w:pPr>
          </w:p>
          <w:p w14:paraId="4BBC97C9"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i.m</w:t>
            </w:r>
            <w:proofErr w:type="spellEnd"/>
            <w:r w:rsidRPr="00A3780A">
              <w:rPr>
                <w:rFonts w:ascii="Times New Roman" w:hAnsi="Times New Roman" w:cs="Times New Roman"/>
                <w:b/>
              </w:rPr>
              <w:t>. (1-11 år)</w:t>
            </w:r>
          </w:p>
          <w:p w14:paraId="1D17EA6A"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0,08-0,2 mg/kg</w:t>
            </w:r>
          </w:p>
          <w:p w14:paraId="3988A9AB" w14:textId="77777777" w:rsidR="005C5AEF" w:rsidRPr="00A3780A" w:rsidRDefault="005C5AEF" w:rsidP="00A3780A">
            <w:pPr>
              <w:pStyle w:val="TableParagraph"/>
              <w:keepNext/>
              <w:ind w:left="0"/>
              <w:rPr>
                <w:rFonts w:ascii="Times New Roman" w:hAnsi="Times New Roman" w:cs="Times New Roman"/>
              </w:rPr>
            </w:pPr>
          </w:p>
          <w:p w14:paraId="4AE1D1B3" w14:textId="77777777" w:rsidR="005C5AEF" w:rsidRPr="00A3780A" w:rsidRDefault="005C5AEF" w:rsidP="00A3780A">
            <w:pPr>
              <w:pStyle w:val="TableParagraph"/>
              <w:keepNext/>
              <w:ind w:left="0"/>
              <w:rPr>
                <w:rFonts w:ascii="Times New Roman" w:hAnsi="Times New Roman" w:cs="Times New Roman"/>
                <w:b/>
                <w:bCs/>
              </w:rPr>
            </w:pPr>
            <w:proofErr w:type="spellStart"/>
            <w:r w:rsidRPr="00A3780A">
              <w:rPr>
                <w:rFonts w:ascii="Times New Roman" w:hAnsi="Times New Roman" w:cs="Times New Roman"/>
                <w:b/>
                <w:bCs/>
              </w:rPr>
              <w:t>i.m</w:t>
            </w:r>
            <w:proofErr w:type="spellEnd"/>
            <w:r w:rsidRPr="00A3780A">
              <w:rPr>
                <w:rFonts w:ascii="Times New Roman" w:hAnsi="Times New Roman" w:cs="Times New Roman"/>
                <w:b/>
                <w:bCs/>
              </w:rPr>
              <w:t>. (12-18 år)</w:t>
            </w:r>
          </w:p>
          <w:p w14:paraId="54368BEE"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0,07-0,1 mg/kg</w:t>
            </w:r>
          </w:p>
        </w:tc>
      </w:tr>
      <w:tr w:rsidR="005C5AEF" w:rsidRPr="00A3780A" w14:paraId="0A84C6C7" w14:textId="77777777" w:rsidTr="006A4CF2">
        <w:tc>
          <w:tcPr>
            <w:tcW w:w="957" w:type="pct"/>
            <w:tcBorders>
              <w:top w:val="single" w:sz="8" w:space="0" w:color="000000"/>
              <w:left w:val="single" w:sz="8" w:space="0" w:color="000000"/>
              <w:bottom w:val="single" w:sz="8" w:space="0" w:color="000000"/>
              <w:right w:val="single" w:sz="8" w:space="0" w:color="000000"/>
            </w:tcBorders>
            <w:hideMark/>
          </w:tcPr>
          <w:p w14:paraId="47C55284"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Induktion af anæstesi</w:t>
            </w:r>
            <w:r w:rsidRPr="00A3780A">
              <w:rPr>
                <w:rFonts w:ascii="Times New Roman" w:hAnsi="Times New Roman" w:cs="Times New Roman"/>
              </w:rPr>
              <w:br/>
            </w:r>
          </w:p>
        </w:tc>
        <w:tc>
          <w:tcPr>
            <w:tcW w:w="1347" w:type="pct"/>
            <w:tcBorders>
              <w:top w:val="single" w:sz="8" w:space="0" w:color="000000"/>
              <w:left w:val="single" w:sz="8" w:space="0" w:color="000000"/>
              <w:bottom w:val="single" w:sz="8" w:space="0" w:color="000000"/>
              <w:right w:val="single" w:sz="8" w:space="0" w:color="000000"/>
            </w:tcBorders>
            <w:hideMark/>
          </w:tcPr>
          <w:p w14:paraId="77FB6738" w14:textId="77777777" w:rsidR="005C5AEF" w:rsidRPr="00A3780A" w:rsidRDefault="005C5AEF" w:rsidP="00A3780A">
            <w:pPr>
              <w:pStyle w:val="TableParagraph"/>
              <w:keepNext/>
              <w:ind w:left="0"/>
              <w:rPr>
                <w:rFonts w:ascii="Times New Roman" w:hAnsi="Times New Roman" w:cs="Times New Roman"/>
              </w:rPr>
            </w:pPr>
            <w:proofErr w:type="spellStart"/>
            <w:r w:rsidRPr="00A3780A">
              <w:rPr>
                <w:rFonts w:ascii="Times New Roman" w:hAnsi="Times New Roman" w:cs="Times New Roman"/>
                <w:b/>
              </w:rPr>
              <w:t>i.v</w:t>
            </w:r>
            <w:proofErr w:type="spellEnd"/>
            <w:r w:rsidRPr="00A3780A">
              <w:rPr>
                <w:rFonts w:ascii="Times New Roman" w:hAnsi="Times New Roman" w:cs="Times New Roman"/>
              </w:rPr>
              <w:t>.</w:t>
            </w:r>
          </w:p>
          <w:p w14:paraId="02B3C450"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 xml:space="preserve">0,15-0,2 mg/kg </w:t>
            </w:r>
          </w:p>
          <w:p w14:paraId="457ED301"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 xml:space="preserve">(0,3-0,35 mg/kg uden </w:t>
            </w:r>
            <w:proofErr w:type="spellStart"/>
            <w:r w:rsidRPr="00A3780A">
              <w:rPr>
                <w:rFonts w:ascii="Times New Roman" w:hAnsi="Times New Roman" w:cs="Times New Roman"/>
              </w:rPr>
              <w:t>præmedikation</w:t>
            </w:r>
            <w:proofErr w:type="spellEnd"/>
            <w:r w:rsidRPr="00A3780A">
              <w:rPr>
                <w:rFonts w:ascii="Times New Roman" w:hAnsi="Times New Roman" w:cs="Times New Roman"/>
              </w:rPr>
              <w:t>)</w:t>
            </w:r>
          </w:p>
        </w:tc>
        <w:tc>
          <w:tcPr>
            <w:tcW w:w="1348" w:type="pct"/>
            <w:tcBorders>
              <w:top w:val="single" w:sz="8" w:space="0" w:color="000000"/>
              <w:left w:val="single" w:sz="8" w:space="0" w:color="000000"/>
              <w:bottom w:val="single" w:sz="8" w:space="0" w:color="000000"/>
              <w:right w:val="single" w:sz="8" w:space="0" w:color="000000"/>
            </w:tcBorders>
            <w:hideMark/>
          </w:tcPr>
          <w:p w14:paraId="2D71B212"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w:t>
            </w:r>
          </w:p>
          <w:p w14:paraId="7DC92BCF"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 xml:space="preserve">0,05-0,15 mg/kg </w:t>
            </w:r>
          </w:p>
          <w:p w14:paraId="29A2AB26"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 xml:space="preserve">(0,15-0,3 uden </w:t>
            </w:r>
            <w:proofErr w:type="spellStart"/>
            <w:r w:rsidRPr="00A3780A">
              <w:rPr>
                <w:rFonts w:ascii="Times New Roman" w:hAnsi="Times New Roman" w:cs="Times New Roman"/>
              </w:rPr>
              <w:t>præmedikation</w:t>
            </w:r>
            <w:proofErr w:type="spellEnd"/>
            <w:r w:rsidRPr="00A3780A">
              <w:rPr>
                <w:rFonts w:ascii="Times New Roman" w:hAnsi="Times New Roman" w:cs="Times New Roman"/>
              </w:rPr>
              <w:t>)</w:t>
            </w:r>
          </w:p>
        </w:tc>
        <w:tc>
          <w:tcPr>
            <w:tcW w:w="1348" w:type="pct"/>
            <w:tcBorders>
              <w:top w:val="single" w:sz="8" w:space="0" w:color="000000"/>
              <w:left w:val="single" w:sz="8" w:space="0" w:color="000000"/>
              <w:bottom w:val="single" w:sz="8" w:space="0" w:color="000000"/>
              <w:right w:val="single" w:sz="8" w:space="0" w:color="000000"/>
            </w:tcBorders>
          </w:tcPr>
          <w:p w14:paraId="608C8986" w14:textId="77777777" w:rsidR="005C5AEF" w:rsidRPr="00A3780A" w:rsidRDefault="005C5AEF" w:rsidP="00A3780A">
            <w:pPr>
              <w:pStyle w:val="TableParagraph"/>
              <w:keepNext/>
              <w:ind w:left="0"/>
              <w:rPr>
                <w:rFonts w:ascii="Times New Roman" w:hAnsi="Times New Roman" w:cs="Times New Roman"/>
              </w:rPr>
            </w:pPr>
          </w:p>
        </w:tc>
      </w:tr>
      <w:tr w:rsidR="005C5AEF" w:rsidRPr="00A3780A" w14:paraId="14786B6D" w14:textId="77777777" w:rsidTr="006A4CF2">
        <w:tc>
          <w:tcPr>
            <w:tcW w:w="957" w:type="pct"/>
            <w:tcBorders>
              <w:top w:val="single" w:sz="8" w:space="0" w:color="000000"/>
              <w:left w:val="single" w:sz="8" w:space="0" w:color="000000"/>
              <w:bottom w:val="single" w:sz="8" w:space="0" w:color="000000"/>
              <w:right w:val="single" w:sz="8" w:space="0" w:color="000000"/>
            </w:tcBorders>
            <w:hideMark/>
          </w:tcPr>
          <w:p w14:paraId="22CA85C1"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Sedativ komponent ved kombinations-anæstesi</w:t>
            </w:r>
          </w:p>
        </w:tc>
        <w:tc>
          <w:tcPr>
            <w:tcW w:w="1347" w:type="pct"/>
            <w:tcBorders>
              <w:top w:val="single" w:sz="8" w:space="0" w:color="000000"/>
              <w:left w:val="single" w:sz="8" w:space="0" w:color="000000"/>
              <w:bottom w:val="single" w:sz="8" w:space="0" w:color="000000"/>
              <w:right w:val="single" w:sz="8" w:space="0" w:color="000000"/>
            </w:tcBorders>
            <w:hideMark/>
          </w:tcPr>
          <w:p w14:paraId="4E79FF33" w14:textId="77777777" w:rsidR="005C5AEF" w:rsidRPr="00A3780A" w:rsidRDefault="005C5AEF" w:rsidP="00A3780A">
            <w:pPr>
              <w:pStyle w:val="TableParagraph"/>
              <w:keepNext/>
              <w:ind w:left="0"/>
              <w:rPr>
                <w:rFonts w:ascii="Times New Roman" w:hAnsi="Times New Roman" w:cs="Times New Roman"/>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 xml:space="preserve">. </w:t>
            </w:r>
            <w:r w:rsidRPr="00A3780A">
              <w:rPr>
                <w:rFonts w:ascii="Times New Roman" w:hAnsi="Times New Roman" w:cs="Times New Roman"/>
              </w:rPr>
              <w:t xml:space="preserve">intermitterende doser à 0,03-0,1 mg/kg eller kontinuerlig infusion </w:t>
            </w:r>
          </w:p>
          <w:p w14:paraId="3940294F"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0,03-0,1 mg/kg/time</w:t>
            </w:r>
          </w:p>
        </w:tc>
        <w:tc>
          <w:tcPr>
            <w:tcW w:w="1348" w:type="pct"/>
            <w:tcBorders>
              <w:top w:val="single" w:sz="8" w:space="0" w:color="000000"/>
              <w:left w:val="single" w:sz="8" w:space="0" w:color="000000"/>
              <w:bottom w:val="single" w:sz="8" w:space="0" w:color="000000"/>
              <w:right w:val="single" w:sz="8" w:space="0" w:color="000000"/>
            </w:tcBorders>
            <w:hideMark/>
          </w:tcPr>
          <w:p w14:paraId="6D7D971C"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w:t>
            </w:r>
          </w:p>
          <w:p w14:paraId="061AFE18"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lavere doser end</w:t>
            </w:r>
            <w:r w:rsidRPr="00A3780A">
              <w:rPr>
                <w:rFonts w:ascii="Times New Roman" w:hAnsi="Times New Roman" w:cs="Times New Roman"/>
              </w:rPr>
              <w:br/>
              <w:t>anbefalet til voksne &lt;60 år</w:t>
            </w:r>
          </w:p>
        </w:tc>
        <w:tc>
          <w:tcPr>
            <w:tcW w:w="1348" w:type="pct"/>
            <w:tcBorders>
              <w:top w:val="single" w:sz="8" w:space="0" w:color="000000"/>
              <w:left w:val="single" w:sz="8" w:space="0" w:color="000000"/>
              <w:bottom w:val="single" w:sz="8" w:space="0" w:color="000000"/>
              <w:right w:val="single" w:sz="8" w:space="0" w:color="000000"/>
            </w:tcBorders>
          </w:tcPr>
          <w:p w14:paraId="54928801" w14:textId="77777777" w:rsidR="005C5AEF" w:rsidRPr="00A3780A" w:rsidRDefault="005C5AEF" w:rsidP="00A3780A">
            <w:pPr>
              <w:pStyle w:val="TableParagraph"/>
              <w:keepNext/>
              <w:ind w:left="0"/>
              <w:rPr>
                <w:rFonts w:ascii="Times New Roman" w:hAnsi="Times New Roman" w:cs="Times New Roman"/>
              </w:rPr>
            </w:pPr>
          </w:p>
        </w:tc>
      </w:tr>
      <w:tr w:rsidR="005C5AEF" w:rsidRPr="00A3780A" w14:paraId="2BCCEAA4" w14:textId="77777777" w:rsidTr="006A4CF2">
        <w:tc>
          <w:tcPr>
            <w:tcW w:w="957" w:type="pct"/>
            <w:tcBorders>
              <w:top w:val="single" w:sz="8" w:space="0" w:color="000000"/>
              <w:left w:val="single" w:sz="8" w:space="0" w:color="000000"/>
              <w:bottom w:val="single" w:sz="8" w:space="0" w:color="000000"/>
              <w:right w:val="single" w:sz="8" w:space="0" w:color="000000"/>
            </w:tcBorders>
            <w:hideMark/>
          </w:tcPr>
          <w:p w14:paraId="6ABDFF00" w14:textId="77777777" w:rsidR="005C5AEF" w:rsidRPr="00A3780A" w:rsidRDefault="005C5AEF" w:rsidP="00A3780A">
            <w:pPr>
              <w:pStyle w:val="TableParagraph"/>
              <w:keepNext/>
              <w:ind w:left="0"/>
              <w:rPr>
                <w:rFonts w:ascii="Times New Roman" w:hAnsi="Times New Roman" w:cs="Times New Roman"/>
                <w:spacing w:val="-2"/>
              </w:rPr>
            </w:pPr>
            <w:r w:rsidRPr="00A3780A">
              <w:rPr>
                <w:rFonts w:ascii="Times New Roman" w:hAnsi="Times New Roman" w:cs="Times New Roman"/>
              </w:rPr>
              <w:t>Sedation på intensivafdeling</w:t>
            </w:r>
          </w:p>
        </w:tc>
        <w:tc>
          <w:tcPr>
            <w:tcW w:w="2695" w:type="pct"/>
            <w:gridSpan w:val="2"/>
            <w:tcBorders>
              <w:top w:val="single" w:sz="8" w:space="0" w:color="000000"/>
              <w:left w:val="single" w:sz="8" w:space="0" w:color="000000"/>
              <w:bottom w:val="single" w:sz="8" w:space="0" w:color="000000"/>
              <w:right w:val="single" w:sz="8" w:space="0" w:color="000000"/>
            </w:tcBorders>
            <w:hideMark/>
          </w:tcPr>
          <w:p w14:paraId="15EC8B01"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w:t>
            </w:r>
          </w:p>
          <w:p w14:paraId="2E9D5D56"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 xml:space="preserve">Initialdosis: 0,03-0,3 mg/kg i trinvise øgninger på </w:t>
            </w:r>
          </w:p>
          <w:p w14:paraId="66127A04"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1-2,5 mg</w:t>
            </w:r>
          </w:p>
          <w:p w14:paraId="6DDFDA1F" w14:textId="77777777" w:rsidR="005C5AEF" w:rsidRPr="00A3780A" w:rsidRDefault="005C5AEF" w:rsidP="00A3780A">
            <w:pPr>
              <w:pStyle w:val="TableParagraph"/>
              <w:keepNext/>
              <w:ind w:left="0"/>
              <w:rPr>
                <w:rFonts w:ascii="Times New Roman" w:hAnsi="Times New Roman" w:cs="Times New Roman"/>
                <w:b/>
                <w:spacing w:val="-4"/>
              </w:rPr>
            </w:pPr>
            <w:r w:rsidRPr="00A3780A">
              <w:rPr>
                <w:rFonts w:ascii="Times New Roman" w:hAnsi="Times New Roman" w:cs="Times New Roman"/>
              </w:rPr>
              <w:t>Vedligeholdelsesdosis: 0,03-0,2 mg/kg/time</w:t>
            </w:r>
          </w:p>
        </w:tc>
        <w:tc>
          <w:tcPr>
            <w:tcW w:w="1348" w:type="pct"/>
            <w:tcBorders>
              <w:top w:val="single" w:sz="8" w:space="0" w:color="000000"/>
              <w:left w:val="single" w:sz="8" w:space="0" w:color="000000"/>
              <w:bottom w:val="single" w:sz="8" w:space="0" w:color="000000"/>
              <w:right w:val="single" w:sz="8" w:space="0" w:color="000000"/>
            </w:tcBorders>
          </w:tcPr>
          <w:p w14:paraId="3FBFBBF7"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 xml:space="preserve">. (nyfødte ≤ 32 ugers </w:t>
            </w:r>
            <w:proofErr w:type="spellStart"/>
            <w:r w:rsidRPr="00A3780A">
              <w:rPr>
                <w:rFonts w:ascii="Times New Roman" w:hAnsi="Times New Roman" w:cs="Times New Roman"/>
                <w:b/>
              </w:rPr>
              <w:t>gestationsalder</w:t>
            </w:r>
            <w:proofErr w:type="spellEnd"/>
            <w:r w:rsidRPr="00A3780A">
              <w:rPr>
                <w:rFonts w:ascii="Times New Roman" w:hAnsi="Times New Roman" w:cs="Times New Roman"/>
                <w:b/>
              </w:rPr>
              <w:t>):</w:t>
            </w:r>
          </w:p>
          <w:p w14:paraId="399AD15E" w14:textId="77777777" w:rsidR="005C5AEF" w:rsidRPr="00A3780A" w:rsidRDefault="005C5AEF" w:rsidP="00A3780A">
            <w:pPr>
              <w:pStyle w:val="TableParagraph"/>
              <w:keepNext/>
              <w:ind w:left="0"/>
              <w:rPr>
                <w:rFonts w:ascii="Times New Roman" w:hAnsi="Times New Roman" w:cs="Times New Roman"/>
                <w:bCs/>
              </w:rPr>
            </w:pPr>
            <w:r w:rsidRPr="00A3780A">
              <w:rPr>
                <w:rFonts w:ascii="Times New Roman" w:hAnsi="Times New Roman" w:cs="Times New Roman"/>
                <w:bCs/>
              </w:rPr>
              <w:t>0,03 mg/kg/time</w:t>
            </w:r>
          </w:p>
          <w:p w14:paraId="035EC670" w14:textId="77777777" w:rsidR="005C5AEF" w:rsidRPr="00A3780A" w:rsidRDefault="005C5AEF" w:rsidP="00A3780A">
            <w:pPr>
              <w:pStyle w:val="TableParagraph"/>
              <w:keepNext/>
              <w:ind w:left="0"/>
              <w:rPr>
                <w:rFonts w:ascii="Times New Roman" w:hAnsi="Times New Roman" w:cs="Times New Roman"/>
                <w:bCs/>
              </w:rPr>
            </w:pPr>
          </w:p>
          <w:p w14:paraId="65EF6E82" w14:textId="77777777" w:rsidR="005C5AEF" w:rsidRPr="00A3780A" w:rsidRDefault="005C5AEF" w:rsidP="00A3780A">
            <w:pPr>
              <w:pStyle w:val="TableParagraph"/>
              <w:keepNext/>
              <w:ind w:left="0"/>
              <w:rPr>
                <w:rFonts w:ascii="Times New Roman" w:hAnsi="Times New Roman" w:cs="Times New Roman"/>
                <w:bCs/>
              </w:rPr>
            </w:pPr>
            <w:proofErr w:type="spellStart"/>
            <w:r w:rsidRPr="00A3780A">
              <w:rPr>
                <w:rFonts w:ascii="Times New Roman" w:hAnsi="Times New Roman" w:cs="Times New Roman"/>
                <w:b/>
                <w:bCs/>
              </w:rPr>
              <w:t>i.v</w:t>
            </w:r>
            <w:proofErr w:type="spellEnd"/>
            <w:r w:rsidRPr="00A3780A">
              <w:rPr>
                <w:rFonts w:ascii="Times New Roman" w:hAnsi="Times New Roman" w:cs="Times New Roman"/>
                <w:b/>
                <w:bCs/>
              </w:rPr>
              <w:t xml:space="preserve">. (nyfødte &gt; 32 ugers </w:t>
            </w:r>
            <w:proofErr w:type="spellStart"/>
            <w:r w:rsidRPr="00A3780A">
              <w:rPr>
                <w:rFonts w:ascii="Times New Roman" w:hAnsi="Times New Roman" w:cs="Times New Roman"/>
                <w:b/>
                <w:bCs/>
              </w:rPr>
              <w:t>gestationsalder</w:t>
            </w:r>
            <w:proofErr w:type="spellEnd"/>
            <w:r w:rsidRPr="00A3780A">
              <w:rPr>
                <w:rFonts w:ascii="Times New Roman" w:hAnsi="Times New Roman" w:cs="Times New Roman"/>
                <w:b/>
                <w:bCs/>
              </w:rPr>
              <w:t xml:space="preserve"> og børn op til 6 måneder): </w:t>
            </w:r>
            <w:r w:rsidRPr="00A3780A">
              <w:rPr>
                <w:rFonts w:ascii="Times New Roman" w:hAnsi="Times New Roman" w:cs="Times New Roman"/>
              </w:rPr>
              <w:t>0,06 mg/kg/time</w:t>
            </w:r>
          </w:p>
          <w:p w14:paraId="2D6F576E" w14:textId="77777777" w:rsidR="005C5AEF" w:rsidRPr="00A3780A" w:rsidRDefault="005C5AEF" w:rsidP="00A3780A">
            <w:pPr>
              <w:pStyle w:val="TableParagraph"/>
              <w:keepNext/>
              <w:ind w:left="0"/>
              <w:rPr>
                <w:rFonts w:ascii="Times New Roman" w:hAnsi="Times New Roman" w:cs="Times New Roman"/>
                <w:b/>
              </w:rPr>
            </w:pPr>
          </w:p>
          <w:p w14:paraId="2379E783"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 (&gt; 6 måneder op til 11 år):</w:t>
            </w:r>
          </w:p>
          <w:p w14:paraId="16B34A2F"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Initialdosis: 0,05-0,2 </w:t>
            </w:r>
            <w:r w:rsidRPr="00A3780A">
              <w:rPr>
                <w:rFonts w:ascii="Times New Roman" w:hAnsi="Times New Roman" w:cs="Times New Roman"/>
                <w:spacing w:val="-2"/>
              </w:rPr>
              <w:t>mg/kg</w:t>
            </w:r>
          </w:p>
          <w:p w14:paraId="7731AC63"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Vedligeholdelsesdosis: 0,06-0,12 mg/kg/time</w:t>
            </w:r>
          </w:p>
          <w:p w14:paraId="47AF3E76" w14:textId="77777777" w:rsidR="005C5AEF" w:rsidRPr="00A3780A" w:rsidRDefault="005C5AEF" w:rsidP="00A3780A">
            <w:pPr>
              <w:pStyle w:val="TableParagraph"/>
              <w:keepNext/>
              <w:ind w:left="0"/>
              <w:rPr>
                <w:rFonts w:ascii="Times New Roman" w:hAnsi="Times New Roman" w:cs="Times New Roman"/>
                <w:b/>
              </w:rPr>
            </w:pPr>
          </w:p>
          <w:p w14:paraId="28FC0F4F"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 (&gt; 6 måneder op til 11 år):</w:t>
            </w:r>
          </w:p>
          <w:p w14:paraId="68E40664"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Initialdosis:</w:t>
            </w:r>
            <w:r w:rsidRPr="00A3780A">
              <w:rPr>
                <w:rFonts w:ascii="Times New Roman" w:hAnsi="Times New Roman" w:cs="Times New Roman"/>
                <w:spacing w:val="-4"/>
              </w:rPr>
              <w:t xml:space="preserve"> </w:t>
            </w:r>
            <w:r w:rsidRPr="00A3780A">
              <w:rPr>
                <w:rFonts w:ascii="Times New Roman" w:hAnsi="Times New Roman" w:cs="Times New Roman"/>
              </w:rPr>
              <w:t>0,05-0,2 </w:t>
            </w:r>
            <w:r w:rsidRPr="00A3780A">
              <w:rPr>
                <w:rFonts w:ascii="Times New Roman" w:hAnsi="Times New Roman" w:cs="Times New Roman"/>
                <w:spacing w:val="-2"/>
              </w:rPr>
              <w:t>mg/kg</w:t>
            </w:r>
          </w:p>
          <w:p w14:paraId="0ED6091E"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Vedligeholdelsesdosis: 0,06-0,12 mg/kg/time</w:t>
            </w:r>
          </w:p>
          <w:p w14:paraId="44286EC2" w14:textId="77777777" w:rsidR="005C5AEF" w:rsidRPr="00A3780A" w:rsidRDefault="005C5AEF" w:rsidP="00A3780A">
            <w:pPr>
              <w:pStyle w:val="TableParagraph"/>
              <w:keepNext/>
              <w:ind w:left="0"/>
              <w:rPr>
                <w:rFonts w:ascii="Times New Roman" w:hAnsi="Times New Roman" w:cs="Times New Roman"/>
                <w:b/>
              </w:rPr>
            </w:pPr>
          </w:p>
          <w:p w14:paraId="5E2DDE6B" w14:textId="77777777" w:rsidR="005C5AEF" w:rsidRPr="00A3780A" w:rsidRDefault="005C5AEF" w:rsidP="00A3780A">
            <w:pPr>
              <w:pStyle w:val="TableParagraph"/>
              <w:keepNext/>
              <w:ind w:left="0"/>
              <w:rPr>
                <w:rFonts w:ascii="Times New Roman" w:hAnsi="Times New Roman" w:cs="Times New Roman"/>
                <w:b/>
              </w:rPr>
            </w:pPr>
            <w:proofErr w:type="spellStart"/>
            <w:r w:rsidRPr="00A3780A">
              <w:rPr>
                <w:rFonts w:ascii="Times New Roman" w:hAnsi="Times New Roman" w:cs="Times New Roman"/>
                <w:b/>
              </w:rPr>
              <w:t>i.v</w:t>
            </w:r>
            <w:proofErr w:type="spellEnd"/>
            <w:r w:rsidRPr="00A3780A">
              <w:rPr>
                <w:rFonts w:ascii="Times New Roman" w:hAnsi="Times New Roman" w:cs="Times New Roman"/>
                <w:b/>
              </w:rPr>
              <w:t>. (≥ 12 år):</w:t>
            </w:r>
          </w:p>
          <w:p w14:paraId="20BA95D3" w14:textId="77777777" w:rsidR="005C5AEF" w:rsidRPr="00A3780A" w:rsidRDefault="005C5AEF" w:rsidP="00A3780A">
            <w:pPr>
              <w:pStyle w:val="TableParagraph"/>
              <w:keepNext/>
              <w:ind w:left="0"/>
              <w:rPr>
                <w:rFonts w:ascii="Times New Roman" w:hAnsi="Times New Roman" w:cs="Times New Roman"/>
              </w:rPr>
            </w:pPr>
            <w:r w:rsidRPr="00A3780A">
              <w:rPr>
                <w:rFonts w:ascii="Times New Roman" w:hAnsi="Times New Roman" w:cs="Times New Roman"/>
              </w:rPr>
              <w:t>Initialdosis:</w:t>
            </w:r>
            <w:r w:rsidRPr="00A3780A">
              <w:rPr>
                <w:rFonts w:ascii="Times New Roman" w:hAnsi="Times New Roman" w:cs="Times New Roman"/>
                <w:spacing w:val="-4"/>
              </w:rPr>
              <w:t xml:space="preserve"> </w:t>
            </w:r>
            <w:r w:rsidRPr="00A3780A">
              <w:rPr>
                <w:rFonts w:ascii="Times New Roman" w:hAnsi="Times New Roman" w:cs="Times New Roman"/>
              </w:rPr>
              <w:t>0,05-0,2 </w:t>
            </w:r>
            <w:r w:rsidRPr="00A3780A">
              <w:rPr>
                <w:rFonts w:ascii="Times New Roman" w:hAnsi="Times New Roman" w:cs="Times New Roman"/>
                <w:spacing w:val="-2"/>
              </w:rPr>
              <w:t>mg/kg</w:t>
            </w:r>
          </w:p>
          <w:p w14:paraId="31128929" w14:textId="77777777" w:rsidR="005C5AEF" w:rsidRPr="00A3780A" w:rsidRDefault="005C5AEF" w:rsidP="00A3780A">
            <w:pPr>
              <w:pStyle w:val="TableParagraph"/>
              <w:keepNext/>
              <w:ind w:left="0"/>
              <w:rPr>
                <w:rFonts w:ascii="Times New Roman" w:hAnsi="Times New Roman" w:cs="Times New Roman"/>
                <w:b/>
                <w:lang w:val="en-US"/>
              </w:rPr>
            </w:pPr>
            <w:r w:rsidRPr="00A3780A">
              <w:rPr>
                <w:rFonts w:ascii="Times New Roman" w:hAnsi="Times New Roman" w:cs="Times New Roman"/>
                <w:lang w:val="fr-FR"/>
              </w:rPr>
              <w:t>Vedligeholdelsesdosis: 0,03-0,12 mg/kg/time</w:t>
            </w:r>
          </w:p>
          <w:p w14:paraId="2F24A4A4" w14:textId="77777777" w:rsidR="005C5AEF" w:rsidRPr="00A3780A" w:rsidRDefault="005C5AEF" w:rsidP="00A3780A">
            <w:pPr>
              <w:pStyle w:val="TableParagraph"/>
              <w:keepNext/>
              <w:ind w:left="0"/>
              <w:rPr>
                <w:rFonts w:ascii="Times New Roman" w:hAnsi="Times New Roman" w:cs="Times New Roman"/>
              </w:rPr>
            </w:pPr>
          </w:p>
        </w:tc>
      </w:tr>
    </w:tbl>
    <w:p w14:paraId="6F525EDB" w14:textId="77777777" w:rsidR="005C5AEF" w:rsidRPr="000E70D5" w:rsidRDefault="005C5AEF" w:rsidP="00445723">
      <w:pPr>
        <w:ind w:left="851"/>
        <w:rPr>
          <w:sz w:val="24"/>
          <w:szCs w:val="24"/>
        </w:rPr>
      </w:pPr>
    </w:p>
    <w:p w14:paraId="1EDB9D20" w14:textId="77777777" w:rsidR="005C5AEF" w:rsidRPr="006A4CF2" w:rsidRDefault="005C5AEF" w:rsidP="006A4CF2">
      <w:pPr>
        <w:pStyle w:val="Listeafsnit"/>
        <w:numPr>
          <w:ilvl w:val="0"/>
          <w:numId w:val="21"/>
        </w:numPr>
        <w:tabs>
          <w:tab w:val="clear" w:pos="567"/>
        </w:tabs>
        <w:ind w:left="1276" w:hanging="425"/>
        <w:rPr>
          <w:sz w:val="24"/>
          <w:szCs w:val="24"/>
          <w:u w:val="single"/>
        </w:rPr>
      </w:pPr>
      <w:r w:rsidRPr="006A4CF2">
        <w:rPr>
          <w:sz w:val="24"/>
          <w:szCs w:val="24"/>
          <w:u w:val="single"/>
        </w:rPr>
        <w:t>DOSERING VED SEDATION MED BEVARET BEVIDSTHED</w:t>
      </w:r>
    </w:p>
    <w:p w14:paraId="6A27A3BF" w14:textId="77777777" w:rsidR="005C5AEF" w:rsidRPr="000E70D5" w:rsidRDefault="005C5AEF" w:rsidP="00445723">
      <w:pPr>
        <w:ind w:left="851"/>
        <w:rPr>
          <w:sz w:val="24"/>
          <w:szCs w:val="24"/>
        </w:rPr>
      </w:pPr>
      <w:r w:rsidRPr="000E70D5">
        <w:rPr>
          <w:sz w:val="24"/>
          <w:szCs w:val="24"/>
        </w:rPr>
        <w:t xml:space="preserve">Til sedation med bevaret bevidsthed før diagnostisk eller kirurgisk intervention administreres </w:t>
      </w:r>
      <w:proofErr w:type="spellStart"/>
      <w:r w:rsidRPr="000E70D5">
        <w:rPr>
          <w:sz w:val="24"/>
          <w:szCs w:val="24"/>
        </w:rPr>
        <w:t>midazolam</w:t>
      </w:r>
      <w:proofErr w:type="spellEnd"/>
      <w:r w:rsidRPr="000E70D5">
        <w:rPr>
          <w:sz w:val="24"/>
          <w:szCs w:val="24"/>
        </w:rPr>
        <w:t xml:space="preserve"> intravenøst. Dosis skal individualiseres og titreres og må ikke gives som en hurtig injektion eller som en enkelt </w:t>
      </w:r>
      <w:proofErr w:type="spellStart"/>
      <w:r w:rsidRPr="000E70D5">
        <w:rPr>
          <w:sz w:val="24"/>
          <w:szCs w:val="24"/>
        </w:rPr>
        <w:t>bolusinjektion</w:t>
      </w:r>
      <w:proofErr w:type="spellEnd"/>
      <w:r w:rsidRPr="000E70D5">
        <w:rPr>
          <w:sz w:val="24"/>
          <w:szCs w:val="24"/>
        </w:rPr>
        <w:t>.</w:t>
      </w:r>
    </w:p>
    <w:p w14:paraId="0DC1CF66" w14:textId="298C456B" w:rsidR="005C5AEF" w:rsidRPr="000E70D5" w:rsidRDefault="005C5AEF" w:rsidP="00445723">
      <w:pPr>
        <w:ind w:left="851"/>
        <w:rPr>
          <w:sz w:val="24"/>
          <w:szCs w:val="24"/>
        </w:rPr>
      </w:pPr>
      <w:r w:rsidRPr="000E70D5">
        <w:rPr>
          <w:sz w:val="24"/>
          <w:szCs w:val="24"/>
        </w:rPr>
        <w:t>Indtræden af sedation kan variere individuelt, afhængigt af patientens fysiske status og omstændighederne ved behandlingen (</w:t>
      </w:r>
      <w:r w:rsidR="000815D2">
        <w:rPr>
          <w:sz w:val="24"/>
          <w:szCs w:val="24"/>
        </w:rPr>
        <w:t>f.eks.</w:t>
      </w:r>
      <w:r w:rsidRPr="000E70D5">
        <w:rPr>
          <w:sz w:val="24"/>
          <w:szCs w:val="24"/>
        </w:rPr>
        <w:t xml:space="preserve"> administrationshastighed, dosisstørrelse). Om nødvendigt kan der gives flere doser efter individuelt behov. Virkningen indtræder ca. 2 minutter efter injektionen. Maksimal virkning opnås efter ca. 5 til 10 minutter.</w:t>
      </w:r>
    </w:p>
    <w:p w14:paraId="5F3E3CF1" w14:textId="77777777" w:rsidR="005C5AEF" w:rsidRPr="000E70D5" w:rsidRDefault="005C5AEF" w:rsidP="00445723">
      <w:pPr>
        <w:ind w:left="851"/>
        <w:rPr>
          <w:sz w:val="24"/>
          <w:szCs w:val="24"/>
        </w:rPr>
      </w:pPr>
    </w:p>
    <w:p w14:paraId="71B4CEED" w14:textId="77777777" w:rsidR="005C5AEF" w:rsidRPr="000E70D5" w:rsidRDefault="005C5AEF" w:rsidP="00445723">
      <w:pPr>
        <w:ind w:left="851"/>
        <w:rPr>
          <w:i/>
          <w:iCs/>
          <w:sz w:val="24"/>
          <w:szCs w:val="24"/>
        </w:rPr>
      </w:pPr>
      <w:r w:rsidRPr="000E70D5">
        <w:rPr>
          <w:i/>
          <w:iCs/>
          <w:sz w:val="24"/>
          <w:szCs w:val="24"/>
        </w:rPr>
        <w:t>Voksne</w:t>
      </w:r>
    </w:p>
    <w:p w14:paraId="40735116" w14:textId="77777777" w:rsidR="005C5AEF" w:rsidRPr="000E70D5" w:rsidRDefault="005C5AEF" w:rsidP="00445723">
      <w:pPr>
        <w:ind w:left="851"/>
        <w:rPr>
          <w:sz w:val="24"/>
          <w:szCs w:val="24"/>
        </w:rPr>
      </w:pPr>
      <w:r w:rsidRPr="000E70D5">
        <w:rPr>
          <w:sz w:val="24"/>
          <w:szCs w:val="24"/>
        </w:rPr>
        <w:t xml:space="preserve">Intravenøs injektion af </w:t>
      </w:r>
      <w:proofErr w:type="spellStart"/>
      <w:r w:rsidRPr="000E70D5">
        <w:rPr>
          <w:sz w:val="24"/>
          <w:szCs w:val="24"/>
        </w:rPr>
        <w:t>midazolam</w:t>
      </w:r>
      <w:proofErr w:type="spellEnd"/>
      <w:r w:rsidRPr="000E70D5">
        <w:rPr>
          <w:sz w:val="24"/>
          <w:szCs w:val="24"/>
        </w:rPr>
        <w:t xml:space="preserve"> skal gives langsomt med en hastighed på ca. 1 mg pr. 30 sekunder.</w:t>
      </w:r>
    </w:p>
    <w:p w14:paraId="22FA7D8E" w14:textId="77777777" w:rsidR="005C5AEF" w:rsidRPr="000E70D5" w:rsidRDefault="005C5AEF" w:rsidP="00445723">
      <w:pPr>
        <w:ind w:left="851"/>
        <w:rPr>
          <w:sz w:val="24"/>
          <w:szCs w:val="24"/>
        </w:rPr>
      </w:pPr>
      <w:r w:rsidRPr="000E70D5">
        <w:rPr>
          <w:sz w:val="24"/>
          <w:szCs w:val="24"/>
        </w:rPr>
        <w:t>Hos voksne under 60 år er</w:t>
      </w:r>
      <w:r w:rsidRPr="000E70D5">
        <w:rPr>
          <w:i/>
          <w:iCs/>
          <w:sz w:val="24"/>
          <w:szCs w:val="24"/>
        </w:rPr>
        <w:t xml:space="preserve"> </w:t>
      </w:r>
      <w:r w:rsidRPr="000E70D5">
        <w:rPr>
          <w:sz w:val="24"/>
          <w:szCs w:val="24"/>
        </w:rPr>
        <w:t>initialdosis 2 til 2,5 mg administreret 5 til 10 minutter før, proceduren begynder. Om nødvendigt kan der gives flere doser på 1 mg. Den gennemsnitlige totaldosis har varieret fra 3,5 til 7,5 mg. Normalt er det ikke nødvendigt med en totaldosis over 5 mg.</w:t>
      </w:r>
    </w:p>
    <w:p w14:paraId="7EAF6BC7" w14:textId="77777777" w:rsidR="005C5AEF" w:rsidRPr="000E70D5" w:rsidRDefault="005C5AEF" w:rsidP="00445723">
      <w:pPr>
        <w:ind w:left="851"/>
        <w:rPr>
          <w:sz w:val="24"/>
          <w:szCs w:val="24"/>
        </w:rPr>
      </w:pPr>
    </w:p>
    <w:p w14:paraId="2AC69E2A" w14:textId="77777777" w:rsidR="005C5AEF" w:rsidRPr="000E70D5" w:rsidRDefault="005C5AEF" w:rsidP="00445723">
      <w:pPr>
        <w:ind w:left="851"/>
        <w:rPr>
          <w:sz w:val="24"/>
          <w:szCs w:val="24"/>
        </w:rPr>
      </w:pPr>
      <w:r w:rsidRPr="000E70D5">
        <w:rPr>
          <w:sz w:val="24"/>
          <w:szCs w:val="24"/>
        </w:rPr>
        <w:t xml:space="preserve">Hos voksne over 60 år samt svækkede og kronisk syge patienter skal initialdosis reduceres til 0,5-1,0 mg og administreres 5-10 minutter før, proceduren begynder. Om nødvendigt kan der gives flere doser på 0,5 til 1 mg. Da maksimal virkning kan opnås mindre hurtigt hos disse patienter, bør yderligere </w:t>
      </w:r>
      <w:proofErr w:type="spellStart"/>
      <w:r w:rsidRPr="000E70D5">
        <w:rPr>
          <w:sz w:val="24"/>
          <w:szCs w:val="24"/>
        </w:rPr>
        <w:t>midazolam</w:t>
      </w:r>
      <w:proofErr w:type="spellEnd"/>
      <w:r w:rsidRPr="000E70D5">
        <w:rPr>
          <w:sz w:val="24"/>
          <w:szCs w:val="24"/>
        </w:rPr>
        <w:t xml:space="preserve"> titreres meget langsomt og forsigtigt. Normalt er det ikke nødvendigt med en totaldosis over 3,5 mg.</w:t>
      </w:r>
    </w:p>
    <w:p w14:paraId="62ADD4AB" w14:textId="77777777" w:rsidR="005C5AEF" w:rsidRPr="000E70D5" w:rsidRDefault="005C5AEF" w:rsidP="00445723">
      <w:pPr>
        <w:ind w:left="851"/>
        <w:rPr>
          <w:i/>
          <w:iCs/>
          <w:sz w:val="24"/>
          <w:szCs w:val="24"/>
        </w:rPr>
      </w:pPr>
    </w:p>
    <w:p w14:paraId="41C480A8" w14:textId="77777777" w:rsidR="005C5AEF" w:rsidRPr="000E70D5" w:rsidRDefault="005C5AEF" w:rsidP="00445723">
      <w:pPr>
        <w:ind w:left="851"/>
        <w:rPr>
          <w:i/>
          <w:iCs/>
          <w:sz w:val="24"/>
          <w:szCs w:val="24"/>
        </w:rPr>
      </w:pPr>
      <w:r w:rsidRPr="000E70D5">
        <w:rPr>
          <w:i/>
          <w:iCs/>
          <w:sz w:val="24"/>
          <w:szCs w:val="24"/>
        </w:rPr>
        <w:t xml:space="preserve">Pædiatrisk Population </w:t>
      </w:r>
    </w:p>
    <w:p w14:paraId="2A889363" w14:textId="77777777" w:rsidR="005C5AEF" w:rsidRPr="000E70D5" w:rsidRDefault="005C5AEF" w:rsidP="00445723">
      <w:pPr>
        <w:ind w:left="851"/>
        <w:rPr>
          <w:sz w:val="24"/>
          <w:szCs w:val="24"/>
        </w:rPr>
      </w:pPr>
      <w:r w:rsidRPr="000E70D5">
        <w:rPr>
          <w:b/>
          <w:bCs/>
          <w:sz w:val="24"/>
          <w:szCs w:val="24"/>
        </w:rPr>
        <w:t>Intravenøs administration</w:t>
      </w:r>
      <w:r w:rsidRPr="000E70D5">
        <w:rPr>
          <w:sz w:val="24"/>
          <w:szCs w:val="24"/>
        </w:rPr>
        <w:t xml:space="preserve">: </w:t>
      </w:r>
      <w:proofErr w:type="spellStart"/>
      <w:r w:rsidRPr="000E70D5">
        <w:rPr>
          <w:sz w:val="24"/>
          <w:szCs w:val="24"/>
        </w:rPr>
        <w:t>Midazolam</w:t>
      </w:r>
      <w:proofErr w:type="spellEnd"/>
      <w:r w:rsidRPr="000E70D5">
        <w:rPr>
          <w:sz w:val="24"/>
          <w:szCs w:val="24"/>
        </w:rPr>
        <w:t xml:space="preserve"> skal titreres langsomt, indtil den ønskede kliniske virkning er opnået. Den initiale dosis af </w:t>
      </w:r>
      <w:proofErr w:type="spellStart"/>
      <w:r w:rsidRPr="000E70D5">
        <w:rPr>
          <w:sz w:val="24"/>
          <w:szCs w:val="24"/>
        </w:rPr>
        <w:t>midazolam</w:t>
      </w:r>
      <w:proofErr w:type="spellEnd"/>
      <w:r w:rsidRPr="000E70D5">
        <w:rPr>
          <w:sz w:val="24"/>
          <w:szCs w:val="24"/>
        </w:rPr>
        <w:t xml:space="preserve"> skal administreres over 2 til 3 minutter. Før en procedure påbegyndes, eller en dosis gentages, skal man vente yderligere 2 til 5 minutter for at kunne bedømme den sedative virkning fuldt ud. Hvis det bliver nødvendigt med yderligere sedation, fortsættes med titrering med små trinvise øgninger, indtil det ønskede sedationsniveau er nået. Små børn under 5 år kan have brug for væsentligt højere doser (mg/kg) end ældre børn og unge (se pkt. 5.1).</w:t>
      </w:r>
    </w:p>
    <w:p w14:paraId="548AF516" w14:textId="77777777" w:rsidR="005C5AEF" w:rsidRPr="006A4CF2" w:rsidRDefault="005C5AEF" w:rsidP="00A3780A">
      <w:pPr>
        <w:pStyle w:val="Listeafsnit"/>
        <w:numPr>
          <w:ilvl w:val="0"/>
          <w:numId w:val="21"/>
        </w:numPr>
        <w:tabs>
          <w:tab w:val="clear" w:pos="567"/>
        </w:tabs>
        <w:spacing w:line="240" w:lineRule="auto"/>
        <w:ind w:left="1276" w:hanging="425"/>
        <w:rPr>
          <w:sz w:val="24"/>
          <w:szCs w:val="24"/>
        </w:rPr>
      </w:pPr>
      <w:r w:rsidRPr="006A4CF2">
        <w:rPr>
          <w:sz w:val="24"/>
          <w:szCs w:val="24"/>
        </w:rPr>
        <w:t xml:space="preserve">Pædiatriske patienter under 6 måneder: Pædiatriske patienter under 6 måneder er særligt sårbare over for luftvejsobstruktion og </w:t>
      </w:r>
      <w:proofErr w:type="spellStart"/>
      <w:r w:rsidRPr="006A4CF2">
        <w:rPr>
          <w:sz w:val="24"/>
          <w:szCs w:val="24"/>
        </w:rPr>
        <w:t>hypoventilation</w:t>
      </w:r>
      <w:proofErr w:type="spellEnd"/>
      <w:r w:rsidRPr="006A4CF2">
        <w:rPr>
          <w:sz w:val="24"/>
          <w:szCs w:val="24"/>
        </w:rPr>
        <w:t>. Af denne grund frarådes brug af sedation med bevaret bevidsthed hos børn under 6 måneder (se pkt. 4.4).</w:t>
      </w:r>
    </w:p>
    <w:p w14:paraId="71E928B4" w14:textId="77777777" w:rsidR="005C5AEF" w:rsidRPr="006A4CF2" w:rsidRDefault="005C5AEF" w:rsidP="00A3780A">
      <w:pPr>
        <w:pStyle w:val="Listeafsnit"/>
        <w:numPr>
          <w:ilvl w:val="0"/>
          <w:numId w:val="21"/>
        </w:numPr>
        <w:tabs>
          <w:tab w:val="clear" w:pos="567"/>
        </w:tabs>
        <w:spacing w:line="240" w:lineRule="auto"/>
        <w:ind w:left="1276" w:hanging="425"/>
        <w:rPr>
          <w:sz w:val="24"/>
          <w:szCs w:val="24"/>
        </w:rPr>
      </w:pPr>
      <w:r w:rsidRPr="006A4CF2">
        <w:rPr>
          <w:sz w:val="24"/>
          <w:szCs w:val="24"/>
        </w:rPr>
        <w:t xml:space="preserve">Pædiatriske patienter fra 6 måneder til 5 år: Initialdosis 0,05 til 0,1 mg/kg. En totaldosis op til 0,6 mg/kg kan være nødvendig for at nå det ønskede endepunkt, men totaldosen må ikke overstige 6 mg. Forlænget sedation og risiko for </w:t>
      </w:r>
      <w:proofErr w:type="spellStart"/>
      <w:r w:rsidRPr="006A4CF2">
        <w:rPr>
          <w:sz w:val="24"/>
          <w:szCs w:val="24"/>
        </w:rPr>
        <w:t>hypoventilation</w:t>
      </w:r>
      <w:proofErr w:type="spellEnd"/>
      <w:r w:rsidRPr="006A4CF2">
        <w:rPr>
          <w:sz w:val="24"/>
          <w:szCs w:val="24"/>
        </w:rPr>
        <w:t xml:space="preserve"> kan være forbundet med den højere dosis.</w:t>
      </w:r>
    </w:p>
    <w:p w14:paraId="18CB67D2" w14:textId="77777777" w:rsidR="005C5AEF" w:rsidRPr="006A4CF2" w:rsidRDefault="005C5AEF" w:rsidP="00A3780A">
      <w:pPr>
        <w:pStyle w:val="Listeafsnit"/>
        <w:numPr>
          <w:ilvl w:val="0"/>
          <w:numId w:val="21"/>
        </w:numPr>
        <w:tabs>
          <w:tab w:val="clear" w:pos="567"/>
        </w:tabs>
        <w:spacing w:line="240" w:lineRule="auto"/>
        <w:ind w:left="1276" w:hanging="425"/>
        <w:rPr>
          <w:sz w:val="24"/>
          <w:szCs w:val="24"/>
        </w:rPr>
      </w:pPr>
      <w:r w:rsidRPr="006A4CF2">
        <w:rPr>
          <w:sz w:val="24"/>
          <w:szCs w:val="24"/>
        </w:rPr>
        <w:t xml:space="preserve">Pædiatriske patienter fra 6 til 12 år: Initialdosis 0,025 til 0,05 mg/kg. En totaldosis på op til 0,4 mg/kg til maksimalt 10 mg kan være nødvendig. Forlænget sedation og risiko for </w:t>
      </w:r>
      <w:proofErr w:type="spellStart"/>
      <w:r w:rsidRPr="006A4CF2">
        <w:rPr>
          <w:sz w:val="24"/>
          <w:szCs w:val="24"/>
        </w:rPr>
        <w:t>hypoventilation</w:t>
      </w:r>
      <w:proofErr w:type="spellEnd"/>
      <w:r w:rsidRPr="006A4CF2">
        <w:rPr>
          <w:sz w:val="24"/>
          <w:szCs w:val="24"/>
        </w:rPr>
        <w:t xml:space="preserve"> kan være forbundet med den højere dosis.</w:t>
      </w:r>
    </w:p>
    <w:p w14:paraId="4E5AA274" w14:textId="77777777" w:rsidR="005C5AEF" w:rsidRPr="006A4CF2" w:rsidRDefault="005C5AEF" w:rsidP="00A3780A">
      <w:pPr>
        <w:pStyle w:val="Listeafsnit"/>
        <w:numPr>
          <w:ilvl w:val="0"/>
          <w:numId w:val="21"/>
        </w:numPr>
        <w:tabs>
          <w:tab w:val="clear" w:pos="567"/>
        </w:tabs>
        <w:spacing w:line="240" w:lineRule="auto"/>
        <w:ind w:left="1276" w:hanging="425"/>
        <w:rPr>
          <w:sz w:val="24"/>
          <w:szCs w:val="24"/>
        </w:rPr>
      </w:pPr>
      <w:r w:rsidRPr="006A4CF2">
        <w:rPr>
          <w:sz w:val="24"/>
          <w:szCs w:val="24"/>
        </w:rPr>
        <w:t>Pædiatriske patienter fra 12 til 18 år: samme dosis som voksne.</w:t>
      </w:r>
    </w:p>
    <w:p w14:paraId="06171AB4" w14:textId="77777777" w:rsidR="005C5AEF" w:rsidRPr="000E70D5" w:rsidRDefault="005C5AEF" w:rsidP="00445723">
      <w:pPr>
        <w:ind w:left="851"/>
        <w:rPr>
          <w:sz w:val="24"/>
          <w:szCs w:val="24"/>
        </w:rPr>
      </w:pPr>
    </w:p>
    <w:p w14:paraId="3F6827B5" w14:textId="77777777" w:rsidR="005C5AEF" w:rsidRPr="000E70D5" w:rsidRDefault="005C5AEF" w:rsidP="00A3780A">
      <w:pPr>
        <w:ind w:left="851"/>
        <w:rPr>
          <w:sz w:val="24"/>
          <w:szCs w:val="24"/>
        </w:rPr>
      </w:pPr>
      <w:proofErr w:type="spellStart"/>
      <w:r w:rsidRPr="000E70D5">
        <w:rPr>
          <w:b/>
          <w:bCs/>
          <w:sz w:val="24"/>
          <w:szCs w:val="24"/>
        </w:rPr>
        <w:t>Rektal</w:t>
      </w:r>
      <w:proofErr w:type="spellEnd"/>
      <w:r w:rsidRPr="000E70D5">
        <w:rPr>
          <w:b/>
          <w:bCs/>
          <w:sz w:val="24"/>
          <w:szCs w:val="24"/>
        </w:rPr>
        <w:t xml:space="preserve"> administration: </w:t>
      </w:r>
      <w:bookmarkStart w:id="3" w:name="_Hlk202177742"/>
      <w:proofErr w:type="spellStart"/>
      <w:r w:rsidRPr="000E70D5">
        <w:rPr>
          <w:sz w:val="24"/>
          <w:szCs w:val="24"/>
        </w:rPr>
        <w:t>Rektal</w:t>
      </w:r>
      <w:proofErr w:type="spellEnd"/>
      <w:r w:rsidRPr="000E70D5">
        <w:rPr>
          <w:sz w:val="24"/>
          <w:szCs w:val="24"/>
        </w:rPr>
        <w:t xml:space="preserve"> administration af opløsningen i ampullen udføres ved hjælp af en plastapplikator fastgjort til enden af sprøjten. Hvis den volumen, der skal administreres, er for lille, kan vand tilføjes op til en total volumen på 10 ml. </w:t>
      </w:r>
      <w:bookmarkEnd w:id="3"/>
      <w:r w:rsidRPr="000E70D5">
        <w:rPr>
          <w:sz w:val="24"/>
          <w:szCs w:val="24"/>
        </w:rPr>
        <w:t xml:space="preserve">Totaldosen skal administreres med det samme, og gentagen </w:t>
      </w:r>
      <w:proofErr w:type="spellStart"/>
      <w:r w:rsidRPr="000E70D5">
        <w:rPr>
          <w:sz w:val="24"/>
          <w:szCs w:val="24"/>
        </w:rPr>
        <w:t>rektal</w:t>
      </w:r>
      <w:proofErr w:type="spellEnd"/>
      <w:r w:rsidRPr="000E70D5">
        <w:rPr>
          <w:sz w:val="24"/>
          <w:szCs w:val="24"/>
        </w:rPr>
        <w:t xml:space="preserve"> administration skal undgås.</w:t>
      </w:r>
    </w:p>
    <w:p w14:paraId="19C82D10" w14:textId="77777777" w:rsidR="005C5AEF" w:rsidRPr="006A4CF2" w:rsidRDefault="005C5AEF" w:rsidP="00A3780A">
      <w:pPr>
        <w:pStyle w:val="Listeafsnit"/>
        <w:numPr>
          <w:ilvl w:val="0"/>
          <w:numId w:val="22"/>
        </w:numPr>
        <w:tabs>
          <w:tab w:val="clear" w:pos="567"/>
        </w:tabs>
        <w:spacing w:line="240" w:lineRule="auto"/>
        <w:ind w:left="1276" w:hanging="425"/>
        <w:rPr>
          <w:sz w:val="24"/>
          <w:szCs w:val="24"/>
        </w:rPr>
      </w:pPr>
      <w:r w:rsidRPr="006A4CF2">
        <w:rPr>
          <w:sz w:val="24"/>
          <w:szCs w:val="24"/>
        </w:rPr>
        <w:t xml:space="preserve">Pædiatriske patienter under 6 måneder: </w:t>
      </w:r>
      <w:bookmarkStart w:id="4" w:name="_Hlk202177504"/>
      <w:r w:rsidRPr="006A4CF2">
        <w:rPr>
          <w:sz w:val="24"/>
          <w:szCs w:val="24"/>
        </w:rPr>
        <w:t>Brug til børn under 6 måneder anbefales ikke, da tilgængelige data for denne population er begrænsede (se pkt. 4.4).</w:t>
      </w:r>
    </w:p>
    <w:bookmarkEnd w:id="4"/>
    <w:p w14:paraId="2F757E47" w14:textId="77777777" w:rsidR="005C5AEF" w:rsidRPr="006A4CF2" w:rsidRDefault="005C5AEF" w:rsidP="00A3780A">
      <w:pPr>
        <w:pStyle w:val="Listeafsnit"/>
        <w:numPr>
          <w:ilvl w:val="0"/>
          <w:numId w:val="22"/>
        </w:numPr>
        <w:tabs>
          <w:tab w:val="clear" w:pos="567"/>
        </w:tabs>
        <w:spacing w:line="240" w:lineRule="auto"/>
        <w:ind w:left="1276" w:hanging="425"/>
        <w:rPr>
          <w:sz w:val="24"/>
          <w:szCs w:val="24"/>
        </w:rPr>
      </w:pPr>
      <w:r w:rsidRPr="006A4CF2">
        <w:rPr>
          <w:sz w:val="24"/>
          <w:szCs w:val="24"/>
        </w:rPr>
        <w:t xml:space="preserve">Pædiatriske patienter fra 6 måneder: Totaldosen af </w:t>
      </w:r>
      <w:proofErr w:type="spellStart"/>
      <w:r w:rsidRPr="006A4CF2">
        <w:rPr>
          <w:sz w:val="24"/>
          <w:szCs w:val="24"/>
        </w:rPr>
        <w:t>midazolam</w:t>
      </w:r>
      <w:proofErr w:type="spellEnd"/>
      <w:r w:rsidRPr="006A4CF2">
        <w:rPr>
          <w:sz w:val="24"/>
          <w:szCs w:val="24"/>
        </w:rPr>
        <w:t xml:space="preserve"> er normalt fra 0,3 til 0,5 mg/kg.</w:t>
      </w:r>
    </w:p>
    <w:p w14:paraId="497A3DDD" w14:textId="77777777" w:rsidR="005C5AEF" w:rsidRPr="000E70D5" w:rsidRDefault="005C5AEF" w:rsidP="00A3780A">
      <w:pPr>
        <w:ind w:left="851"/>
        <w:rPr>
          <w:sz w:val="24"/>
          <w:szCs w:val="24"/>
        </w:rPr>
      </w:pPr>
    </w:p>
    <w:p w14:paraId="71A4197B" w14:textId="77777777" w:rsidR="005C5AEF" w:rsidRPr="000E70D5" w:rsidRDefault="005C5AEF" w:rsidP="00A3780A">
      <w:pPr>
        <w:ind w:left="851"/>
        <w:rPr>
          <w:sz w:val="24"/>
          <w:szCs w:val="24"/>
        </w:rPr>
      </w:pPr>
      <w:r w:rsidRPr="000E70D5">
        <w:rPr>
          <w:b/>
          <w:bCs/>
          <w:sz w:val="24"/>
          <w:szCs w:val="24"/>
        </w:rPr>
        <w:t>Intramuskulær administration</w:t>
      </w:r>
      <w:r w:rsidRPr="000E70D5">
        <w:rPr>
          <w:sz w:val="24"/>
          <w:szCs w:val="24"/>
        </w:rPr>
        <w:t xml:space="preserve">: Denne administrationsvej bør kun bruges i undtagelsestilfælde. </w:t>
      </w:r>
      <w:proofErr w:type="spellStart"/>
      <w:r w:rsidRPr="000E70D5">
        <w:rPr>
          <w:sz w:val="24"/>
          <w:szCs w:val="24"/>
        </w:rPr>
        <w:t>Rektal</w:t>
      </w:r>
      <w:proofErr w:type="spellEnd"/>
      <w:r w:rsidRPr="000E70D5">
        <w:rPr>
          <w:sz w:val="24"/>
          <w:szCs w:val="24"/>
        </w:rPr>
        <w:t xml:space="preserve"> administration skal foretrækkes, da intramuskulær injektion er smertefuld.</w:t>
      </w:r>
    </w:p>
    <w:p w14:paraId="3F72677D" w14:textId="77777777" w:rsidR="005C5AEF" w:rsidRPr="006A4CF2" w:rsidRDefault="005C5AEF" w:rsidP="00A3780A">
      <w:pPr>
        <w:pStyle w:val="Listeafsnit"/>
        <w:numPr>
          <w:ilvl w:val="0"/>
          <w:numId w:val="23"/>
        </w:numPr>
        <w:tabs>
          <w:tab w:val="clear" w:pos="567"/>
        </w:tabs>
        <w:spacing w:line="240" w:lineRule="auto"/>
        <w:ind w:left="1276" w:hanging="425"/>
        <w:rPr>
          <w:sz w:val="24"/>
          <w:szCs w:val="24"/>
        </w:rPr>
      </w:pPr>
      <w:r w:rsidRPr="006A4CF2">
        <w:rPr>
          <w:sz w:val="24"/>
          <w:szCs w:val="24"/>
        </w:rPr>
        <w:t>Pædiatriske patienter fra 1 år til 15 år: De anvendte doser ligger mellem 0,05 og 0,15 mg/kg. Normalt er det ikke nødvendigt med en totaldosis over 10,0 mg.</w:t>
      </w:r>
    </w:p>
    <w:p w14:paraId="22F8FE27" w14:textId="77777777" w:rsidR="005C5AEF" w:rsidRPr="000E70D5" w:rsidRDefault="005C5AEF" w:rsidP="00A3780A">
      <w:pPr>
        <w:ind w:left="851"/>
        <w:rPr>
          <w:sz w:val="24"/>
          <w:szCs w:val="24"/>
        </w:rPr>
      </w:pPr>
    </w:p>
    <w:p w14:paraId="453AEC8B" w14:textId="77777777" w:rsidR="005C5AEF" w:rsidRPr="000E70D5" w:rsidRDefault="005C5AEF" w:rsidP="00A3780A">
      <w:pPr>
        <w:ind w:left="851"/>
        <w:rPr>
          <w:sz w:val="24"/>
          <w:szCs w:val="24"/>
        </w:rPr>
      </w:pPr>
      <w:proofErr w:type="spellStart"/>
      <w:r w:rsidRPr="000E70D5">
        <w:rPr>
          <w:sz w:val="24"/>
          <w:szCs w:val="24"/>
        </w:rPr>
        <w:t>Midazolam</w:t>
      </w:r>
      <w:proofErr w:type="spellEnd"/>
      <w:r w:rsidRPr="000E70D5">
        <w:rPr>
          <w:sz w:val="24"/>
          <w:szCs w:val="24"/>
        </w:rPr>
        <w:t>-opløsninger med koncentrationer over 1 mg/ml anbefales ikke til børn med en kropsvægt under 15 kg. Højere koncentrationer skal fortyndes til 1 mg/ml. For instruktioner om fortynding af lægemidlet før administration, se pkt. 6.6.</w:t>
      </w:r>
    </w:p>
    <w:p w14:paraId="65A3772C" w14:textId="77777777" w:rsidR="005C5AEF" w:rsidRPr="000E70D5" w:rsidRDefault="005C5AEF" w:rsidP="00A3780A">
      <w:pPr>
        <w:ind w:left="851"/>
        <w:rPr>
          <w:sz w:val="24"/>
          <w:szCs w:val="24"/>
        </w:rPr>
      </w:pPr>
    </w:p>
    <w:p w14:paraId="4B1FB49E" w14:textId="77777777" w:rsidR="005C5AEF" w:rsidRPr="006A4CF2" w:rsidRDefault="005C5AEF" w:rsidP="00A3780A">
      <w:pPr>
        <w:pStyle w:val="Listeafsnit"/>
        <w:numPr>
          <w:ilvl w:val="0"/>
          <w:numId w:val="23"/>
        </w:numPr>
        <w:tabs>
          <w:tab w:val="clear" w:pos="567"/>
        </w:tabs>
        <w:spacing w:line="240" w:lineRule="auto"/>
        <w:ind w:left="1276" w:hanging="425"/>
        <w:rPr>
          <w:sz w:val="24"/>
          <w:szCs w:val="24"/>
          <w:u w:val="single"/>
        </w:rPr>
      </w:pPr>
      <w:r w:rsidRPr="006A4CF2">
        <w:rPr>
          <w:sz w:val="24"/>
          <w:szCs w:val="24"/>
          <w:u w:val="single"/>
        </w:rPr>
        <w:t>DOSERING VED ANÆSTESI</w:t>
      </w:r>
    </w:p>
    <w:p w14:paraId="1A60EA57" w14:textId="77777777" w:rsidR="005C5AEF" w:rsidRPr="006A4CF2" w:rsidRDefault="005C5AEF" w:rsidP="00A3780A">
      <w:pPr>
        <w:pStyle w:val="Listeafsnit"/>
        <w:numPr>
          <w:ilvl w:val="0"/>
          <w:numId w:val="24"/>
        </w:numPr>
        <w:spacing w:line="240" w:lineRule="auto"/>
        <w:ind w:left="1701" w:hanging="425"/>
        <w:rPr>
          <w:sz w:val="24"/>
          <w:szCs w:val="24"/>
        </w:rPr>
      </w:pPr>
      <w:proofErr w:type="spellStart"/>
      <w:r w:rsidRPr="006A4CF2">
        <w:rPr>
          <w:sz w:val="24"/>
          <w:szCs w:val="24"/>
        </w:rPr>
        <w:t>Præmedikation</w:t>
      </w:r>
      <w:proofErr w:type="spellEnd"/>
    </w:p>
    <w:p w14:paraId="130AD663" w14:textId="77777777" w:rsidR="005C5AEF" w:rsidRPr="000E70D5" w:rsidRDefault="005C5AEF" w:rsidP="00445723">
      <w:pPr>
        <w:ind w:left="851"/>
        <w:rPr>
          <w:sz w:val="24"/>
          <w:szCs w:val="24"/>
        </w:rPr>
      </w:pPr>
      <w:proofErr w:type="spellStart"/>
      <w:r w:rsidRPr="000E70D5">
        <w:rPr>
          <w:sz w:val="24"/>
          <w:szCs w:val="24"/>
        </w:rPr>
        <w:t>Præmedikation</w:t>
      </w:r>
      <w:proofErr w:type="spellEnd"/>
      <w:r w:rsidRPr="000E70D5">
        <w:rPr>
          <w:sz w:val="24"/>
          <w:szCs w:val="24"/>
        </w:rPr>
        <w:t xml:space="preserve"> med </w:t>
      </w:r>
      <w:proofErr w:type="spellStart"/>
      <w:r w:rsidRPr="000E70D5">
        <w:rPr>
          <w:sz w:val="24"/>
          <w:szCs w:val="24"/>
        </w:rPr>
        <w:t>midazolam</w:t>
      </w:r>
      <w:proofErr w:type="spellEnd"/>
      <w:r w:rsidRPr="000E70D5">
        <w:rPr>
          <w:sz w:val="24"/>
          <w:szCs w:val="24"/>
        </w:rPr>
        <w:t xml:space="preserve"> kort før en procedure forårsager sedation (induktion af søvnighed eller døsighed og mindskelse af graden af ængstelse) og præoperativ svækkelse af hukommelsen. </w:t>
      </w:r>
      <w:proofErr w:type="spellStart"/>
      <w:r w:rsidRPr="000E70D5">
        <w:rPr>
          <w:sz w:val="24"/>
          <w:szCs w:val="24"/>
        </w:rPr>
        <w:t>Midazolam</w:t>
      </w:r>
      <w:proofErr w:type="spellEnd"/>
      <w:r w:rsidRPr="000E70D5">
        <w:rPr>
          <w:sz w:val="24"/>
          <w:szCs w:val="24"/>
        </w:rPr>
        <w:t xml:space="preserve"> kan også gives i kombination med </w:t>
      </w:r>
      <w:proofErr w:type="spellStart"/>
      <w:r w:rsidRPr="000E70D5">
        <w:rPr>
          <w:sz w:val="24"/>
          <w:szCs w:val="24"/>
        </w:rPr>
        <w:t>antikolinergika</w:t>
      </w:r>
      <w:proofErr w:type="spellEnd"/>
      <w:r w:rsidRPr="000E70D5">
        <w:rPr>
          <w:sz w:val="24"/>
          <w:szCs w:val="24"/>
        </w:rPr>
        <w:t xml:space="preserve">. Til denne indikation bør </w:t>
      </w:r>
      <w:proofErr w:type="spellStart"/>
      <w:r w:rsidRPr="000E70D5">
        <w:rPr>
          <w:sz w:val="24"/>
          <w:szCs w:val="24"/>
        </w:rPr>
        <w:t>midazolam</w:t>
      </w:r>
      <w:proofErr w:type="spellEnd"/>
      <w:r w:rsidRPr="000E70D5">
        <w:rPr>
          <w:sz w:val="24"/>
          <w:szCs w:val="24"/>
        </w:rPr>
        <w:t xml:space="preserve"> administreres </w:t>
      </w:r>
      <w:proofErr w:type="spellStart"/>
      <w:r w:rsidRPr="000E70D5">
        <w:rPr>
          <w:sz w:val="24"/>
          <w:szCs w:val="24"/>
        </w:rPr>
        <w:t>i.v</w:t>
      </w:r>
      <w:proofErr w:type="spellEnd"/>
      <w:r w:rsidRPr="000E70D5">
        <w:rPr>
          <w:sz w:val="24"/>
          <w:szCs w:val="24"/>
        </w:rPr>
        <w:t xml:space="preserve"> eller </w:t>
      </w:r>
      <w:proofErr w:type="spellStart"/>
      <w:r w:rsidRPr="000E70D5">
        <w:rPr>
          <w:sz w:val="24"/>
          <w:szCs w:val="24"/>
        </w:rPr>
        <w:t>i.m</w:t>
      </w:r>
      <w:proofErr w:type="spellEnd"/>
      <w:r w:rsidRPr="000E70D5">
        <w:rPr>
          <w:sz w:val="24"/>
          <w:szCs w:val="24"/>
        </w:rPr>
        <w:t xml:space="preserve">., dybt i en stor muskelmasse, 20 til 60 minutter før induktion af anæstesi eller helst via den </w:t>
      </w:r>
      <w:proofErr w:type="spellStart"/>
      <w:r w:rsidRPr="000E70D5">
        <w:rPr>
          <w:sz w:val="24"/>
          <w:szCs w:val="24"/>
        </w:rPr>
        <w:t>rektale</w:t>
      </w:r>
      <w:proofErr w:type="spellEnd"/>
      <w:r w:rsidRPr="000E70D5">
        <w:rPr>
          <w:sz w:val="24"/>
          <w:szCs w:val="24"/>
        </w:rPr>
        <w:t xml:space="preserve"> vej til børn (se nedenfor). Det er nødvendigt med tæt og kontinuerlig observation af patienten efter administration af </w:t>
      </w:r>
      <w:proofErr w:type="spellStart"/>
      <w:r w:rsidRPr="000E70D5">
        <w:rPr>
          <w:sz w:val="24"/>
          <w:szCs w:val="24"/>
        </w:rPr>
        <w:t>præmedikation</w:t>
      </w:r>
      <w:proofErr w:type="spellEnd"/>
      <w:r w:rsidRPr="000E70D5">
        <w:rPr>
          <w:sz w:val="24"/>
          <w:szCs w:val="24"/>
        </w:rPr>
        <w:t xml:space="preserve">, da den </w:t>
      </w:r>
      <w:proofErr w:type="spellStart"/>
      <w:r w:rsidRPr="000E70D5">
        <w:rPr>
          <w:sz w:val="24"/>
          <w:szCs w:val="24"/>
        </w:rPr>
        <w:t>interindividuelle</w:t>
      </w:r>
      <w:proofErr w:type="spellEnd"/>
      <w:r w:rsidRPr="000E70D5">
        <w:rPr>
          <w:sz w:val="24"/>
          <w:szCs w:val="24"/>
        </w:rPr>
        <w:t xml:space="preserve"> følsomhed varierer, og der kan indtræffe symptomer på overdosering.</w:t>
      </w:r>
    </w:p>
    <w:p w14:paraId="21CF5215" w14:textId="77777777" w:rsidR="005C5AEF" w:rsidRPr="000E70D5" w:rsidRDefault="005C5AEF" w:rsidP="00445723">
      <w:pPr>
        <w:ind w:left="851"/>
        <w:rPr>
          <w:sz w:val="24"/>
          <w:szCs w:val="24"/>
        </w:rPr>
      </w:pPr>
    </w:p>
    <w:p w14:paraId="298CB95C" w14:textId="77777777" w:rsidR="005C5AEF" w:rsidRPr="000E70D5" w:rsidRDefault="005C5AEF" w:rsidP="00445723">
      <w:pPr>
        <w:ind w:left="851"/>
        <w:rPr>
          <w:i/>
          <w:iCs/>
          <w:sz w:val="24"/>
          <w:szCs w:val="24"/>
        </w:rPr>
      </w:pPr>
      <w:r w:rsidRPr="000E70D5">
        <w:rPr>
          <w:i/>
          <w:iCs/>
          <w:sz w:val="24"/>
          <w:szCs w:val="24"/>
        </w:rPr>
        <w:t>Voksne</w:t>
      </w:r>
    </w:p>
    <w:p w14:paraId="16AFCE13" w14:textId="77777777" w:rsidR="005C5AEF" w:rsidRPr="000E70D5" w:rsidRDefault="005C5AEF" w:rsidP="00445723">
      <w:pPr>
        <w:ind w:left="851"/>
        <w:rPr>
          <w:sz w:val="24"/>
          <w:szCs w:val="24"/>
        </w:rPr>
      </w:pPr>
      <w:r w:rsidRPr="000E70D5">
        <w:rPr>
          <w:sz w:val="24"/>
          <w:szCs w:val="24"/>
        </w:rPr>
        <w:t xml:space="preserve">Til præoperativ sedation og til svækkelse af hukommelsen om præoperative hændelser er den anbefalede dosis til voksne med ASA </w:t>
      </w:r>
      <w:proofErr w:type="spellStart"/>
      <w:r w:rsidRPr="000E70D5">
        <w:rPr>
          <w:sz w:val="24"/>
          <w:szCs w:val="24"/>
        </w:rPr>
        <w:t>Physical</w:t>
      </w:r>
      <w:proofErr w:type="spellEnd"/>
      <w:r w:rsidRPr="000E70D5">
        <w:rPr>
          <w:sz w:val="24"/>
          <w:szCs w:val="24"/>
        </w:rPr>
        <w:t xml:space="preserve"> Status I &amp; II og under 60 år 1-2 mg </w:t>
      </w:r>
      <w:proofErr w:type="spellStart"/>
      <w:r w:rsidRPr="000E70D5">
        <w:rPr>
          <w:sz w:val="24"/>
          <w:szCs w:val="24"/>
        </w:rPr>
        <w:t>i.v</w:t>
      </w:r>
      <w:proofErr w:type="spellEnd"/>
      <w:r w:rsidRPr="000E70D5">
        <w:rPr>
          <w:sz w:val="24"/>
          <w:szCs w:val="24"/>
        </w:rPr>
        <w:t xml:space="preserve">. gentaget om nødvendigt eller 0,07 til 0,1 mg/kg administreret </w:t>
      </w:r>
      <w:proofErr w:type="spellStart"/>
      <w:r w:rsidRPr="000E70D5">
        <w:rPr>
          <w:sz w:val="24"/>
          <w:szCs w:val="24"/>
        </w:rPr>
        <w:t>i.m</w:t>
      </w:r>
      <w:proofErr w:type="spellEnd"/>
      <w:r w:rsidRPr="000E70D5">
        <w:rPr>
          <w:sz w:val="24"/>
          <w:szCs w:val="24"/>
        </w:rPr>
        <w:t xml:space="preserve">. Dosis skal nedsættes og individualiseres, når </w:t>
      </w:r>
      <w:proofErr w:type="spellStart"/>
      <w:r w:rsidRPr="000E70D5">
        <w:rPr>
          <w:sz w:val="24"/>
          <w:szCs w:val="24"/>
        </w:rPr>
        <w:t>midazolam</w:t>
      </w:r>
      <w:proofErr w:type="spellEnd"/>
      <w:r w:rsidRPr="000E70D5">
        <w:rPr>
          <w:sz w:val="24"/>
          <w:szCs w:val="24"/>
        </w:rPr>
        <w:t xml:space="preserve"> gives til voksne over 60 år eller til svækkede eller kronisk syge patienter. Den anbefalede </w:t>
      </w:r>
      <w:proofErr w:type="spellStart"/>
      <w:r w:rsidRPr="000E70D5">
        <w:rPr>
          <w:sz w:val="24"/>
          <w:szCs w:val="24"/>
        </w:rPr>
        <w:t>i.v</w:t>
      </w:r>
      <w:proofErr w:type="spellEnd"/>
      <w:r w:rsidRPr="000E70D5">
        <w:rPr>
          <w:sz w:val="24"/>
          <w:szCs w:val="24"/>
        </w:rPr>
        <w:t xml:space="preserve">. initialdosis er 0,5 mg og bør </w:t>
      </w:r>
      <w:proofErr w:type="spellStart"/>
      <w:r w:rsidRPr="000E70D5">
        <w:rPr>
          <w:sz w:val="24"/>
          <w:szCs w:val="24"/>
        </w:rPr>
        <w:t>optitreres</w:t>
      </w:r>
      <w:proofErr w:type="spellEnd"/>
      <w:r w:rsidRPr="000E70D5">
        <w:rPr>
          <w:sz w:val="24"/>
          <w:szCs w:val="24"/>
        </w:rPr>
        <w:t xml:space="preserve"> langsomt efter behov. Der anbefales en dosis på 0,025 til 0,05 mg/kg, administreret </w:t>
      </w:r>
      <w:proofErr w:type="spellStart"/>
      <w:r w:rsidRPr="000E70D5">
        <w:rPr>
          <w:sz w:val="24"/>
          <w:szCs w:val="24"/>
        </w:rPr>
        <w:t>i.m</w:t>
      </w:r>
      <w:proofErr w:type="spellEnd"/>
      <w:r w:rsidRPr="000E70D5">
        <w:rPr>
          <w:sz w:val="24"/>
          <w:szCs w:val="24"/>
        </w:rPr>
        <w:t xml:space="preserve">. Ved samtidig administration af narkotika skal </w:t>
      </w:r>
      <w:proofErr w:type="spellStart"/>
      <w:r w:rsidRPr="000E70D5">
        <w:rPr>
          <w:sz w:val="24"/>
          <w:szCs w:val="24"/>
        </w:rPr>
        <w:t>midazolam</w:t>
      </w:r>
      <w:proofErr w:type="spellEnd"/>
      <w:r w:rsidRPr="000E70D5">
        <w:rPr>
          <w:sz w:val="24"/>
          <w:szCs w:val="24"/>
        </w:rPr>
        <w:t xml:space="preserve"> dosis reduceres. Den sædvanlige dosis er 2 til 3 mg.</w:t>
      </w:r>
    </w:p>
    <w:p w14:paraId="71816599" w14:textId="77777777" w:rsidR="005C5AEF" w:rsidRPr="000E70D5" w:rsidRDefault="005C5AEF" w:rsidP="00445723">
      <w:pPr>
        <w:ind w:left="851"/>
        <w:rPr>
          <w:sz w:val="24"/>
          <w:szCs w:val="24"/>
        </w:rPr>
      </w:pPr>
    </w:p>
    <w:p w14:paraId="0C238F5A" w14:textId="77777777" w:rsidR="005C5AEF" w:rsidRPr="000E70D5" w:rsidRDefault="005C5AEF" w:rsidP="00445723">
      <w:pPr>
        <w:ind w:left="851"/>
        <w:rPr>
          <w:i/>
          <w:iCs/>
          <w:sz w:val="24"/>
          <w:szCs w:val="24"/>
        </w:rPr>
      </w:pPr>
      <w:r w:rsidRPr="000E70D5">
        <w:rPr>
          <w:i/>
          <w:iCs/>
          <w:sz w:val="24"/>
          <w:szCs w:val="24"/>
        </w:rPr>
        <w:t>Pædiatrisk population</w:t>
      </w:r>
    </w:p>
    <w:p w14:paraId="4B3F3168" w14:textId="77777777" w:rsidR="005C5AEF" w:rsidRPr="000E70D5" w:rsidRDefault="005C5AEF" w:rsidP="00445723">
      <w:pPr>
        <w:ind w:left="851"/>
        <w:rPr>
          <w:sz w:val="24"/>
          <w:szCs w:val="24"/>
        </w:rPr>
      </w:pPr>
    </w:p>
    <w:p w14:paraId="52574815" w14:textId="77777777" w:rsidR="005C5AEF" w:rsidRPr="000E70D5" w:rsidRDefault="005C5AEF" w:rsidP="00A3780A">
      <w:pPr>
        <w:ind w:left="851"/>
        <w:rPr>
          <w:sz w:val="24"/>
          <w:szCs w:val="24"/>
        </w:rPr>
      </w:pPr>
      <w:proofErr w:type="spellStart"/>
      <w:r w:rsidRPr="000E70D5">
        <w:rPr>
          <w:b/>
          <w:bCs/>
          <w:sz w:val="24"/>
          <w:szCs w:val="24"/>
        </w:rPr>
        <w:t>Rektal</w:t>
      </w:r>
      <w:proofErr w:type="spellEnd"/>
      <w:r w:rsidRPr="000E70D5">
        <w:rPr>
          <w:b/>
          <w:bCs/>
          <w:sz w:val="24"/>
          <w:szCs w:val="24"/>
        </w:rPr>
        <w:t xml:space="preserve"> administration: </w:t>
      </w:r>
      <w:proofErr w:type="spellStart"/>
      <w:r w:rsidRPr="000E70D5">
        <w:rPr>
          <w:sz w:val="24"/>
          <w:szCs w:val="24"/>
        </w:rPr>
        <w:t>Rektal</w:t>
      </w:r>
      <w:proofErr w:type="spellEnd"/>
      <w:r w:rsidRPr="000E70D5">
        <w:rPr>
          <w:sz w:val="24"/>
          <w:szCs w:val="24"/>
        </w:rPr>
        <w:t xml:space="preserve"> administration af opløsningen i ampullen udføres ved hjælp af en plastapplikator fastgjort til enden af sprøjten. Hvis den volumen, der skal administreres, er for lille, kan vand tilføjes op til en total volumen på 10 ml.</w:t>
      </w:r>
    </w:p>
    <w:p w14:paraId="79753DA5" w14:textId="77777777" w:rsidR="005C5AEF" w:rsidRPr="006A4CF2" w:rsidRDefault="005C5AEF" w:rsidP="00A3780A">
      <w:pPr>
        <w:pStyle w:val="Listeafsnit"/>
        <w:numPr>
          <w:ilvl w:val="0"/>
          <w:numId w:val="25"/>
        </w:numPr>
        <w:tabs>
          <w:tab w:val="clear" w:pos="567"/>
        </w:tabs>
        <w:spacing w:line="240" w:lineRule="auto"/>
        <w:ind w:left="1276" w:hanging="425"/>
        <w:rPr>
          <w:sz w:val="24"/>
          <w:szCs w:val="24"/>
        </w:rPr>
      </w:pPr>
      <w:bookmarkStart w:id="5" w:name="_Hlk202178148"/>
      <w:r w:rsidRPr="006A4CF2">
        <w:rPr>
          <w:sz w:val="24"/>
          <w:szCs w:val="24"/>
        </w:rPr>
        <w:t>Nyfødte og børn op til 6 måneder: Brug til børn under 6 måneder anbefales ikke, da tilgængelige data er begrænsede (se pkt. 4.4)</w:t>
      </w:r>
      <w:bookmarkEnd w:id="5"/>
      <w:r w:rsidRPr="006A4CF2">
        <w:rPr>
          <w:sz w:val="24"/>
          <w:szCs w:val="24"/>
        </w:rPr>
        <w:t>.</w:t>
      </w:r>
    </w:p>
    <w:p w14:paraId="21CAD1FD" w14:textId="77777777" w:rsidR="005C5AEF" w:rsidRPr="006A4CF2" w:rsidRDefault="005C5AEF" w:rsidP="00A3780A">
      <w:pPr>
        <w:pStyle w:val="Listeafsnit"/>
        <w:numPr>
          <w:ilvl w:val="0"/>
          <w:numId w:val="25"/>
        </w:numPr>
        <w:tabs>
          <w:tab w:val="clear" w:pos="567"/>
        </w:tabs>
        <w:spacing w:line="240" w:lineRule="auto"/>
        <w:ind w:left="1276" w:hanging="425"/>
        <w:rPr>
          <w:sz w:val="24"/>
          <w:szCs w:val="24"/>
        </w:rPr>
      </w:pPr>
      <w:r w:rsidRPr="006A4CF2">
        <w:rPr>
          <w:sz w:val="24"/>
          <w:szCs w:val="24"/>
        </w:rPr>
        <w:t xml:space="preserve">Pædiatriske patienter fra 6 måneder: Totaldosen af </w:t>
      </w:r>
      <w:proofErr w:type="spellStart"/>
      <w:r w:rsidRPr="006A4CF2">
        <w:rPr>
          <w:sz w:val="24"/>
          <w:szCs w:val="24"/>
        </w:rPr>
        <w:t>midazolam</w:t>
      </w:r>
      <w:proofErr w:type="spellEnd"/>
      <w:r w:rsidRPr="006A4CF2">
        <w:rPr>
          <w:sz w:val="24"/>
          <w:szCs w:val="24"/>
        </w:rPr>
        <w:t>, normalt fra 0,3 til 0,5 mg/kg, skal administreres 15 til 30 minutter før induktion af anæstesi.</w:t>
      </w:r>
    </w:p>
    <w:p w14:paraId="7CE691E0" w14:textId="77777777" w:rsidR="005C5AEF" w:rsidRPr="000E70D5" w:rsidRDefault="005C5AEF" w:rsidP="00A3780A">
      <w:pPr>
        <w:ind w:left="851"/>
        <w:rPr>
          <w:i/>
          <w:iCs/>
          <w:sz w:val="24"/>
          <w:szCs w:val="24"/>
        </w:rPr>
      </w:pPr>
    </w:p>
    <w:p w14:paraId="34773CB5" w14:textId="77777777" w:rsidR="005C5AEF" w:rsidRPr="000E70D5" w:rsidRDefault="005C5AEF" w:rsidP="00A3780A">
      <w:pPr>
        <w:ind w:left="851"/>
        <w:rPr>
          <w:sz w:val="24"/>
          <w:szCs w:val="24"/>
        </w:rPr>
      </w:pPr>
      <w:r w:rsidRPr="000E70D5">
        <w:rPr>
          <w:b/>
          <w:bCs/>
          <w:sz w:val="24"/>
          <w:szCs w:val="24"/>
        </w:rPr>
        <w:t>Intramuskulær administration</w:t>
      </w:r>
      <w:r w:rsidRPr="000E70D5">
        <w:rPr>
          <w:sz w:val="24"/>
          <w:szCs w:val="24"/>
        </w:rPr>
        <w:t xml:space="preserve">: Da </w:t>
      </w:r>
      <w:proofErr w:type="spellStart"/>
      <w:r w:rsidRPr="000E70D5">
        <w:rPr>
          <w:sz w:val="24"/>
          <w:szCs w:val="24"/>
        </w:rPr>
        <w:t>i.m</w:t>
      </w:r>
      <w:proofErr w:type="spellEnd"/>
      <w:r w:rsidRPr="000E70D5">
        <w:rPr>
          <w:sz w:val="24"/>
          <w:szCs w:val="24"/>
        </w:rPr>
        <w:t xml:space="preserve">. injektion er smertefuld, bør denne administrationsvej kun anvendes i undtagelsestilfælde. </w:t>
      </w:r>
    </w:p>
    <w:p w14:paraId="5D60A8D2" w14:textId="77777777" w:rsidR="005C5AEF" w:rsidRPr="000E70D5" w:rsidRDefault="005C5AEF" w:rsidP="00A3780A">
      <w:pPr>
        <w:ind w:left="851"/>
        <w:rPr>
          <w:sz w:val="24"/>
          <w:szCs w:val="24"/>
        </w:rPr>
      </w:pPr>
      <w:proofErr w:type="spellStart"/>
      <w:r w:rsidRPr="000E70D5">
        <w:rPr>
          <w:sz w:val="24"/>
          <w:szCs w:val="24"/>
        </w:rPr>
        <w:t>Rektal</w:t>
      </w:r>
      <w:proofErr w:type="spellEnd"/>
      <w:r w:rsidRPr="000E70D5">
        <w:rPr>
          <w:sz w:val="24"/>
          <w:szCs w:val="24"/>
        </w:rPr>
        <w:t xml:space="preserve"> administration bør foretrækkes. Hos børn mellem 1 og 15 år kræves der proportionalt højere doser end hos voksne i forhold til kropsvægt.</w:t>
      </w:r>
    </w:p>
    <w:p w14:paraId="60395B8D" w14:textId="77777777" w:rsidR="005C5AEF" w:rsidRPr="006A4CF2" w:rsidRDefault="005C5AEF" w:rsidP="00A3780A">
      <w:pPr>
        <w:pStyle w:val="Listeafsnit"/>
        <w:numPr>
          <w:ilvl w:val="0"/>
          <w:numId w:val="26"/>
        </w:numPr>
        <w:tabs>
          <w:tab w:val="clear" w:pos="567"/>
        </w:tabs>
        <w:spacing w:line="240" w:lineRule="auto"/>
        <w:ind w:left="1276" w:hanging="425"/>
        <w:rPr>
          <w:sz w:val="24"/>
          <w:szCs w:val="24"/>
        </w:rPr>
      </w:pPr>
      <w:r w:rsidRPr="006A4CF2">
        <w:rPr>
          <w:sz w:val="24"/>
          <w:szCs w:val="24"/>
        </w:rPr>
        <w:t>Nyfødte og børn op til 6 måneder: Brug til børn under 6 måneder anbefales ikke, da tilgængelige data er begrænsede (se pkt. 4.4).</w:t>
      </w:r>
    </w:p>
    <w:p w14:paraId="137A1335" w14:textId="77777777" w:rsidR="005C5AEF" w:rsidRPr="006A4CF2" w:rsidRDefault="005C5AEF" w:rsidP="00A3780A">
      <w:pPr>
        <w:pStyle w:val="Listeafsnit"/>
        <w:numPr>
          <w:ilvl w:val="0"/>
          <w:numId w:val="26"/>
        </w:numPr>
        <w:tabs>
          <w:tab w:val="clear" w:pos="567"/>
        </w:tabs>
        <w:spacing w:line="240" w:lineRule="auto"/>
        <w:ind w:left="1276" w:hanging="425"/>
        <w:rPr>
          <w:sz w:val="24"/>
          <w:szCs w:val="24"/>
        </w:rPr>
      </w:pPr>
      <w:r w:rsidRPr="006A4CF2">
        <w:rPr>
          <w:sz w:val="24"/>
          <w:szCs w:val="24"/>
        </w:rPr>
        <w:t xml:space="preserve">Pædiatriske patienter fra 1 år til 11 år: Intramuskulær administration af </w:t>
      </w:r>
      <w:proofErr w:type="spellStart"/>
      <w:r w:rsidRPr="006A4CF2">
        <w:rPr>
          <w:sz w:val="24"/>
          <w:szCs w:val="24"/>
        </w:rPr>
        <w:t>midazolam</w:t>
      </w:r>
      <w:proofErr w:type="spellEnd"/>
      <w:r w:rsidRPr="006A4CF2">
        <w:rPr>
          <w:sz w:val="24"/>
          <w:szCs w:val="24"/>
        </w:rPr>
        <w:t xml:space="preserve"> har vist sig at være effektiv og sikker ved en dosering fra 0,08 til 0,2 mg/kg. </w:t>
      </w:r>
    </w:p>
    <w:p w14:paraId="4D3F89B5" w14:textId="77777777" w:rsidR="005C5AEF" w:rsidRPr="006A4CF2" w:rsidRDefault="005C5AEF" w:rsidP="00A3780A">
      <w:pPr>
        <w:pStyle w:val="Listeafsnit"/>
        <w:numPr>
          <w:ilvl w:val="0"/>
          <w:numId w:val="26"/>
        </w:numPr>
        <w:tabs>
          <w:tab w:val="clear" w:pos="567"/>
        </w:tabs>
        <w:spacing w:line="240" w:lineRule="auto"/>
        <w:ind w:left="1276" w:hanging="425"/>
        <w:rPr>
          <w:sz w:val="24"/>
          <w:szCs w:val="24"/>
        </w:rPr>
      </w:pPr>
      <w:r w:rsidRPr="006A4CF2">
        <w:rPr>
          <w:sz w:val="24"/>
          <w:szCs w:val="24"/>
        </w:rPr>
        <w:t xml:space="preserve">Pædiatriske patienter fra 12 år til 18 år: Intramuskulær administration af </w:t>
      </w:r>
      <w:proofErr w:type="spellStart"/>
      <w:r w:rsidRPr="006A4CF2">
        <w:rPr>
          <w:sz w:val="24"/>
          <w:szCs w:val="24"/>
        </w:rPr>
        <w:t>midazolam</w:t>
      </w:r>
      <w:proofErr w:type="spellEnd"/>
      <w:r w:rsidRPr="006A4CF2">
        <w:rPr>
          <w:sz w:val="24"/>
          <w:szCs w:val="24"/>
        </w:rPr>
        <w:t xml:space="preserve"> har vist sig at være effektiv og sikker ved en dosering fra 0,07 til 0,1 mg/kg. </w:t>
      </w:r>
    </w:p>
    <w:p w14:paraId="1992BA1A" w14:textId="77777777" w:rsidR="005C5AEF" w:rsidRPr="000E70D5" w:rsidRDefault="005C5AEF" w:rsidP="00A3780A">
      <w:pPr>
        <w:ind w:left="851"/>
        <w:rPr>
          <w:sz w:val="24"/>
          <w:szCs w:val="24"/>
        </w:rPr>
      </w:pPr>
    </w:p>
    <w:p w14:paraId="2CFA26A7"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-opløsninger med koncentrationer over 1 mg/ml anbefales ikke til børn med en kropsvægt under 15 kg. Højere koncentrationer skal fortyndes til 1 mg/ml.</w:t>
      </w:r>
    </w:p>
    <w:p w14:paraId="13A998C8" w14:textId="77777777" w:rsidR="005C5AEF" w:rsidRPr="000E70D5" w:rsidRDefault="005C5AEF" w:rsidP="00445723">
      <w:pPr>
        <w:ind w:left="851"/>
        <w:rPr>
          <w:sz w:val="24"/>
          <w:szCs w:val="24"/>
        </w:rPr>
      </w:pPr>
      <w:r w:rsidRPr="000E70D5">
        <w:rPr>
          <w:sz w:val="24"/>
          <w:szCs w:val="24"/>
        </w:rPr>
        <w:t>For instruktioner om fortynding af lægemidlet før administration, se pkt. 6.6.</w:t>
      </w:r>
    </w:p>
    <w:p w14:paraId="6C56E867" w14:textId="77777777" w:rsidR="005C5AEF" w:rsidRPr="000E70D5" w:rsidRDefault="005C5AEF" w:rsidP="00445723">
      <w:pPr>
        <w:ind w:left="851"/>
        <w:rPr>
          <w:sz w:val="24"/>
          <w:szCs w:val="24"/>
        </w:rPr>
      </w:pPr>
    </w:p>
    <w:p w14:paraId="5D1E96A6" w14:textId="77777777" w:rsidR="005C5AEF" w:rsidRPr="006A4CF2" w:rsidRDefault="005C5AEF" w:rsidP="006A4CF2">
      <w:pPr>
        <w:pStyle w:val="Listeafsnit"/>
        <w:numPr>
          <w:ilvl w:val="0"/>
          <w:numId w:val="27"/>
        </w:numPr>
        <w:tabs>
          <w:tab w:val="clear" w:pos="567"/>
        </w:tabs>
        <w:ind w:left="1276" w:hanging="425"/>
        <w:rPr>
          <w:sz w:val="24"/>
          <w:szCs w:val="24"/>
        </w:rPr>
      </w:pPr>
      <w:r w:rsidRPr="006A4CF2">
        <w:rPr>
          <w:sz w:val="24"/>
          <w:szCs w:val="24"/>
        </w:rPr>
        <w:t>Induktion</w:t>
      </w:r>
    </w:p>
    <w:p w14:paraId="79865969" w14:textId="77777777" w:rsidR="005C5AEF" w:rsidRPr="000E70D5" w:rsidRDefault="005C5AEF" w:rsidP="00445723">
      <w:pPr>
        <w:ind w:left="851"/>
        <w:rPr>
          <w:i/>
          <w:iCs/>
          <w:sz w:val="24"/>
          <w:szCs w:val="24"/>
        </w:rPr>
      </w:pPr>
      <w:r w:rsidRPr="000E70D5">
        <w:rPr>
          <w:i/>
          <w:iCs/>
          <w:sz w:val="24"/>
          <w:szCs w:val="24"/>
        </w:rPr>
        <w:t>Voksne</w:t>
      </w:r>
    </w:p>
    <w:p w14:paraId="3220FBB2" w14:textId="77777777" w:rsidR="005C5AEF" w:rsidRPr="000E70D5" w:rsidRDefault="005C5AEF" w:rsidP="00445723">
      <w:pPr>
        <w:ind w:left="851"/>
        <w:rPr>
          <w:sz w:val="24"/>
          <w:szCs w:val="24"/>
        </w:rPr>
      </w:pPr>
      <w:r w:rsidRPr="000E70D5">
        <w:rPr>
          <w:sz w:val="24"/>
          <w:szCs w:val="24"/>
        </w:rPr>
        <w:t xml:space="preserve">Hvis </w:t>
      </w:r>
      <w:proofErr w:type="spellStart"/>
      <w:r w:rsidRPr="000E70D5">
        <w:rPr>
          <w:sz w:val="24"/>
          <w:szCs w:val="24"/>
        </w:rPr>
        <w:t>midazolam</w:t>
      </w:r>
      <w:proofErr w:type="spellEnd"/>
      <w:r w:rsidRPr="000E70D5">
        <w:rPr>
          <w:sz w:val="24"/>
          <w:szCs w:val="24"/>
        </w:rPr>
        <w:t xml:space="preserve"> anvendes til induktion af anæstesi, før der er givet andre </w:t>
      </w:r>
      <w:proofErr w:type="spellStart"/>
      <w:r w:rsidRPr="000E70D5">
        <w:rPr>
          <w:sz w:val="24"/>
          <w:szCs w:val="24"/>
        </w:rPr>
        <w:t>anæstetika</w:t>
      </w:r>
      <w:proofErr w:type="spellEnd"/>
      <w:r w:rsidRPr="000E70D5">
        <w:rPr>
          <w:sz w:val="24"/>
          <w:szCs w:val="24"/>
        </w:rPr>
        <w:t xml:space="preserve">, varierer det individuelle respons. Dosis skal titreres til den ønskede virkning i henhold til patientens alder og kliniske status. Hvis </w:t>
      </w:r>
      <w:proofErr w:type="spellStart"/>
      <w:r w:rsidRPr="000E70D5">
        <w:rPr>
          <w:sz w:val="24"/>
          <w:szCs w:val="24"/>
        </w:rPr>
        <w:t>midazolam</w:t>
      </w:r>
      <w:proofErr w:type="spellEnd"/>
      <w:r w:rsidRPr="000E70D5">
        <w:rPr>
          <w:sz w:val="24"/>
          <w:szCs w:val="24"/>
        </w:rPr>
        <w:t xml:space="preserve"> anvendes før eller i kombination med andre intravenøse eller inhalerede stoffer til induktion af anæstesi, skal initialdosis af alle stoffer nedsættes væsentligt, til tider til så lavt som 25 % af den sædvanlige initialdosis af det enkelte stof.</w:t>
      </w:r>
    </w:p>
    <w:p w14:paraId="36649A88" w14:textId="77777777" w:rsidR="005C5AEF" w:rsidRPr="000E70D5" w:rsidRDefault="005C5AEF" w:rsidP="00445723">
      <w:pPr>
        <w:ind w:left="851"/>
        <w:rPr>
          <w:sz w:val="24"/>
          <w:szCs w:val="24"/>
        </w:rPr>
      </w:pPr>
    </w:p>
    <w:p w14:paraId="4C891618" w14:textId="77777777" w:rsidR="005C5AEF" w:rsidRPr="000E70D5" w:rsidRDefault="005C5AEF" w:rsidP="00445723">
      <w:pPr>
        <w:ind w:left="851"/>
        <w:rPr>
          <w:sz w:val="24"/>
          <w:szCs w:val="24"/>
        </w:rPr>
      </w:pPr>
      <w:r w:rsidRPr="000E70D5">
        <w:rPr>
          <w:sz w:val="24"/>
          <w:szCs w:val="24"/>
        </w:rPr>
        <w:t xml:space="preserve">Det ønskede anæstesiniveau nås ved trinvis titrering. Den intravenøse induktionsdosis af </w:t>
      </w:r>
      <w:proofErr w:type="spellStart"/>
      <w:r w:rsidRPr="000E70D5">
        <w:rPr>
          <w:sz w:val="24"/>
          <w:szCs w:val="24"/>
        </w:rPr>
        <w:t>midazolam</w:t>
      </w:r>
      <w:proofErr w:type="spellEnd"/>
      <w:r w:rsidRPr="000E70D5">
        <w:rPr>
          <w:sz w:val="24"/>
          <w:szCs w:val="24"/>
        </w:rPr>
        <w:t xml:space="preserve"> skal gives langsomt med trinvise øgninger. Hver trinvise øgning på højst 5 mg skal injiceres over 20 til 30 sekunder med 2 minutters mellemrum mellem successive trinvise øgninger.</w:t>
      </w:r>
    </w:p>
    <w:p w14:paraId="42216385" w14:textId="77777777" w:rsidR="005C5AEF" w:rsidRPr="000E70D5" w:rsidRDefault="005C5AEF" w:rsidP="00445723">
      <w:pPr>
        <w:ind w:left="851"/>
        <w:rPr>
          <w:sz w:val="24"/>
          <w:szCs w:val="24"/>
        </w:rPr>
      </w:pPr>
    </w:p>
    <w:p w14:paraId="15F3C620" w14:textId="77777777" w:rsidR="005C5AEF" w:rsidRPr="006A4CF2" w:rsidRDefault="005C5AEF" w:rsidP="00A3780A">
      <w:pPr>
        <w:pStyle w:val="Listeafsnit"/>
        <w:numPr>
          <w:ilvl w:val="0"/>
          <w:numId w:val="28"/>
        </w:numPr>
        <w:tabs>
          <w:tab w:val="clear" w:pos="567"/>
        </w:tabs>
        <w:spacing w:line="240" w:lineRule="auto"/>
        <w:ind w:left="1276" w:hanging="425"/>
        <w:rPr>
          <w:sz w:val="24"/>
          <w:szCs w:val="24"/>
        </w:rPr>
      </w:pPr>
      <w:r w:rsidRPr="006A4CF2">
        <w:rPr>
          <w:sz w:val="24"/>
          <w:szCs w:val="24"/>
        </w:rPr>
        <w:t xml:space="preserve">Til præmedicinerede voksne under 60 år er en </w:t>
      </w:r>
      <w:proofErr w:type="spellStart"/>
      <w:r w:rsidRPr="006A4CF2">
        <w:rPr>
          <w:sz w:val="24"/>
          <w:szCs w:val="24"/>
        </w:rPr>
        <w:t>i.v</w:t>
      </w:r>
      <w:proofErr w:type="spellEnd"/>
      <w:r w:rsidRPr="006A4CF2">
        <w:rPr>
          <w:sz w:val="24"/>
          <w:szCs w:val="24"/>
        </w:rPr>
        <w:t xml:space="preserve">. dosis på 0,15 til 0,2 mg/kg normalt tilstrækkelig. </w:t>
      </w:r>
    </w:p>
    <w:p w14:paraId="4404872D" w14:textId="77777777" w:rsidR="005C5AEF" w:rsidRPr="006A4CF2" w:rsidRDefault="005C5AEF" w:rsidP="00A3780A">
      <w:pPr>
        <w:pStyle w:val="Listeafsnit"/>
        <w:numPr>
          <w:ilvl w:val="0"/>
          <w:numId w:val="28"/>
        </w:numPr>
        <w:tabs>
          <w:tab w:val="clear" w:pos="567"/>
        </w:tabs>
        <w:spacing w:line="240" w:lineRule="auto"/>
        <w:ind w:left="1276" w:hanging="425"/>
        <w:rPr>
          <w:sz w:val="24"/>
          <w:szCs w:val="24"/>
        </w:rPr>
      </w:pPr>
      <w:r w:rsidRPr="006A4CF2">
        <w:rPr>
          <w:sz w:val="24"/>
          <w:szCs w:val="24"/>
        </w:rPr>
        <w:t xml:space="preserve">Til ikke præmedicinerede voksne under 60 år skal dosis måske være højere (0,3 til 0,35 mg/kg </w:t>
      </w:r>
      <w:proofErr w:type="spellStart"/>
      <w:r w:rsidRPr="006A4CF2">
        <w:rPr>
          <w:sz w:val="24"/>
          <w:szCs w:val="24"/>
        </w:rPr>
        <w:t>i.v</w:t>
      </w:r>
      <w:proofErr w:type="spellEnd"/>
      <w:r w:rsidRPr="006A4CF2">
        <w:rPr>
          <w:sz w:val="24"/>
          <w:szCs w:val="24"/>
        </w:rPr>
        <w:t xml:space="preserve">.). Om nødvendigt kan der anvendes trinvise øgninger på ca. 25 % af patientens initialdosis for at fuldende induktionen. I stedet for kan induktionen fuldføres med </w:t>
      </w:r>
      <w:proofErr w:type="spellStart"/>
      <w:r w:rsidRPr="006A4CF2">
        <w:rPr>
          <w:sz w:val="24"/>
          <w:szCs w:val="24"/>
        </w:rPr>
        <w:t>inhalationsanæstetika</w:t>
      </w:r>
      <w:proofErr w:type="spellEnd"/>
      <w:r w:rsidRPr="006A4CF2">
        <w:rPr>
          <w:sz w:val="24"/>
          <w:szCs w:val="24"/>
        </w:rPr>
        <w:t>. I resistente tilfælde kan der anvendes en totaldosis på op til 0,6 mg/kg til induktion, men så store doser kan forsinke restitutionen.</w:t>
      </w:r>
    </w:p>
    <w:p w14:paraId="7CC2A31C" w14:textId="63688B46" w:rsidR="005C5AEF" w:rsidRPr="006A4CF2" w:rsidRDefault="005C5AEF" w:rsidP="00A3780A">
      <w:pPr>
        <w:pStyle w:val="Listeafsnit"/>
        <w:numPr>
          <w:ilvl w:val="0"/>
          <w:numId w:val="28"/>
        </w:numPr>
        <w:tabs>
          <w:tab w:val="clear" w:pos="567"/>
        </w:tabs>
        <w:spacing w:line="240" w:lineRule="auto"/>
        <w:ind w:left="1276" w:hanging="425"/>
        <w:rPr>
          <w:sz w:val="24"/>
          <w:szCs w:val="24"/>
        </w:rPr>
      </w:pPr>
      <w:r w:rsidRPr="006A4CF2">
        <w:rPr>
          <w:sz w:val="24"/>
          <w:szCs w:val="24"/>
        </w:rPr>
        <w:t xml:space="preserve">Til præmedicinerede voksne over 60 år og til svækkede eller kronisk syge patienter bør dosis reduceres signifikant, </w:t>
      </w:r>
      <w:r w:rsidR="000815D2">
        <w:rPr>
          <w:sz w:val="24"/>
          <w:szCs w:val="24"/>
        </w:rPr>
        <w:t>f.eks.</w:t>
      </w:r>
      <w:r w:rsidRPr="006A4CF2">
        <w:rPr>
          <w:sz w:val="24"/>
          <w:szCs w:val="24"/>
        </w:rPr>
        <w:t xml:space="preserve"> ned til 0,05-0,15 mg/kg administreret </w:t>
      </w:r>
      <w:proofErr w:type="spellStart"/>
      <w:r w:rsidRPr="006A4CF2">
        <w:rPr>
          <w:sz w:val="24"/>
          <w:szCs w:val="24"/>
        </w:rPr>
        <w:t>i.v</w:t>
      </w:r>
      <w:proofErr w:type="spellEnd"/>
      <w:r w:rsidRPr="006A4CF2">
        <w:rPr>
          <w:sz w:val="24"/>
          <w:szCs w:val="24"/>
        </w:rPr>
        <w:t>. over 20-30 sekunder, hvor der ventes 2 minutter for fuld virkning.</w:t>
      </w:r>
    </w:p>
    <w:p w14:paraId="51F85A3D" w14:textId="77777777" w:rsidR="005C5AEF" w:rsidRPr="006A4CF2" w:rsidRDefault="005C5AEF" w:rsidP="00A3780A">
      <w:pPr>
        <w:pStyle w:val="Listeafsnit"/>
        <w:numPr>
          <w:ilvl w:val="0"/>
          <w:numId w:val="28"/>
        </w:numPr>
        <w:tabs>
          <w:tab w:val="clear" w:pos="567"/>
        </w:tabs>
        <w:spacing w:line="240" w:lineRule="auto"/>
        <w:ind w:left="1276" w:hanging="425"/>
        <w:rPr>
          <w:sz w:val="24"/>
          <w:szCs w:val="24"/>
        </w:rPr>
      </w:pPr>
      <w:r w:rsidRPr="006A4CF2">
        <w:rPr>
          <w:sz w:val="24"/>
          <w:szCs w:val="24"/>
        </w:rPr>
        <w:t xml:space="preserve">Ikke præmedicinerede voksne over 60 år behøver normalt mere </w:t>
      </w:r>
      <w:proofErr w:type="spellStart"/>
      <w:r w:rsidRPr="006A4CF2">
        <w:rPr>
          <w:sz w:val="24"/>
          <w:szCs w:val="24"/>
        </w:rPr>
        <w:t>midazolam</w:t>
      </w:r>
      <w:proofErr w:type="spellEnd"/>
      <w:r w:rsidRPr="006A4CF2">
        <w:rPr>
          <w:sz w:val="24"/>
          <w:szCs w:val="24"/>
        </w:rPr>
        <w:t xml:space="preserve"> til induktion. Der anbefales en initialdosis på 0,15 til 0,3 mg/kg. Ikke præmedicinerede patienter med svære systemiske sygdomme eller anden svækkelse behøver normalt mindre </w:t>
      </w:r>
      <w:proofErr w:type="spellStart"/>
      <w:r w:rsidRPr="006A4CF2">
        <w:rPr>
          <w:sz w:val="24"/>
          <w:szCs w:val="24"/>
        </w:rPr>
        <w:t>midazolam</w:t>
      </w:r>
      <w:proofErr w:type="spellEnd"/>
      <w:r w:rsidRPr="006A4CF2">
        <w:rPr>
          <w:sz w:val="24"/>
          <w:szCs w:val="24"/>
        </w:rPr>
        <w:t xml:space="preserve"> til induktion. En initialdosis på 0,15 til 0,25 mg/kg er normalt tilstrækkelig.</w:t>
      </w:r>
    </w:p>
    <w:p w14:paraId="3FAAB3BF" w14:textId="77777777" w:rsidR="005C5AEF" w:rsidRPr="000E70D5" w:rsidRDefault="005C5AEF" w:rsidP="00A3780A">
      <w:pPr>
        <w:ind w:left="851"/>
        <w:rPr>
          <w:sz w:val="24"/>
          <w:szCs w:val="24"/>
        </w:rPr>
      </w:pPr>
    </w:p>
    <w:p w14:paraId="12BE7B35" w14:textId="77777777" w:rsidR="005C5AEF" w:rsidRPr="006A4CF2" w:rsidRDefault="005C5AEF" w:rsidP="00A3780A">
      <w:pPr>
        <w:pStyle w:val="Listeafsnit"/>
        <w:numPr>
          <w:ilvl w:val="0"/>
          <w:numId w:val="29"/>
        </w:numPr>
        <w:tabs>
          <w:tab w:val="clear" w:pos="567"/>
        </w:tabs>
        <w:spacing w:line="240" w:lineRule="auto"/>
        <w:ind w:left="1276" w:hanging="425"/>
        <w:rPr>
          <w:i/>
          <w:iCs/>
          <w:sz w:val="24"/>
          <w:szCs w:val="24"/>
        </w:rPr>
      </w:pPr>
      <w:r w:rsidRPr="006A4CF2">
        <w:rPr>
          <w:sz w:val="24"/>
          <w:szCs w:val="24"/>
        </w:rPr>
        <w:t>Sedativ komponent ved kombinationsanæstesi</w:t>
      </w:r>
    </w:p>
    <w:p w14:paraId="30896B69" w14:textId="77777777" w:rsidR="005C5AEF" w:rsidRPr="000E70D5" w:rsidRDefault="005C5AEF" w:rsidP="00A3780A">
      <w:pPr>
        <w:ind w:left="851"/>
        <w:rPr>
          <w:i/>
          <w:iCs/>
          <w:sz w:val="24"/>
          <w:szCs w:val="24"/>
        </w:rPr>
      </w:pPr>
      <w:r w:rsidRPr="000E70D5">
        <w:rPr>
          <w:i/>
          <w:iCs/>
          <w:sz w:val="24"/>
          <w:szCs w:val="24"/>
        </w:rPr>
        <w:t>Voksne</w:t>
      </w:r>
    </w:p>
    <w:p w14:paraId="22EA55BE"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kan gives som sedativ komponent i kombinationsanæstesi enten ved yderligere intermitterende små </w:t>
      </w:r>
      <w:proofErr w:type="spellStart"/>
      <w:r w:rsidRPr="000E70D5">
        <w:rPr>
          <w:sz w:val="24"/>
          <w:szCs w:val="24"/>
        </w:rPr>
        <w:t>i.v</w:t>
      </w:r>
      <w:proofErr w:type="spellEnd"/>
      <w:r w:rsidRPr="000E70D5">
        <w:rPr>
          <w:sz w:val="24"/>
          <w:szCs w:val="24"/>
        </w:rPr>
        <w:t xml:space="preserve">. doser (mellem 0,03 og 0,1 mg/kg) eller kontinuerlig infusion af intravenøs </w:t>
      </w:r>
      <w:proofErr w:type="spellStart"/>
      <w:r w:rsidRPr="000E70D5">
        <w:rPr>
          <w:sz w:val="24"/>
          <w:szCs w:val="24"/>
        </w:rPr>
        <w:t>midazolam</w:t>
      </w:r>
      <w:proofErr w:type="spellEnd"/>
      <w:r w:rsidRPr="000E70D5">
        <w:rPr>
          <w:sz w:val="24"/>
          <w:szCs w:val="24"/>
        </w:rPr>
        <w:t xml:space="preserve"> (mellem 0,03 og 0,1 mg/kg/time), typisk i kombination med </w:t>
      </w:r>
      <w:proofErr w:type="spellStart"/>
      <w:r w:rsidRPr="000E70D5">
        <w:rPr>
          <w:sz w:val="24"/>
          <w:szCs w:val="24"/>
        </w:rPr>
        <w:t>analgetika</w:t>
      </w:r>
      <w:proofErr w:type="spellEnd"/>
      <w:r w:rsidRPr="000E70D5">
        <w:rPr>
          <w:sz w:val="24"/>
          <w:szCs w:val="24"/>
        </w:rPr>
        <w:t>. Dosis og dosisintervallet varierer afhængigt af patienternes individuelle reaktion.</w:t>
      </w:r>
    </w:p>
    <w:p w14:paraId="12E80F27" w14:textId="77777777" w:rsidR="005C5AEF" w:rsidRPr="000E70D5" w:rsidRDefault="005C5AEF" w:rsidP="00445723">
      <w:pPr>
        <w:ind w:left="851"/>
        <w:rPr>
          <w:sz w:val="24"/>
          <w:szCs w:val="24"/>
        </w:rPr>
      </w:pPr>
      <w:r w:rsidRPr="000E70D5">
        <w:rPr>
          <w:sz w:val="24"/>
          <w:szCs w:val="24"/>
        </w:rPr>
        <w:t>Til voksne over 60 år og svækkede eller kronisk syge patienter kræves der lavere vedligeholdelsesdoser.</w:t>
      </w:r>
    </w:p>
    <w:p w14:paraId="6B99F653" w14:textId="77777777" w:rsidR="005C5AEF" w:rsidRPr="000E70D5" w:rsidRDefault="005C5AEF" w:rsidP="00445723">
      <w:pPr>
        <w:ind w:left="851"/>
        <w:rPr>
          <w:sz w:val="24"/>
          <w:szCs w:val="24"/>
        </w:rPr>
      </w:pPr>
    </w:p>
    <w:p w14:paraId="0C8BBFF9" w14:textId="77777777" w:rsidR="005C5AEF" w:rsidRPr="006A4CF2" w:rsidRDefault="005C5AEF" w:rsidP="006A4CF2">
      <w:pPr>
        <w:pStyle w:val="Listeafsnit"/>
        <w:numPr>
          <w:ilvl w:val="0"/>
          <w:numId w:val="30"/>
        </w:numPr>
        <w:tabs>
          <w:tab w:val="clear" w:pos="567"/>
        </w:tabs>
        <w:ind w:left="1276" w:hanging="425"/>
        <w:rPr>
          <w:sz w:val="24"/>
          <w:szCs w:val="24"/>
          <w:u w:val="single"/>
        </w:rPr>
      </w:pPr>
      <w:bookmarkStart w:id="6" w:name="_Hlk142293258"/>
      <w:r w:rsidRPr="006A4CF2">
        <w:rPr>
          <w:sz w:val="24"/>
          <w:szCs w:val="24"/>
          <w:u w:val="single"/>
        </w:rPr>
        <w:t>SEDATION PÅ INTENSIVAFDELINGER</w:t>
      </w:r>
    </w:p>
    <w:bookmarkEnd w:id="6"/>
    <w:p w14:paraId="685063A2" w14:textId="77777777" w:rsidR="005C5AEF" w:rsidRPr="000E70D5" w:rsidRDefault="005C5AEF" w:rsidP="00445723">
      <w:pPr>
        <w:ind w:left="851"/>
        <w:rPr>
          <w:sz w:val="24"/>
          <w:szCs w:val="24"/>
        </w:rPr>
      </w:pPr>
    </w:p>
    <w:p w14:paraId="6F0B362F" w14:textId="77777777" w:rsidR="005C5AEF" w:rsidRPr="000E70D5" w:rsidRDefault="005C5AEF" w:rsidP="00445723">
      <w:pPr>
        <w:ind w:left="851"/>
        <w:rPr>
          <w:sz w:val="24"/>
          <w:szCs w:val="24"/>
        </w:rPr>
      </w:pPr>
      <w:r w:rsidRPr="000E70D5">
        <w:rPr>
          <w:sz w:val="24"/>
          <w:szCs w:val="24"/>
        </w:rPr>
        <w:t xml:space="preserve">Det ønskede sedationsniveau nås ved trinvis titrering af </w:t>
      </w:r>
      <w:proofErr w:type="spellStart"/>
      <w:r w:rsidRPr="000E70D5">
        <w:rPr>
          <w:sz w:val="24"/>
          <w:szCs w:val="24"/>
        </w:rPr>
        <w:t>midazolam</w:t>
      </w:r>
      <w:proofErr w:type="spellEnd"/>
      <w:r w:rsidRPr="000E70D5">
        <w:rPr>
          <w:sz w:val="24"/>
          <w:szCs w:val="24"/>
        </w:rPr>
        <w:t xml:space="preserve">, efterfulgt af enten kontinuerlig infusion eller intermitterende </w:t>
      </w:r>
      <w:proofErr w:type="spellStart"/>
      <w:r w:rsidRPr="000E70D5">
        <w:rPr>
          <w:sz w:val="24"/>
          <w:szCs w:val="24"/>
        </w:rPr>
        <w:t>bolus</w:t>
      </w:r>
      <w:proofErr w:type="spellEnd"/>
      <w:r w:rsidRPr="000E70D5">
        <w:rPr>
          <w:sz w:val="24"/>
          <w:szCs w:val="24"/>
        </w:rPr>
        <w:t>, afhængigt af klinisk behov, fysisk status, alder og ledsagende medicin (se pkt. 4.5).</w:t>
      </w:r>
    </w:p>
    <w:p w14:paraId="1C2A9E57" w14:textId="77777777" w:rsidR="005C5AEF" w:rsidRPr="000E70D5" w:rsidRDefault="005C5AEF" w:rsidP="00445723">
      <w:pPr>
        <w:ind w:left="851"/>
        <w:rPr>
          <w:sz w:val="24"/>
          <w:szCs w:val="24"/>
        </w:rPr>
      </w:pPr>
    </w:p>
    <w:p w14:paraId="2A092D6C" w14:textId="77777777" w:rsidR="005C5AEF" w:rsidRPr="000E70D5" w:rsidRDefault="005C5AEF" w:rsidP="00445723">
      <w:pPr>
        <w:ind w:left="851"/>
        <w:rPr>
          <w:sz w:val="24"/>
          <w:szCs w:val="24"/>
        </w:rPr>
      </w:pPr>
      <w:r w:rsidRPr="000E70D5">
        <w:rPr>
          <w:i/>
          <w:iCs/>
          <w:sz w:val="24"/>
          <w:szCs w:val="24"/>
        </w:rPr>
        <w:t>Voksne</w:t>
      </w:r>
    </w:p>
    <w:p w14:paraId="3D205C74" w14:textId="77777777" w:rsidR="005C5AEF" w:rsidRPr="000E70D5" w:rsidRDefault="005C5AEF" w:rsidP="00445723">
      <w:pPr>
        <w:ind w:left="851"/>
        <w:rPr>
          <w:sz w:val="24"/>
          <w:szCs w:val="24"/>
        </w:rPr>
      </w:pPr>
      <w:proofErr w:type="spellStart"/>
      <w:r w:rsidRPr="000E70D5">
        <w:rPr>
          <w:b/>
          <w:bCs/>
          <w:sz w:val="24"/>
          <w:szCs w:val="24"/>
        </w:rPr>
        <w:t>i.v</w:t>
      </w:r>
      <w:proofErr w:type="spellEnd"/>
      <w:r w:rsidRPr="000E70D5">
        <w:rPr>
          <w:b/>
          <w:bCs/>
          <w:sz w:val="24"/>
          <w:szCs w:val="24"/>
        </w:rPr>
        <w:t>. initialdosis</w:t>
      </w:r>
      <w:r w:rsidRPr="000E70D5">
        <w:rPr>
          <w:sz w:val="24"/>
          <w:szCs w:val="24"/>
        </w:rPr>
        <w:t xml:space="preserve">: Der skal gives 0,03 til 0,3 mg/kg langsomt i trinvise øgninger. Hver trinvise øgning på 1 til 2,5 mg skal injiceres over 20 til 30 sekunder med 2 minutters interval mellem to successive trinvise øgninger. Hos </w:t>
      </w:r>
      <w:proofErr w:type="spellStart"/>
      <w:r w:rsidRPr="000E70D5">
        <w:rPr>
          <w:sz w:val="24"/>
          <w:szCs w:val="24"/>
        </w:rPr>
        <w:t>hypovolæmiske</w:t>
      </w:r>
      <w:proofErr w:type="spellEnd"/>
      <w:r w:rsidRPr="000E70D5">
        <w:rPr>
          <w:sz w:val="24"/>
          <w:szCs w:val="24"/>
        </w:rPr>
        <w:t xml:space="preserve">, karkontraherede eller </w:t>
      </w:r>
      <w:proofErr w:type="spellStart"/>
      <w:r w:rsidRPr="000E70D5">
        <w:rPr>
          <w:sz w:val="24"/>
          <w:szCs w:val="24"/>
        </w:rPr>
        <w:t>hypotermiske</w:t>
      </w:r>
      <w:proofErr w:type="spellEnd"/>
      <w:r w:rsidRPr="000E70D5">
        <w:rPr>
          <w:sz w:val="24"/>
          <w:szCs w:val="24"/>
        </w:rPr>
        <w:t xml:space="preserve"> patienter skal initialdosis reduceres eller udelades. </w:t>
      </w:r>
    </w:p>
    <w:p w14:paraId="1D87AE47" w14:textId="77777777" w:rsidR="005C5AEF" w:rsidRPr="000E70D5" w:rsidRDefault="005C5AEF" w:rsidP="00445723">
      <w:pPr>
        <w:ind w:left="851"/>
        <w:rPr>
          <w:sz w:val="24"/>
          <w:szCs w:val="24"/>
        </w:rPr>
      </w:pPr>
      <w:r w:rsidRPr="000E70D5">
        <w:rPr>
          <w:sz w:val="24"/>
          <w:szCs w:val="24"/>
        </w:rPr>
        <w:t xml:space="preserve">Hvis </w:t>
      </w:r>
      <w:proofErr w:type="spellStart"/>
      <w:r w:rsidRPr="000E70D5">
        <w:rPr>
          <w:sz w:val="24"/>
          <w:szCs w:val="24"/>
        </w:rPr>
        <w:t>midazolam</w:t>
      </w:r>
      <w:proofErr w:type="spellEnd"/>
      <w:r w:rsidRPr="000E70D5">
        <w:rPr>
          <w:sz w:val="24"/>
          <w:szCs w:val="24"/>
        </w:rPr>
        <w:t xml:space="preserve"> gives sammen med potente </w:t>
      </w:r>
      <w:proofErr w:type="spellStart"/>
      <w:r w:rsidRPr="000E70D5">
        <w:rPr>
          <w:sz w:val="24"/>
          <w:szCs w:val="24"/>
        </w:rPr>
        <w:t>analgetika</w:t>
      </w:r>
      <w:proofErr w:type="spellEnd"/>
      <w:r w:rsidRPr="000E70D5">
        <w:rPr>
          <w:sz w:val="24"/>
          <w:szCs w:val="24"/>
        </w:rPr>
        <w:t xml:space="preserve">, skal de sidstnævnte administreres først, så den sedative virkning af </w:t>
      </w:r>
      <w:proofErr w:type="spellStart"/>
      <w:r w:rsidRPr="000E70D5">
        <w:rPr>
          <w:sz w:val="24"/>
          <w:szCs w:val="24"/>
        </w:rPr>
        <w:t>midazolam</w:t>
      </w:r>
      <w:proofErr w:type="spellEnd"/>
      <w:r w:rsidRPr="000E70D5">
        <w:rPr>
          <w:sz w:val="24"/>
          <w:szCs w:val="24"/>
        </w:rPr>
        <w:t xml:space="preserve"> kan titreres sikkert oveni den sedation, som skyldes </w:t>
      </w:r>
      <w:proofErr w:type="spellStart"/>
      <w:r w:rsidRPr="000E70D5">
        <w:rPr>
          <w:sz w:val="24"/>
          <w:szCs w:val="24"/>
        </w:rPr>
        <w:t>analgetika</w:t>
      </w:r>
      <w:proofErr w:type="spellEnd"/>
      <w:r w:rsidRPr="000E70D5">
        <w:rPr>
          <w:sz w:val="24"/>
          <w:szCs w:val="24"/>
        </w:rPr>
        <w:t>.</w:t>
      </w:r>
    </w:p>
    <w:p w14:paraId="79358EFD" w14:textId="77777777" w:rsidR="005C5AEF" w:rsidRPr="000E70D5" w:rsidRDefault="005C5AEF" w:rsidP="00445723">
      <w:pPr>
        <w:ind w:left="851"/>
        <w:rPr>
          <w:sz w:val="24"/>
          <w:szCs w:val="24"/>
        </w:rPr>
      </w:pPr>
    </w:p>
    <w:p w14:paraId="16BB7EC4" w14:textId="77777777" w:rsidR="005C5AEF" w:rsidRPr="000E70D5" w:rsidRDefault="005C5AEF" w:rsidP="00445723">
      <w:pPr>
        <w:ind w:left="851"/>
        <w:rPr>
          <w:sz w:val="24"/>
          <w:szCs w:val="24"/>
        </w:rPr>
      </w:pPr>
      <w:proofErr w:type="spellStart"/>
      <w:r w:rsidRPr="000E70D5">
        <w:rPr>
          <w:b/>
          <w:bCs/>
          <w:sz w:val="24"/>
          <w:szCs w:val="24"/>
        </w:rPr>
        <w:t>i.v</w:t>
      </w:r>
      <w:proofErr w:type="spellEnd"/>
      <w:r w:rsidRPr="000E70D5">
        <w:rPr>
          <w:b/>
          <w:bCs/>
          <w:sz w:val="24"/>
          <w:szCs w:val="24"/>
        </w:rPr>
        <w:t>. vedligeholdelsesdosis</w:t>
      </w:r>
      <w:r w:rsidRPr="000E70D5">
        <w:rPr>
          <w:sz w:val="24"/>
          <w:szCs w:val="24"/>
        </w:rPr>
        <w:t xml:space="preserve">: Kan variere fra 0,03 til 0,2 mg/kg/time. Hos </w:t>
      </w:r>
      <w:proofErr w:type="spellStart"/>
      <w:r w:rsidRPr="000E70D5">
        <w:rPr>
          <w:sz w:val="24"/>
          <w:szCs w:val="24"/>
        </w:rPr>
        <w:t>hypovolæmiske</w:t>
      </w:r>
      <w:proofErr w:type="spellEnd"/>
      <w:r w:rsidRPr="000E70D5">
        <w:rPr>
          <w:sz w:val="24"/>
          <w:szCs w:val="24"/>
        </w:rPr>
        <w:t xml:space="preserve">, karkontraherede eller </w:t>
      </w:r>
      <w:proofErr w:type="spellStart"/>
      <w:r w:rsidRPr="000E70D5">
        <w:rPr>
          <w:sz w:val="24"/>
          <w:szCs w:val="24"/>
        </w:rPr>
        <w:t>hypotermiske</w:t>
      </w:r>
      <w:proofErr w:type="spellEnd"/>
      <w:r w:rsidRPr="000E70D5">
        <w:rPr>
          <w:sz w:val="24"/>
          <w:szCs w:val="24"/>
        </w:rPr>
        <w:t xml:space="preserve"> patienter skal vedligeholdelsesdosis reduceres. Sedationsniveauet skal bedømmes regelmæssigt. Efter lang tids sedation kan der udvikles tolerans, og det kan blive nødvendigt at øge dosis.</w:t>
      </w:r>
    </w:p>
    <w:p w14:paraId="31FAEC9C" w14:textId="77777777" w:rsidR="005C5AEF" w:rsidRPr="000E70D5" w:rsidRDefault="005C5AEF" w:rsidP="00445723">
      <w:pPr>
        <w:ind w:left="851"/>
        <w:rPr>
          <w:sz w:val="24"/>
          <w:szCs w:val="24"/>
        </w:rPr>
      </w:pPr>
    </w:p>
    <w:p w14:paraId="0253FA7C" w14:textId="77777777" w:rsidR="005C5AEF" w:rsidRPr="000E70D5" w:rsidRDefault="005C5AEF" w:rsidP="00445723">
      <w:pPr>
        <w:ind w:left="851"/>
        <w:rPr>
          <w:i/>
          <w:iCs/>
          <w:sz w:val="24"/>
          <w:szCs w:val="24"/>
        </w:rPr>
      </w:pPr>
      <w:r w:rsidRPr="000E70D5">
        <w:rPr>
          <w:i/>
          <w:iCs/>
          <w:sz w:val="24"/>
          <w:szCs w:val="24"/>
        </w:rPr>
        <w:t>Pædiatrisk population</w:t>
      </w:r>
    </w:p>
    <w:p w14:paraId="6ABD2A68" w14:textId="77777777" w:rsidR="005C5AEF" w:rsidRPr="000E70D5" w:rsidRDefault="005C5AEF" w:rsidP="00445723">
      <w:pPr>
        <w:ind w:left="851"/>
        <w:rPr>
          <w:i/>
          <w:iCs/>
          <w:sz w:val="24"/>
          <w:szCs w:val="24"/>
        </w:rPr>
      </w:pPr>
    </w:p>
    <w:p w14:paraId="7610BCEF" w14:textId="77777777" w:rsidR="005C5AEF" w:rsidRPr="000E70D5" w:rsidRDefault="005C5AEF" w:rsidP="00445723">
      <w:pPr>
        <w:ind w:left="851"/>
        <w:rPr>
          <w:i/>
          <w:iCs/>
          <w:sz w:val="24"/>
          <w:szCs w:val="24"/>
        </w:rPr>
      </w:pPr>
      <w:r w:rsidRPr="000E70D5">
        <w:rPr>
          <w:i/>
          <w:iCs/>
          <w:sz w:val="24"/>
          <w:szCs w:val="24"/>
        </w:rPr>
        <w:t>Nyfødte og børn op til 6 måneder</w:t>
      </w:r>
    </w:p>
    <w:p w14:paraId="7B2D15E8" w14:textId="32EEE241"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skal gives som en kontinuerlig intravenøs infusion, med en startdosis på 0,03 mg/kg/time (0,5 </w:t>
      </w:r>
      <w:proofErr w:type="spellStart"/>
      <w:r w:rsidRPr="000E70D5">
        <w:rPr>
          <w:sz w:val="24"/>
          <w:szCs w:val="24"/>
        </w:rPr>
        <w:t>μg</w:t>
      </w:r>
      <w:proofErr w:type="spellEnd"/>
      <w:r w:rsidRPr="000E70D5">
        <w:rPr>
          <w:sz w:val="24"/>
          <w:szCs w:val="24"/>
        </w:rPr>
        <w:t xml:space="preserve">/kg/min) til nyfødte med en </w:t>
      </w:r>
      <w:proofErr w:type="spellStart"/>
      <w:r w:rsidRPr="000E70D5">
        <w:rPr>
          <w:sz w:val="24"/>
          <w:szCs w:val="24"/>
        </w:rPr>
        <w:t>gestationsalder</w:t>
      </w:r>
      <w:proofErr w:type="spellEnd"/>
      <w:r w:rsidRPr="000E70D5">
        <w:rPr>
          <w:sz w:val="24"/>
          <w:szCs w:val="24"/>
        </w:rPr>
        <w:t xml:space="preserve"> ≤ 32 uger eller 0,06 mg/kg/time (1 </w:t>
      </w:r>
      <w:proofErr w:type="spellStart"/>
      <w:r w:rsidRPr="000E70D5">
        <w:rPr>
          <w:sz w:val="24"/>
          <w:szCs w:val="24"/>
        </w:rPr>
        <w:t>μg</w:t>
      </w:r>
      <w:proofErr w:type="spellEnd"/>
      <w:r w:rsidRPr="000E70D5">
        <w:rPr>
          <w:sz w:val="24"/>
          <w:szCs w:val="24"/>
        </w:rPr>
        <w:t xml:space="preserve">/kg/min) til nyfødte med en </w:t>
      </w:r>
      <w:proofErr w:type="spellStart"/>
      <w:r w:rsidRPr="000E70D5">
        <w:rPr>
          <w:sz w:val="24"/>
          <w:szCs w:val="24"/>
        </w:rPr>
        <w:t>gestationsalder</w:t>
      </w:r>
      <w:proofErr w:type="spellEnd"/>
      <w:r w:rsidRPr="000E70D5">
        <w:rPr>
          <w:sz w:val="24"/>
          <w:szCs w:val="24"/>
        </w:rPr>
        <w:t xml:space="preserve"> &gt; 32 uger og børn op til 6 måneder</w:t>
      </w:r>
      <w:r w:rsidR="006A4CF2">
        <w:rPr>
          <w:sz w:val="24"/>
          <w:szCs w:val="24"/>
        </w:rPr>
        <w:t>.</w:t>
      </w:r>
    </w:p>
    <w:p w14:paraId="0BAE5381" w14:textId="77777777" w:rsidR="005C5AEF" w:rsidRPr="000E70D5" w:rsidRDefault="005C5AEF" w:rsidP="00445723">
      <w:pPr>
        <w:ind w:left="851"/>
        <w:rPr>
          <w:sz w:val="24"/>
          <w:szCs w:val="24"/>
        </w:rPr>
      </w:pPr>
    </w:p>
    <w:p w14:paraId="39C636D5" w14:textId="77777777" w:rsidR="005C5AEF" w:rsidRPr="000E70D5" w:rsidRDefault="005C5AEF" w:rsidP="00445723">
      <w:pPr>
        <w:ind w:left="851"/>
        <w:rPr>
          <w:sz w:val="24"/>
          <w:szCs w:val="24"/>
        </w:rPr>
      </w:pPr>
      <w:r w:rsidRPr="000E70D5">
        <w:rPr>
          <w:sz w:val="24"/>
          <w:szCs w:val="24"/>
        </w:rPr>
        <w:t>Intravenøs startdosis anbefales ikke til for tidligt fødte spædbørn, nyfødte og børn op til 6 måneder. Infusionen kan i stedet udføres hurtigere i de første timer for at fastslå terapeutiske plasmaniveauer. Infusionshastigheden skal revurderes omhyggeligt og hyppigt, især efter de første 24 timer, for at administrere den lavest mulige effektive dosis og reducere risikoen for lægemiddelakkumulering.</w:t>
      </w:r>
    </w:p>
    <w:p w14:paraId="04326159" w14:textId="77777777" w:rsidR="005C5AEF" w:rsidRPr="000E70D5" w:rsidRDefault="005C5AEF" w:rsidP="00445723">
      <w:pPr>
        <w:ind w:left="851"/>
        <w:rPr>
          <w:sz w:val="24"/>
          <w:szCs w:val="24"/>
        </w:rPr>
      </w:pPr>
    </w:p>
    <w:p w14:paraId="1BCD5040" w14:textId="77777777" w:rsidR="005C5AEF" w:rsidRPr="000E70D5" w:rsidRDefault="005C5AEF" w:rsidP="00445723">
      <w:pPr>
        <w:ind w:left="851"/>
        <w:rPr>
          <w:sz w:val="24"/>
          <w:szCs w:val="24"/>
        </w:rPr>
      </w:pPr>
      <w:r w:rsidRPr="000E70D5">
        <w:rPr>
          <w:sz w:val="24"/>
          <w:szCs w:val="24"/>
        </w:rPr>
        <w:t>Nøje overvågning af respirationsfrekvens og iltmætning er nødvendig (se pkt. 4.4)</w:t>
      </w:r>
    </w:p>
    <w:p w14:paraId="2E8C7494" w14:textId="77777777" w:rsidR="005C5AEF" w:rsidRPr="000E70D5" w:rsidRDefault="005C5AEF" w:rsidP="00445723">
      <w:pPr>
        <w:ind w:left="851"/>
        <w:rPr>
          <w:sz w:val="24"/>
          <w:szCs w:val="24"/>
        </w:rPr>
      </w:pPr>
    </w:p>
    <w:p w14:paraId="5D6116A0" w14:textId="77777777" w:rsidR="005C5AEF" w:rsidRPr="000E70D5" w:rsidRDefault="005C5AEF" w:rsidP="00445723">
      <w:pPr>
        <w:ind w:left="851"/>
        <w:rPr>
          <w:i/>
          <w:iCs/>
          <w:sz w:val="24"/>
          <w:szCs w:val="24"/>
        </w:rPr>
      </w:pPr>
      <w:r w:rsidRPr="000E70D5">
        <w:rPr>
          <w:i/>
          <w:iCs/>
          <w:sz w:val="24"/>
          <w:szCs w:val="24"/>
        </w:rPr>
        <w:t>Børn over 6 måneder</w:t>
      </w:r>
    </w:p>
    <w:p w14:paraId="70ADCF30" w14:textId="77777777" w:rsidR="005C5AEF" w:rsidRPr="000E70D5" w:rsidRDefault="005C5AEF" w:rsidP="00445723">
      <w:pPr>
        <w:ind w:left="851"/>
        <w:rPr>
          <w:sz w:val="24"/>
          <w:szCs w:val="24"/>
        </w:rPr>
      </w:pPr>
      <w:r w:rsidRPr="000E70D5">
        <w:rPr>
          <w:sz w:val="24"/>
          <w:szCs w:val="24"/>
        </w:rPr>
        <w:t xml:space="preserve">Til </w:t>
      </w:r>
      <w:proofErr w:type="spellStart"/>
      <w:r w:rsidRPr="000E70D5">
        <w:rPr>
          <w:sz w:val="24"/>
          <w:szCs w:val="24"/>
        </w:rPr>
        <w:t>intuberede</w:t>
      </w:r>
      <w:proofErr w:type="spellEnd"/>
      <w:r w:rsidRPr="000E70D5">
        <w:rPr>
          <w:sz w:val="24"/>
          <w:szCs w:val="24"/>
        </w:rPr>
        <w:t xml:space="preserve"> og ventilerede børn bør der gives en initialdosis på 0,05 til 0,2 mg/kg, administreret langsomt </w:t>
      </w:r>
      <w:proofErr w:type="spellStart"/>
      <w:r w:rsidRPr="000E70D5">
        <w:rPr>
          <w:sz w:val="24"/>
          <w:szCs w:val="24"/>
        </w:rPr>
        <w:t>i.v</w:t>
      </w:r>
      <w:proofErr w:type="spellEnd"/>
      <w:r w:rsidRPr="000E70D5">
        <w:rPr>
          <w:sz w:val="24"/>
          <w:szCs w:val="24"/>
        </w:rPr>
        <w:t xml:space="preserve">. over mindst 2 til 3 minutter indtil den ønskede kliniske virkning. </w:t>
      </w:r>
      <w:proofErr w:type="spellStart"/>
      <w:r w:rsidRPr="000E70D5">
        <w:rPr>
          <w:sz w:val="24"/>
          <w:szCs w:val="24"/>
        </w:rPr>
        <w:t>Midazolam</w:t>
      </w:r>
      <w:proofErr w:type="spellEnd"/>
      <w:r w:rsidRPr="000E70D5">
        <w:rPr>
          <w:sz w:val="24"/>
          <w:szCs w:val="24"/>
        </w:rPr>
        <w:t xml:space="preserve"> bør ikke gives som en hurtig intravenøs dosis. Initialdosis efterfølges af kontinuerlig intravenøs infusion på 0,06 til 0,12 mg/kg/time (1 til 2 </w:t>
      </w:r>
      <w:proofErr w:type="spellStart"/>
      <w:r w:rsidRPr="000E70D5">
        <w:rPr>
          <w:sz w:val="24"/>
          <w:szCs w:val="24"/>
        </w:rPr>
        <w:t>μg</w:t>
      </w:r>
      <w:proofErr w:type="spellEnd"/>
      <w:r w:rsidRPr="000E70D5">
        <w:rPr>
          <w:sz w:val="24"/>
          <w:szCs w:val="24"/>
        </w:rPr>
        <w:t xml:space="preserve">/kg/min). Infusionshastigheden kan øges eller nedsættes efter behov (almindeligvis med 25 % af den initiale eller efterfølgende infusionshastighed), eller der kan gives supplerende </w:t>
      </w:r>
      <w:proofErr w:type="spellStart"/>
      <w:r w:rsidRPr="000E70D5">
        <w:rPr>
          <w:sz w:val="24"/>
          <w:szCs w:val="24"/>
        </w:rPr>
        <w:t>i.v</w:t>
      </w:r>
      <w:proofErr w:type="spellEnd"/>
      <w:r w:rsidRPr="000E70D5">
        <w:rPr>
          <w:sz w:val="24"/>
          <w:szCs w:val="24"/>
        </w:rPr>
        <w:t xml:space="preserve">. doser af </w:t>
      </w:r>
      <w:proofErr w:type="spellStart"/>
      <w:r w:rsidRPr="000E70D5">
        <w:rPr>
          <w:sz w:val="24"/>
          <w:szCs w:val="24"/>
        </w:rPr>
        <w:t>midazolam</w:t>
      </w:r>
      <w:proofErr w:type="spellEnd"/>
      <w:r w:rsidRPr="000E70D5">
        <w:rPr>
          <w:sz w:val="24"/>
          <w:szCs w:val="24"/>
        </w:rPr>
        <w:t xml:space="preserve"> for at øge eller opretholde den ønskede virkning.</w:t>
      </w:r>
    </w:p>
    <w:p w14:paraId="56F26730" w14:textId="77777777" w:rsidR="005C5AEF" w:rsidRPr="000E70D5" w:rsidRDefault="005C5AEF" w:rsidP="00445723">
      <w:pPr>
        <w:ind w:left="851"/>
        <w:rPr>
          <w:sz w:val="24"/>
          <w:szCs w:val="24"/>
        </w:rPr>
      </w:pPr>
    </w:p>
    <w:p w14:paraId="2C6D74EE" w14:textId="5F996867" w:rsidR="005C5AEF" w:rsidRPr="000E70D5" w:rsidRDefault="005C5AEF" w:rsidP="00445723">
      <w:pPr>
        <w:ind w:left="851"/>
        <w:rPr>
          <w:sz w:val="24"/>
          <w:szCs w:val="24"/>
        </w:rPr>
      </w:pPr>
      <w:r w:rsidRPr="000E70D5">
        <w:rPr>
          <w:sz w:val="24"/>
          <w:szCs w:val="24"/>
        </w:rPr>
        <w:t xml:space="preserve">Hvis en infusion med </w:t>
      </w:r>
      <w:proofErr w:type="spellStart"/>
      <w:r w:rsidRPr="000E70D5">
        <w:rPr>
          <w:sz w:val="24"/>
          <w:szCs w:val="24"/>
        </w:rPr>
        <w:t>midazolam</w:t>
      </w:r>
      <w:proofErr w:type="spellEnd"/>
      <w:r w:rsidRPr="000E70D5">
        <w:rPr>
          <w:sz w:val="24"/>
          <w:szCs w:val="24"/>
        </w:rPr>
        <w:t xml:space="preserve"> påbegyndes hos </w:t>
      </w:r>
      <w:proofErr w:type="spellStart"/>
      <w:r w:rsidRPr="000E70D5">
        <w:rPr>
          <w:sz w:val="24"/>
          <w:szCs w:val="24"/>
        </w:rPr>
        <w:t>hæmodynamisk</w:t>
      </w:r>
      <w:proofErr w:type="spellEnd"/>
      <w:r w:rsidRPr="000E70D5">
        <w:rPr>
          <w:sz w:val="24"/>
          <w:szCs w:val="24"/>
        </w:rPr>
        <w:t xml:space="preserve"> kompromitterede patienter, bør den sædvanlige initialdosis titreres med små trinvise øgninger, og patienten bør monitoreres for </w:t>
      </w:r>
      <w:proofErr w:type="spellStart"/>
      <w:r w:rsidRPr="000E70D5">
        <w:rPr>
          <w:sz w:val="24"/>
          <w:szCs w:val="24"/>
        </w:rPr>
        <w:t>hæmodynamisk</w:t>
      </w:r>
      <w:proofErr w:type="spellEnd"/>
      <w:r w:rsidRPr="000E70D5">
        <w:rPr>
          <w:sz w:val="24"/>
          <w:szCs w:val="24"/>
        </w:rPr>
        <w:t xml:space="preserve"> </w:t>
      </w:r>
      <w:proofErr w:type="spellStart"/>
      <w:r w:rsidRPr="000E70D5">
        <w:rPr>
          <w:sz w:val="24"/>
          <w:szCs w:val="24"/>
        </w:rPr>
        <w:t>instabilitet</w:t>
      </w:r>
      <w:proofErr w:type="spellEnd"/>
      <w:r w:rsidRPr="000E70D5">
        <w:rPr>
          <w:sz w:val="24"/>
          <w:szCs w:val="24"/>
        </w:rPr>
        <w:t xml:space="preserve">, </w:t>
      </w:r>
      <w:r w:rsidR="000815D2">
        <w:rPr>
          <w:sz w:val="24"/>
          <w:szCs w:val="24"/>
        </w:rPr>
        <w:t>f.eks.</w:t>
      </w:r>
      <w:r w:rsidRPr="000E70D5">
        <w:rPr>
          <w:sz w:val="24"/>
          <w:szCs w:val="24"/>
        </w:rPr>
        <w:t xml:space="preserve"> hypotension. Disse patienter er også følsomme over for den respirationshæmmende virkning af </w:t>
      </w:r>
      <w:proofErr w:type="spellStart"/>
      <w:r w:rsidRPr="000E70D5">
        <w:rPr>
          <w:sz w:val="24"/>
          <w:szCs w:val="24"/>
        </w:rPr>
        <w:t>midazolam</w:t>
      </w:r>
      <w:proofErr w:type="spellEnd"/>
      <w:r w:rsidRPr="000E70D5">
        <w:rPr>
          <w:sz w:val="24"/>
          <w:szCs w:val="24"/>
        </w:rPr>
        <w:t xml:space="preserve"> og kræver omhyggelig monitorering af respirationsfrekvens og iltmætning </w:t>
      </w:r>
    </w:p>
    <w:p w14:paraId="7E2B95CA" w14:textId="77777777" w:rsidR="005C5AEF" w:rsidRPr="000E70D5" w:rsidRDefault="005C5AEF" w:rsidP="00445723">
      <w:pPr>
        <w:ind w:left="851"/>
        <w:rPr>
          <w:sz w:val="24"/>
          <w:szCs w:val="24"/>
        </w:rPr>
      </w:pPr>
      <w:r w:rsidRPr="000E70D5">
        <w:rPr>
          <w:sz w:val="24"/>
          <w:szCs w:val="24"/>
        </w:rPr>
        <w:t>(se pkt. 4.4).</w:t>
      </w:r>
    </w:p>
    <w:p w14:paraId="691E6396" w14:textId="77777777" w:rsidR="005C5AEF" w:rsidRPr="000E70D5" w:rsidRDefault="005C5AEF" w:rsidP="00445723">
      <w:pPr>
        <w:ind w:left="851"/>
        <w:rPr>
          <w:sz w:val="24"/>
          <w:szCs w:val="24"/>
        </w:rPr>
      </w:pPr>
    </w:p>
    <w:p w14:paraId="4DDF5F69"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opløsninger med koncentrationer over 1 mg/ml anbefales ikke til for tidligt fødte spædbørn, nyfødte og børn med en kropsvægt under 15 kg. Højere koncentrationer skal fortyndes til 1 mg/ml. For instruktioner om fortynding af lægemidlet før administration, se pkt. 6.6</w:t>
      </w:r>
    </w:p>
    <w:p w14:paraId="23E64E50" w14:textId="77777777" w:rsidR="005C5AEF" w:rsidRPr="000E70D5" w:rsidRDefault="005C5AEF" w:rsidP="00445723">
      <w:pPr>
        <w:ind w:left="851"/>
        <w:rPr>
          <w:sz w:val="24"/>
          <w:szCs w:val="24"/>
        </w:rPr>
      </w:pPr>
    </w:p>
    <w:p w14:paraId="5557129A" w14:textId="77777777" w:rsidR="005C5AEF" w:rsidRPr="006A4CF2" w:rsidRDefault="005C5AEF" w:rsidP="00445723">
      <w:pPr>
        <w:ind w:left="851"/>
        <w:rPr>
          <w:sz w:val="24"/>
          <w:szCs w:val="24"/>
          <w:u w:val="single"/>
        </w:rPr>
      </w:pPr>
      <w:bookmarkStart w:id="7" w:name="_Hlk126227524"/>
      <w:r w:rsidRPr="006A4CF2">
        <w:rPr>
          <w:sz w:val="24"/>
          <w:szCs w:val="24"/>
          <w:u w:val="single"/>
        </w:rPr>
        <w:t>Brug hos særlige patientgrupper</w:t>
      </w:r>
    </w:p>
    <w:p w14:paraId="087178FD" w14:textId="77777777" w:rsidR="005C5AEF" w:rsidRPr="000E70D5" w:rsidRDefault="005C5AEF" w:rsidP="00445723">
      <w:pPr>
        <w:ind w:left="851"/>
        <w:rPr>
          <w:i/>
          <w:iCs/>
          <w:sz w:val="24"/>
          <w:szCs w:val="24"/>
        </w:rPr>
      </w:pPr>
    </w:p>
    <w:p w14:paraId="043B29A0" w14:textId="77777777" w:rsidR="005C5AEF" w:rsidRPr="000E70D5" w:rsidRDefault="005C5AEF" w:rsidP="00445723">
      <w:pPr>
        <w:ind w:left="851"/>
        <w:rPr>
          <w:i/>
          <w:iCs/>
          <w:sz w:val="24"/>
          <w:szCs w:val="24"/>
        </w:rPr>
      </w:pPr>
      <w:r w:rsidRPr="000E70D5">
        <w:rPr>
          <w:i/>
          <w:iCs/>
          <w:sz w:val="24"/>
          <w:szCs w:val="24"/>
        </w:rPr>
        <w:t>Nedsat nyrefunktion</w:t>
      </w:r>
    </w:p>
    <w:p w14:paraId="6CB89CF0" w14:textId="77777777" w:rsidR="005C5AEF" w:rsidRPr="000E70D5" w:rsidRDefault="005C5AEF" w:rsidP="00445723">
      <w:pPr>
        <w:ind w:left="851"/>
        <w:rPr>
          <w:sz w:val="24"/>
          <w:szCs w:val="24"/>
        </w:rPr>
      </w:pPr>
      <w:r w:rsidRPr="000E70D5">
        <w:rPr>
          <w:sz w:val="24"/>
          <w:szCs w:val="24"/>
        </w:rPr>
        <w:t>Hos patienter med svært nedsat nyrefunktion (</w:t>
      </w:r>
      <w:proofErr w:type="spellStart"/>
      <w:r w:rsidRPr="000E70D5">
        <w:rPr>
          <w:sz w:val="24"/>
          <w:szCs w:val="24"/>
        </w:rPr>
        <w:t>kreatininclearance</w:t>
      </w:r>
      <w:proofErr w:type="spellEnd"/>
      <w:r w:rsidRPr="000E70D5">
        <w:rPr>
          <w:sz w:val="24"/>
          <w:szCs w:val="24"/>
        </w:rPr>
        <w:t xml:space="preserve"> under 30 ml/min) kan </w:t>
      </w:r>
      <w:proofErr w:type="spellStart"/>
      <w:r w:rsidRPr="000E70D5">
        <w:rPr>
          <w:sz w:val="24"/>
          <w:szCs w:val="24"/>
        </w:rPr>
        <w:t>midazolam</w:t>
      </w:r>
      <w:proofErr w:type="spellEnd"/>
      <w:r w:rsidRPr="000E70D5">
        <w:rPr>
          <w:sz w:val="24"/>
          <w:szCs w:val="24"/>
        </w:rPr>
        <w:t xml:space="preserve"> ledsages af mere udtalt og langvarig sedation, eventuelt inklusive klinisk relevant respirationsdepression og </w:t>
      </w:r>
      <w:proofErr w:type="spellStart"/>
      <w:r w:rsidRPr="000E70D5">
        <w:rPr>
          <w:sz w:val="24"/>
          <w:szCs w:val="24"/>
        </w:rPr>
        <w:t>kardiovaskulær</w:t>
      </w:r>
      <w:proofErr w:type="spellEnd"/>
      <w:r w:rsidRPr="000E70D5">
        <w:rPr>
          <w:sz w:val="24"/>
          <w:szCs w:val="24"/>
        </w:rPr>
        <w:t xml:space="preserve"> depression. </w:t>
      </w:r>
      <w:proofErr w:type="spellStart"/>
      <w:r w:rsidRPr="000E70D5">
        <w:rPr>
          <w:sz w:val="24"/>
          <w:szCs w:val="24"/>
        </w:rPr>
        <w:t>Midazolam</w:t>
      </w:r>
      <w:proofErr w:type="spellEnd"/>
      <w:r w:rsidRPr="000E70D5">
        <w:rPr>
          <w:sz w:val="24"/>
          <w:szCs w:val="24"/>
        </w:rPr>
        <w:t xml:space="preserve"> bør derfor doseres omhyggeligt hos denne patientpopulation og titreres til den ønskede virkning (se pkt. 4.4). </w:t>
      </w:r>
    </w:p>
    <w:bookmarkEnd w:id="7"/>
    <w:p w14:paraId="01699DC6" w14:textId="77777777" w:rsidR="005C5AEF" w:rsidRPr="000E70D5" w:rsidRDefault="005C5AEF" w:rsidP="00445723">
      <w:pPr>
        <w:ind w:left="851"/>
        <w:rPr>
          <w:sz w:val="24"/>
          <w:szCs w:val="24"/>
        </w:rPr>
      </w:pPr>
    </w:p>
    <w:p w14:paraId="4BD66EB3" w14:textId="77777777" w:rsidR="005C5AEF" w:rsidRPr="000E70D5" w:rsidRDefault="005C5AEF" w:rsidP="00445723">
      <w:pPr>
        <w:ind w:left="851"/>
        <w:rPr>
          <w:i/>
          <w:iCs/>
          <w:sz w:val="24"/>
          <w:szCs w:val="24"/>
        </w:rPr>
      </w:pPr>
      <w:r w:rsidRPr="000E70D5">
        <w:rPr>
          <w:i/>
          <w:iCs/>
          <w:sz w:val="24"/>
          <w:szCs w:val="24"/>
        </w:rPr>
        <w:t>Nedsat leverfunktion</w:t>
      </w:r>
    </w:p>
    <w:p w14:paraId="7C61A496" w14:textId="77777777" w:rsidR="005C5AEF" w:rsidRPr="000E70D5" w:rsidRDefault="005C5AEF" w:rsidP="00445723">
      <w:pPr>
        <w:ind w:left="851"/>
        <w:rPr>
          <w:sz w:val="24"/>
          <w:szCs w:val="24"/>
        </w:rPr>
      </w:pPr>
      <w:r w:rsidRPr="000E70D5">
        <w:rPr>
          <w:sz w:val="24"/>
          <w:szCs w:val="24"/>
        </w:rPr>
        <w:t xml:space="preserve">Nedsat leverfunktion reducerer </w:t>
      </w:r>
      <w:proofErr w:type="spellStart"/>
      <w:r w:rsidRPr="000E70D5">
        <w:rPr>
          <w:sz w:val="24"/>
          <w:szCs w:val="24"/>
        </w:rPr>
        <w:t>clearance</w:t>
      </w:r>
      <w:proofErr w:type="spellEnd"/>
      <w:r w:rsidRPr="000E70D5">
        <w:rPr>
          <w:sz w:val="24"/>
          <w:szCs w:val="24"/>
        </w:rPr>
        <w:t xml:space="preserve"> af </w:t>
      </w:r>
      <w:proofErr w:type="spellStart"/>
      <w:r w:rsidRPr="000E70D5">
        <w:rPr>
          <w:sz w:val="24"/>
          <w:szCs w:val="24"/>
        </w:rPr>
        <w:t>i.v</w:t>
      </w:r>
      <w:proofErr w:type="spellEnd"/>
      <w:r w:rsidRPr="000E70D5">
        <w:rPr>
          <w:sz w:val="24"/>
          <w:szCs w:val="24"/>
        </w:rPr>
        <w:t xml:space="preserve">. </w:t>
      </w:r>
      <w:proofErr w:type="spellStart"/>
      <w:r w:rsidRPr="000E70D5">
        <w:rPr>
          <w:sz w:val="24"/>
          <w:szCs w:val="24"/>
        </w:rPr>
        <w:t>midazolam</w:t>
      </w:r>
      <w:proofErr w:type="spellEnd"/>
      <w:r w:rsidRPr="000E70D5">
        <w:rPr>
          <w:sz w:val="24"/>
          <w:szCs w:val="24"/>
        </w:rPr>
        <w:t xml:space="preserve"> med en efterfølgende stigning i terminal halveringstid. Den kliniske virkning hos patienter med nedsat leverfunktion kan derfor være stærkere og forlænget. Den påkrævede </w:t>
      </w:r>
      <w:proofErr w:type="spellStart"/>
      <w:r w:rsidRPr="000E70D5">
        <w:rPr>
          <w:sz w:val="24"/>
          <w:szCs w:val="24"/>
        </w:rPr>
        <w:t>midazolamdosis</w:t>
      </w:r>
      <w:proofErr w:type="spellEnd"/>
      <w:r w:rsidRPr="000E70D5">
        <w:rPr>
          <w:sz w:val="24"/>
          <w:szCs w:val="24"/>
        </w:rPr>
        <w:t xml:space="preserve"> skal muligvis reduceres, og der bør etableres omhyggelig monitorering af vitale tegn (se pkt. 4.4).</w:t>
      </w:r>
    </w:p>
    <w:p w14:paraId="48F418CF" w14:textId="77777777" w:rsidR="005C5AEF" w:rsidRPr="000E70D5" w:rsidRDefault="005C5AEF" w:rsidP="00445723">
      <w:pPr>
        <w:ind w:left="851"/>
        <w:rPr>
          <w:sz w:val="24"/>
          <w:szCs w:val="24"/>
        </w:rPr>
      </w:pPr>
    </w:p>
    <w:p w14:paraId="5768A307" w14:textId="77777777" w:rsidR="005C5AEF" w:rsidRPr="000E70D5" w:rsidRDefault="005C5AEF" w:rsidP="00445723">
      <w:pPr>
        <w:ind w:left="851"/>
        <w:rPr>
          <w:i/>
          <w:iCs/>
          <w:sz w:val="24"/>
          <w:szCs w:val="24"/>
        </w:rPr>
      </w:pPr>
      <w:r w:rsidRPr="000E70D5">
        <w:rPr>
          <w:i/>
          <w:iCs/>
          <w:sz w:val="24"/>
          <w:szCs w:val="24"/>
        </w:rPr>
        <w:t>Pædiatrisk population</w:t>
      </w:r>
    </w:p>
    <w:p w14:paraId="6443179C" w14:textId="77777777" w:rsidR="005C5AEF" w:rsidRPr="000E70D5" w:rsidRDefault="005C5AEF" w:rsidP="00445723">
      <w:pPr>
        <w:ind w:left="851"/>
        <w:rPr>
          <w:sz w:val="24"/>
          <w:szCs w:val="24"/>
        </w:rPr>
      </w:pPr>
      <w:r w:rsidRPr="000E70D5">
        <w:rPr>
          <w:sz w:val="24"/>
          <w:szCs w:val="24"/>
        </w:rPr>
        <w:t>Se ovenfor og pkt. 4.4.</w:t>
      </w:r>
    </w:p>
    <w:p w14:paraId="2EE970B8" w14:textId="77777777" w:rsidR="009260DE" w:rsidRPr="000E70D5" w:rsidRDefault="009260DE" w:rsidP="009260DE">
      <w:pPr>
        <w:tabs>
          <w:tab w:val="left" w:pos="851"/>
        </w:tabs>
        <w:ind w:left="851"/>
        <w:rPr>
          <w:sz w:val="24"/>
          <w:szCs w:val="24"/>
        </w:rPr>
      </w:pPr>
    </w:p>
    <w:p w14:paraId="4C960CF3" w14:textId="77777777" w:rsidR="009260DE" w:rsidRPr="000E70D5" w:rsidRDefault="009260DE" w:rsidP="009260DE">
      <w:pPr>
        <w:tabs>
          <w:tab w:val="left" w:pos="851"/>
        </w:tabs>
        <w:ind w:left="851" w:hanging="851"/>
        <w:rPr>
          <w:b/>
          <w:sz w:val="24"/>
          <w:szCs w:val="24"/>
        </w:rPr>
      </w:pPr>
      <w:r w:rsidRPr="000E70D5">
        <w:rPr>
          <w:b/>
          <w:sz w:val="24"/>
          <w:szCs w:val="24"/>
        </w:rPr>
        <w:t>4.3</w:t>
      </w:r>
      <w:r w:rsidRPr="000E70D5">
        <w:rPr>
          <w:b/>
          <w:sz w:val="24"/>
          <w:szCs w:val="24"/>
        </w:rPr>
        <w:tab/>
        <w:t>Kontraindikationer</w:t>
      </w:r>
    </w:p>
    <w:p w14:paraId="529F1C25" w14:textId="77777777" w:rsidR="005C5AEF" w:rsidRPr="000E70D5" w:rsidRDefault="005C5AEF" w:rsidP="00445723">
      <w:pPr>
        <w:ind w:left="851"/>
        <w:rPr>
          <w:sz w:val="24"/>
          <w:szCs w:val="24"/>
        </w:rPr>
      </w:pPr>
      <w:r w:rsidRPr="000E70D5">
        <w:rPr>
          <w:sz w:val="24"/>
          <w:szCs w:val="24"/>
        </w:rPr>
        <w:t>Overfølsomhed over for det aktive stof, benzodiazepiner eller over for et eller flere af hjælpestofferne anført i pkt. 6.1.</w:t>
      </w:r>
    </w:p>
    <w:p w14:paraId="3D078D03" w14:textId="77777777" w:rsidR="005C5AEF" w:rsidRPr="000E70D5" w:rsidRDefault="005C5AEF" w:rsidP="00445723">
      <w:pPr>
        <w:ind w:left="851"/>
        <w:rPr>
          <w:sz w:val="24"/>
          <w:szCs w:val="24"/>
        </w:rPr>
      </w:pPr>
    </w:p>
    <w:p w14:paraId="65B97033" w14:textId="77777777" w:rsidR="005C5AEF" w:rsidRPr="000E70D5" w:rsidRDefault="005C5AEF" w:rsidP="00445723">
      <w:pPr>
        <w:ind w:left="851"/>
        <w:rPr>
          <w:sz w:val="24"/>
          <w:szCs w:val="24"/>
        </w:rPr>
      </w:pPr>
      <w:r w:rsidRPr="000E70D5">
        <w:rPr>
          <w:sz w:val="24"/>
          <w:szCs w:val="24"/>
        </w:rPr>
        <w:t>Sedation med bevaret bevidsthed hos patienter med svært respirationssvigt eller akut respirationsdepression.</w:t>
      </w:r>
    </w:p>
    <w:p w14:paraId="26AC683D" w14:textId="77777777" w:rsidR="009260DE" w:rsidRPr="000E70D5" w:rsidRDefault="009260DE" w:rsidP="009260DE">
      <w:pPr>
        <w:tabs>
          <w:tab w:val="left" w:pos="851"/>
        </w:tabs>
        <w:ind w:left="851"/>
        <w:rPr>
          <w:sz w:val="24"/>
          <w:szCs w:val="24"/>
        </w:rPr>
      </w:pPr>
    </w:p>
    <w:p w14:paraId="3F27B870" w14:textId="77777777" w:rsidR="009260DE" w:rsidRPr="000E70D5" w:rsidRDefault="009260DE" w:rsidP="009260DE">
      <w:pPr>
        <w:tabs>
          <w:tab w:val="left" w:pos="851"/>
        </w:tabs>
        <w:ind w:left="851" w:hanging="851"/>
        <w:rPr>
          <w:b/>
          <w:sz w:val="24"/>
          <w:szCs w:val="24"/>
        </w:rPr>
      </w:pPr>
      <w:r w:rsidRPr="000E70D5">
        <w:rPr>
          <w:b/>
          <w:sz w:val="24"/>
          <w:szCs w:val="24"/>
        </w:rPr>
        <w:t>4.4</w:t>
      </w:r>
      <w:r w:rsidRPr="000E70D5">
        <w:rPr>
          <w:b/>
          <w:sz w:val="24"/>
          <w:szCs w:val="24"/>
        </w:rPr>
        <w:tab/>
        <w:t>Særlige advarsler og forsigtighedsregler vedrørende brugen</w:t>
      </w:r>
    </w:p>
    <w:p w14:paraId="33C8AEA3"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bør kun administreres af erfarne læger i omgivelser, der er fuldt udstyret til monitorering og støtte af de respiratoriske og </w:t>
      </w:r>
      <w:proofErr w:type="spellStart"/>
      <w:r w:rsidRPr="000E70D5">
        <w:rPr>
          <w:sz w:val="24"/>
          <w:szCs w:val="24"/>
        </w:rPr>
        <w:t>kardiovaskulære</w:t>
      </w:r>
      <w:proofErr w:type="spellEnd"/>
      <w:r w:rsidRPr="000E70D5">
        <w:rPr>
          <w:sz w:val="24"/>
          <w:szCs w:val="24"/>
        </w:rPr>
        <w:t xml:space="preserve"> funktioner, og af personale, der er specifikt uddannet i genkendelse og håndtering af forventede bivirkninger, herunder hjertelungeredning.</w:t>
      </w:r>
    </w:p>
    <w:p w14:paraId="34E08047" w14:textId="77777777" w:rsidR="005C5AEF" w:rsidRPr="000E70D5" w:rsidRDefault="005C5AEF" w:rsidP="00445723">
      <w:pPr>
        <w:ind w:left="851"/>
        <w:rPr>
          <w:sz w:val="24"/>
          <w:szCs w:val="24"/>
        </w:rPr>
      </w:pPr>
    </w:p>
    <w:p w14:paraId="23A5EE33" w14:textId="77777777" w:rsidR="005C5AEF" w:rsidRPr="000E70D5" w:rsidRDefault="005C5AEF" w:rsidP="00445723">
      <w:pPr>
        <w:ind w:left="851"/>
        <w:rPr>
          <w:sz w:val="24"/>
          <w:szCs w:val="24"/>
        </w:rPr>
      </w:pPr>
      <w:r w:rsidRPr="000E70D5">
        <w:rPr>
          <w:sz w:val="24"/>
          <w:szCs w:val="24"/>
        </w:rPr>
        <w:t xml:space="preserve">Der er indberettet svære </w:t>
      </w:r>
      <w:proofErr w:type="spellStart"/>
      <w:r w:rsidRPr="000E70D5">
        <w:rPr>
          <w:sz w:val="24"/>
          <w:szCs w:val="24"/>
        </w:rPr>
        <w:t>kardiorespiratoriske</w:t>
      </w:r>
      <w:proofErr w:type="spellEnd"/>
      <w:r w:rsidRPr="000E70D5">
        <w:rPr>
          <w:sz w:val="24"/>
          <w:szCs w:val="24"/>
        </w:rPr>
        <w:t xml:space="preserve"> bivirkninger. De har inkluderet respiratorisk depression, apnø, respirationsstop og/eller hjertestop. Der er større risiko for disse livstruende hændelser, hvis injektionen gives for hurtigt, eller hvis der anvendes for høj dosis (se pkt. 4.8).</w:t>
      </w:r>
    </w:p>
    <w:p w14:paraId="2FAFDC2A" w14:textId="77777777" w:rsidR="005C5AEF" w:rsidRPr="000E70D5" w:rsidRDefault="005C5AEF" w:rsidP="00445723">
      <w:pPr>
        <w:ind w:left="851"/>
        <w:rPr>
          <w:sz w:val="24"/>
          <w:szCs w:val="24"/>
        </w:rPr>
      </w:pPr>
    </w:p>
    <w:p w14:paraId="089E1599" w14:textId="77777777" w:rsidR="005C5AEF" w:rsidRPr="000E70D5" w:rsidRDefault="005C5AEF" w:rsidP="00445723">
      <w:pPr>
        <w:ind w:left="851"/>
        <w:rPr>
          <w:sz w:val="24"/>
          <w:szCs w:val="24"/>
        </w:rPr>
      </w:pPr>
      <w:r w:rsidRPr="000E70D5">
        <w:rPr>
          <w:sz w:val="24"/>
          <w:szCs w:val="24"/>
        </w:rPr>
        <w:t>Benzodiazepiner frarådes til den primære behandling af psykotisk sygdom.</w:t>
      </w:r>
    </w:p>
    <w:p w14:paraId="33AF35FF" w14:textId="77777777" w:rsidR="005C5AEF" w:rsidRPr="000E70D5" w:rsidRDefault="005C5AEF" w:rsidP="00445723">
      <w:pPr>
        <w:ind w:left="851"/>
        <w:rPr>
          <w:sz w:val="24"/>
          <w:szCs w:val="24"/>
        </w:rPr>
      </w:pPr>
    </w:p>
    <w:p w14:paraId="63B73FF1" w14:textId="77777777" w:rsidR="005C5AEF" w:rsidRPr="000E70D5" w:rsidRDefault="005C5AEF" w:rsidP="00445723">
      <w:pPr>
        <w:ind w:left="851"/>
        <w:rPr>
          <w:sz w:val="24"/>
          <w:szCs w:val="24"/>
        </w:rPr>
      </w:pPr>
      <w:r w:rsidRPr="000E70D5">
        <w:rPr>
          <w:sz w:val="24"/>
          <w:szCs w:val="24"/>
        </w:rPr>
        <w:t>Der skal udvises særlig forsigtighed ved indikationen sedation med bevaret bevidsthed hos patienter med nedsat respiratorisk funktion.</w:t>
      </w:r>
    </w:p>
    <w:p w14:paraId="081CE542" w14:textId="77777777" w:rsidR="005C5AEF" w:rsidRPr="000E70D5" w:rsidRDefault="005C5AEF" w:rsidP="00445723">
      <w:pPr>
        <w:ind w:left="851"/>
        <w:rPr>
          <w:sz w:val="24"/>
          <w:szCs w:val="24"/>
        </w:rPr>
      </w:pPr>
    </w:p>
    <w:p w14:paraId="5793CD3F" w14:textId="77777777" w:rsidR="005C5AEF" w:rsidRPr="000E70D5" w:rsidRDefault="005C5AEF" w:rsidP="00445723">
      <w:pPr>
        <w:ind w:left="851"/>
        <w:rPr>
          <w:sz w:val="24"/>
          <w:szCs w:val="24"/>
        </w:rPr>
      </w:pPr>
      <w:r w:rsidRPr="000E70D5">
        <w:rPr>
          <w:sz w:val="24"/>
          <w:szCs w:val="24"/>
        </w:rPr>
        <w:t xml:space="preserve">Når </w:t>
      </w:r>
      <w:proofErr w:type="spellStart"/>
      <w:r w:rsidRPr="000E70D5">
        <w:rPr>
          <w:sz w:val="24"/>
          <w:szCs w:val="24"/>
        </w:rPr>
        <w:t>midazolam</w:t>
      </w:r>
      <w:proofErr w:type="spellEnd"/>
      <w:r w:rsidRPr="000E70D5">
        <w:rPr>
          <w:sz w:val="24"/>
          <w:szCs w:val="24"/>
        </w:rPr>
        <w:t xml:space="preserve"> anvendes til </w:t>
      </w:r>
      <w:proofErr w:type="spellStart"/>
      <w:r w:rsidRPr="000E70D5">
        <w:rPr>
          <w:sz w:val="24"/>
          <w:szCs w:val="24"/>
        </w:rPr>
        <w:t>præmedikation</w:t>
      </w:r>
      <w:proofErr w:type="spellEnd"/>
      <w:r w:rsidRPr="000E70D5">
        <w:rPr>
          <w:sz w:val="24"/>
          <w:szCs w:val="24"/>
        </w:rPr>
        <w:t xml:space="preserve"> er det obligatorisk at observere patienten omhyggeligt efter administrationen, da den </w:t>
      </w:r>
      <w:proofErr w:type="spellStart"/>
      <w:r w:rsidRPr="000E70D5">
        <w:rPr>
          <w:sz w:val="24"/>
          <w:szCs w:val="24"/>
        </w:rPr>
        <w:t>interindividuelle</w:t>
      </w:r>
      <w:proofErr w:type="spellEnd"/>
      <w:r w:rsidRPr="000E70D5">
        <w:rPr>
          <w:sz w:val="24"/>
          <w:szCs w:val="24"/>
        </w:rPr>
        <w:t xml:space="preserve"> følsomhed varierer, og der kan forekomme overdoseringssymptomer.</w:t>
      </w:r>
    </w:p>
    <w:p w14:paraId="5C35D389" w14:textId="77777777" w:rsidR="005C5AEF" w:rsidRPr="000E70D5" w:rsidRDefault="005C5AEF" w:rsidP="00445723">
      <w:pPr>
        <w:ind w:left="851"/>
        <w:rPr>
          <w:sz w:val="24"/>
          <w:szCs w:val="24"/>
        </w:rPr>
      </w:pPr>
    </w:p>
    <w:p w14:paraId="18010CF5" w14:textId="77777777" w:rsidR="005C5AEF" w:rsidRPr="000E70D5" w:rsidRDefault="005C5AEF" w:rsidP="000815D2">
      <w:pPr>
        <w:ind w:left="851"/>
        <w:rPr>
          <w:sz w:val="24"/>
          <w:szCs w:val="24"/>
        </w:rPr>
      </w:pPr>
      <w:r w:rsidRPr="000E70D5">
        <w:rPr>
          <w:sz w:val="24"/>
          <w:szCs w:val="24"/>
        </w:rPr>
        <w:t>Højrisikopatienter</w:t>
      </w:r>
    </w:p>
    <w:p w14:paraId="7B5AD2D7" w14:textId="77777777" w:rsidR="005C5AEF" w:rsidRPr="000E70D5" w:rsidRDefault="005C5AEF" w:rsidP="000815D2">
      <w:pPr>
        <w:ind w:left="851"/>
        <w:rPr>
          <w:sz w:val="24"/>
          <w:szCs w:val="24"/>
        </w:rPr>
      </w:pPr>
      <w:r w:rsidRPr="000E70D5">
        <w:rPr>
          <w:sz w:val="24"/>
          <w:szCs w:val="24"/>
        </w:rPr>
        <w:t xml:space="preserve">Der bør udvises særlig forsigtighed, når </w:t>
      </w:r>
      <w:proofErr w:type="spellStart"/>
      <w:r w:rsidRPr="000E70D5">
        <w:rPr>
          <w:sz w:val="24"/>
          <w:szCs w:val="24"/>
        </w:rPr>
        <w:t>midazolam</w:t>
      </w:r>
      <w:proofErr w:type="spellEnd"/>
      <w:r w:rsidRPr="000E70D5">
        <w:rPr>
          <w:sz w:val="24"/>
          <w:szCs w:val="24"/>
        </w:rPr>
        <w:t xml:space="preserve"> administreres til højrisikopatienter:</w:t>
      </w:r>
    </w:p>
    <w:p w14:paraId="66577904" w14:textId="77777777" w:rsidR="005C5AEF" w:rsidRPr="006A4CF2" w:rsidRDefault="005C5AEF" w:rsidP="000815D2">
      <w:pPr>
        <w:pStyle w:val="Listeafsnit"/>
        <w:numPr>
          <w:ilvl w:val="0"/>
          <w:numId w:val="32"/>
        </w:numPr>
        <w:tabs>
          <w:tab w:val="clear" w:pos="567"/>
        </w:tabs>
        <w:spacing w:line="240" w:lineRule="auto"/>
        <w:ind w:left="1276" w:hanging="425"/>
        <w:rPr>
          <w:sz w:val="24"/>
          <w:szCs w:val="24"/>
        </w:rPr>
      </w:pPr>
      <w:r w:rsidRPr="006A4CF2">
        <w:rPr>
          <w:sz w:val="24"/>
          <w:szCs w:val="24"/>
        </w:rPr>
        <w:t>voksne over 60 år</w:t>
      </w:r>
    </w:p>
    <w:p w14:paraId="44CA727C" w14:textId="77777777" w:rsidR="005C5AEF" w:rsidRPr="006A4CF2" w:rsidRDefault="005C5AEF" w:rsidP="000815D2">
      <w:pPr>
        <w:pStyle w:val="Listeafsnit"/>
        <w:numPr>
          <w:ilvl w:val="0"/>
          <w:numId w:val="32"/>
        </w:numPr>
        <w:tabs>
          <w:tab w:val="clear" w:pos="567"/>
        </w:tabs>
        <w:spacing w:line="240" w:lineRule="auto"/>
        <w:ind w:left="1276" w:hanging="425"/>
        <w:rPr>
          <w:sz w:val="24"/>
          <w:szCs w:val="24"/>
        </w:rPr>
      </w:pPr>
      <w:r w:rsidRPr="006A4CF2">
        <w:rPr>
          <w:sz w:val="24"/>
          <w:szCs w:val="24"/>
        </w:rPr>
        <w:t>kronisk syge eller svækkede patienter, f.eks.</w:t>
      </w:r>
    </w:p>
    <w:p w14:paraId="2596C555" w14:textId="77777777" w:rsidR="005C5AEF" w:rsidRPr="006A4CF2" w:rsidRDefault="005C5AEF" w:rsidP="000815D2">
      <w:pPr>
        <w:pStyle w:val="Listeafsnit"/>
        <w:numPr>
          <w:ilvl w:val="0"/>
          <w:numId w:val="33"/>
        </w:numPr>
        <w:tabs>
          <w:tab w:val="clear" w:pos="567"/>
        </w:tabs>
        <w:spacing w:line="240" w:lineRule="auto"/>
        <w:ind w:left="1560" w:hanging="284"/>
        <w:rPr>
          <w:sz w:val="24"/>
          <w:szCs w:val="24"/>
        </w:rPr>
      </w:pPr>
      <w:r w:rsidRPr="006A4CF2">
        <w:rPr>
          <w:sz w:val="24"/>
          <w:szCs w:val="24"/>
        </w:rPr>
        <w:t>patienter med kronisk respirationsinsufficiens</w:t>
      </w:r>
    </w:p>
    <w:p w14:paraId="241D0FE5" w14:textId="77777777" w:rsidR="005C5AEF" w:rsidRPr="006A4CF2" w:rsidRDefault="005C5AEF" w:rsidP="000815D2">
      <w:pPr>
        <w:pStyle w:val="Listeafsnit"/>
        <w:numPr>
          <w:ilvl w:val="0"/>
          <w:numId w:val="33"/>
        </w:numPr>
        <w:tabs>
          <w:tab w:val="clear" w:pos="567"/>
        </w:tabs>
        <w:spacing w:line="240" w:lineRule="auto"/>
        <w:ind w:left="1560" w:hanging="284"/>
        <w:rPr>
          <w:sz w:val="24"/>
          <w:szCs w:val="24"/>
        </w:rPr>
      </w:pPr>
      <w:r w:rsidRPr="006A4CF2">
        <w:rPr>
          <w:sz w:val="24"/>
          <w:szCs w:val="24"/>
        </w:rPr>
        <w:t>patienter med kronisk nyresvigt</w:t>
      </w:r>
    </w:p>
    <w:p w14:paraId="09F778A5" w14:textId="77777777" w:rsidR="005C5AEF" w:rsidRPr="006A4CF2" w:rsidRDefault="005C5AEF" w:rsidP="000815D2">
      <w:pPr>
        <w:pStyle w:val="Listeafsnit"/>
        <w:numPr>
          <w:ilvl w:val="0"/>
          <w:numId w:val="33"/>
        </w:numPr>
        <w:tabs>
          <w:tab w:val="clear" w:pos="567"/>
        </w:tabs>
        <w:spacing w:line="240" w:lineRule="auto"/>
        <w:ind w:left="1560" w:hanging="284"/>
        <w:rPr>
          <w:sz w:val="24"/>
          <w:szCs w:val="24"/>
        </w:rPr>
      </w:pPr>
      <w:r w:rsidRPr="006A4CF2">
        <w:rPr>
          <w:sz w:val="24"/>
          <w:szCs w:val="24"/>
        </w:rPr>
        <w:t>patienter med nedsat leverfunktion (benzodiazepiner kan fremskynde eller forværre encefalopati hos patienter med svær leverinsufficiens)</w:t>
      </w:r>
    </w:p>
    <w:p w14:paraId="75DC0B1C" w14:textId="77777777" w:rsidR="005C5AEF" w:rsidRPr="006A4CF2" w:rsidRDefault="005C5AEF" w:rsidP="000815D2">
      <w:pPr>
        <w:pStyle w:val="Listeafsnit"/>
        <w:numPr>
          <w:ilvl w:val="0"/>
          <w:numId w:val="33"/>
        </w:numPr>
        <w:tabs>
          <w:tab w:val="clear" w:pos="567"/>
        </w:tabs>
        <w:spacing w:line="240" w:lineRule="auto"/>
        <w:ind w:left="1560" w:hanging="284"/>
        <w:rPr>
          <w:sz w:val="24"/>
          <w:szCs w:val="24"/>
        </w:rPr>
      </w:pPr>
      <w:r w:rsidRPr="006A4CF2">
        <w:rPr>
          <w:sz w:val="24"/>
          <w:szCs w:val="24"/>
        </w:rPr>
        <w:t>patienter med nedsat hjertefunktion</w:t>
      </w:r>
    </w:p>
    <w:p w14:paraId="15A321B8" w14:textId="77777777" w:rsidR="005C5AEF" w:rsidRPr="006A4CF2" w:rsidRDefault="005C5AEF" w:rsidP="000815D2">
      <w:pPr>
        <w:pStyle w:val="Listeafsnit"/>
        <w:numPr>
          <w:ilvl w:val="0"/>
          <w:numId w:val="32"/>
        </w:numPr>
        <w:tabs>
          <w:tab w:val="clear" w:pos="567"/>
        </w:tabs>
        <w:spacing w:line="240" w:lineRule="auto"/>
        <w:ind w:left="1276" w:hanging="425"/>
        <w:rPr>
          <w:sz w:val="24"/>
          <w:szCs w:val="24"/>
        </w:rPr>
      </w:pPr>
      <w:r w:rsidRPr="006A4CF2">
        <w:rPr>
          <w:sz w:val="24"/>
          <w:szCs w:val="24"/>
        </w:rPr>
        <w:t>pædiatriske patienter, især hvis de har ustabil hjerte-karfunktion.</w:t>
      </w:r>
    </w:p>
    <w:p w14:paraId="2E513CBA" w14:textId="77777777" w:rsidR="005C5AEF" w:rsidRPr="000E70D5" w:rsidRDefault="005C5AEF" w:rsidP="000815D2">
      <w:pPr>
        <w:ind w:left="851"/>
        <w:rPr>
          <w:sz w:val="24"/>
          <w:szCs w:val="24"/>
        </w:rPr>
      </w:pPr>
    </w:p>
    <w:p w14:paraId="7D937DD7" w14:textId="77777777" w:rsidR="005C5AEF" w:rsidRPr="000E70D5" w:rsidRDefault="005C5AEF" w:rsidP="00445723">
      <w:pPr>
        <w:ind w:left="851"/>
        <w:rPr>
          <w:sz w:val="24"/>
          <w:szCs w:val="24"/>
        </w:rPr>
      </w:pPr>
      <w:r w:rsidRPr="000E70D5">
        <w:rPr>
          <w:sz w:val="24"/>
          <w:szCs w:val="24"/>
        </w:rPr>
        <w:t>Disse højrisikopatienter skal have lavere doser (se pkt. 4.2), og de bør monitoreres kontinuerligt for tidlige tegn på ændringer af vitale funktioner.</w:t>
      </w:r>
    </w:p>
    <w:p w14:paraId="1E4F8BE1" w14:textId="77777777" w:rsidR="005C5AEF" w:rsidRPr="000E70D5" w:rsidRDefault="005C5AEF" w:rsidP="00445723">
      <w:pPr>
        <w:ind w:left="851"/>
        <w:rPr>
          <w:noProof/>
          <w:sz w:val="24"/>
          <w:szCs w:val="24"/>
          <w:u w:val="single"/>
        </w:rPr>
      </w:pPr>
    </w:p>
    <w:p w14:paraId="6CB60A6E" w14:textId="77777777" w:rsidR="005C5AEF" w:rsidRPr="000E70D5" w:rsidRDefault="005C5AEF" w:rsidP="00445723">
      <w:pPr>
        <w:ind w:left="851"/>
        <w:rPr>
          <w:noProof/>
          <w:sz w:val="24"/>
          <w:szCs w:val="24"/>
        </w:rPr>
      </w:pPr>
      <w:r w:rsidRPr="000E70D5">
        <w:rPr>
          <w:noProof/>
          <w:sz w:val="24"/>
          <w:szCs w:val="24"/>
          <w:u w:val="single"/>
        </w:rPr>
        <w:t>Myasthenia gravis</w:t>
      </w:r>
    </w:p>
    <w:p w14:paraId="1EBB1A0B" w14:textId="77777777" w:rsidR="005C5AEF" w:rsidRPr="000E70D5" w:rsidRDefault="005C5AEF" w:rsidP="00445723">
      <w:pPr>
        <w:ind w:left="851"/>
        <w:rPr>
          <w:sz w:val="24"/>
          <w:szCs w:val="24"/>
        </w:rPr>
      </w:pPr>
      <w:r w:rsidRPr="000E70D5">
        <w:rPr>
          <w:sz w:val="24"/>
          <w:szCs w:val="24"/>
        </w:rPr>
        <w:t xml:space="preserve">Som for alle stoffer med CNS-deprimerende og/eller muskelrelakserende egenskaber skal der udvises særlig forsigtighed, når </w:t>
      </w:r>
      <w:proofErr w:type="spellStart"/>
      <w:r w:rsidRPr="000E70D5">
        <w:rPr>
          <w:sz w:val="24"/>
          <w:szCs w:val="24"/>
        </w:rPr>
        <w:t>midazolam</w:t>
      </w:r>
      <w:proofErr w:type="spellEnd"/>
      <w:r w:rsidRPr="000E70D5">
        <w:rPr>
          <w:sz w:val="24"/>
          <w:szCs w:val="24"/>
        </w:rPr>
        <w:t xml:space="preserve"> administreres til patienter med </w:t>
      </w:r>
      <w:proofErr w:type="spellStart"/>
      <w:r w:rsidRPr="000E70D5">
        <w:rPr>
          <w:sz w:val="24"/>
          <w:szCs w:val="24"/>
        </w:rPr>
        <w:t>myasthenia</w:t>
      </w:r>
      <w:proofErr w:type="spellEnd"/>
      <w:r w:rsidRPr="000E70D5">
        <w:rPr>
          <w:sz w:val="24"/>
          <w:szCs w:val="24"/>
        </w:rPr>
        <w:t xml:space="preserve"> </w:t>
      </w:r>
      <w:proofErr w:type="spellStart"/>
      <w:r w:rsidRPr="000E70D5">
        <w:rPr>
          <w:sz w:val="24"/>
          <w:szCs w:val="24"/>
        </w:rPr>
        <w:t>gravis</w:t>
      </w:r>
      <w:proofErr w:type="spellEnd"/>
      <w:r w:rsidRPr="000E70D5">
        <w:rPr>
          <w:sz w:val="24"/>
          <w:szCs w:val="24"/>
        </w:rPr>
        <w:t>.</w:t>
      </w:r>
    </w:p>
    <w:p w14:paraId="0AE2EA0C" w14:textId="77777777" w:rsidR="005C5AEF" w:rsidRPr="000E70D5" w:rsidRDefault="005C5AEF" w:rsidP="00445723">
      <w:pPr>
        <w:ind w:left="851"/>
        <w:rPr>
          <w:sz w:val="24"/>
          <w:szCs w:val="24"/>
        </w:rPr>
      </w:pPr>
    </w:p>
    <w:p w14:paraId="3E397DDD" w14:textId="77777777" w:rsidR="005C5AEF" w:rsidRPr="000E70D5" w:rsidRDefault="005C5AEF" w:rsidP="00445723">
      <w:pPr>
        <w:ind w:left="851"/>
        <w:rPr>
          <w:sz w:val="24"/>
          <w:szCs w:val="24"/>
          <w:u w:val="single"/>
        </w:rPr>
      </w:pPr>
      <w:r w:rsidRPr="000E70D5">
        <w:rPr>
          <w:sz w:val="24"/>
          <w:szCs w:val="24"/>
          <w:u w:val="single"/>
        </w:rPr>
        <w:t>Tolerans</w:t>
      </w:r>
    </w:p>
    <w:p w14:paraId="3E9E6745" w14:textId="77777777" w:rsidR="005C5AEF" w:rsidRPr="000E70D5" w:rsidRDefault="005C5AEF" w:rsidP="00445723">
      <w:pPr>
        <w:ind w:left="851"/>
        <w:rPr>
          <w:sz w:val="24"/>
          <w:szCs w:val="24"/>
        </w:rPr>
      </w:pPr>
      <w:r w:rsidRPr="000E70D5">
        <w:rPr>
          <w:sz w:val="24"/>
          <w:szCs w:val="24"/>
        </w:rPr>
        <w:t xml:space="preserve">Der er rapporteret om tab af virkning, når </w:t>
      </w:r>
      <w:proofErr w:type="spellStart"/>
      <w:r w:rsidRPr="000E70D5">
        <w:rPr>
          <w:sz w:val="24"/>
          <w:szCs w:val="24"/>
        </w:rPr>
        <w:t>midazolam</w:t>
      </w:r>
      <w:proofErr w:type="spellEnd"/>
      <w:r w:rsidRPr="000E70D5">
        <w:rPr>
          <w:sz w:val="24"/>
          <w:szCs w:val="24"/>
        </w:rPr>
        <w:t xml:space="preserve"> blev anvendt til langtidssedation på intensivafdelinger.</w:t>
      </w:r>
    </w:p>
    <w:p w14:paraId="5DEC8FB1" w14:textId="77777777" w:rsidR="005C5AEF" w:rsidRPr="000E70D5" w:rsidRDefault="005C5AEF" w:rsidP="00445723">
      <w:pPr>
        <w:ind w:left="851"/>
        <w:rPr>
          <w:sz w:val="24"/>
          <w:szCs w:val="24"/>
        </w:rPr>
      </w:pPr>
    </w:p>
    <w:p w14:paraId="57515A08" w14:textId="77777777" w:rsidR="005C5AEF" w:rsidRPr="000E70D5" w:rsidRDefault="005C5AEF" w:rsidP="00445723">
      <w:pPr>
        <w:ind w:left="851"/>
        <w:rPr>
          <w:sz w:val="24"/>
          <w:szCs w:val="24"/>
          <w:u w:val="single"/>
        </w:rPr>
      </w:pPr>
      <w:r w:rsidRPr="000E70D5">
        <w:rPr>
          <w:sz w:val="24"/>
          <w:szCs w:val="24"/>
          <w:u w:val="single"/>
        </w:rPr>
        <w:t>Afhængighed</w:t>
      </w:r>
    </w:p>
    <w:p w14:paraId="66F7D1DA" w14:textId="77777777" w:rsidR="005C5AEF" w:rsidRPr="000E70D5" w:rsidRDefault="005C5AEF" w:rsidP="00445723">
      <w:pPr>
        <w:ind w:left="851"/>
        <w:rPr>
          <w:sz w:val="24"/>
          <w:szCs w:val="24"/>
        </w:rPr>
      </w:pPr>
      <w:r w:rsidRPr="000E70D5">
        <w:rPr>
          <w:sz w:val="24"/>
          <w:szCs w:val="24"/>
        </w:rPr>
        <w:t xml:space="preserve">Når </w:t>
      </w:r>
      <w:proofErr w:type="spellStart"/>
      <w:r w:rsidRPr="000E70D5">
        <w:rPr>
          <w:sz w:val="24"/>
          <w:szCs w:val="24"/>
        </w:rPr>
        <w:t>midazolam</w:t>
      </w:r>
      <w:proofErr w:type="spellEnd"/>
      <w:r w:rsidRPr="000E70D5">
        <w:rPr>
          <w:sz w:val="24"/>
          <w:szCs w:val="24"/>
        </w:rPr>
        <w:t xml:space="preserve"> anvendes til langtidssedation på intensivafdelinger bør det erindres, at der kan udvikles fysisk afhængighed af </w:t>
      </w:r>
      <w:proofErr w:type="spellStart"/>
      <w:r w:rsidRPr="000E70D5">
        <w:rPr>
          <w:sz w:val="24"/>
          <w:szCs w:val="24"/>
        </w:rPr>
        <w:t>midazolam</w:t>
      </w:r>
      <w:proofErr w:type="spellEnd"/>
      <w:r w:rsidRPr="000E70D5">
        <w:rPr>
          <w:sz w:val="24"/>
          <w:szCs w:val="24"/>
        </w:rPr>
        <w:t>. Risikoen for afhængighed tiltager med dosis og behandlingsvarighed. Den er også større hos patienter med alkohol- og/eller stofmisbrug i anamnesen (se pkt. 4.8).</w:t>
      </w:r>
    </w:p>
    <w:p w14:paraId="4C3A7614" w14:textId="77777777" w:rsidR="005C5AEF" w:rsidRPr="000E70D5" w:rsidRDefault="005C5AEF" w:rsidP="00445723">
      <w:pPr>
        <w:ind w:left="851"/>
        <w:rPr>
          <w:sz w:val="24"/>
          <w:szCs w:val="24"/>
        </w:rPr>
      </w:pPr>
    </w:p>
    <w:p w14:paraId="79D0CDF4" w14:textId="77777777" w:rsidR="005C5AEF" w:rsidRPr="000E70D5" w:rsidRDefault="005C5AEF" w:rsidP="00445723">
      <w:pPr>
        <w:ind w:left="851"/>
        <w:rPr>
          <w:sz w:val="24"/>
          <w:szCs w:val="24"/>
          <w:u w:val="single"/>
        </w:rPr>
      </w:pPr>
      <w:r w:rsidRPr="000E70D5">
        <w:rPr>
          <w:sz w:val="24"/>
          <w:szCs w:val="24"/>
          <w:u w:val="single"/>
        </w:rPr>
        <w:t>Abstinenssymptomer</w:t>
      </w:r>
    </w:p>
    <w:p w14:paraId="5A7A1109" w14:textId="77777777" w:rsidR="005C5AEF" w:rsidRPr="000E70D5" w:rsidRDefault="005C5AEF" w:rsidP="00445723">
      <w:pPr>
        <w:ind w:left="851"/>
        <w:rPr>
          <w:sz w:val="24"/>
          <w:szCs w:val="24"/>
        </w:rPr>
      </w:pPr>
      <w:r w:rsidRPr="000E70D5">
        <w:rPr>
          <w:sz w:val="24"/>
          <w:szCs w:val="24"/>
        </w:rPr>
        <w:t xml:space="preserve">Under langvarig behandling med </w:t>
      </w:r>
      <w:proofErr w:type="spellStart"/>
      <w:r w:rsidRPr="000E70D5">
        <w:rPr>
          <w:sz w:val="24"/>
          <w:szCs w:val="24"/>
        </w:rPr>
        <w:t>midazolam</w:t>
      </w:r>
      <w:proofErr w:type="spellEnd"/>
      <w:r w:rsidRPr="000E70D5">
        <w:rPr>
          <w:sz w:val="24"/>
          <w:szCs w:val="24"/>
        </w:rPr>
        <w:t xml:space="preserve"> på intensivafdelinger kan der udvikles fysisk afhængighed. Derfor vil pludselig afbrydelse af behandlingen blive ledsaget af abstinenssymptomer. Følgende symptomer kan forekomme: hovedpine, diarré, muskelsmerter, ekstrem angst, spænding, rastløshed, konfusion, irritabilitet, søvnforstyrrelser, humørsvingninger, hallucinationer og kramper. I svære tilfælde kan følgende symptomer forekomme: depersonalisation, følelsesløshed og prikken i ekstremiteterne, overfølsomhed over for lys, støj og fysisk kontakt. Da risikoen for abstinenssymptomer er større efter pludselig </w:t>
      </w:r>
      <w:proofErr w:type="spellStart"/>
      <w:r w:rsidRPr="000E70D5">
        <w:rPr>
          <w:sz w:val="24"/>
          <w:szCs w:val="24"/>
        </w:rPr>
        <w:t>seponering</w:t>
      </w:r>
      <w:proofErr w:type="spellEnd"/>
      <w:r w:rsidRPr="000E70D5">
        <w:rPr>
          <w:sz w:val="24"/>
          <w:szCs w:val="24"/>
        </w:rPr>
        <w:t xml:space="preserve"> af behandlingen, anbefales det at nedsætte dosis gradvist.</w:t>
      </w:r>
    </w:p>
    <w:p w14:paraId="17EC68CE" w14:textId="77777777" w:rsidR="005C5AEF" w:rsidRPr="000E70D5" w:rsidRDefault="005C5AEF" w:rsidP="00445723">
      <w:pPr>
        <w:ind w:left="851"/>
        <w:rPr>
          <w:sz w:val="24"/>
          <w:szCs w:val="24"/>
        </w:rPr>
      </w:pPr>
    </w:p>
    <w:p w14:paraId="637D54D7" w14:textId="77777777" w:rsidR="005C5AEF" w:rsidRPr="000E70D5" w:rsidRDefault="005C5AEF" w:rsidP="00445723">
      <w:pPr>
        <w:ind w:left="851"/>
        <w:rPr>
          <w:sz w:val="24"/>
          <w:szCs w:val="24"/>
          <w:u w:val="single"/>
        </w:rPr>
      </w:pPr>
      <w:r w:rsidRPr="000E70D5">
        <w:rPr>
          <w:sz w:val="24"/>
          <w:szCs w:val="24"/>
          <w:u w:val="single"/>
        </w:rPr>
        <w:t>Amnesi</w:t>
      </w:r>
    </w:p>
    <w:p w14:paraId="5A2CAA2D" w14:textId="77777777" w:rsidR="005C5AEF" w:rsidRPr="000E70D5" w:rsidRDefault="005C5AEF" w:rsidP="00445723">
      <w:pPr>
        <w:ind w:left="851"/>
        <w:rPr>
          <w:sz w:val="24"/>
          <w:szCs w:val="24"/>
        </w:rPr>
      </w:pPr>
      <w:r w:rsidRPr="000E70D5">
        <w:rPr>
          <w:sz w:val="24"/>
          <w:szCs w:val="24"/>
        </w:rPr>
        <w:t xml:space="preserve">Der kan forekomme </w:t>
      </w:r>
      <w:proofErr w:type="spellStart"/>
      <w:r w:rsidRPr="000E70D5">
        <w:rPr>
          <w:sz w:val="24"/>
          <w:szCs w:val="24"/>
        </w:rPr>
        <w:t>anterograd</w:t>
      </w:r>
      <w:proofErr w:type="spellEnd"/>
      <w:r w:rsidRPr="000E70D5">
        <w:rPr>
          <w:sz w:val="24"/>
          <w:szCs w:val="24"/>
        </w:rPr>
        <w:t xml:space="preserve"> amnesi med terapeutiske doser, hvis varighed er direkte relateret til den administrerede dosis (ofte er denne virkning meget ønskelig i situationer som før og under kirurgiske og diagnostiske procedurer). Denne risiko forøges ved højere dosering. Forlænget amnesi kan give problemer for ambulante patienter, som udskrives efter intervention. Patienter, som har fået </w:t>
      </w:r>
      <w:proofErr w:type="spellStart"/>
      <w:r w:rsidRPr="000E70D5">
        <w:rPr>
          <w:sz w:val="24"/>
          <w:szCs w:val="24"/>
        </w:rPr>
        <w:t>midazolam</w:t>
      </w:r>
      <w:proofErr w:type="spellEnd"/>
      <w:r w:rsidRPr="000E70D5">
        <w:rPr>
          <w:sz w:val="24"/>
          <w:szCs w:val="24"/>
        </w:rPr>
        <w:t xml:space="preserve"> parenteralt, bør kun forlade sygehuset eller konsultationen, hvis de ledsages af en person.</w:t>
      </w:r>
    </w:p>
    <w:p w14:paraId="7E8953AA" w14:textId="77777777" w:rsidR="005C5AEF" w:rsidRPr="000E70D5" w:rsidRDefault="005C5AEF" w:rsidP="00445723">
      <w:pPr>
        <w:ind w:left="851"/>
        <w:rPr>
          <w:sz w:val="24"/>
          <w:szCs w:val="24"/>
        </w:rPr>
      </w:pPr>
    </w:p>
    <w:p w14:paraId="755BA05C" w14:textId="77777777" w:rsidR="005C5AEF" w:rsidRPr="000E70D5" w:rsidRDefault="005C5AEF" w:rsidP="00445723">
      <w:pPr>
        <w:ind w:left="851"/>
        <w:rPr>
          <w:sz w:val="24"/>
          <w:szCs w:val="24"/>
          <w:u w:val="single"/>
        </w:rPr>
      </w:pPr>
      <w:r w:rsidRPr="000E70D5">
        <w:rPr>
          <w:sz w:val="24"/>
          <w:szCs w:val="24"/>
          <w:u w:val="single"/>
        </w:rPr>
        <w:t>Paradokse reaktioner</w:t>
      </w:r>
    </w:p>
    <w:p w14:paraId="5723D026" w14:textId="1953E11D" w:rsidR="005C5AEF" w:rsidRPr="000E70D5" w:rsidRDefault="005C5AEF" w:rsidP="00445723">
      <w:pPr>
        <w:ind w:left="851"/>
        <w:rPr>
          <w:sz w:val="24"/>
          <w:szCs w:val="24"/>
        </w:rPr>
      </w:pPr>
      <w:r w:rsidRPr="000E70D5">
        <w:rPr>
          <w:sz w:val="24"/>
          <w:szCs w:val="24"/>
        </w:rPr>
        <w:t xml:space="preserve">Det er rapporteret, at paradokse reaktioner som rastløshed, agitation, irritation, ufrivillige bevægelser (inklusive toniske/kloniske kramper og </w:t>
      </w:r>
      <w:proofErr w:type="spellStart"/>
      <w:r w:rsidRPr="000E70D5">
        <w:rPr>
          <w:sz w:val="24"/>
          <w:szCs w:val="24"/>
        </w:rPr>
        <w:t>muskeltremor</w:t>
      </w:r>
      <w:proofErr w:type="spellEnd"/>
      <w:r w:rsidRPr="000E70D5">
        <w:rPr>
          <w:sz w:val="24"/>
          <w:szCs w:val="24"/>
        </w:rPr>
        <w:t xml:space="preserve">), hyperaktivitet, fjendtlighed, vrangforestillinger, vrede, aggressivitet, angst, mareridt, hallucinationer, psykoser, upassende adfærd og andre negative adfærdspåvirkninger, </w:t>
      </w:r>
      <w:proofErr w:type="spellStart"/>
      <w:r w:rsidRPr="000E70D5">
        <w:rPr>
          <w:sz w:val="24"/>
          <w:szCs w:val="24"/>
        </w:rPr>
        <w:t>paroksysmal</w:t>
      </w:r>
      <w:proofErr w:type="spellEnd"/>
      <w:r w:rsidRPr="000E70D5">
        <w:rPr>
          <w:sz w:val="24"/>
          <w:szCs w:val="24"/>
        </w:rPr>
        <w:t xml:space="preserve"> </w:t>
      </w:r>
      <w:proofErr w:type="spellStart"/>
      <w:r w:rsidRPr="000E70D5">
        <w:rPr>
          <w:sz w:val="24"/>
          <w:szCs w:val="24"/>
        </w:rPr>
        <w:t>excitation</w:t>
      </w:r>
      <w:proofErr w:type="spellEnd"/>
      <w:r w:rsidRPr="000E70D5">
        <w:rPr>
          <w:sz w:val="24"/>
          <w:szCs w:val="24"/>
        </w:rPr>
        <w:t xml:space="preserve"> og voldsomhed kan forekomme med </w:t>
      </w:r>
      <w:proofErr w:type="spellStart"/>
      <w:r w:rsidRPr="000E70D5">
        <w:rPr>
          <w:sz w:val="24"/>
          <w:szCs w:val="24"/>
        </w:rPr>
        <w:t>midazolam</w:t>
      </w:r>
      <w:proofErr w:type="spellEnd"/>
      <w:r w:rsidRPr="000E70D5">
        <w:rPr>
          <w:sz w:val="24"/>
          <w:szCs w:val="24"/>
        </w:rPr>
        <w:t xml:space="preserve">. Disse reaktioner kan forekomme efter høje doser, og/eller når injektionen gives hurtigt. Reaktionerne er rapporteret hyppigst hos børn og ældre. I tilfælde af disse reaktioner skal </w:t>
      </w:r>
      <w:proofErr w:type="spellStart"/>
      <w:r w:rsidRPr="000E70D5">
        <w:rPr>
          <w:sz w:val="24"/>
          <w:szCs w:val="24"/>
        </w:rPr>
        <w:t>seponering</w:t>
      </w:r>
      <w:proofErr w:type="spellEnd"/>
      <w:r w:rsidRPr="000E70D5">
        <w:rPr>
          <w:sz w:val="24"/>
          <w:szCs w:val="24"/>
        </w:rPr>
        <w:t xml:space="preserve"> af lægemidlet overvejes.</w:t>
      </w:r>
    </w:p>
    <w:p w14:paraId="13F51CD8" w14:textId="77777777" w:rsidR="005C5AEF" w:rsidRPr="000E70D5" w:rsidRDefault="005C5AEF" w:rsidP="00445723">
      <w:pPr>
        <w:ind w:left="851"/>
        <w:rPr>
          <w:sz w:val="24"/>
          <w:szCs w:val="24"/>
        </w:rPr>
      </w:pPr>
    </w:p>
    <w:p w14:paraId="3D60588B" w14:textId="77777777" w:rsidR="005C5AEF" w:rsidRPr="000E70D5" w:rsidRDefault="005C5AEF" w:rsidP="00445723">
      <w:pPr>
        <w:ind w:left="851"/>
        <w:rPr>
          <w:sz w:val="24"/>
          <w:szCs w:val="24"/>
          <w:u w:val="single"/>
        </w:rPr>
      </w:pPr>
      <w:r w:rsidRPr="000E70D5">
        <w:rPr>
          <w:sz w:val="24"/>
          <w:szCs w:val="24"/>
          <w:u w:val="single"/>
        </w:rPr>
        <w:t xml:space="preserve">Ændret elimination af </w:t>
      </w:r>
      <w:proofErr w:type="spellStart"/>
      <w:r w:rsidRPr="000E70D5">
        <w:rPr>
          <w:sz w:val="24"/>
          <w:szCs w:val="24"/>
          <w:u w:val="single"/>
        </w:rPr>
        <w:t>midazolam</w:t>
      </w:r>
      <w:proofErr w:type="spellEnd"/>
    </w:p>
    <w:p w14:paraId="3431B0AD" w14:textId="77777777" w:rsidR="005C5AEF" w:rsidRPr="000E70D5" w:rsidRDefault="005C5AEF" w:rsidP="00445723">
      <w:pPr>
        <w:ind w:left="851"/>
        <w:rPr>
          <w:sz w:val="24"/>
          <w:szCs w:val="24"/>
        </w:rPr>
      </w:pPr>
      <w:r w:rsidRPr="000E70D5">
        <w:rPr>
          <w:sz w:val="24"/>
          <w:szCs w:val="24"/>
        </w:rPr>
        <w:t xml:space="preserve">Eliminationen af </w:t>
      </w:r>
      <w:proofErr w:type="spellStart"/>
      <w:r w:rsidRPr="000E70D5">
        <w:rPr>
          <w:sz w:val="24"/>
          <w:szCs w:val="24"/>
        </w:rPr>
        <w:t>midazolam</w:t>
      </w:r>
      <w:proofErr w:type="spellEnd"/>
      <w:r w:rsidRPr="000E70D5">
        <w:rPr>
          <w:sz w:val="24"/>
          <w:szCs w:val="24"/>
        </w:rPr>
        <w:t xml:space="preserve"> kan ændre sig hos patienter, som får stoffer, som hæmmer eller inducerer CYP3A4, og </w:t>
      </w:r>
      <w:proofErr w:type="spellStart"/>
      <w:r w:rsidRPr="000E70D5">
        <w:rPr>
          <w:sz w:val="24"/>
          <w:szCs w:val="24"/>
        </w:rPr>
        <w:t>midazolamdosis</w:t>
      </w:r>
      <w:proofErr w:type="spellEnd"/>
      <w:r w:rsidRPr="000E70D5">
        <w:rPr>
          <w:sz w:val="24"/>
          <w:szCs w:val="24"/>
        </w:rPr>
        <w:t xml:space="preserve"> skal muligvis justeres herefter (se pkt. 4.5).</w:t>
      </w:r>
    </w:p>
    <w:p w14:paraId="7153B110" w14:textId="77777777" w:rsidR="005C5AEF" w:rsidRPr="000E70D5" w:rsidRDefault="005C5AEF" w:rsidP="00445723">
      <w:pPr>
        <w:ind w:left="851"/>
        <w:rPr>
          <w:sz w:val="24"/>
          <w:szCs w:val="24"/>
        </w:rPr>
      </w:pPr>
    </w:p>
    <w:p w14:paraId="32BCB94F" w14:textId="77777777" w:rsidR="005C5AEF" w:rsidRPr="000E70D5" w:rsidRDefault="005C5AEF" w:rsidP="00445723">
      <w:pPr>
        <w:ind w:left="851"/>
        <w:rPr>
          <w:sz w:val="24"/>
          <w:szCs w:val="24"/>
        </w:rPr>
      </w:pPr>
      <w:r w:rsidRPr="000E70D5">
        <w:rPr>
          <w:sz w:val="24"/>
          <w:szCs w:val="24"/>
        </w:rPr>
        <w:t xml:space="preserve">Eliminationen af </w:t>
      </w:r>
      <w:proofErr w:type="spellStart"/>
      <w:r w:rsidRPr="000E70D5">
        <w:rPr>
          <w:sz w:val="24"/>
          <w:szCs w:val="24"/>
        </w:rPr>
        <w:t>midazolam</w:t>
      </w:r>
      <w:proofErr w:type="spellEnd"/>
      <w:r w:rsidRPr="000E70D5">
        <w:rPr>
          <w:sz w:val="24"/>
          <w:szCs w:val="24"/>
        </w:rPr>
        <w:t xml:space="preserve"> kan også forsinkes hos patienter med nedsat leverfunktion, lavt minutvolumen og hos nyfødte (se pkt. 5.2).</w:t>
      </w:r>
    </w:p>
    <w:p w14:paraId="0D1DE757" w14:textId="77777777" w:rsidR="005C5AEF" w:rsidRPr="000E70D5" w:rsidRDefault="005C5AEF" w:rsidP="00445723">
      <w:pPr>
        <w:ind w:left="851"/>
        <w:rPr>
          <w:sz w:val="24"/>
          <w:szCs w:val="24"/>
        </w:rPr>
      </w:pPr>
    </w:p>
    <w:p w14:paraId="4F40ADB3" w14:textId="77777777" w:rsidR="005C5AEF" w:rsidRPr="000E70D5" w:rsidRDefault="005C5AEF" w:rsidP="00445723">
      <w:pPr>
        <w:ind w:left="851"/>
        <w:rPr>
          <w:sz w:val="24"/>
          <w:szCs w:val="24"/>
          <w:u w:val="single"/>
        </w:rPr>
      </w:pPr>
      <w:r w:rsidRPr="000E70D5">
        <w:rPr>
          <w:sz w:val="24"/>
          <w:szCs w:val="24"/>
          <w:u w:val="single"/>
        </w:rPr>
        <w:t>Søvnapnø</w:t>
      </w:r>
    </w:p>
    <w:p w14:paraId="7F549599"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skal bruges med ekstrem forsigtighed hos patienter med søvnapnø-syndrom, og patienter skal overvåges regelmæssigt.</w:t>
      </w:r>
    </w:p>
    <w:p w14:paraId="6AFC0C29" w14:textId="77777777" w:rsidR="005C5AEF" w:rsidRPr="000E70D5" w:rsidRDefault="005C5AEF" w:rsidP="00445723">
      <w:pPr>
        <w:ind w:left="851"/>
        <w:rPr>
          <w:sz w:val="24"/>
          <w:szCs w:val="24"/>
        </w:rPr>
      </w:pPr>
    </w:p>
    <w:p w14:paraId="626B6B37" w14:textId="77777777" w:rsidR="005C5AEF" w:rsidRPr="000E70D5" w:rsidRDefault="005C5AEF" w:rsidP="00445723">
      <w:pPr>
        <w:ind w:left="851"/>
        <w:rPr>
          <w:sz w:val="24"/>
          <w:szCs w:val="24"/>
          <w:u w:val="single"/>
        </w:rPr>
      </w:pPr>
      <w:r w:rsidRPr="000E70D5">
        <w:rPr>
          <w:sz w:val="24"/>
          <w:szCs w:val="24"/>
          <w:u w:val="single"/>
        </w:rPr>
        <w:t>Samtidig brug af alkohol/CNS-deprimerende stoffer</w:t>
      </w:r>
    </w:p>
    <w:p w14:paraId="4DFD1397" w14:textId="77777777" w:rsidR="005C5AEF" w:rsidRPr="000E70D5" w:rsidRDefault="005C5AEF" w:rsidP="00445723">
      <w:pPr>
        <w:ind w:left="851"/>
        <w:rPr>
          <w:sz w:val="24"/>
          <w:szCs w:val="24"/>
        </w:rPr>
      </w:pPr>
      <w:r w:rsidRPr="000E70D5">
        <w:rPr>
          <w:sz w:val="24"/>
          <w:szCs w:val="24"/>
        </w:rPr>
        <w:t xml:space="preserve">Samtidig brug af </w:t>
      </w:r>
      <w:proofErr w:type="spellStart"/>
      <w:r w:rsidRPr="000E70D5">
        <w:rPr>
          <w:sz w:val="24"/>
          <w:szCs w:val="24"/>
        </w:rPr>
        <w:t>midazolam</w:t>
      </w:r>
      <w:proofErr w:type="spellEnd"/>
      <w:r w:rsidRPr="000E70D5">
        <w:rPr>
          <w:sz w:val="24"/>
          <w:szCs w:val="24"/>
        </w:rPr>
        <w:t xml:space="preserve"> og alkohol og/eller CNS-deprimerende stoffer bør undgås. Ved en sådan samtidig brug risikeres en forstærkning af </w:t>
      </w:r>
      <w:proofErr w:type="spellStart"/>
      <w:r w:rsidRPr="000E70D5">
        <w:rPr>
          <w:sz w:val="24"/>
          <w:szCs w:val="24"/>
        </w:rPr>
        <w:t>midazolams</w:t>
      </w:r>
      <w:proofErr w:type="spellEnd"/>
      <w:r w:rsidRPr="000E70D5">
        <w:rPr>
          <w:sz w:val="24"/>
          <w:szCs w:val="24"/>
        </w:rPr>
        <w:t xml:space="preserve"> kliniske virkning, herunder svær sedation, der kan medføre koma eller død, eller klinisk relevant respirationsdepression (se pkt. 4.5).</w:t>
      </w:r>
    </w:p>
    <w:p w14:paraId="00E5764E" w14:textId="77777777" w:rsidR="005C5AEF" w:rsidRPr="000E70D5" w:rsidRDefault="005C5AEF" w:rsidP="00445723">
      <w:pPr>
        <w:ind w:left="851"/>
        <w:rPr>
          <w:sz w:val="24"/>
          <w:szCs w:val="24"/>
        </w:rPr>
      </w:pPr>
    </w:p>
    <w:p w14:paraId="7DF837C5" w14:textId="77777777" w:rsidR="005C5AEF" w:rsidRPr="000E70D5" w:rsidRDefault="005C5AEF" w:rsidP="00445723">
      <w:pPr>
        <w:ind w:left="851"/>
        <w:rPr>
          <w:sz w:val="24"/>
          <w:szCs w:val="24"/>
          <w:u w:val="single"/>
        </w:rPr>
      </w:pPr>
      <w:r w:rsidRPr="000E70D5">
        <w:rPr>
          <w:sz w:val="24"/>
          <w:szCs w:val="24"/>
          <w:u w:val="single"/>
        </w:rPr>
        <w:t>Alkohol- eller stofmisbrug i anamnesen</w:t>
      </w:r>
    </w:p>
    <w:p w14:paraId="36806B91"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bør, som andre benzodiazepiner, ikke anvendes til patienter med alkohol- og/eller stofmisbrug i anamnesen.</w:t>
      </w:r>
    </w:p>
    <w:p w14:paraId="77AB6760" w14:textId="77777777" w:rsidR="005C5AEF" w:rsidRPr="000E70D5" w:rsidRDefault="005C5AEF" w:rsidP="00445723">
      <w:pPr>
        <w:ind w:left="851"/>
        <w:rPr>
          <w:sz w:val="24"/>
          <w:szCs w:val="24"/>
        </w:rPr>
      </w:pPr>
    </w:p>
    <w:p w14:paraId="05A9B594" w14:textId="77777777" w:rsidR="005C5AEF" w:rsidRPr="000E70D5" w:rsidRDefault="005C5AEF" w:rsidP="00445723">
      <w:pPr>
        <w:ind w:left="851"/>
        <w:rPr>
          <w:sz w:val="24"/>
          <w:szCs w:val="24"/>
          <w:u w:val="single"/>
        </w:rPr>
      </w:pPr>
      <w:r w:rsidRPr="000E70D5">
        <w:rPr>
          <w:sz w:val="24"/>
          <w:szCs w:val="24"/>
          <w:u w:val="single"/>
        </w:rPr>
        <w:t>Udskrivningskriterier</w:t>
      </w:r>
    </w:p>
    <w:p w14:paraId="5AA7B13A" w14:textId="77777777" w:rsidR="005C5AEF" w:rsidRPr="000E70D5" w:rsidRDefault="005C5AEF" w:rsidP="00445723">
      <w:pPr>
        <w:ind w:left="851"/>
        <w:rPr>
          <w:sz w:val="24"/>
          <w:szCs w:val="24"/>
        </w:rPr>
      </w:pPr>
      <w:r w:rsidRPr="000E70D5">
        <w:rPr>
          <w:sz w:val="24"/>
          <w:szCs w:val="24"/>
        </w:rPr>
        <w:t xml:space="preserve">Patienter, som har fået </w:t>
      </w:r>
      <w:proofErr w:type="spellStart"/>
      <w:r w:rsidRPr="000E70D5">
        <w:rPr>
          <w:sz w:val="24"/>
          <w:szCs w:val="24"/>
        </w:rPr>
        <w:t>midazolam</w:t>
      </w:r>
      <w:proofErr w:type="spellEnd"/>
      <w:r w:rsidRPr="000E70D5">
        <w:rPr>
          <w:sz w:val="24"/>
          <w:szCs w:val="24"/>
        </w:rPr>
        <w:t>, bør kun forlade sygehuset eller konsultationen, hvis det anbefales af den behandlende læge, og hvis de ledsages af en person. Det anbefales, at patienten ledsages ved hjemkomsten efter udskrivning.</w:t>
      </w:r>
    </w:p>
    <w:p w14:paraId="6E46DC54" w14:textId="77777777" w:rsidR="005C5AEF" w:rsidRPr="000E70D5" w:rsidRDefault="005C5AEF" w:rsidP="00445723">
      <w:pPr>
        <w:ind w:left="851"/>
        <w:rPr>
          <w:sz w:val="24"/>
          <w:szCs w:val="24"/>
        </w:rPr>
      </w:pPr>
    </w:p>
    <w:p w14:paraId="2F7F6FB0" w14:textId="77777777" w:rsidR="005C5AEF" w:rsidRPr="000E70D5" w:rsidRDefault="005C5AEF" w:rsidP="00445723">
      <w:pPr>
        <w:ind w:left="851"/>
        <w:rPr>
          <w:sz w:val="24"/>
          <w:szCs w:val="24"/>
          <w:u w:val="single"/>
        </w:rPr>
      </w:pPr>
      <w:r w:rsidRPr="000E70D5">
        <w:rPr>
          <w:sz w:val="24"/>
          <w:szCs w:val="24"/>
          <w:u w:val="single"/>
        </w:rPr>
        <w:t>Pædiatrisk population</w:t>
      </w:r>
    </w:p>
    <w:p w14:paraId="46EC7F70" w14:textId="77777777" w:rsidR="005C5AEF" w:rsidRPr="000E70D5" w:rsidRDefault="005C5AEF" w:rsidP="00445723">
      <w:pPr>
        <w:ind w:left="851"/>
        <w:rPr>
          <w:sz w:val="24"/>
          <w:szCs w:val="24"/>
        </w:rPr>
      </w:pPr>
      <w:proofErr w:type="spellStart"/>
      <w:r w:rsidRPr="000E70D5">
        <w:rPr>
          <w:sz w:val="24"/>
          <w:szCs w:val="24"/>
        </w:rPr>
        <w:t>Hæmodynamiske</w:t>
      </w:r>
      <w:proofErr w:type="spellEnd"/>
      <w:r w:rsidRPr="000E70D5">
        <w:rPr>
          <w:sz w:val="24"/>
          <w:szCs w:val="24"/>
        </w:rPr>
        <w:t xml:space="preserve"> bivirkninger er rapporteret hos pædiatriske patienter med </w:t>
      </w:r>
      <w:proofErr w:type="spellStart"/>
      <w:r w:rsidRPr="000E70D5">
        <w:rPr>
          <w:sz w:val="24"/>
          <w:szCs w:val="24"/>
        </w:rPr>
        <w:t>kardiovaskulær</w:t>
      </w:r>
      <w:proofErr w:type="spellEnd"/>
      <w:r w:rsidRPr="000E70D5">
        <w:rPr>
          <w:sz w:val="24"/>
          <w:szCs w:val="24"/>
        </w:rPr>
        <w:t xml:space="preserve"> ustabilitet. Hurtig intravenøs administration skal undgås i denne population, og lavere doser er nødvendige (se pkt. 4.2).</w:t>
      </w:r>
    </w:p>
    <w:p w14:paraId="79E1D6FB" w14:textId="77777777" w:rsidR="005C5AEF" w:rsidRPr="000E70D5" w:rsidRDefault="005C5AEF" w:rsidP="00445723">
      <w:pPr>
        <w:ind w:left="851"/>
        <w:rPr>
          <w:sz w:val="24"/>
          <w:szCs w:val="24"/>
        </w:rPr>
      </w:pPr>
    </w:p>
    <w:p w14:paraId="68015F94" w14:textId="77777777" w:rsidR="005C5AEF" w:rsidRPr="000E70D5" w:rsidRDefault="005C5AEF" w:rsidP="00445723">
      <w:pPr>
        <w:ind w:left="851"/>
        <w:rPr>
          <w:sz w:val="24"/>
          <w:szCs w:val="24"/>
          <w:u w:val="single"/>
        </w:rPr>
      </w:pPr>
      <w:r w:rsidRPr="000E70D5">
        <w:rPr>
          <w:sz w:val="24"/>
          <w:szCs w:val="24"/>
          <w:u w:val="single"/>
        </w:rPr>
        <w:t>For tidligt fødte spædbørn og nyfødte</w:t>
      </w:r>
    </w:p>
    <w:p w14:paraId="17BCAF79" w14:textId="41EFDD8B" w:rsidR="005C5AEF" w:rsidRPr="000E70D5" w:rsidRDefault="005C5AEF" w:rsidP="00445723">
      <w:pPr>
        <w:ind w:left="851"/>
        <w:rPr>
          <w:sz w:val="24"/>
          <w:szCs w:val="24"/>
        </w:rPr>
      </w:pPr>
      <w:r w:rsidRPr="000E70D5">
        <w:rPr>
          <w:sz w:val="24"/>
          <w:szCs w:val="24"/>
        </w:rPr>
        <w:t xml:space="preserve">På grund af en forhøjet risiko for apnø tilrådes ekstrem forsigtighed ved </w:t>
      </w:r>
      <w:proofErr w:type="spellStart"/>
      <w:r w:rsidRPr="000E70D5">
        <w:rPr>
          <w:sz w:val="24"/>
          <w:szCs w:val="24"/>
        </w:rPr>
        <w:t>sedering</w:t>
      </w:r>
      <w:proofErr w:type="spellEnd"/>
      <w:r w:rsidRPr="000E70D5">
        <w:rPr>
          <w:sz w:val="24"/>
          <w:szCs w:val="24"/>
        </w:rPr>
        <w:t xml:space="preserve"> af ikke- </w:t>
      </w:r>
      <w:proofErr w:type="spellStart"/>
      <w:r w:rsidRPr="000E70D5">
        <w:rPr>
          <w:sz w:val="24"/>
          <w:szCs w:val="24"/>
        </w:rPr>
        <w:t>intuberede</w:t>
      </w:r>
      <w:proofErr w:type="spellEnd"/>
      <w:r w:rsidRPr="000E70D5">
        <w:rPr>
          <w:sz w:val="24"/>
          <w:szCs w:val="24"/>
        </w:rPr>
        <w:t xml:space="preserve"> præmature</w:t>
      </w:r>
      <w:r w:rsidR="00A3780A">
        <w:rPr>
          <w:sz w:val="24"/>
          <w:szCs w:val="24"/>
        </w:rPr>
        <w:t xml:space="preserve"> </w:t>
      </w:r>
      <w:r w:rsidRPr="000E70D5">
        <w:rPr>
          <w:sz w:val="24"/>
          <w:szCs w:val="24"/>
        </w:rPr>
        <w:t>børn samt tidligere præmature børn. Nøje overvågning af respirationsfrekvens og iltmætning er påkrævet.</w:t>
      </w:r>
    </w:p>
    <w:p w14:paraId="3CA46E5A" w14:textId="77777777" w:rsidR="005C5AEF" w:rsidRPr="000E70D5" w:rsidRDefault="005C5AEF" w:rsidP="00445723">
      <w:pPr>
        <w:ind w:left="851"/>
        <w:rPr>
          <w:sz w:val="24"/>
          <w:szCs w:val="24"/>
        </w:rPr>
      </w:pPr>
      <w:r w:rsidRPr="000E70D5">
        <w:rPr>
          <w:sz w:val="24"/>
          <w:szCs w:val="24"/>
        </w:rPr>
        <w:t>Hurtig injektion skal undgås i den neonatale population.</w:t>
      </w:r>
    </w:p>
    <w:p w14:paraId="0B2A51C8" w14:textId="77777777" w:rsidR="005C5AEF" w:rsidRPr="000E70D5" w:rsidRDefault="005C5AEF" w:rsidP="00445723">
      <w:pPr>
        <w:ind w:left="851"/>
        <w:rPr>
          <w:sz w:val="24"/>
          <w:szCs w:val="24"/>
          <w:u w:val="single"/>
        </w:rPr>
      </w:pPr>
      <w:r w:rsidRPr="000E70D5">
        <w:rPr>
          <w:sz w:val="24"/>
          <w:szCs w:val="24"/>
        </w:rPr>
        <w:t xml:space="preserve">Nyfødte har nedsat og/eller umoden organfunktion og er også sårbare over for markante og/eller langvarige respiratoriske virkninger af </w:t>
      </w:r>
      <w:proofErr w:type="spellStart"/>
      <w:r w:rsidRPr="000E70D5">
        <w:rPr>
          <w:sz w:val="24"/>
          <w:szCs w:val="24"/>
        </w:rPr>
        <w:t>midazolam</w:t>
      </w:r>
      <w:proofErr w:type="spellEnd"/>
      <w:r w:rsidRPr="000E70D5">
        <w:rPr>
          <w:sz w:val="24"/>
          <w:szCs w:val="24"/>
          <w:u w:val="single"/>
        </w:rPr>
        <w:t>.</w:t>
      </w:r>
    </w:p>
    <w:p w14:paraId="71902C63" w14:textId="77777777" w:rsidR="005C5AEF" w:rsidRPr="000E70D5" w:rsidRDefault="005C5AEF" w:rsidP="00445723">
      <w:pPr>
        <w:ind w:left="851"/>
        <w:rPr>
          <w:sz w:val="24"/>
          <w:szCs w:val="24"/>
        </w:rPr>
      </w:pPr>
    </w:p>
    <w:p w14:paraId="4303BDC9" w14:textId="77777777" w:rsidR="005C5AEF" w:rsidRPr="000E70D5" w:rsidRDefault="005C5AEF" w:rsidP="00445723">
      <w:pPr>
        <w:ind w:left="851"/>
        <w:rPr>
          <w:sz w:val="24"/>
          <w:szCs w:val="24"/>
          <w:u w:val="single"/>
        </w:rPr>
      </w:pPr>
      <w:r w:rsidRPr="000E70D5">
        <w:rPr>
          <w:sz w:val="24"/>
          <w:szCs w:val="24"/>
          <w:u w:val="single"/>
        </w:rPr>
        <w:t>Pædiatriske patienter under 6 måneder</w:t>
      </w:r>
    </w:p>
    <w:p w14:paraId="0194B08C" w14:textId="77777777" w:rsidR="005C5AEF" w:rsidRPr="000E70D5" w:rsidRDefault="005C5AEF" w:rsidP="00445723">
      <w:pPr>
        <w:ind w:left="851"/>
        <w:rPr>
          <w:sz w:val="24"/>
          <w:szCs w:val="24"/>
        </w:rPr>
      </w:pPr>
      <w:r w:rsidRPr="000E70D5">
        <w:rPr>
          <w:sz w:val="24"/>
          <w:szCs w:val="24"/>
        </w:rPr>
        <w:t xml:space="preserve">I denne population er </w:t>
      </w:r>
      <w:proofErr w:type="spellStart"/>
      <w:r w:rsidRPr="000E70D5">
        <w:rPr>
          <w:sz w:val="24"/>
          <w:szCs w:val="24"/>
        </w:rPr>
        <w:t>midazolam</w:t>
      </w:r>
      <w:proofErr w:type="spellEnd"/>
      <w:r w:rsidRPr="000E70D5">
        <w:rPr>
          <w:sz w:val="24"/>
          <w:szCs w:val="24"/>
        </w:rPr>
        <w:t xml:space="preserve"> kun indiceret til sedation på intensivafdeling.</w:t>
      </w:r>
    </w:p>
    <w:p w14:paraId="4045AD3F" w14:textId="09029098" w:rsidR="005C5AEF" w:rsidRPr="000E70D5" w:rsidRDefault="005C5AEF" w:rsidP="00445723">
      <w:pPr>
        <w:ind w:left="851"/>
        <w:rPr>
          <w:sz w:val="24"/>
          <w:szCs w:val="24"/>
        </w:rPr>
      </w:pPr>
      <w:r w:rsidRPr="000E70D5">
        <w:rPr>
          <w:sz w:val="24"/>
          <w:szCs w:val="24"/>
        </w:rPr>
        <w:t xml:space="preserve">Pædiatriske patienter under 6 måneder er særligt sårbare over for luftvejsobstruktion og </w:t>
      </w:r>
      <w:proofErr w:type="spellStart"/>
      <w:r w:rsidRPr="000E70D5">
        <w:rPr>
          <w:sz w:val="24"/>
          <w:szCs w:val="24"/>
        </w:rPr>
        <w:t>hypoventilation</w:t>
      </w:r>
      <w:proofErr w:type="spellEnd"/>
      <w:r w:rsidRPr="000E70D5">
        <w:rPr>
          <w:sz w:val="24"/>
          <w:szCs w:val="24"/>
        </w:rPr>
        <w:t xml:space="preserve">. Derfor er titrering med små trinvise øgninger til klinisk virkning samt omhyggelig overvågning af respirationsfrekvens og iltmætning afgørende (se også afsnittet </w:t>
      </w:r>
      <w:r w:rsidR="006A4CF2">
        <w:rPr>
          <w:sz w:val="24"/>
          <w:szCs w:val="24"/>
        </w:rPr>
        <w:t>"</w:t>
      </w:r>
      <w:r w:rsidRPr="000E70D5">
        <w:rPr>
          <w:sz w:val="24"/>
          <w:szCs w:val="24"/>
        </w:rPr>
        <w:t>For tidligt fødte spædbørn og nyfødte</w:t>
      </w:r>
      <w:r w:rsidR="006A4CF2">
        <w:rPr>
          <w:sz w:val="24"/>
          <w:szCs w:val="24"/>
        </w:rPr>
        <w:t>"</w:t>
      </w:r>
      <w:r w:rsidRPr="000E70D5">
        <w:rPr>
          <w:sz w:val="24"/>
          <w:szCs w:val="24"/>
        </w:rPr>
        <w:t xml:space="preserve"> ovenfor).</w:t>
      </w:r>
    </w:p>
    <w:p w14:paraId="4C14212E" w14:textId="77777777" w:rsidR="005C5AEF" w:rsidRPr="000E70D5" w:rsidRDefault="005C5AEF" w:rsidP="00445723">
      <w:pPr>
        <w:ind w:left="851"/>
        <w:rPr>
          <w:sz w:val="24"/>
          <w:szCs w:val="24"/>
        </w:rPr>
      </w:pPr>
    </w:p>
    <w:p w14:paraId="3B49B81B" w14:textId="77777777" w:rsidR="005C5AEF" w:rsidRPr="000E70D5" w:rsidRDefault="005C5AEF" w:rsidP="00445723">
      <w:pPr>
        <w:ind w:left="851"/>
        <w:rPr>
          <w:iCs/>
          <w:sz w:val="24"/>
          <w:szCs w:val="24"/>
          <w:u w:val="single"/>
        </w:rPr>
      </w:pPr>
      <w:r w:rsidRPr="000E70D5">
        <w:rPr>
          <w:sz w:val="24"/>
          <w:szCs w:val="24"/>
          <w:u w:val="single"/>
        </w:rPr>
        <w:t>Hjælpestoffer</w:t>
      </w:r>
    </w:p>
    <w:p w14:paraId="1628A7D9" w14:textId="77777777" w:rsidR="005C5AEF" w:rsidRPr="000E70D5" w:rsidRDefault="005C5AEF" w:rsidP="00445723">
      <w:pPr>
        <w:ind w:left="851"/>
        <w:rPr>
          <w:sz w:val="24"/>
          <w:szCs w:val="24"/>
        </w:rPr>
      </w:pPr>
      <w:r w:rsidRPr="000E70D5">
        <w:rPr>
          <w:sz w:val="24"/>
          <w:szCs w:val="24"/>
        </w:rPr>
        <w:t>Dette lægemiddel indeholder natrium.</w:t>
      </w:r>
    </w:p>
    <w:p w14:paraId="30BBE09D" w14:textId="77777777" w:rsidR="005C5AEF" w:rsidRPr="000E70D5" w:rsidRDefault="005C5AEF" w:rsidP="00445723">
      <w:pPr>
        <w:ind w:left="851"/>
        <w:rPr>
          <w:sz w:val="24"/>
          <w:szCs w:val="24"/>
        </w:rPr>
      </w:pPr>
    </w:p>
    <w:p w14:paraId="32A4A407" w14:textId="35EE64C4" w:rsidR="005C5AEF" w:rsidRPr="00343441" w:rsidRDefault="005C5AEF" w:rsidP="00445723">
      <w:pPr>
        <w:ind w:left="851"/>
        <w:rPr>
          <w:iCs/>
          <w:sz w:val="24"/>
          <w:szCs w:val="24"/>
          <w:u w:val="single"/>
        </w:rPr>
      </w:pPr>
      <w:bookmarkStart w:id="8" w:name="_Hlk202354944"/>
      <w:proofErr w:type="spellStart"/>
      <w:r w:rsidRPr="00343441">
        <w:rPr>
          <w:sz w:val="24"/>
          <w:szCs w:val="24"/>
          <w:u w:val="single"/>
        </w:rPr>
        <w:t>Midazolam</w:t>
      </w:r>
      <w:proofErr w:type="spellEnd"/>
      <w:r w:rsidRPr="00343441">
        <w:rPr>
          <w:sz w:val="24"/>
          <w:szCs w:val="24"/>
          <w:u w:val="single"/>
        </w:rPr>
        <w:t xml:space="preserve"> </w:t>
      </w:r>
      <w:r w:rsidR="006A4CF2" w:rsidRPr="00343441">
        <w:rPr>
          <w:sz w:val="24"/>
          <w:szCs w:val="24"/>
          <w:u w:val="single"/>
        </w:rPr>
        <w:t>"</w:t>
      </w:r>
      <w:proofErr w:type="spellStart"/>
      <w:r w:rsidRPr="00343441">
        <w:rPr>
          <w:sz w:val="24"/>
          <w:szCs w:val="24"/>
          <w:u w:val="single"/>
        </w:rPr>
        <w:t>Aguettant</w:t>
      </w:r>
      <w:proofErr w:type="spellEnd"/>
      <w:r w:rsidR="006A4CF2" w:rsidRPr="00343441">
        <w:rPr>
          <w:sz w:val="24"/>
          <w:szCs w:val="24"/>
          <w:u w:val="single"/>
        </w:rPr>
        <w:t>"</w:t>
      </w:r>
      <w:r w:rsidRPr="00343441">
        <w:rPr>
          <w:sz w:val="24"/>
          <w:szCs w:val="24"/>
          <w:u w:val="single"/>
        </w:rPr>
        <w:t xml:space="preserve"> 1 mg/ml injektions-/infusionsvæske, opløsning</w:t>
      </w:r>
    </w:p>
    <w:bookmarkEnd w:id="8"/>
    <w:p w14:paraId="713574D6" w14:textId="77777777" w:rsidR="005C5AEF" w:rsidRPr="000E70D5" w:rsidRDefault="005C5AEF" w:rsidP="00445723">
      <w:pPr>
        <w:ind w:left="851"/>
        <w:rPr>
          <w:sz w:val="24"/>
          <w:szCs w:val="24"/>
        </w:rPr>
      </w:pPr>
      <w:r w:rsidRPr="000E70D5">
        <w:rPr>
          <w:sz w:val="24"/>
          <w:szCs w:val="24"/>
        </w:rPr>
        <w:t xml:space="preserve">Dette lægemiddel indeholder mindre end 1 mmol (23 mg) natrium pr. ampul med 5 ml, </w:t>
      </w:r>
      <w:bookmarkStart w:id="9" w:name="_Hlk202355123"/>
      <w:r w:rsidRPr="000E70D5">
        <w:rPr>
          <w:sz w:val="24"/>
          <w:szCs w:val="24"/>
        </w:rPr>
        <w:t>dvs. det er i det væsentlige natriumfrit</w:t>
      </w:r>
      <w:bookmarkEnd w:id="9"/>
      <w:r w:rsidRPr="000E70D5">
        <w:rPr>
          <w:sz w:val="24"/>
          <w:szCs w:val="24"/>
        </w:rPr>
        <w:t>.</w:t>
      </w:r>
    </w:p>
    <w:p w14:paraId="2AD01CD8" w14:textId="77777777" w:rsidR="005C5AEF" w:rsidRPr="000E70D5" w:rsidRDefault="005C5AEF" w:rsidP="00445723">
      <w:pPr>
        <w:ind w:left="851"/>
        <w:rPr>
          <w:sz w:val="24"/>
          <w:szCs w:val="24"/>
        </w:rPr>
      </w:pPr>
    </w:p>
    <w:p w14:paraId="0CEF61EA" w14:textId="344A9143" w:rsidR="005C5AEF" w:rsidRPr="00343441" w:rsidRDefault="005C5AEF" w:rsidP="00445723">
      <w:pPr>
        <w:ind w:left="851"/>
        <w:rPr>
          <w:iCs/>
          <w:sz w:val="24"/>
          <w:szCs w:val="24"/>
          <w:u w:val="single"/>
        </w:rPr>
      </w:pPr>
      <w:proofErr w:type="spellStart"/>
      <w:r w:rsidRPr="00343441">
        <w:rPr>
          <w:sz w:val="24"/>
          <w:szCs w:val="24"/>
          <w:u w:val="single"/>
        </w:rPr>
        <w:t>Midazolam</w:t>
      </w:r>
      <w:proofErr w:type="spellEnd"/>
      <w:r w:rsidRPr="00343441">
        <w:rPr>
          <w:sz w:val="24"/>
          <w:szCs w:val="24"/>
          <w:u w:val="single"/>
        </w:rPr>
        <w:t xml:space="preserve"> </w:t>
      </w:r>
      <w:r w:rsidR="006A4CF2" w:rsidRPr="00343441">
        <w:rPr>
          <w:sz w:val="24"/>
          <w:szCs w:val="24"/>
          <w:u w:val="single"/>
        </w:rPr>
        <w:t>"</w:t>
      </w:r>
      <w:proofErr w:type="spellStart"/>
      <w:r w:rsidRPr="00343441">
        <w:rPr>
          <w:sz w:val="24"/>
          <w:szCs w:val="24"/>
          <w:u w:val="single"/>
        </w:rPr>
        <w:t>Aguettant</w:t>
      </w:r>
      <w:proofErr w:type="spellEnd"/>
      <w:r w:rsidR="006A4CF2" w:rsidRPr="00343441">
        <w:rPr>
          <w:sz w:val="24"/>
          <w:szCs w:val="24"/>
          <w:u w:val="single"/>
        </w:rPr>
        <w:t>"</w:t>
      </w:r>
      <w:r w:rsidRPr="00343441">
        <w:rPr>
          <w:sz w:val="24"/>
          <w:szCs w:val="24"/>
          <w:u w:val="single"/>
        </w:rPr>
        <w:t xml:space="preserve"> 5 mg/ml injektions-/infusionsvæske, opløsning</w:t>
      </w:r>
    </w:p>
    <w:p w14:paraId="568C0082" w14:textId="77777777" w:rsidR="005C5AEF" w:rsidRPr="000E70D5" w:rsidRDefault="005C5AEF" w:rsidP="00445723">
      <w:pPr>
        <w:ind w:left="851"/>
        <w:rPr>
          <w:sz w:val="24"/>
          <w:szCs w:val="24"/>
        </w:rPr>
      </w:pPr>
      <w:r w:rsidRPr="000E70D5">
        <w:rPr>
          <w:sz w:val="24"/>
          <w:szCs w:val="24"/>
        </w:rPr>
        <w:t>Dette lægemiddel indeholder mindre end 1 mmol (23 mg) natrium pr. ampul med 1 ml, 2 ml eller 3 ml, dvs. det er i det væsentlige natriumfrit.</w:t>
      </w:r>
    </w:p>
    <w:p w14:paraId="53FC6566" w14:textId="77777777" w:rsidR="005C5AEF" w:rsidRPr="000E70D5" w:rsidRDefault="005C5AEF" w:rsidP="00445723">
      <w:pPr>
        <w:ind w:left="851"/>
        <w:rPr>
          <w:sz w:val="24"/>
          <w:szCs w:val="24"/>
        </w:rPr>
      </w:pPr>
    </w:p>
    <w:p w14:paraId="14CAE2A8" w14:textId="77777777" w:rsidR="005C5AEF" w:rsidRPr="000E70D5" w:rsidRDefault="005C5AEF" w:rsidP="00445723">
      <w:pPr>
        <w:ind w:left="851"/>
        <w:rPr>
          <w:sz w:val="24"/>
          <w:szCs w:val="24"/>
        </w:rPr>
      </w:pPr>
      <w:r w:rsidRPr="000E70D5">
        <w:rPr>
          <w:sz w:val="24"/>
          <w:szCs w:val="24"/>
        </w:rPr>
        <w:t>Dette lægemiddel indeholder 28,3 mg natrium pr. ampul med 10 ml, svarende til 1,4 % af den WHO-anbefalede maksimale daglige indtagelse af 2 g natrium for en voksen.</w:t>
      </w:r>
    </w:p>
    <w:p w14:paraId="0B7424AB" w14:textId="77777777" w:rsidR="009260DE" w:rsidRPr="000E70D5" w:rsidRDefault="009260DE" w:rsidP="009260DE">
      <w:pPr>
        <w:tabs>
          <w:tab w:val="left" w:pos="851"/>
        </w:tabs>
        <w:ind w:left="851"/>
        <w:rPr>
          <w:sz w:val="24"/>
          <w:szCs w:val="24"/>
        </w:rPr>
      </w:pPr>
    </w:p>
    <w:p w14:paraId="01AF64E7" w14:textId="77777777" w:rsidR="009260DE" w:rsidRPr="000E70D5" w:rsidRDefault="009260DE" w:rsidP="009260DE">
      <w:pPr>
        <w:tabs>
          <w:tab w:val="left" w:pos="851"/>
        </w:tabs>
        <w:ind w:left="851" w:hanging="851"/>
        <w:rPr>
          <w:b/>
          <w:sz w:val="24"/>
          <w:szCs w:val="24"/>
        </w:rPr>
      </w:pPr>
      <w:r w:rsidRPr="000E70D5">
        <w:rPr>
          <w:b/>
          <w:sz w:val="24"/>
          <w:szCs w:val="24"/>
        </w:rPr>
        <w:t>4.5</w:t>
      </w:r>
      <w:r w:rsidRPr="000E70D5">
        <w:rPr>
          <w:b/>
          <w:sz w:val="24"/>
          <w:szCs w:val="24"/>
        </w:rPr>
        <w:tab/>
        <w:t>Interaktion med andre lægemidler og andre former for interaktion</w:t>
      </w:r>
    </w:p>
    <w:p w14:paraId="3407ECCD" w14:textId="77777777" w:rsidR="005C5AEF" w:rsidRPr="000E70D5" w:rsidRDefault="005C5AEF" w:rsidP="00445723">
      <w:pPr>
        <w:ind w:left="851"/>
        <w:rPr>
          <w:sz w:val="24"/>
          <w:szCs w:val="24"/>
        </w:rPr>
      </w:pPr>
    </w:p>
    <w:p w14:paraId="2F144CBD" w14:textId="77777777" w:rsidR="005C5AEF" w:rsidRPr="000E70D5" w:rsidRDefault="005C5AEF" w:rsidP="00445723">
      <w:pPr>
        <w:ind w:left="851"/>
        <w:rPr>
          <w:b/>
          <w:i/>
          <w:sz w:val="24"/>
          <w:szCs w:val="24"/>
          <w:u w:val="single"/>
        </w:rPr>
      </w:pPr>
      <w:proofErr w:type="spellStart"/>
      <w:r w:rsidRPr="000E70D5">
        <w:rPr>
          <w:b/>
          <w:i/>
          <w:sz w:val="24"/>
          <w:szCs w:val="24"/>
          <w:u w:val="single"/>
        </w:rPr>
        <w:t>Farmakokinetiske</w:t>
      </w:r>
      <w:proofErr w:type="spellEnd"/>
      <w:r w:rsidRPr="000E70D5">
        <w:rPr>
          <w:b/>
          <w:i/>
          <w:sz w:val="24"/>
          <w:szCs w:val="24"/>
          <w:u w:val="single"/>
        </w:rPr>
        <w:t xml:space="preserve"> interaktioner</w:t>
      </w:r>
    </w:p>
    <w:p w14:paraId="38D0C773"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w:t>
      </w:r>
      <w:proofErr w:type="spellStart"/>
      <w:r w:rsidRPr="000E70D5">
        <w:rPr>
          <w:sz w:val="24"/>
          <w:szCs w:val="24"/>
        </w:rPr>
        <w:t>metaboliseres</w:t>
      </w:r>
      <w:proofErr w:type="spellEnd"/>
      <w:r w:rsidRPr="000E70D5">
        <w:rPr>
          <w:sz w:val="24"/>
          <w:szCs w:val="24"/>
        </w:rPr>
        <w:t xml:space="preserve"> af </w:t>
      </w:r>
      <w:proofErr w:type="spellStart"/>
      <w:r w:rsidRPr="000E70D5">
        <w:rPr>
          <w:sz w:val="24"/>
          <w:szCs w:val="24"/>
        </w:rPr>
        <w:t>cytokrom</w:t>
      </w:r>
      <w:proofErr w:type="spellEnd"/>
      <w:r w:rsidRPr="000E70D5">
        <w:rPr>
          <w:sz w:val="24"/>
          <w:szCs w:val="24"/>
        </w:rPr>
        <w:t xml:space="preserve"> P450 3A4 (CYP3A4 og CYP3A5).</w:t>
      </w:r>
    </w:p>
    <w:p w14:paraId="3C8069FC" w14:textId="77777777" w:rsidR="005C5AEF" w:rsidRPr="000E70D5" w:rsidRDefault="005C5AEF" w:rsidP="00445723">
      <w:pPr>
        <w:ind w:left="851"/>
        <w:rPr>
          <w:sz w:val="24"/>
          <w:szCs w:val="24"/>
        </w:rPr>
      </w:pPr>
    </w:p>
    <w:p w14:paraId="256EAEE8" w14:textId="77777777" w:rsidR="005C5AEF" w:rsidRPr="000E70D5" w:rsidRDefault="005C5AEF" w:rsidP="00445723">
      <w:pPr>
        <w:ind w:left="851"/>
        <w:rPr>
          <w:sz w:val="24"/>
          <w:szCs w:val="24"/>
        </w:rPr>
      </w:pPr>
      <w:proofErr w:type="spellStart"/>
      <w:r w:rsidRPr="000E70D5">
        <w:rPr>
          <w:sz w:val="24"/>
          <w:szCs w:val="24"/>
        </w:rPr>
        <w:t>Hæmmere</w:t>
      </w:r>
      <w:proofErr w:type="spellEnd"/>
      <w:r w:rsidRPr="000E70D5">
        <w:rPr>
          <w:sz w:val="24"/>
          <w:szCs w:val="24"/>
        </w:rPr>
        <w:t xml:space="preserve"> og inducere af CYP3A kan potentielt henholdsvis øge og nedsætte plasmakoncentrationen og dermed virkningen af </w:t>
      </w:r>
      <w:proofErr w:type="spellStart"/>
      <w:r w:rsidRPr="000E70D5">
        <w:rPr>
          <w:sz w:val="24"/>
          <w:szCs w:val="24"/>
        </w:rPr>
        <w:t>midazolam</w:t>
      </w:r>
      <w:proofErr w:type="spellEnd"/>
      <w:r w:rsidRPr="000E70D5">
        <w:rPr>
          <w:sz w:val="24"/>
          <w:szCs w:val="24"/>
        </w:rPr>
        <w:t>, som derfor kræver dosisjustering.</w:t>
      </w:r>
    </w:p>
    <w:p w14:paraId="2238C343" w14:textId="77777777" w:rsidR="005C5AEF" w:rsidRPr="000E70D5" w:rsidRDefault="005C5AEF" w:rsidP="00445723">
      <w:pPr>
        <w:ind w:left="851"/>
        <w:rPr>
          <w:sz w:val="24"/>
          <w:szCs w:val="24"/>
        </w:rPr>
      </w:pPr>
    </w:p>
    <w:p w14:paraId="76A7B807" w14:textId="77777777" w:rsidR="005C5AEF" w:rsidRPr="000E70D5" w:rsidRDefault="005C5AEF" w:rsidP="00445723">
      <w:pPr>
        <w:ind w:left="851"/>
        <w:rPr>
          <w:sz w:val="24"/>
          <w:szCs w:val="24"/>
        </w:rPr>
      </w:pPr>
      <w:proofErr w:type="spellStart"/>
      <w:r w:rsidRPr="000E70D5">
        <w:rPr>
          <w:sz w:val="24"/>
          <w:szCs w:val="24"/>
        </w:rPr>
        <w:t>Farmakokinetiske</w:t>
      </w:r>
      <w:proofErr w:type="spellEnd"/>
      <w:r w:rsidRPr="000E70D5">
        <w:rPr>
          <w:sz w:val="24"/>
          <w:szCs w:val="24"/>
        </w:rPr>
        <w:t xml:space="preserve"> interaktioner med CYP3A4-hæmmere eller -inducere er mere udtalte med peroralt </w:t>
      </w:r>
      <w:proofErr w:type="spellStart"/>
      <w:r w:rsidRPr="000E70D5">
        <w:rPr>
          <w:sz w:val="24"/>
          <w:szCs w:val="24"/>
        </w:rPr>
        <w:t>midazolam</w:t>
      </w:r>
      <w:proofErr w:type="spellEnd"/>
      <w:r w:rsidRPr="000E70D5">
        <w:rPr>
          <w:sz w:val="24"/>
          <w:szCs w:val="24"/>
        </w:rPr>
        <w:t xml:space="preserve"> end med intravenøst </w:t>
      </w:r>
      <w:proofErr w:type="spellStart"/>
      <w:r w:rsidRPr="000E70D5">
        <w:rPr>
          <w:sz w:val="24"/>
          <w:szCs w:val="24"/>
        </w:rPr>
        <w:t>midazolam</w:t>
      </w:r>
      <w:proofErr w:type="spellEnd"/>
      <w:r w:rsidRPr="000E70D5">
        <w:rPr>
          <w:sz w:val="24"/>
          <w:szCs w:val="24"/>
        </w:rPr>
        <w:t xml:space="preserve">, i særdeleshed fordi CYP3A4 også findes i den øvre mave-tarm-kanal. Det skyldes, at både den systemiske </w:t>
      </w:r>
      <w:proofErr w:type="spellStart"/>
      <w:r w:rsidRPr="000E70D5">
        <w:rPr>
          <w:sz w:val="24"/>
          <w:szCs w:val="24"/>
        </w:rPr>
        <w:t>clearance</w:t>
      </w:r>
      <w:proofErr w:type="spellEnd"/>
      <w:r w:rsidRPr="000E70D5">
        <w:rPr>
          <w:sz w:val="24"/>
          <w:szCs w:val="24"/>
        </w:rPr>
        <w:t xml:space="preserve"> og tilgængeligheden vil være ændret for den perorale rute, mens det kun vil være ændringen i den systemiske </w:t>
      </w:r>
      <w:proofErr w:type="spellStart"/>
      <w:r w:rsidRPr="000E70D5">
        <w:rPr>
          <w:sz w:val="24"/>
          <w:szCs w:val="24"/>
        </w:rPr>
        <w:t>clearance</w:t>
      </w:r>
      <w:proofErr w:type="spellEnd"/>
      <w:r w:rsidRPr="000E70D5">
        <w:rPr>
          <w:sz w:val="24"/>
          <w:szCs w:val="24"/>
        </w:rPr>
        <w:t>, der gør sig gældende for den parenterale rute.</w:t>
      </w:r>
    </w:p>
    <w:p w14:paraId="1B4BEAD1" w14:textId="77777777" w:rsidR="005C5AEF" w:rsidRPr="000E70D5" w:rsidRDefault="005C5AEF" w:rsidP="00445723">
      <w:pPr>
        <w:ind w:left="851"/>
        <w:rPr>
          <w:sz w:val="24"/>
          <w:szCs w:val="24"/>
        </w:rPr>
      </w:pPr>
      <w:r w:rsidRPr="000E70D5">
        <w:rPr>
          <w:sz w:val="24"/>
          <w:szCs w:val="24"/>
        </w:rPr>
        <w:t xml:space="preserve">Efter en enkelt dosis </w:t>
      </w:r>
      <w:proofErr w:type="spellStart"/>
      <w:r w:rsidRPr="000E70D5">
        <w:rPr>
          <w:sz w:val="24"/>
          <w:szCs w:val="24"/>
        </w:rPr>
        <w:t>i.v</w:t>
      </w:r>
      <w:proofErr w:type="spellEnd"/>
      <w:r w:rsidRPr="000E70D5">
        <w:rPr>
          <w:sz w:val="24"/>
          <w:szCs w:val="24"/>
        </w:rPr>
        <w:t xml:space="preserve">. </w:t>
      </w:r>
      <w:proofErr w:type="spellStart"/>
      <w:r w:rsidRPr="000E70D5">
        <w:rPr>
          <w:sz w:val="24"/>
          <w:szCs w:val="24"/>
        </w:rPr>
        <w:t>midazolam</w:t>
      </w:r>
      <w:proofErr w:type="spellEnd"/>
      <w:r w:rsidRPr="000E70D5">
        <w:rPr>
          <w:sz w:val="24"/>
          <w:szCs w:val="24"/>
        </w:rPr>
        <w:t xml:space="preserve"> vil konsekvensen på den maksimale kliniske virkning pga. CYP3A4-hæmningen være mindre, mens virkningens varighed kan være forlænget. Men efter længerevarende dosering af </w:t>
      </w:r>
      <w:proofErr w:type="spellStart"/>
      <w:r w:rsidRPr="000E70D5">
        <w:rPr>
          <w:sz w:val="24"/>
          <w:szCs w:val="24"/>
        </w:rPr>
        <w:t>midazolam</w:t>
      </w:r>
      <w:proofErr w:type="spellEnd"/>
      <w:r w:rsidRPr="000E70D5">
        <w:rPr>
          <w:sz w:val="24"/>
          <w:szCs w:val="24"/>
        </w:rPr>
        <w:t xml:space="preserve"> vil både styrken og varigheden af virkningen være forhøjet ved forekomst af CYP3A4-hæmning.</w:t>
      </w:r>
    </w:p>
    <w:p w14:paraId="4A7C1A95" w14:textId="77777777" w:rsidR="005C5AEF" w:rsidRPr="000E70D5" w:rsidRDefault="005C5AEF" w:rsidP="00445723">
      <w:pPr>
        <w:ind w:left="851"/>
        <w:rPr>
          <w:sz w:val="24"/>
          <w:szCs w:val="24"/>
        </w:rPr>
      </w:pPr>
    </w:p>
    <w:p w14:paraId="1614AAFC" w14:textId="2A12E654" w:rsidR="005C5AEF" w:rsidRPr="000E70D5" w:rsidRDefault="005C5AEF" w:rsidP="00445723">
      <w:pPr>
        <w:ind w:left="851"/>
        <w:rPr>
          <w:sz w:val="24"/>
          <w:szCs w:val="24"/>
        </w:rPr>
      </w:pPr>
      <w:r w:rsidRPr="000E70D5">
        <w:rPr>
          <w:sz w:val="24"/>
          <w:szCs w:val="24"/>
        </w:rPr>
        <w:t xml:space="preserve">Der findes ingen tilgængelige undersøgelser om CYP3A4-modulering af farmakokinetikken for </w:t>
      </w:r>
      <w:proofErr w:type="spellStart"/>
      <w:r w:rsidRPr="000E70D5">
        <w:rPr>
          <w:sz w:val="24"/>
          <w:szCs w:val="24"/>
        </w:rPr>
        <w:t>midazolam</w:t>
      </w:r>
      <w:proofErr w:type="spellEnd"/>
      <w:r w:rsidRPr="000E70D5">
        <w:rPr>
          <w:sz w:val="24"/>
          <w:szCs w:val="24"/>
        </w:rPr>
        <w:t xml:space="preserve"> efter </w:t>
      </w:r>
      <w:proofErr w:type="spellStart"/>
      <w:r w:rsidRPr="000E70D5">
        <w:rPr>
          <w:sz w:val="24"/>
          <w:szCs w:val="24"/>
        </w:rPr>
        <w:t>rektal</w:t>
      </w:r>
      <w:proofErr w:type="spellEnd"/>
      <w:r w:rsidRPr="000E70D5">
        <w:rPr>
          <w:sz w:val="24"/>
          <w:szCs w:val="24"/>
        </w:rPr>
        <w:t xml:space="preserve"> og intramuskulær administration. Det forventes, at disse interaktioner vil være mindre udtalte ved </w:t>
      </w:r>
      <w:proofErr w:type="spellStart"/>
      <w:r w:rsidRPr="000E70D5">
        <w:rPr>
          <w:sz w:val="24"/>
          <w:szCs w:val="24"/>
        </w:rPr>
        <w:t>rektal</w:t>
      </w:r>
      <w:proofErr w:type="spellEnd"/>
      <w:r w:rsidRPr="000E70D5">
        <w:rPr>
          <w:sz w:val="24"/>
          <w:szCs w:val="24"/>
        </w:rPr>
        <w:t xml:space="preserve"> end ved oral administration, da mave-tarm-kanalen omgås, hvorimod virkningen af CYP3A4-modulation efter </w:t>
      </w:r>
      <w:proofErr w:type="spellStart"/>
      <w:r w:rsidRPr="000E70D5">
        <w:rPr>
          <w:sz w:val="24"/>
          <w:szCs w:val="24"/>
        </w:rPr>
        <w:t>i.m</w:t>
      </w:r>
      <w:proofErr w:type="spellEnd"/>
      <w:r w:rsidRPr="000E70D5">
        <w:rPr>
          <w:sz w:val="24"/>
          <w:szCs w:val="24"/>
        </w:rPr>
        <w:t xml:space="preserve">. administration ikke bør være væsentligt anderledes end den, der ses med </w:t>
      </w:r>
      <w:proofErr w:type="spellStart"/>
      <w:r w:rsidRPr="000E70D5">
        <w:rPr>
          <w:sz w:val="24"/>
          <w:szCs w:val="24"/>
        </w:rPr>
        <w:t>i.v</w:t>
      </w:r>
      <w:proofErr w:type="spellEnd"/>
      <w:r w:rsidRPr="000E70D5">
        <w:rPr>
          <w:sz w:val="24"/>
          <w:szCs w:val="24"/>
        </w:rPr>
        <w:t xml:space="preserve">. </w:t>
      </w:r>
      <w:proofErr w:type="spellStart"/>
      <w:r w:rsidRPr="000E70D5">
        <w:rPr>
          <w:sz w:val="24"/>
          <w:szCs w:val="24"/>
        </w:rPr>
        <w:t>midazolam</w:t>
      </w:r>
      <w:proofErr w:type="spellEnd"/>
      <w:r w:rsidRPr="000E70D5">
        <w:rPr>
          <w:sz w:val="24"/>
          <w:szCs w:val="24"/>
        </w:rPr>
        <w:t>.</w:t>
      </w:r>
    </w:p>
    <w:p w14:paraId="31F04BC2" w14:textId="77777777" w:rsidR="005C5AEF" w:rsidRPr="000E70D5" w:rsidRDefault="005C5AEF" w:rsidP="00445723">
      <w:pPr>
        <w:ind w:left="851"/>
        <w:rPr>
          <w:sz w:val="24"/>
          <w:szCs w:val="24"/>
        </w:rPr>
      </w:pPr>
    </w:p>
    <w:p w14:paraId="6A970C85" w14:textId="77777777" w:rsidR="005C5AEF" w:rsidRPr="000E70D5" w:rsidRDefault="005C5AEF" w:rsidP="00445723">
      <w:pPr>
        <w:ind w:left="851"/>
        <w:rPr>
          <w:sz w:val="24"/>
          <w:szCs w:val="24"/>
        </w:rPr>
      </w:pPr>
      <w:r w:rsidRPr="000E70D5">
        <w:rPr>
          <w:sz w:val="24"/>
          <w:szCs w:val="24"/>
        </w:rPr>
        <w:t xml:space="preserve">Ved samtidig administration af en CYP3A4-hæmmer kan </w:t>
      </w:r>
      <w:proofErr w:type="spellStart"/>
      <w:r w:rsidRPr="000E70D5">
        <w:rPr>
          <w:sz w:val="24"/>
          <w:szCs w:val="24"/>
        </w:rPr>
        <w:t>midazolams</w:t>
      </w:r>
      <w:proofErr w:type="spellEnd"/>
      <w:r w:rsidRPr="000E70D5">
        <w:rPr>
          <w:sz w:val="24"/>
          <w:szCs w:val="24"/>
        </w:rPr>
        <w:t xml:space="preserve"> kliniske virkninger være stærkere og vare længere, og en lavere dosis kan være påkrævet. Nøje overvågning af kliniske virkninger og vitale tegn under brug af </w:t>
      </w:r>
      <w:proofErr w:type="spellStart"/>
      <w:r w:rsidRPr="000E70D5">
        <w:rPr>
          <w:sz w:val="24"/>
          <w:szCs w:val="24"/>
        </w:rPr>
        <w:t>midazolam</w:t>
      </w:r>
      <w:proofErr w:type="spellEnd"/>
      <w:r w:rsidRPr="000E70D5">
        <w:rPr>
          <w:sz w:val="24"/>
          <w:szCs w:val="24"/>
        </w:rPr>
        <w:t xml:space="preserve"> anbefales derfor, idet der tages højde for, at de kan være stærkere og vare længere efter samtidig administration af en CYP3A4-hæmmer, selvom den kun gives én gang. </w:t>
      </w:r>
    </w:p>
    <w:p w14:paraId="3FC82940" w14:textId="11A454AF" w:rsidR="005C5AEF" w:rsidRPr="000E70D5" w:rsidRDefault="005C5AEF" w:rsidP="00445723">
      <w:pPr>
        <w:ind w:left="851"/>
        <w:rPr>
          <w:sz w:val="24"/>
          <w:szCs w:val="24"/>
        </w:rPr>
      </w:pPr>
      <w:r w:rsidRPr="000E70D5">
        <w:rPr>
          <w:sz w:val="24"/>
          <w:szCs w:val="24"/>
        </w:rPr>
        <w:t xml:space="preserve">Administration af høje doser eller langvarige infusioner af </w:t>
      </w:r>
      <w:proofErr w:type="spellStart"/>
      <w:r w:rsidRPr="000E70D5">
        <w:rPr>
          <w:sz w:val="24"/>
          <w:szCs w:val="24"/>
        </w:rPr>
        <w:t>midazolam</w:t>
      </w:r>
      <w:proofErr w:type="spellEnd"/>
      <w:r w:rsidRPr="000E70D5">
        <w:rPr>
          <w:sz w:val="24"/>
          <w:szCs w:val="24"/>
        </w:rPr>
        <w:t xml:space="preserve"> til patienter, der får stærke CYP3A4-hæmmere, </w:t>
      </w:r>
      <w:r w:rsidR="000815D2">
        <w:rPr>
          <w:sz w:val="24"/>
          <w:szCs w:val="24"/>
        </w:rPr>
        <w:t>f.eks.</w:t>
      </w:r>
      <w:r w:rsidRPr="000E70D5">
        <w:rPr>
          <w:sz w:val="24"/>
          <w:szCs w:val="24"/>
        </w:rPr>
        <w:t xml:space="preserve"> på intensivafdelinger, kan især resultere i langvarig hypnotisk virkning, forsinket restitution og respiratorisk depression, og derfor kræve dosisjustering. </w:t>
      </w:r>
      <w:proofErr w:type="spellStart"/>
      <w:r w:rsidRPr="000E70D5">
        <w:rPr>
          <w:sz w:val="24"/>
          <w:szCs w:val="24"/>
        </w:rPr>
        <w:t>Midazolams</w:t>
      </w:r>
      <w:proofErr w:type="spellEnd"/>
      <w:r w:rsidRPr="000E70D5">
        <w:rPr>
          <w:sz w:val="24"/>
          <w:szCs w:val="24"/>
        </w:rPr>
        <w:t xml:space="preserve"> virkning kan være svagere og vare i kortere tid ved samtidig administration af en CYP3A4-inducer, og en højere dosis kan være påkrævet. </w:t>
      </w:r>
    </w:p>
    <w:p w14:paraId="7CE35B68" w14:textId="77777777" w:rsidR="005C5AEF" w:rsidRPr="000E70D5" w:rsidRDefault="005C5AEF" w:rsidP="00445723">
      <w:pPr>
        <w:ind w:left="851"/>
        <w:rPr>
          <w:sz w:val="24"/>
          <w:szCs w:val="24"/>
        </w:rPr>
      </w:pPr>
    </w:p>
    <w:p w14:paraId="393698D9" w14:textId="77777777" w:rsidR="005C5AEF" w:rsidRPr="000E70D5" w:rsidRDefault="005C5AEF" w:rsidP="00445723">
      <w:pPr>
        <w:ind w:left="851"/>
        <w:rPr>
          <w:sz w:val="24"/>
          <w:szCs w:val="24"/>
        </w:rPr>
      </w:pPr>
      <w:r w:rsidRPr="000E70D5">
        <w:rPr>
          <w:sz w:val="24"/>
          <w:szCs w:val="24"/>
        </w:rPr>
        <w:t xml:space="preserve">Med hensyn til induktion skal det tages med i overvejelserne, at induktionsprocessen kræver adskillige dage for at nå den maksimale virkning og spredning. I modsætning til en behandling over flere dage med en inducer forventes en kortvarig behandling at resultere i mindre udtalt lægemiddelinteraktion med </w:t>
      </w:r>
      <w:proofErr w:type="spellStart"/>
      <w:r w:rsidRPr="000E70D5">
        <w:rPr>
          <w:sz w:val="24"/>
          <w:szCs w:val="24"/>
        </w:rPr>
        <w:t>midazolam</w:t>
      </w:r>
      <w:proofErr w:type="spellEnd"/>
      <w:r w:rsidRPr="000E70D5">
        <w:rPr>
          <w:sz w:val="24"/>
          <w:szCs w:val="24"/>
        </w:rPr>
        <w:t>. For stærke inducere kan en relevant induktion alligevel ikke udelukkes efter kortvarig behandling.</w:t>
      </w:r>
    </w:p>
    <w:p w14:paraId="7E927E3E" w14:textId="77777777" w:rsidR="005C5AEF" w:rsidRPr="000E70D5" w:rsidRDefault="005C5AEF" w:rsidP="00445723">
      <w:pPr>
        <w:ind w:left="851"/>
        <w:rPr>
          <w:sz w:val="24"/>
          <w:szCs w:val="24"/>
        </w:rPr>
      </w:pPr>
    </w:p>
    <w:p w14:paraId="55020051" w14:textId="77777777" w:rsidR="005C5AEF" w:rsidRPr="000E70D5" w:rsidRDefault="005C5AEF" w:rsidP="00445723">
      <w:pPr>
        <w:ind w:left="851"/>
        <w:rPr>
          <w:sz w:val="24"/>
          <w:szCs w:val="24"/>
        </w:rPr>
      </w:pPr>
      <w:proofErr w:type="spellStart"/>
      <w:r w:rsidRPr="000E70D5">
        <w:rPr>
          <w:sz w:val="24"/>
          <w:szCs w:val="24"/>
        </w:rPr>
        <w:t>Midazolam</w:t>
      </w:r>
      <w:proofErr w:type="spellEnd"/>
      <w:r w:rsidRPr="000E70D5">
        <w:rPr>
          <w:sz w:val="24"/>
          <w:szCs w:val="24"/>
        </w:rPr>
        <w:t xml:space="preserve"> vides ikke at ændre andre lægemidlers farmakokinetik.</w:t>
      </w:r>
    </w:p>
    <w:p w14:paraId="48D2FD90" w14:textId="77777777" w:rsidR="005C5AEF" w:rsidRPr="000E70D5" w:rsidRDefault="005C5AEF" w:rsidP="00445723">
      <w:pPr>
        <w:ind w:left="851"/>
        <w:rPr>
          <w:sz w:val="24"/>
          <w:szCs w:val="24"/>
        </w:rPr>
      </w:pPr>
    </w:p>
    <w:tbl>
      <w:tblPr>
        <w:tblStyle w:val="Tabel-Gitter"/>
        <w:tblW w:w="5000" w:type="pct"/>
        <w:tblInd w:w="0" w:type="dxa"/>
        <w:tblLook w:val="04A0" w:firstRow="1" w:lastRow="0" w:firstColumn="1" w:lastColumn="0" w:noHBand="0" w:noVBand="1"/>
      </w:tblPr>
      <w:tblGrid>
        <w:gridCol w:w="2788"/>
        <w:gridCol w:w="2748"/>
        <w:gridCol w:w="4092"/>
      </w:tblGrid>
      <w:tr w:rsidR="005C5AEF" w:rsidRPr="00A3780A" w14:paraId="6A850361" w14:textId="77777777" w:rsidTr="00343441">
        <w:trPr>
          <w:trHeight w:val="1327"/>
        </w:trPr>
        <w:tc>
          <w:tcPr>
            <w:tcW w:w="1448" w:type="pct"/>
            <w:vMerge w:val="restart"/>
            <w:tcBorders>
              <w:top w:val="single" w:sz="4" w:space="0" w:color="auto"/>
              <w:left w:val="single" w:sz="4" w:space="0" w:color="auto"/>
              <w:bottom w:val="single" w:sz="4" w:space="0" w:color="auto"/>
              <w:right w:val="single" w:sz="4" w:space="0" w:color="auto"/>
            </w:tcBorders>
            <w:hideMark/>
          </w:tcPr>
          <w:p w14:paraId="3D7ECCB1" w14:textId="77777777" w:rsidR="005C5AEF" w:rsidRPr="00A3780A" w:rsidRDefault="005C5AEF" w:rsidP="000815D2">
            <w:pPr>
              <w:rPr>
                <w:b/>
                <w:i/>
                <w:sz w:val="24"/>
                <w:szCs w:val="24"/>
                <w:lang w:val="da-DK"/>
              </w:rPr>
            </w:pPr>
            <w:bookmarkStart w:id="10" w:name="_Hlk202359397" w:colFirst="1" w:colLast="2"/>
            <w:r w:rsidRPr="00A3780A">
              <w:rPr>
                <w:b/>
                <w:i/>
                <w:sz w:val="24"/>
                <w:szCs w:val="24"/>
                <w:lang w:val="da-DK"/>
              </w:rPr>
              <w:t xml:space="preserve">Lægemidler, der hæmmer CYP3A: </w:t>
            </w:r>
          </w:p>
        </w:tc>
        <w:tc>
          <w:tcPr>
            <w:tcW w:w="3552" w:type="pct"/>
            <w:gridSpan w:val="2"/>
            <w:tcBorders>
              <w:top w:val="single" w:sz="4" w:space="0" w:color="auto"/>
              <w:left w:val="single" w:sz="4" w:space="0" w:color="auto"/>
              <w:bottom w:val="single" w:sz="4" w:space="0" w:color="auto"/>
              <w:right w:val="single" w:sz="4" w:space="0" w:color="auto"/>
            </w:tcBorders>
          </w:tcPr>
          <w:p w14:paraId="447F6895" w14:textId="77777777" w:rsidR="005C5AEF" w:rsidRPr="00A3780A" w:rsidRDefault="005C5AEF" w:rsidP="000815D2">
            <w:pPr>
              <w:rPr>
                <w:sz w:val="24"/>
                <w:szCs w:val="24"/>
                <w:lang w:val="da-DK"/>
              </w:rPr>
            </w:pPr>
            <w:proofErr w:type="spellStart"/>
            <w:r w:rsidRPr="00A3780A">
              <w:rPr>
                <w:sz w:val="24"/>
                <w:szCs w:val="24"/>
                <w:lang w:val="da-DK"/>
              </w:rPr>
              <w:t>Azolantimykotika</w:t>
            </w:r>
            <w:proofErr w:type="spellEnd"/>
            <w:r w:rsidRPr="00A3780A">
              <w:rPr>
                <w:sz w:val="24"/>
                <w:szCs w:val="24"/>
                <w:lang w:val="da-DK"/>
              </w:rPr>
              <w:t>:</w:t>
            </w:r>
          </w:p>
          <w:p w14:paraId="21A5A3AE" w14:textId="44CFA6C5" w:rsidR="005C5AEF" w:rsidRPr="00A3780A" w:rsidRDefault="005C5AEF" w:rsidP="000815D2">
            <w:pPr>
              <w:rPr>
                <w:sz w:val="24"/>
                <w:szCs w:val="24"/>
                <w:lang w:val="da-DK"/>
              </w:rPr>
            </w:pPr>
            <w:r w:rsidRPr="00A3780A">
              <w:rPr>
                <w:sz w:val="24"/>
                <w:szCs w:val="24"/>
                <w:lang w:val="da-DK"/>
              </w:rPr>
              <w:t xml:space="preserve">Hvis </w:t>
            </w:r>
            <w:proofErr w:type="spellStart"/>
            <w:r w:rsidRPr="00A3780A">
              <w:rPr>
                <w:sz w:val="24"/>
                <w:szCs w:val="24"/>
                <w:lang w:val="da-DK"/>
              </w:rPr>
              <w:t>midazolam</w:t>
            </w:r>
            <w:proofErr w:type="spellEnd"/>
            <w:r w:rsidRPr="00A3780A">
              <w:rPr>
                <w:sz w:val="24"/>
                <w:szCs w:val="24"/>
                <w:lang w:val="da-DK"/>
              </w:rPr>
              <w:t xml:space="preserve"> gives oralt, skal der tages højde for, at eksponeringen vil være markant højere end ovenfor nævnte niveauer, især med </w:t>
            </w:r>
            <w:proofErr w:type="spellStart"/>
            <w:r w:rsidRPr="00A3780A">
              <w:rPr>
                <w:sz w:val="24"/>
                <w:szCs w:val="24"/>
                <w:lang w:val="da-DK"/>
              </w:rPr>
              <w:t>ketoconazol</w:t>
            </w:r>
            <w:proofErr w:type="spellEnd"/>
            <w:r w:rsidRPr="00A3780A">
              <w:rPr>
                <w:sz w:val="24"/>
                <w:szCs w:val="24"/>
                <w:lang w:val="da-DK"/>
              </w:rPr>
              <w:t xml:space="preserve">, </w:t>
            </w:r>
            <w:proofErr w:type="spellStart"/>
            <w:r w:rsidRPr="00A3780A">
              <w:rPr>
                <w:sz w:val="24"/>
                <w:szCs w:val="24"/>
                <w:lang w:val="da-DK"/>
              </w:rPr>
              <w:t>itraconazol</w:t>
            </w:r>
            <w:proofErr w:type="spellEnd"/>
            <w:r w:rsidRPr="00A3780A">
              <w:rPr>
                <w:sz w:val="24"/>
                <w:szCs w:val="24"/>
                <w:lang w:val="da-DK"/>
              </w:rPr>
              <w:t xml:space="preserve">, </w:t>
            </w:r>
            <w:proofErr w:type="spellStart"/>
            <w:r w:rsidRPr="00A3780A">
              <w:rPr>
                <w:sz w:val="24"/>
                <w:szCs w:val="24"/>
                <w:lang w:val="da-DK"/>
              </w:rPr>
              <w:t>voriconazol</w:t>
            </w:r>
            <w:proofErr w:type="spellEnd"/>
            <w:r w:rsidRPr="00A3780A">
              <w:rPr>
                <w:sz w:val="24"/>
                <w:szCs w:val="24"/>
                <w:lang w:val="da-DK"/>
              </w:rPr>
              <w:t>.</w:t>
            </w:r>
          </w:p>
        </w:tc>
      </w:tr>
      <w:tr w:rsidR="005C5AEF" w:rsidRPr="00A3780A" w14:paraId="1EB92B6E" w14:textId="77777777" w:rsidTr="00343441">
        <w:trPr>
          <w:trHeight w:val="1266"/>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0BDF90C9"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1AC21BC1" w14:textId="77777777" w:rsidR="005C5AEF" w:rsidRPr="00A3780A" w:rsidRDefault="005C5AEF" w:rsidP="000815D2">
            <w:pPr>
              <w:rPr>
                <w:sz w:val="24"/>
                <w:szCs w:val="24"/>
                <w:lang w:val="da-DK"/>
              </w:rPr>
            </w:pPr>
            <w:proofErr w:type="spellStart"/>
            <w:r w:rsidRPr="00A3780A">
              <w:rPr>
                <w:sz w:val="24"/>
                <w:szCs w:val="24"/>
                <w:lang w:val="da-DK"/>
              </w:rPr>
              <w:t>Ketoconazol</w:t>
            </w:r>
            <w:proofErr w:type="spellEnd"/>
            <w:r w:rsidRPr="00A3780A">
              <w:rPr>
                <w:sz w:val="24"/>
                <w:szCs w:val="24"/>
                <w:lang w:val="da-DK"/>
              </w:rPr>
              <w:t xml:space="preserve"> og </w:t>
            </w:r>
            <w:proofErr w:type="spellStart"/>
            <w:r w:rsidRPr="00A3780A">
              <w:rPr>
                <w:sz w:val="24"/>
                <w:szCs w:val="24"/>
                <w:lang w:val="da-DK"/>
              </w:rPr>
              <w:t>voriconazol</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23AF7F73" w14:textId="77777777" w:rsidR="005C5AEF" w:rsidRPr="00A3780A" w:rsidRDefault="005C5AEF" w:rsidP="000815D2">
            <w:pPr>
              <w:rPr>
                <w:sz w:val="24"/>
                <w:szCs w:val="24"/>
                <w:lang w:val="da-DK"/>
              </w:rPr>
            </w:pPr>
            <w:proofErr w:type="spellStart"/>
            <w:r w:rsidRPr="00A3780A">
              <w:rPr>
                <w:sz w:val="24"/>
                <w:szCs w:val="24"/>
                <w:lang w:val="da-DK"/>
              </w:rPr>
              <w:t>Ketoconazol</w:t>
            </w:r>
            <w:proofErr w:type="spellEnd"/>
            <w:r w:rsidRPr="00A3780A">
              <w:rPr>
                <w:sz w:val="24"/>
                <w:szCs w:val="24"/>
                <w:lang w:val="da-DK"/>
              </w:rPr>
              <w:t xml:space="preserve"> og </w:t>
            </w:r>
            <w:proofErr w:type="spellStart"/>
            <w:r w:rsidRPr="00A3780A">
              <w:rPr>
                <w:sz w:val="24"/>
                <w:szCs w:val="24"/>
                <w:lang w:val="da-DK"/>
              </w:rPr>
              <w:t>voriconazol</w:t>
            </w:r>
            <w:proofErr w:type="spellEnd"/>
            <w:r w:rsidRPr="00A3780A">
              <w:rPr>
                <w:sz w:val="24"/>
                <w:szCs w:val="24"/>
                <w:lang w:val="da-DK"/>
              </w:rPr>
              <w:t xml:space="preserve"> øgede plasmakoncentrationerne af intravenøs </w:t>
            </w:r>
            <w:proofErr w:type="spellStart"/>
            <w:r w:rsidRPr="00A3780A">
              <w:rPr>
                <w:sz w:val="24"/>
                <w:szCs w:val="24"/>
                <w:lang w:val="da-DK"/>
              </w:rPr>
              <w:t>midazolam</w:t>
            </w:r>
            <w:proofErr w:type="spellEnd"/>
            <w:r w:rsidRPr="00A3780A">
              <w:rPr>
                <w:sz w:val="24"/>
                <w:szCs w:val="24"/>
                <w:lang w:val="da-DK"/>
              </w:rPr>
              <w:t xml:space="preserve"> henholdsvis 5 gange og 3-4 gange, mens den terminale halveringstid blev øget ca. 3 gange. Hvis parenteral </w:t>
            </w:r>
            <w:proofErr w:type="spellStart"/>
            <w:r w:rsidRPr="00A3780A">
              <w:rPr>
                <w:sz w:val="24"/>
                <w:szCs w:val="24"/>
                <w:lang w:val="da-DK"/>
              </w:rPr>
              <w:t>midazolam</w:t>
            </w:r>
            <w:proofErr w:type="spellEnd"/>
            <w:r w:rsidRPr="00A3780A">
              <w:rPr>
                <w:sz w:val="24"/>
                <w:szCs w:val="24"/>
                <w:lang w:val="da-DK"/>
              </w:rPr>
              <w:t xml:space="preserve"> administreres samtidig med disse stærke CYP3A-hæmmere, skal det ske på en intensivafdeling eller lignende, der sikrer nøje klinisk overvågning og passende medicinsk behandling i tilfælde af respirationsdepression og/eller forlænget sedation. Trinvis dosering og dosisjustering skal overvejes, især hvis der administreres mere end en enkelt intravenøs dosis </w:t>
            </w:r>
            <w:proofErr w:type="spellStart"/>
            <w:r w:rsidRPr="00A3780A">
              <w:rPr>
                <w:sz w:val="24"/>
                <w:szCs w:val="24"/>
                <w:lang w:val="da-DK"/>
              </w:rPr>
              <w:t>midazolam</w:t>
            </w:r>
            <w:proofErr w:type="spellEnd"/>
            <w:r w:rsidRPr="00A3780A">
              <w:rPr>
                <w:sz w:val="24"/>
                <w:szCs w:val="24"/>
                <w:lang w:val="da-DK"/>
              </w:rPr>
              <w:t xml:space="preserve">. Den samme anbefaling kan også gælde for andre </w:t>
            </w:r>
            <w:proofErr w:type="spellStart"/>
            <w:r w:rsidRPr="00A3780A">
              <w:rPr>
                <w:sz w:val="24"/>
                <w:szCs w:val="24"/>
                <w:lang w:val="da-DK"/>
              </w:rPr>
              <w:t>azolantimykotika</w:t>
            </w:r>
            <w:proofErr w:type="spellEnd"/>
            <w:r w:rsidRPr="00A3780A">
              <w:rPr>
                <w:sz w:val="24"/>
                <w:szCs w:val="24"/>
                <w:lang w:val="da-DK"/>
              </w:rPr>
              <w:t xml:space="preserve"> (se yderligere), da der er rapporteret øgede sedative virkninger af intravenøs </w:t>
            </w:r>
            <w:proofErr w:type="spellStart"/>
            <w:r w:rsidRPr="00A3780A">
              <w:rPr>
                <w:sz w:val="24"/>
                <w:szCs w:val="24"/>
                <w:lang w:val="da-DK"/>
              </w:rPr>
              <w:t>midazolam</w:t>
            </w:r>
            <w:proofErr w:type="spellEnd"/>
            <w:r w:rsidRPr="00A3780A">
              <w:rPr>
                <w:sz w:val="24"/>
                <w:szCs w:val="24"/>
                <w:lang w:val="da-DK"/>
              </w:rPr>
              <w:t xml:space="preserve">, omend mindre. </w:t>
            </w:r>
          </w:p>
        </w:tc>
      </w:tr>
      <w:tr w:rsidR="005C5AEF" w:rsidRPr="00A3780A" w14:paraId="5F7F08BF" w14:textId="77777777" w:rsidTr="00343441">
        <w:trPr>
          <w:trHeight w:val="91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40C3EDD5"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3787DA2C" w14:textId="77777777" w:rsidR="005C5AEF" w:rsidRPr="00A3780A" w:rsidRDefault="005C5AEF" w:rsidP="000815D2">
            <w:pPr>
              <w:rPr>
                <w:sz w:val="24"/>
                <w:szCs w:val="24"/>
                <w:lang w:val="da-DK"/>
              </w:rPr>
            </w:pPr>
            <w:proofErr w:type="spellStart"/>
            <w:r w:rsidRPr="00A3780A">
              <w:rPr>
                <w:sz w:val="24"/>
                <w:szCs w:val="24"/>
                <w:lang w:val="da-DK"/>
              </w:rPr>
              <w:t>Fluconazol</w:t>
            </w:r>
            <w:proofErr w:type="spellEnd"/>
            <w:r w:rsidRPr="00A3780A">
              <w:rPr>
                <w:sz w:val="24"/>
                <w:szCs w:val="24"/>
                <w:lang w:val="da-DK"/>
              </w:rPr>
              <w:t xml:space="preserve"> og </w:t>
            </w:r>
            <w:proofErr w:type="spellStart"/>
            <w:r w:rsidRPr="00A3780A">
              <w:rPr>
                <w:sz w:val="24"/>
                <w:szCs w:val="24"/>
                <w:lang w:val="da-DK"/>
              </w:rPr>
              <w:t>itraconazol</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71C9A2FF" w14:textId="77777777" w:rsidR="005C5AEF" w:rsidRPr="00A3780A" w:rsidRDefault="005C5AEF" w:rsidP="000815D2">
            <w:pPr>
              <w:rPr>
                <w:sz w:val="24"/>
                <w:szCs w:val="24"/>
                <w:lang w:val="da-DK"/>
              </w:rPr>
            </w:pPr>
            <w:r w:rsidRPr="00A3780A">
              <w:rPr>
                <w:sz w:val="24"/>
                <w:szCs w:val="24"/>
                <w:lang w:val="da-DK"/>
              </w:rPr>
              <w:t xml:space="preserve">Både </w:t>
            </w:r>
            <w:proofErr w:type="spellStart"/>
            <w:r w:rsidRPr="00A3780A">
              <w:rPr>
                <w:sz w:val="24"/>
                <w:szCs w:val="24"/>
                <w:lang w:val="da-DK"/>
              </w:rPr>
              <w:t>fluconazol</w:t>
            </w:r>
            <w:proofErr w:type="spellEnd"/>
            <w:r w:rsidRPr="00A3780A">
              <w:rPr>
                <w:sz w:val="24"/>
                <w:szCs w:val="24"/>
                <w:lang w:val="da-DK"/>
              </w:rPr>
              <w:t xml:space="preserve"> and </w:t>
            </w:r>
            <w:proofErr w:type="spellStart"/>
            <w:r w:rsidRPr="00A3780A">
              <w:rPr>
                <w:sz w:val="24"/>
                <w:szCs w:val="24"/>
                <w:lang w:val="da-DK"/>
              </w:rPr>
              <w:t>itraconazol</w:t>
            </w:r>
            <w:proofErr w:type="spellEnd"/>
            <w:r w:rsidRPr="00A3780A">
              <w:rPr>
                <w:sz w:val="24"/>
                <w:szCs w:val="24"/>
                <w:lang w:val="da-DK"/>
              </w:rPr>
              <w:t xml:space="preserve"> øgede plasmakoncentrationerne af intravenøs </w:t>
            </w:r>
            <w:proofErr w:type="spellStart"/>
            <w:r w:rsidRPr="00A3780A">
              <w:rPr>
                <w:sz w:val="24"/>
                <w:szCs w:val="24"/>
                <w:lang w:val="da-DK"/>
              </w:rPr>
              <w:t>midazolam</w:t>
            </w:r>
            <w:proofErr w:type="spellEnd"/>
            <w:r w:rsidRPr="00A3780A">
              <w:rPr>
                <w:sz w:val="24"/>
                <w:szCs w:val="24"/>
                <w:lang w:val="da-DK"/>
              </w:rPr>
              <w:t xml:space="preserve"> 2-3 gange, hvilket var forbundet med en stigning i terminal halveringstid på henholdsvis 2,4 gange for </w:t>
            </w:r>
            <w:proofErr w:type="spellStart"/>
            <w:r w:rsidRPr="00A3780A">
              <w:rPr>
                <w:sz w:val="24"/>
                <w:szCs w:val="24"/>
                <w:lang w:val="da-DK"/>
              </w:rPr>
              <w:t>itraconazol</w:t>
            </w:r>
            <w:proofErr w:type="spellEnd"/>
            <w:r w:rsidRPr="00A3780A">
              <w:rPr>
                <w:sz w:val="24"/>
                <w:szCs w:val="24"/>
                <w:lang w:val="da-DK"/>
              </w:rPr>
              <w:t xml:space="preserve"> og 1,5 gange for </w:t>
            </w:r>
            <w:proofErr w:type="spellStart"/>
            <w:r w:rsidRPr="00A3780A">
              <w:rPr>
                <w:sz w:val="24"/>
                <w:szCs w:val="24"/>
                <w:lang w:val="da-DK"/>
              </w:rPr>
              <w:t>fluconazol</w:t>
            </w:r>
            <w:proofErr w:type="spellEnd"/>
            <w:r w:rsidRPr="00A3780A">
              <w:rPr>
                <w:sz w:val="24"/>
                <w:szCs w:val="24"/>
                <w:lang w:val="da-DK"/>
              </w:rPr>
              <w:t>.</w:t>
            </w:r>
          </w:p>
        </w:tc>
      </w:tr>
      <w:tr w:rsidR="005C5AEF" w:rsidRPr="00A3780A" w14:paraId="1CA90394"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277F67D2"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5DBEB45C" w14:textId="77777777" w:rsidR="005C5AEF" w:rsidRPr="00A3780A" w:rsidRDefault="005C5AEF" w:rsidP="000815D2">
            <w:pPr>
              <w:rPr>
                <w:sz w:val="24"/>
                <w:szCs w:val="24"/>
                <w:lang w:val="da-DK"/>
              </w:rPr>
            </w:pPr>
            <w:proofErr w:type="spellStart"/>
            <w:r w:rsidRPr="00A3780A">
              <w:rPr>
                <w:sz w:val="24"/>
                <w:szCs w:val="24"/>
                <w:lang w:val="da-DK"/>
              </w:rPr>
              <w:t>Posaconazol</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781A1BCA" w14:textId="77777777" w:rsidR="005C5AEF" w:rsidRPr="00A3780A" w:rsidRDefault="005C5AEF" w:rsidP="000815D2">
            <w:pPr>
              <w:rPr>
                <w:sz w:val="24"/>
                <w:szCs w:val="24"/>
                <w:lang w:val="da-DK"/>
              </w:rPr>
            </w:pPr>
            <w:proofErr w:type="spellStart"/>
            <w:r w:rsidRPr="00A3780A">
              <w:rPr>
                <w:sz w:val="24"/>
                <w:szCs w:val="24"/>
                <w:lang w:val="da-DK"/>
              </w:rPr>
              <w:t>Posaconazol</w:t>
            </w:r>
            <w:proofErr w:type="spellEnd"/>
            <w:r w:rsidRPr="00A3780A">
              <w:rPr>
                <w:sz w:val="24"/>
                <w:szCs w:val="24"/>
                <w:lang w:val="da-DK"/>
              </w:rPr>
              <w:t xml:space="preserve"> øgede plasmakoncentrationen af intravenøs </w:t>
            </w:r>
            <w:proofErr w:type="spellStart"/>
            <w:r w:rsidRPr="00A3780A">
              <w:rPr>
                <w:sz w:val="24"/>
                <w:szCs w:val="24"/>
                <w:lang w:val="da-DK"/>
              </w:rPr>
              <w:t>midazolam</w:t>
            </w:r>
            <w:proofErr w:type="spellEnd"/>
            <w:r w:rsidRPr="00A3780A">
              <w:rPr>
                <w:sz w:val="24"/>
                <w:szCs w:val="24"/>
                <w:lang w:val="da-DK"/>
              </w:rPr>
              <w:t xml:space="preserve"> til cirka det dobbelte. </w:t>
            </w:r>
          </w:p>
        </w:tc>
      </w:tr>
      <w:tr w:rsidR="005C5AEF" w:rsidRPr="00A3780A" w14:paraId="1086B481" w14:textId="77777777" w:rsidTr="00343441">
        <w:trPr>
          <w:trHeight w:val="379"/>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1AFB0D86"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2C428F78" w14:textId="77777777" w:rsidR="005C5AEF" w:rsidRPr="00A3780A" w:rsidRDefault="005C5AEF" w:rsidP="000815D2">
            <w:pPr>
              <w:rPr>
                <w:sz w:val="24"/>
                <w:szCs w:val="24"/>
                <w:lang w:val="da-DK"/>
              </w:rPr>
            </w:pPr>
            <w:proofErr w:type="spellStart"/>
            <w:r w:rsidRPr="00A3780A">
              <w:rPr>
                <w:sz w:val="24"/>
                <w:szCs w:val="24"/>
                <w:lang w:val="da-DK"/>
              </w:rPr>
              <w:t>Makrolidantibiotika</w:t>
            </w:r>
            <w:proofErr w:type="spellEnd"/>
          </w:p>
        </w:tc>
      </w:tr>
      <w:bookmarkEnd w:id="10"/>
      <w:tr w:rsidR="005C5AEF" w:rsidRPr="00A3780A" w14:paraId="2342D251" w14:textId="77777777" w:rsidTr="00343441">
        <w:trPr>
          <w:trHeight w:val="699"/>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1AC77E66"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7248D81B" w14:textId="77777777" w:rsidR="005C5AEF" w:rsidRPr="00A3780A" w:rsidRDefault="005C5AEF" w:rsidP="000815D2">
            <w:pPr>
              <w:rPr>
                <w:sz w:val="24"/>
                <w:szCs w:val="24"/>
                <w:lang w:val="da-DK"/>
              </w:rPr>
            </w:pPr>
            <w:proofErr w:type="spellStart"/>
            <w:r w:rsidRPr="00A3780A">
              <w:rPr>
                <w:sz w:val="24"/>
                <w:szCs w:val="24"/>
                <w:lang w:val="da-DK"/>
              </w:rPr>
              <w:t>Erythromycin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6F9787D4" w14:textId="77777777" w:rsidR="005C5AEF" w:rsidRPr="00A3780A" w:rsidRDefault="005C5AEF" w:rsidP="000815D2">
            <w:pPr>
              <w:rPr>
                <w:sz w:val="24"/>
                <w:szCs w:val="24"/>
                <w:lang w:val="da-DK"/>
              </w:rPr>
            </w:pPr>
            <w:proofErr w:type="spellStart"/>
            <w:r w:rsidRPr="00A3780A">
              <w:rPr>
                <w:sz w:val="24"/>
                <w:szCs w:val="24"/>
                <w:lang w:val="da-DK"/>
              </w:rPr>
              <w:t>Erythromycin</w:t>
            </w:r>
            <w:proofErr w:type="spellEnd"/>
            <w:r w:rsidRPr="00A3780A">
              <w:rPr>
                <w:sz w:val="24"/>
                <w:szCs w:val="24"/>
                <w:lang w:val="da-DK"/>
              </w:rPr>
              <w:t xml:space="preserve"> øgede plasmakoncentrationen af intravenøs </w:t>
            </w:r>
            <w:proofErr w:type="spellStart"/>
            <w:r w:rsidRPr="00A3780A">
              <w:rPr>
                <w:sz w:val="24"/>
                <w:szCs w:val="24"/>
                <w:lang w:val="da-DK"/>
              </w:rPr>
              <w:t>midazolam</w:t>
            </w:r>
            <w:proofErr w:type="spellEnd"/>
            <w:r w:rsidRPr="00A3780A">
              <w:rPr>
                <w:sz w:val="24"/>
                <w:szCs w:val="24"/>
                <w:lang w:val="da-DK"/>
              </w:rPr>
              <w:t xml:space="preserve"> cirka 1,6-2 gange, hvilket var forbundet med en forøgelse af den terminale halveringstid af </w:t>
            </w:r>
            <w:proofErr w:type="spellStart"/>
            <w:r w:rsidRPr="00A3780A">
              <w:rPr>
                <w:sz w:val="24"/>
                <w:szCs w:val="24"/>
                <w:lang w:val="da-DK"/>
              </w:rPr>
              <w:t>midazolam</w:t>
            </w:r>
            <w:proofErr w:type="spellEnd"/>
            <w:r w:rsidRPr="00A3780A">
              <w:rPr>
                <w:sz w:val="24"/>
                <w:szCs w:val="24"/>
                <w:lang w:val="da-DK"/>
              </w:rPr>
              <w:t xml:space="preserve"> på 1,5-1,8 gange.  </w:t>
            </w:r>
          </w:p>
        </w:tc>
      </w:tr>
      <w:tr w:rsidR="005C5AEF" w:rsidRPr="00A3780A" w14:paraId="6B8AB2F3"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558B4278"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5A81D5A7" w14:textId="77777777" w:rsidR="005C5AEF" w:rsidRPr="00A3780A" w:rsidRDefault="005C5AEF" w:rsidP="000815D2">
            <w:pPr>
              <w:rPr>
                <w:sz w:val="24"/>
                <w:szCs w:val="24"/>
                <w:lang w:val="da-DK"/>
              </w:rPr>
            </w:pPr>
            <w:proofErr w:type="spellStart"/>
            <w:r w:rsidRPr="00A3780A">
              <w:rPr>
                <w:sz w:val="24"/>
                <w:szCs w:val="24"/>
                <w:lang w:val="da-DK"/>
              </w:rPr>
              <w:t>Clarithromycin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41EE3C43" w14:textId="77777777" w:rsidR="005C5AEF" w:rsidRPr="00A3780A" w:rsidRDefault="005C5AEF" w:rsidP="000815D2">
            <w:pPr>
              <w:rPr>
                <w:sz w:val="24"/>
                <w:szCs w:val="24"/>
                <w:lang w:val="da-DK"/>
              </w:rPr>
            </w:pPr>
            <w:proofErr w:type="spellStart"/>
            <w:r w:rsidRPr="00A3780A">
              <w:rPr>
                <w:sz w:val="24"/>
                <w:szCs w:val="24"/>
                <w:lang w:val="da-DK"/>
              </w:rPr>
              <w:t>Clarithromycin</w:t>
            </w:r>
            <w:proofErr w:type="spellEnd"/>
            <w:r w:rsidRPr="00A3780A">
              <w:rPr>
                <w:sz w:val="24"/>
                <w:szCs w:val="24"/>
                <w:lang w:val="da-DK"/>
              </w:rPr>
              <w:t xml:space="preserve"> øgede plasmakoncentrationen af </w:t>
            </w:r>
            <w:proofErr w:type="spellStart"/>
            <w:r w:rsidRPr="00A3780A">
              <w:rPr>
                <w:sz w:val="24"/>
                <w:szCs w:val="24"/>
                <w:lang w:val="da-DK"/>
              </w:rPr>
              <w:t>midazolam</w:t>
            </w:r>
            <w:proofErr w:type="spellEnd"/>
            <w:r w:rsidRPr="00A3780A">
              <w:rPr>
                <w:sz w:val="24"/>
                <w:szCs w:val="24"/>
                <w:lang w:val="da-DK"/>
              </w:rPr>
              <w:t xml:space="preserve"> op til 2,5 gange, hvilket var forbundet med en forøgelse af den terminale halveringstid på 1,5-2 gange.</w:t>
            </w:r>
          </w:p>
        </w:tc>
      </w:tr>
      <w:tr w:rsidR="005C5AEF" w:rsidRPr="00A3780A" w14:paraId="09B630F3" w14:textId="77777777" w:rsidTr="00343441">
        <w:trPr>
          <w:trHeight w:val="557"/>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43000199"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724A2505" w14:textId="77777777" w:rsidR="005C5AEF" w:rsidRPr="00A3780A" w:rsidRDefault="005C5AEF" w:rsidP="000815D2">
            <w:pPr>
              <w:rPr>
                <w:sz w:val="24"/>
                <w:szCs w:val="24"/>
                <w:lang w:val="da-DK"/>
              </w:rPr>
            </w:pPr>
            <w:r w:rsidRPr="00A3780A">
              <w:rPr>
                <w:sz w:val="24"/>
                <w:szCs w:val="24"/>
                <w:lang w:val="da-DK"/>
              </w:rPr>
              <w:t xml:space="preserve">Yderligere information om oral </w:t>
            </w:r>
            <w:proofErr w:type="spellStart"/>
            <w:r w:rsidRPr="00A3780A">
              <w:rPr>
                <w:sz w:val="24"/>
                <w:szCs w:val="24"/>
                <w:lang w:val="da-DK"/>
              </w:rPr>
              <w:t>midazolam</w:t>
            </w:r>
            <w:proofErr w:type="spellEnd"/>
          </w:p>
          <w:p w14:paraId="217B13E0" w14:textId="77777777" w:rsidR="005C5AEF" w:rsidRPr="00A3780A" w:rsidRDefault="005C5AEF" w:rsidP="000815D2">
            <w:pPr>
              <w:rPr>
                <w:b/>
                <w:sz w:val="24"/>
                <w:szCs w:val="24"/>
                <w:lang w:val="da-DK"/>
              </w:rPr>
            </w:pPr>
            <w:proofErr w:type="spellStart"/>
            <w:r w:rsidRPr="00A3780A">
              <w:rPr>
                <w:b/>
                <w:sz w:val="24"/>
                <w:szCs w:val="24"/>
                <w:lang w:val="da-DK"/>
              </w:rPr>
              <w:t>Midazolam</w:t>
            </w:r>
            <w:proofErr w:type="spellEnd"/>
            <w:r w:rsidRPr="00A3780A">
              <w:rPr>
                <w:b/>
                <w:sz w:val="24"/>
                <w:szCs w:val="24"/>
                <w:lang w:val="da-DK"/>
              </w:rPr>
              <w:t xml:space="preserve"> injektionsvæske er ikke indiceret til oral administration.</w:t>
            </w:r>
          </w:p>
        </w:tc>
      </w:tr>
      <w:tr w:rsidR="005C5AEF" w:rsidRPr="00A3780A" w14:paraId="74AC06C3" w14:textId="77777777" w:rsidTr="00343441">
        <w:trPr>
          <w:trHeight w:val="695"/>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2D809313"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38970D9B" w14:textId="77777777" w:rsidR="005C5AEF" w:rsidRPr="00A3780A" w:rsidRDefault="005C5AEF" w:rsidP="000815D2">
            <w:pPr>
              <w:rPr>
                <w:sz w:val="24"/>
                <w:szCs w:val="24"/>
                <w:lang w:val="da-DK"/>
              </w:rPr>
            </w:pPr>
            <w:proofErr w:type="spellStart"/>
            <w:r w:rsidRPr="00A3780A">
              <w:rPr>
                <w:sz w:val="24"/>
                <w:szCs w:val="24"/>
                <w:lang w:val="da-DK"/>
              </w:rPr>
              <w:t>Telithromycin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15F1B4A6" w14:textId="77777777" w:rsidR="005C5AEF" w:rsidRPr="00A3780A" w:rsidRDefault="005C5AEF" w:rsidP="000815D2">
            <w:pPr>
              <w:rPr>
                <w:sz w:val="24"/>
                <w:szCs w:val="24"/>
                <w:lang w:val="da-DK"/>
              </w:rPr>
            </w:pPr>
            <w:proofErr w:type="spellStart"/>
            <w:r w:rsidRPr="00A3780A">
              <w:rPr>
                <w:sz w:val="24"/>
                <w:szCs w:val="24"/>
                <w:lang w:val="da-DK"/>
              </w:rPr>
              <w:t>Telithromycin</w:t>
            </w:r>
            <w:proofErr w:type="spellEnd"/>
            <w:r w:rsidRPr="00A3780A">
              <w:rPr>
                <w:sz w:val="24"/>
                <w:szCs w:val="24"/>
                <w:lang w:val="da-DK"/>
              </w:rPr>
              <w:t xml:space="preserve"> øgede plasmaniveauet af oral </w:t>
            </w:r>
            <w:proofErr w:type="spellStart"/>
            <w:r w:rsidRPr="00A3780A">
              <w:rPr>
                <w:sz w:val="24"/>
                <w:szCs w:val="24"/>
                <w:lang w:val="da-DK"/>
              </w:rPr>
              <w:t>midazolam</w:t>
            </w:r>
            <w:proofErr w:type="spellEnd"/>
            <w:r w:rsidRPr="00A3780A">
              <w:rPr>
                <w:sz w:val="24"/>
                <w:szCs w:val="24"/>
                <w:lang w:val="da-DK"/>
              </w:rPr>
              <w:t xml:space="preserve"> 6 gange.</w:t>
            </w:r>
          </w:p>
        </w:tc>
      </w:tr>
      <w:tr w:rsidR="005C5AEF" w:rsidRPr="00A3780A" w14:paraId="38A0268F"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068C6B77"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54037B30" w14:textId="77777777" w:rsidR="005C5AEF" w:rsidRPr="00A3780A" w:rsidRDefault="005C5AEF" w:rsidP="000815D2">
            <w:pPr>
              <w:rPr>
                <w:sz w:val="24"/>
                <w:szCs w:val="24"/>
                <w:lang w:val="da-DK"/>
              </w:rPr>
            </w:pPr>
            <w:proofErr w:type="spellStart"/>
            <w:r w:rsidRPr="00A3780A">
              <w:rPr>
                <w:sz w:val="24"/>
                <w:szCs w:val="24"/>
                <w:lang w:val="da-DK"/>
              </w:rPr>
              <w:t>Roxithromycin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2499BACE" w14:textId="77777777" w:rsidR="005C5AEF" w:rsidRPr="00A3780A" w:rsidRDefault="005C5AEF" w:rsidP="000815D2">
            <w:pPr>
              <w:rPr>
                <w:sz w:val="24"/>
                <w:szCs w:val="24"/>
                <w:lang w:val="da-DK"/>
              </w:rPr>
            </w:pPr>
            <w:proofErr w:type="spellStart"/>
            <w:r w:rsidRPr="00A3780A">
              <w:rPr>
                <w:sz w:val="24"/>
                <w:szCs w:val="24"/>
                <w:lang w:val="da-DK"/>
              </w:rPr>
              <w:t>Roxithromycin</w:t>
            </w:r>
            <w:proofErr w:type="spellEnd"/>
            <w:r w:rsidRPr="00A3780A">
              <w:rPr>
                <w:sz w:val="24"/>
                <w:szCs w:val="24"/>
                <w:lang w:val="da-DK"/>
              </w:rPr>
              <w:t xml:space="preserve">: Der er ingen tilgængelig information om </w:t>
            </w:r>
            <w:proofErr w:type="spellStart"/>
            <w:r w:rsidRPr="00A3780A">
              <w:rPr>
                <w:sz w:val="24"/>
                <w:szCs w:val="24"/>
                <w:lang w:val="da-DK"/>
              </w:rPr>
              <w:t>roxithromycin</w:t>
            </w:r>
            <w:proofErr w:type="spellEnd"/>
            <w:r w:rsidRPr="00A3780A">
              <w:rPr>
                <w:sz w:val="24"/>
                <w:szCs w:val="24"/>
                <w:lang w:val="da-DK"/>
              </w:rPr>
              <w:t xml:space="preserve"> givet sammen med intravenøs </w:t>
            </w:r>
            <w:proofErr w:type="spellStart"/>
            <w:r w:rsidRPr="00A3780A">
              <w:rPr>
                <w:sz w:val="24"/>
                <w:szCs w:val="24"/>
                <w:lang w:val="da-DK"/>
              </w:rPr>
              <w:t>midazolam</w:t>
            </w:r>
            <w:proofErr w:type="spellEnd"/>
            <w:r w:rsidRPr="00A3780A">
              <w:rPr>
                <w:sz w:val="24"/>
                <w:szCs w:val="24"/>
                <w:lang w:val="da-DK"/>
              </w:rPr>
              <w:t xml:space="preserve">. Den milde virkning på den terminale halveringstid af oral </w:t>
            </w:r>
            <w:proofErr w:type="spellStart"/>
            <w:r w:rsidRPr="00A3780A">
              <w:rPr>
                <w:sz w:val="24"/>
                <w:szCs w:val="24"/>
                <w:lang w:val="da-DK"/>
              </w:rPr>
              <w:t>midazolam</w:t>
            </w:r>
            <w:proofErr w:type="spellEnd"/>
            <w:r w:rsidRPr="00A3780A">
              <w:rPr>
                <w:sz w:val="24"/>
                <w:szCs w:val="24"/>
                <w:lang w:val="da-DK"/>
              </w:rPr>
              <w:t xml:space="preserve"> tablet, der stiger med 30 %, tyder dog på, at virkningen af </w:t>
            </w:r>
            <w:proofErr w:type="spellStart"/>
            <w:r w:rsidRPr="00A3780A">
              <w:rPr>
                <w:sz w:val="24"/>
                <w:szCs w:val="24"/>
                <w:lang w:val="da-DK"/>
              </w:rPr>
              <w:t>roxithromycin</w:t>
            </w:r>
            <w:proofErr w:type="spellEnd"/>
            <w:r w:rsidRPr="00A3780A">
              <w:rPr>
                <w:sz w:val="24"/>
                <w:szCs w:val="24"/>
                <w:lang w:val="da-DK"/>
              </w:rPr>
              <w:t xml:space="preserve"> på intravenøs </w:t>
            </w:r>
            <w:proofErr w:type="spellStart"/>
            <w:r w:rsidRPr="00A3780A">
              <w:rPr>
                <w:sz w:val="24"/>
                <w:szCs w:val="24"/>
                <w:lang w:val="da-DK"/>
              </w:rPr>
              <w:t>midazolam</w:t>
            </w:r>
            <w:proofErr w:type="spellEnd"/>
            <w:r w:rsidRPr="00A3780A">
              <w:rPr>
                <w:sz w:val="24"/>
                <w:szCs w:val="24"/>
                <w:lang w:val="da-DK"/>
              </w:rPr>
              <w:t xml:space="preserve"> kan være mindre betydningsfuld</w:t>
            </w:r>
          </w:p>
        </w:tc>
      </w:tr>
      <w:tr w:rsidR="005C5AEF" w:rsidRPr="00A3780A" w14:paraId="4CEA9427"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72F41EDA"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tcPr>
          <w:p w14:paraId="1A508869" w14:textId="77777777" w:rsidR="005C5AEF" w:rsidRPr="00A3780A" w:rsidRDefault="005C5AEF" w:rsidP="000815D2">
            <w:pPr>
              <w:rPr>
                <w:i/>
                <w:sz w:val="24"/>
                <w:szCs w:val="24"/>
                <w:lang w:val="da-DK"/>
              </w:rPr>
            </w:pPr>
            <w:r w:rsidRPr="00A3780A">
              <w:rPr>
                <w:i/>
                <w:sz w:val="24"/>
                <w:szCs w:val="24"/>
                <w:lang w:val="da-DK"/>
              </w:rPr>
              <w:t>Intravenøs anæstesi</w:t>
            </w:r>
          </w:p>
          <w:p w14:paraId="1E8DD753" w14:textId="77777777" w:rsidR="005C5AEF" w:rsidRPr="00A3780A" w:rsidRDefault="005C5AEF" w:rsidP="000815D2">
            <w:pPr>
              <w:pStyle w:val="Listeafsnit"/>
              <w:numPr>
                <w:ilvl w:val="0"/>
                <w:numId w:val="34"/>
              </w:numPr>
              <w:tabs>
                <w:tab w:val="clear" w:pos="567"/>
              </w:tabs>
              <w:spacing w:line="240" w:lineRule="auto"/>
              <w:ind w:left="363"/>
              <w:rPr>
                <w:sz w:val="24"/>
                <w:szCs w:val="24"/>
                <w:lang w:val="da-DK"/>
              </w:rPr>
            </w:pPr>
            <w:r w:rsidRPr="00A3780A">
              <w:rPr>
                <w:sz w:val="24"/>
                <w:szCs w:val="24"/>
                <w:lang w:val="da-DK"/>
              </w:rPr>
              <w:t xml:space="preserve">Intravenøst </w:t>
            </w:r>
            <w:proofErr w:type="spellStart"/>
            <w:r w:rsidRPr="00A3780A">
              <w:rPr>
                <w:sz w:val="24"/>
                <w:szCs w:val="24"/>
                <w:lang w:val="da-DK"/>
              </w:rPr>
              <w:t>propofol</w:t>
            </w:r>
            <w:proofErr w:type="spellEnd"/>
            <w:r w:rsidRPr="00A3780A">
              <w:rPr>
                <w:sz w:val="24"/>
                <w:szCs w:val="24"/>
                <w:lang w:val="da-DK"/>
              </w:rPr>
              <w:t xml:space="preserve"> ændrede også dispositionen af intravenøst </w:t>
            </w:r>
            <w:proofErr w:type="spellStart"/>
            <w:r w:rsidRPr="00A3780A">
              <w:rPr>
                <w:sz w:val="24"/>
                <w:szCs w:val="24"/>
                <w:lang w:val="da-DK"/>
              </w:rPr>
              <w:t>midazolam</w:t>
            </w:r>
            <w:proofErr w:type="spellEnd"/>
            <w:r w:rsidRPr="00A3780A">
              <w:rPr>
                <w:sz w:val="24"/>
                <w:szCs w:val="24"/>
                <w:lang w:val="da-DK"/>
              </w:rPr>
              <w:t xml:space="preserve"> (AUC og halveringstid steg 1,6 gange).</w:t>
            </w:r>
          </w:p>
          <w:p w14:paraId="428A40F3" w14:textId="77777777" w:rsidR="005C5AEF" w:rsidRPr="00A3780A" w:rsidRDefault="005C5AEF" w:rsidP="000815D2">
            <w:pPr>
              <w:rPr>
                <w:sz w:val="24"/>
                <w:szCs w:val="24"/>
                <w:lang w:val="da-DK"/>
              </w:rPr>
            </w:pPr>
          </w:p>
        </w:tc>
      </w:tr>
      <w:tr w:rsidR="005C5AEF" w:rsidRPr="00A3780A" w14:paraId="34264628"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5E4268E5"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34BEF308" w14:textId="77777777" w:rsidR="005C5AEF" w:rsidRPr="00A3780A" w:rsidRDefault="005C5AEF" w:rsidP="000815D2">
            <w:pPr>
              <w:rPr>
                <w:i/>
                <w:sz w:val="24"/>
                <w:szCs w:val="24"/>
                <w:lang w:val="da-DK"/>
              </w:rPr>
            </w:pPr>
            <w:proofErr w:type="spellStart"/>
            <w:r w:rsidRPr="00A3780A">
              <w:rPr>
                <w:i/>
                <w:sz w:val="24"/>
                <w:szCs w:val="24"/>
                <w:lang w:val="da-DK"/>
              </w:rPr>
              <w:t>Proteasehæmmere</w:t>
            </w:r>
            <w:proofErr w:type="spellEnd"/>
          </w:p>
          <w:p w14:paraId="1C7E4B95" w14:textId="77777777" w:rsidR="005C5AEF" w:rsidRPr="00A3780A" w:rsidRDefault="005C5AEF" w:rsidP="000815D2">
            <w:pPr>
              <w:rPr>
                <w:sz w:val="24"/>
                <w:szCs w:val="24"/>
                <w:lang w:val="da-DK"/>
              </w:rPr>
            </w:pPr>
            <w:r w:rsidRPr="00A3780A">
              <w:rPr>
                <w:sz w:val="24"/>
                <w:szCs w:val="24"/>
                <w:lang w:val="da-DK"/>
              </w:rPr>
              <w:t xml:space="preserve">Baseret på data for andre CYP3A4-hæmmere, forventes plasmakoncentrationen af </w:t>
            </w:r>
            <w:proofErr w:type="spellStart"/>
            <w:r w:rsidRPr="00A3780A">
              <w:rPr>
                <w:sz w:val="24"/>
                <w:szCs w:val="24"/>
                <w:lang w:val="da-DK"/>
              </w:rPr>
              <w:t>midazolam</w:t>
            </w:r>
            <w:proofErr w:type="spellEnd"/>
            <w:r w:rsidRPr="00A3780A">
              <w:rPr>
                <w:sz w:val="24"/>
                <w:szCs w:val="24"/>
                <w:lang w:val="da-DK"/>
              </w:rPr>
              <w:t xml:space="preserve"> at blive signifikant højere, når </w:t>
            </w:r>
            <w:proofErr w:type="spellStart"/>
            <w:r w:rsidRPr="00A3780A">
              <w:rPr>
                <w:sz w:val="24"/>
                <w:szCs w:val="24"/>
                <w:lang w:val="da-DK"/>
              </w:rPr>
              <w:t>midazolam</w:t>
            </w:r>
            <w:proofErr w:type="spellEnd"/>
            <w:r w:rsidRPr="00A3780A">
              <w:rPr>
                <w:sz w:val="24"/>
                <w:szCs w:val="24"/>
                <w:lang w:val="da-DK"/>
              </w:rPr>
              <w:t xml:space="preserve"> administreres oralt. Derfor bør </w:t>
            </w:r>
            <w:proofErr w:type="spellStart"/>
            <w:r w:rsidRPr="00A3780A">
              <w:rPr>
                <w:sz w:val="24"/>
                <w:szCs w:val="24"/>
                <w:lang w:val="da-DK"/>
              </w:rPr>
              <w:t>proteasehæmmere</w:t>
            </w:r>
            <w:proofErr w:type="spellEnd"/>
            <w:r w:rsidRPr="00A3780A">
              <w:rPr>
                <w:sz w:val="24"/>
                <w:szCs w:val="24"/>
                <w:lang w:val="da-DK"/>
              </w:rPr>
              <w:t xml:space="preserve"> ikke administreres sammen med oralt administreret </w:t>
            </w:r>
            <w:proofErr w:type="spellStart"/>
            <w:r w:rsidRPr="00A3780A">
              <w:rPr>
                <w:sz w:val="24"/>
                <w:szCs w:val="24"/>
                <w:lang w:val="da-DK"/>
              </w:rPr>
              <w:t>midazolam</w:t>
            </w:r>
            <w:proofErr w:type="spellEnd"/>
            <w:r w:rsidRPr="00A3780A">
              <w:rPr>
                <w:sz w:val="24"/>
                <w:szCs w:val="24"/>
                <w:lang w:val="da-DK"/>
              </w:rPr>
              <w:t>.</w:t>
            </w:r>
          </w:p>
        </w:tc>
      </w:tr>
      <w:tr w:rsidR="005C5AEF" w:rsidRPr="00A3780A" w14:paraId="1B174408"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3B5E3AC2"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2900F03B" w14:textId="77777777" w:rsidR="005C5AEF" w:rsidRPr="00A3780A" w:rsidRDefault="005C5AEF" w:rsidP="000815D2">
            <w:pPr>
              <w:rPr>
                <w:sz w:val="24"/>
                <w:szCs w:val="24"/>
                <w:lang w:val="da-DK"/>
              </w:rPr>
            </w:pPr>
            <w:proofErr w:type="spellStart"/>
            <w:r w:rsidRPr="00A3780A">
              <w:rPr>
                <w:sz w:val="24"/>
                <w:szCs w:val="24"/>
                <w:lang w:val="da-DK"/>
              </w:rPr>
              <w:t>Saquinavir</w:t>
            </w:r>
            <w:proofErr w:type="spellEnd"/>
            <w:r w:rsidRPr="00A3780A">
              <w:rPr>
                <w:sz w:val="24"/>
                <w:szCs w:val="24"/>
                <w:lang w:val="da-DK"/>
              </w:rPr>
              <w:t xml:space="preserve"> og andre HIV (humant immundefekt </w:t>
            </w:r>
            <w:proofErr w:type="gramStart"/>
            <w:r w:rsidRPr="00A3780A">
              <w:rPr>
                <w:sz w:val="24"/>
                <w:szCs w:val="24"/>
                <w:lang w:val="da-DK"/>
              </w:rPr>
              <w:t>virus)-</w:t>
            </w:r>
            <w:proofErr w:type="spellStart"/>
            <w:proofErr w:type="gramEnd"/>
            <w:r w:rsidRPr="00A3780A">
              <w:rPr>
                <w:sz w:val="24"/>
                <w:szCs w:val="24"/>
                <w:lang w:val="da-DK"/>
              </w:rPr>
              <w:t>proteasehæmmere</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240CD36A" w14:textId="77777777" w:rsidR="005C5AEF" w:rsidRPr="00A3780A" w:rsidRDefault="005C5AEF" w:rsidP="000815D2">
            <w:pPr>
              <w:rPr>
                <w:sz w:val="24"/>
                <w:szCs w:val="24"/>
                <w:lang w:val="da-DK"/>
              </w:rPr>
            </w:pPr>
            <w:r w:rsidRPr="00A3780A">
              <w:rPr>
                <w:sz w:val="24"/>
                <w:szCs w:val="24"/>
                <w:lang w:val="da-DK"/>
              </w:rPr>
              <w:t xml:space="preserve">Samtidig administration af </w:t>
            </w:r>
            <w:proofErr w:type="spellStart"/>
            <w:r w:rsidRPr="00A3780A">
              <w:rPr>
                <w:sz w:val="24"/>
                <w:szCs w:val="24"/>
                <w:lang w:val="da-DK"/>
              </w:rPr>
              <w:t>proteasehæmmere</w:t>
            </w:r>
            <w:proofErr w:type="spellEnd"/>
            <w:r w:rsidRPr="00A3780A">
              <w:rPr>
                <w:sz w:val="24"/>
                <w:szCs w:val="24"/>
                <w:lang w:val="da-DK"/>
              </w:rPr>
              <w:t xml:space="preserve"> kan forårsage en stor øgning i koncentrationen af </w:t>
            </w:r>
            <w:proofErr w:type="spellStart"/>
            <w:r w:rsidRPr="00A3780A">
              <w:rPr>
                <w:sz w:val="24"/>
                <w:szCs w:val="24"/>
                <w:lang w:val="da-DK"/>
              </w:rPr>
              <w:t>midazolam</w:t>
            </w:r>
            <w:proofErr w:type="spellEnd"/>
            <w:r w:rsidRPr="00A3780A">
              <w:rPr>
                <w:sz w:val="24"/>
                <w:szCs w:val="24"/>
                <w:lang w:val="da-DK"/>
              </w:rPr>
              <w:t xml:space="preserve">. Ved samtidig administration af </w:t>
            </w:r>
            <w:proofErr w:type="spellStart"/>
            <w:r w:rsidRPr="00A3780A">
              <w:rPr>
                <w:sz w:val="24"/>
                <w:szCs w:val="24"/>
                <w:lang w:val="da-DK"/>
              </w:rPr>
              <w:t>ritonavir</w:t>
            </w:r>
            <w:proofErr w:type="spellEnd"/>
            <w:r w:rsidRPr="00A3780A">
              <w:rPr>
                <w:sz w:val="24"/>
                <w:szCs w:val="24"/>
                <w:lang w:val="da-DK"/>
              </w:rPr>
              <w:t xml:space="preserve">-boosteren </w:t>
            </w:r>
            <w:proofErr w:type="spellStart"/>
            <w:r w:rsidRPr="00A3780A">
              <w:rPr>
                <w:sz w:val="24"/>
                <w:szCs w:val="24"/>
                <w:lang w:val="da-DK"/>
              </w:rPr>
              <w:t>lopinavir</w:t>
            </w:r>
            <w:proofErr w:type="spellEnd"/>
            <w:r w:rsidRPr="00A3780A">
              <w:rPr>
                <w:sz w:val="24"/>
                <w:szCs w:val="24"/>
                <w:lang w:val="da-DK"/>
              </w:rPr>
              <w:t xml:space="preserve"> steg plasmakoncentrationen af intravenøs </w:t>
            </w:r>
            <w:proofErr w:type="spellStart"/>
            <w:r w:rsidRPr="00A3780A">
              <w:rPr>
                <w:sz w:val="24"/>
                <w:szCs w:val="24"/>
                <w:lang w:val="da-DK"/>
              </w:rPr>
              <w:t>midazolam</w:t>
            </w:r>
            <w:proofErr w:type="spellEnd"/>
            <w:r w:rsidRPr="00A3780A">
              <w:rPr>
                <w:sz w:val="24"/>
                <w:szCs w:val="24"/>
                <w:lang w:val="da-DK"/>
              </w:rPr>
              <w:t xml:space="preserve"> 5,4 gange, hvilket var forbundet med en lignende stigning i den terminale halveringstid. Hvis parenteral </w:t>
            </w:r>
            <w:proofErr w:type="spellStart"/>
            <w:r w:rsidRPr="00A3780A">
              <w:rPr>
                <w:sz w:val="24"/>
                <w:szCs w:val="24"/>
                <w:lang w:val="da-DK"/>
              </w:rPr>
              <w:t>midazolam</w:t>
            </w:r>
            <w:proofErr w:type="spellEnd"/>
            <w:r w:rsidRPr="00A3780A">
              <w:rPr>
                <w:sz w:val="24"/>
                <w:szCs w:val="24"/>
                <w:lang w:val="da-DK"/>
              </w:rPr>
              <w:t xml:space="preserve"> administreres samtidigt med HIV-</w:t>
            </w:r>
            <w:proofErr w:type="spellStart"/>
            <w:r w:rsidRPr="00A3780A">
              <w:rPr>
                <w:sz w:val="24"/>
                <w:szCs w:val="24"/>
                <w:lang w:val="da-DK"/>
              </w:rPr>
              <w:t>proteasehæmmere</w:t>
            </w:r>
            <w:proofErr w:type="spellEnd"/>
            <w:r w:rsidRPr="00A3780A">
              <w:rPr>
                <w:sz w:val="24"/>
                <w:szCs w:val="24"/>
                <w:lang w:val="da-DK"/>
              </w:rPr>
              <w:t xml:space="preserve">, skal behandlingsforløbet følge beskrivelsen i ovenstående afsnit for </w:t>
            </w:r>
            <w:proofErr w:type="spellStart"/>
            <w:r w:rsidRPr="00A3780A">
              <w:rPr>
                <w:sz w:val="24"/>
                <w:szCs w:val="24"/>
                <w:lang w:val="da-DK"/>
              </w:rPr>
              <w:t>azolantimykotika</w:t>
            </w:r>
            <w:proofErr w:type="spellEnd"/>
            <w:r w:rsidRPr="00A3780A">
              <w:rPr>
                <w:sz w:val="24"/>
                <w:szCs w:val="24"/>
                <w:lang w:val="da-DK"/>
              </w:rPr>
              <w:t xml:space="preserve">, </w:t>
            </w:r>
            <w:proofErr w:type="spellStart"/>
            <w:r w:rsidRPr="00A3780A">
              <w:rPr>
                <w:sz w:val="24"/>
                <w:szCs w:val="24"/>
                <w:lang w:val="da-DK"/>
              </w:rPr>
              <w:t>ketoconazol</w:t>
            </w:r>
            <w:proofErr w:type="spellEnd"/>
            <w:r w:rsidRPr="00A3780A">
              <w:rPr>
                <w:sz w:val="24"/>
                <w:szCs w:val="24"/>
                <w:lang w:val="da-DK"/>
              </w:rPr>
              <w:t>.</w:t>
            </w:r>
          </w:p>
        </w:tc>
      </w:tr>
      <w:tr w:rsidR="005C5AEF" w:rsidRPr="00A3780A" w14:paraId="4465911E"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6699950F"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2CF85C75" w14:textId="77777777" w:rsidR="005C5AEF" w:rsidRPr="00A3780A" w:rsidRDefault="005C5AEF" w:rsidP="000815D2">
            <w:pPr>
              <w:rPr>
                <w:sz w:val="24"/>
                <w:szCs w:val="24"/>
                <w:lang w:val="da-DK"/>
              </w:rPr>
            </w:pPr>
            <w:r w:rsidRPr="00A3780A">
              <w:rPr>
                <w:sz w:val="24"/>
                <w:szCs w:val="24"/>
                <w:lang w:val="da-DK"/>
              </w:rPr>
              <w:t>Hepatitis C-virus (HCV)-</w:t>
            </w:r>
            <w:proofErr w:type="spellStart"/>
            <w:r w:rsidRPr="00A3780A">
              <w:rPr>
                <w:sz w:val="24"/>
                <w:szCs w:val="24"/>
                <w:lang w:val="da-DK"/>
              </w:rPr>
              <w:t>proteasehæmmere</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4EFFBF95" w14:textId="77777777" w:rsidR="005C5AEF" w:rsidRPr="00A3780A" w:rsidRDefault="005C5AEF" w:rsidP="000815D2">
            <w:pPr>
              <w:rPr>
                <w:sz w:val="24"/>
                <w:szCs w:val="24"/>
                <w:lang w:val="da-DK"/>
              </w:rPr>
            </w:pPr>
            <w:proofErr w:type="spellStart"/>
            <w:r w:rsidRPr="00A3780A">
              <w:rPr>
                <w:sz w:val="24"/>
                <w:szCs w:val="24"/>
                <w:lang w:val="da-DK"/>
              </w:rPr>
              <w:t>Boceprevir</w:t>
            </w:r>
            <w:proofErr w:type="spellEnd"/>
            <w:r w:rsidRPr="00A3780A">
              <w:rPr>
                <w:sz w:val="24"/>
                <w:szCs w:val="24"/>
                <w:lang w:val="da-DK"/>
              </w:rPr>
              <w:t xml:space="preserve"> og </w:t>
            </w:r>
            <w:proofErr w:type="spellStart"/>
            <w:r w:rsidRPr="00A3780A">
              <w:rPr>
                <w:sz w:val="24"/>
                <w:szCs w:val="24"/>
                <w:lang w:val="da-DK"/>
              </w:rPr>
              <w:t>telaprevir</w:t>
            </w:r>
            <w:proofErr w:type="spellEnd"/>
            <w:r w:rsidRPr="00A3780A">
              <w:rPr>
                <w:sz w:val="24"/>
                <w:szCs w:val="24"/>
                <w:lang w:val="da-DK"/>
              </w:rPr>
              <w:t xml:space="preserve"> reducerer </w:t>
            </w:r>
            <w:proofErr w:type="spellStart"/>
            <w:r w:rsidRPr="00A3780A">
              <w:rPr>
                <w:sz w:val="24"/>
                <w:szCs w:val="24"/>
                <w:lang w:val="da-DK"/>
              </w:rPr>
              <w:t>midazolams</w:t>
            </w:r>
            <w:proofErr w:type="spellEnd"/>
            <w:r w:rsidRPr="00A3780A">
              <w:rPr>
                <w:sz w:val="24"/>
                <w:szCs w:val="24"/>
                <w:lang w:val="da-DK"/>
              </w:rPr>
              <w:t xml:space="preserve"> </w:t>
            </w:r>
            <w:proofErr w:type="spellStart"/>
            <w:r w:rsidRPr="00A3780A">
              <w:rPr>
                <w:sz w:val="24"/>
                <w:szCs w:val="24"/>
                <w:lang w:val="da-DK"/>
              </w:rPr>
              <w:t>clearance</w:t>
            </w:r>
            <w:proofErr w:type="spellEnd"/>
            <w:r w:rsidRPr="00A3780A">
              <w:rPr>
                <w:sz w:val="24"/>
                <w:szCs w:val="24"/>
                <w:lang w:val="da-DK"/>
              </w:rPr>
              <w:t xml:space="preserve">. Denne virkning førte til en forøgelse på 3,4 gange i </w:t>
            </w:r>
            <w:proofErr w:type="spellStart"/>
            <w:r w:rsidRPr="00A3780A">
              <w:rPr>
                <w:sz w:val="24"/>
                <w:szCs w:val="24"/>
                <w:lang w:val="da-DK"/>
              </w:rPr>
              <w:t>midazolams</w:t>
            </w:r>
            <w:proofErr w:type="spellEnd"/>
            <w:r w:rsidRPr="00A3780A">
              <w:rPr>
                <w:sz w:val="24"/>
                <w:szCs w:val="24"/>
                <w:lang w:val="da-DK"/>
              </w:rPr>
              <w:t xml:space="preserve"> AUC efter intravenøs administration og forlængede eliminationshalveringstiden 4 gange. </w:t>
            </w:r>
          </w:p>
        </w:tc>
      </w:tr>
      <w:tr w:rsidR="005C5AEF" w:rsidRPr="00A3780A" w14:paraId="286B70DA" w14:textId="77777777" w:rsidTr="00343441">
        <w:trPr>
          <w:trHeight w:val="321"/>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077D0B83"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632F4B5F" w14:textId="77777777" w:rsidR="005C5AEF" w:rsidRPr="00A3780A" w:rsidRDefault="005C5AEF" w:rsidP="000815D2">
            <w:pPr>
              <w:rPr>
                <w:sz w:val="24"/>
                <w:szCs w:val="24"/>
                <w:lang w:val="da-DK"/>
              </w:rPr>
            </w:pPr>
            <w:r w:rsidRPr="00A3780A">
              <w:rPr>
                <w:sz w:val="24"/>
                <w:szCs w:val="24"/>
                <w:lang w:val="da-DK"/>
              </w:rPr>
              <w:t xml:space="preserve">Yderligere information om oral </w:t>
            </w:r>
            <w:proofErr w:type="spellStart"/>
            <w:r w:rsidRPr="00A3780A">
              <w:rPr>
                <w:sz w:val="24"/>
                <w:szCs w:val="24"/>
                <w:lang w:val="da-DK"/>
              </w:rPr>
              <w:t>midazolam</w:t>
            </w:r>
            <w:proofErr w:type="spellEnd"/>
          </w:p>
        </w:tc>
      </w:tr>
      <w:tr w:rsidR="005C5AEF" w:rsidRPr="00A3780A" w14:paraId="468930C6" w14:textId="77777777" w:rsidTr="00343441">
        <w:trPr>
          <w:trHeight w:val="139"/>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3CD51FE8"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5735D069" w14:textId="77777777" w:rsidR="005C5AEF" w:rsidRPr="00A3780A" w:rsidRDefault="005C5AEF" w:rsidP="000815D2">
            <w:pPr>
              <w:rPr>
                <w:i/>
                <w:sz w:val="24"/>
                <w:szCs w:val="24"/>
                <w:lang w:val="da-DK"/>
              </w:rPr>
            </w:pPr>
            <w:r w:rsidRPr="00A3780A">
              <w:rPr>
                <w:i/>
                <w:sz w:val="24"/>
                <w:szCs w:val="24"/>
                <w:lang w:val="da-DK"/>
              </w:rPr>
              <w:t>Calciumantagonister</w:t>
            </w:r>
          </w:p>
        </w:tc>
      </w:tr>
      <w:tr w:rsidR="005C5AEF" w:rsidRPr="00A3780A" w14:paraId="7C8DDA90"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1820F399"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432DFBFD" w14:textId="77777777" w:rsidR="005C5AEF" w:rsidRPr="00A3780A" w:rsidRDefault="005C5AEF" w:rsidP="000815D2">
            <w:pPr>
              <w:rPr>
                <w:sz w:val="24"/>
                <w:szCs w:val="24"/>
                <w:lang w:val="da-DK"/>
              </w:rPr>
            </w:pPr>
            <w:proofErr w:type="spellStart"/>
            <w:r w:rsidRPr="00A3780A">
              <w:rPr>
                <w:sz w:val="24"/>
                <w:szCs w:val="24"/>
                <w:lang w:val="da-DK"/>
              </w:rPr>
              <w:t>Diltiazem</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5628F6B8" w14:textId="77777777" w:rsidR="005C5AEF" w:rsidRPr="00A3780A" w:rsidRDefault="005C5AEF" w:rsidP="000815D2">
            <w:pPr>
              <w:rPr>
                <w:sz w:val="24"/>
                <w:szCs w:val="24"/>
                <w:lang w:val="da-DK"/>
              </w:rPr>
            </w:pPr>
            <w:r w:rsidRPr="00A3780A">
              <w:rPr>
                <w:sz w:val="24"/>
                <w:szCs w:val="24"/>
                <w:lang w:val="da-DK"/>
              </w:rPr>
              <w:t xml:space="preserve">En enkelt dosis </w:t>
            </w:r>
            <w:proofErr w:type="spellStart"/>
            <w:r w:rsidRPr="00A3780A">
              <w:rPr>
                <w:sz w:val="24"/>
                <w:szCs w:val="24"/>
                <w:lang w:val="da-DK"/>
              </w:rPr>
              <w:t>diltiazem</w:t>
            </w:r>
            <w:proofErr w:type="spellEnd"/>
            <w:r w:rsidRPr="00A3780A">
              <w:rPr>
                <w:sz w:val="24"/>
                <w:szCs w:val="24"/>
                <w:lang w:val="da-DK"/>
              </w:rPr>
              <w:t xml:space="preserve"> givet til patienter, der gennemgik </w:t>
            </w:r>
            <w:proofErr w:type="spellStart"/>
            <w:r w:rsidRPr="00A3780A">
              <w:rPr>
                <w:sz w:val="24"/>
                <w:szCs w:val="24"/>
                <w:lang w:val="da-DK"/>
              </w:rPr>
              <w:t>koronar</w:t>
            </w:r>
            <w:proofErr w:type="spellEnd"/>
            <w:r w:rsidRPr="00A3780A">
              <w:rPr>
                <w:sz w:val="24"/>
                <w:szCs w:val="24"/>
                <w:lang w:val="da-DK"/>
              </w:rPr>
              <w:t xml:space="preserve"> bypass-transplantation, øgede plasmakoncentrationerne af intravenøs </w:t>
            </w:r>
            <w:proofErr w:type="spellStart"/>
            <w:r w:rsidRPr="00A3780A">
              <w:rPr>
                <w:sz w:val="24"/>
                <w:szCs w:val="24"/>
                <w:lang w:val="da-DK"/>
              </w:rPr>
              <w:t>midazolam</w:t>
            </w:r>
            <w:proofErr w:type="spellEnd"/>
            <w:r w:rsidRPr="00A3780A">
              <w:rPr>
                <w:sz w:val="24"/>
                <w:szCs w:val="24"/>
                <w:lang w:val="da-DK"/>
              </w:rPr>
              <w:t xml:space="preserve"> med ca. 25 %, og den terminale halveringstid blev forlænget med 43 %. Dette var mindre end den 4-dobbelte stigning, der blev set efter oral administration af </w:t>
            </w:r>
            <w:proofErr w:type="spellStart"/>
            <w:r w:rsidRPr="00A3780A">
              <w:rPr>
                <w:sz w:val="24"/>
                <w:szCs w:val="24"/>
                <w:lang w:val="da-DK"/>
              </w:rPr>
              <w:t>midazolam</w:t>
            </w:r>
            <w:proofErr w:type="spellEnd"/>
            <w:r w:rsidRPr="00A3780A">
              <w:rPr>
                <w:sz w:val="24"/>
                <w:szCs w:val="24"/>
                <w:lang w:val="da-DK"/>
              </w:rPr>
              <w:t>.</w:t>
            </w:r>
          </w:p>
        </w:tc>
      </w:tr>
      <w:tr w:rsidR="005C5AEF" w:rsidRPr="00A3780A" w14:paraId="08C013C0" w14:textId="77777777" w:rsidTr="00343441">
        <w:trPr>
          <w:trHeight w:val="286"/>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6906D1D4"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45AC943F" w14:textId="77777777" w:rsidR="005C5AEF" w:rsidRPr="00A3780A" w:rsidRDefault="005C5AEF" w:rsidP="000815D2">
            <w:pPr>
              <w:rPr>
                <w:sz w:val="24"/>
                <w:szCs w:val="24"/>
                <w:lang w:val="da-DK"/>
              </w:rPr>
            </w:pPr>
            <w:r w:rsidRPr="00A3780A">
              <w:rPr>
                <w:sz w:val="24"/>
                <w:szCs w:val="24"/>
                <w:lang w:val="da-DK"/>
              </w:rPr>
              <w:t xml:space="preserve">Yderligere oplysninger fra oral </w:t>
            </w:r>
            <w:proofErr w:type="spellStart"/>
            <w:r w:rsidRPr="00A3780A">
              <w:rPr>
                <w:sz w:val="24"/>
                <w:szCs w:val="24"/>
                <w:lang w:val="da-DK"/>
              </w:rPr>
              <w:t>midazolam</w:t>
            </w:r>
            <w:proofErr w:type="spellEnd"/>
          </w:p>
        </w:tc>
      </w:tr>
      <w:tr w:rsidR="005C5AEF" w:rsidRPr="00A3780A" w14:paraId="6B658858"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4BC25E94"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7AB32596" w14:textId="77777777" w:rsidR="005C5AEF" w:rsidRPr="00A3780A" w:rsidRDefault="005C5AEF" w:rsidP="000815D2">
            <w:pPr>
              <w:rPr>
                <w:sz w:val="24"/>
                <w:szCs w:val="24"/>
                <w:lang w:val="da-DK"/>
              </w:rPr>
            </w:pPr>
            <w:proofErr w:type="spellStart"/>
            <w:r w:rsidRPr="00A3780A">
              <w:rPr>
                <w:sz w:val="24"/>
                <w:szCs w:val="24"/>
                <w:lang w:val="da-DK"/>
              </w:rPr>
              <w:t>Verapamil</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45B5D2D1" w14:textId="77777777" w:rsidR="005C5AEF" w:rsidRPr="00A3780A" w:rsidRDefault="005C5AEF" w:rsidP="000815D2">
            <w:pPr>
              <w:rPr>
                <w:sz w:val="24"/>
                <w:szCs w:val="24"/>
                <w:lang w:val="da-DK"/>
              </w:rPr>
            </w:pPr>
            <w:proofErr w:type="spellStart"/>
            <w:r w:rsidRPr="00A3780A">
              <w:rPr>
                <w:sz w:val="24"/>
                <w:szCs w:val="24"/>
                <w:lang w:val="da-DK"/>
              </w:rPr>
              <w:t>Verapamil</w:t>
            </w:r>
            <w:proofErr w:type="spellEnd"/>
            <w:r w:rsidRPr="00A3780A">
              <w:rPr>
                <w:sz w:val="24"/>
                <w:szCs w:val="24"/>
                <w:lang w:val="da-DK"/>
              </w:rPr>
              <w:t xml:space="preserve"> forøgede plasmakoncentrationerne af oral </w:t>
            </w:r>
            <w:proofErr w:type="spellStart"/>
            <w:r w:rsidRPr="00A3780A">
              <w:rPr>
                <w:sz w:val="24"/>
                <w:szCs w:val="24"/>
                <w:lang w:val="da-DK"/>
              </w:rPr>
              <w:t>midazolam</w:t>
            </w:r>
            <w:proofErr w:type="spellEnd"/>
            <w:r w:rsidRPr="00A3780A">
              <w:rPr>
                <w:sz w:val="24"/>
                <w:szCs w:val="24"/>
                <w:lang w:val="da-DK"/>
              </w:rPr>
              <w:t xml:space="preserve"> 3 gange. Den terminale halveringstid for </w:t>
            </w:r>
            <w:proofErr w:type="spellStart"/>
            <w:r w:rsidRPr="00A3780A">
              <w:rPr>
                <w:sz w:val="24"/>
                <w:szCs w:val="24"/>
                <w:lang w:val="da-DK"/>
              </w:rPr>
              <w:t>midazolam</w:t>
            </w:r>
            <w:proofErr w:type="spellEnd"/>
            <w:r w:rsidRPr="00A3780A">
              <w:rPr>
                <w:sz w:val="24"/>
                <w:szCs w:val="24"/>
                <w:lang w:val="da-DK"/>
              </w:rPr>
              <w:t xml:space="preserve"> blev øget med 41 %.</w:t>
            </w:r>
          </w:p>
        </w:tc>
      </w:tr>
      <w:tr w:rsidR="005C5AEF" w:rsidRPr="00A3780A" w14:paraId="6368C701" w14:textId="77777777" w:rsidTr="00343441">
        <w:trPr>
          <w:trHeight w:val="277"/>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312C91CE"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tcPr>
          <w:p w14:paraId="15E24CCD" w14:textId="77777777" w:rsidR="005C5AEF" w:rsidRPr="00A3780A" w:rsidRDefault="005C5AEF" w:rsidP="000815D2">
            <w:pPr>
              <w:rPr>
                <w:i/>
                <w:sz w:val="24"/>
                <w:szCs w:val="24"/>
                <w:lang w:val="da-DK"/>
              </w:rPr>
            </w:pPr>
            <w:r w:rsidRPr="00A3780A">
              <w:rPr>
                <w:i/>
                <w:sz w:val="24"/>
                <w:szCs w:val="24"/>
                <w:lang w:val="da-DK"/>
              </w:rPr>
              <w:t>Forskellige lægemidler/naturlægemidler</w:t>
            </w:r>
          </w:p>
          <w:p w14:paraId="25A91A75" w14:textId="77777777" w:rsidR="005C5AEF" w:rsidRPr="00A3780A" w:rsidRDefault="005C5AEF" w:rsidP="000815D2">
            <w:pPr>
              <w:rPr>
                <w:sz w:val="24"/>
                <w:szCs w:val="24"/>
                <w:lang w:val="da-DK"/>
              </w:rPr>
            </w:pPr>
          </w:p>
        </w:tc>
      </w:tr>
      <w:tr w:rsidR="005C5AEF" w:rsidRPr="00A3780A" w14:paraId="518352DC"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45A75CA9"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409A9D6E" w14:textId="77777777" w:rsidR="005C5AEF" w:rsidRPr="00A3780A" w:rsidRDefault="005C5AEF" w:rsidP="000815D2">
            <w:pPr>
              <w:rPr>
                <w:sz w:val="24"/>
                <w:szCs w:val="24"/>
                <w:lang w:val="da-DK"/>
              </w:rPr>
            </w:pPr>
            <w:proofErr w:type="spellStart"/>
            <w:r w:rsidRPr="00A3780A">
              <w:rPr>
                <w:sz w:val="24"/>
                <w:szCs w:val="24"/>
                <w:lang w:val="da-DK"/>
              </w:rPr>
              <w:t>Atorvastatin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06965D3B" w14:textId="77777777" w:rsidR="005C5AEF" w:rsidRPr="00A3780A" w:rsidRDefault="005C5AEF" w:rsidP="000815D2">
            <w:pPr>
              <w:rPr>
                <w:sz w:val="24"/>
                <w:szCs w:val="24"/>
                <w:lang w:val="da-DK"/>
              </w:rPr>
            </w:pPr>
            <w:proofErr w:type="spellStart"/>
            <w:r w:rsidRPr="00A3780A">
              <w:rPr>
                <w:sz w:val="24"/>
                <w:szCs w:val="24"/>
                <w:lang w:val="da-DK"/>
              </w:rPr>
              <w:t>Atorvastatin</w:t>
            </w:r>
            <w:proofErr w:type="spellEnd"/>
            <w:r w:rsidRPr="00A3780A">
              <w:rPr>
                <w:sz w:val="24"/>
                <w:szCs w:val="24"/>
                <w:lang w:val="da-DK"/>
              </w:rPr>
              <w:t xml:space="preserve"> forøgede plasmakoncentrationen af intravenøs </w:t>
            </w:r>
            <w:proofErr w:type="spellStart"/>
            <w:r w:rsidRPr="00A3780A">
              <w:rPr>
                <w:sz w:val="24"/>
                <w:szCs w:val="24"/>
                <w:lang w:val="da-DK"/>
              </w:rPr>
              <w:t>midazolam</w:t>
            </w:r>
            <w:proofErr w:type="spellEnd"/>
            <w:r w:rsidRPr="00A3780A">
              <w:rPr>
                <w:sz w:val="24"/>
                <w:szCs w:val="24"/>
                <w:lang w:val="da-DK"/>
              </w:rPr>
              <w:t xml:space="preserve"> 1,4 gange sammenlignet med kontrolgruppen.</w:t>
            </w:r>
          </w:p>
        </w:tc>
      </w:tr>
      <w:tr w:rsidR="005C5AEF" w:rsidRPr="00A3780A" w14:paraId="7022C7E7"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360EA521"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6AE1A958" w14:textId="77777777" w:rsidR="005C5AEF" w:rsidRPr="00A3780A" w:rsidRDefault="005C5AEF" w:rsidP="000815D2">
            <w:pPr>
              <w:rPr>
                <w:sz w:val="24"/>
                <w:szCs w:val="24"/>
                <w:lang w:val="da-DK"/>
              </w:rPr>
            </w:pPr>
            <w:r w:rsidRPr="00A3780A">
              <w:rPr>
                <w:sz w:val="24"/>
                <w:szCs w:val="24"/>
                <w:lang w:val="da-DK"/>
              </w:rPr>
              <w:t>Fentanyl</w:t>
            </w:r>
          </w:p>
        </w:tc>
        <w:tc>
          <w:tcPr>
            <w:tcW w:w="2125" w:type="pct"/>
            <w:tcBorders>
              <w:top w:val="single" w:sz="4" w:space="0" w:color="auto"/>
              <w:left w:val="single" w:sz="4" w:space="0" w:color="auto"/>
              <w:bottom w:val="single" w:sz="4" w:space="0" w:color="auto"/>
              <w:right w:val="single" w:sz="4" w:space="0" w:color="auto"/>
            </w:tcBorders>
            <w:hideMark/>
          </w:tcPr>
          <w:p w14:paraId="6E2A844F" w14:textId="77777777" w:rsidR="005C5AEF" w:rsidRPr="00A3780A" w:rsidRDefault="005C5AEF" w:rsidP="000815D2">
            <w:pPr>
              <w:rPr>
                <w:sz w:val="24"/>
                <w:szCs w:val="24"/>
                <w:lang w:val="da-DK"/>
              </w:rPr>
            </w:pPr>
            <w:r w:rsidRPr="00A3780A">
              <w:rPr>
                <w:sz w:val="24"/>
                <w:szCs w:val="24"/>
                <w:lang w:val="da-DK"/>
              </w:rPr>
              <w:t xml:space="preserve">Intravenøs fentanyl er en svag hæmmer af eliminationen af </w:t>
            </w:r>
            <w:proofErr w:type="spellStart"/>
            <w:r w:rsidRPr="00A3780A">
              <w:rPr>
                <w:sz w:val="24"/>
                <w:szCs w:val="24"/>
                <w:lang w:val="da-DK"/>
              </w:rPr>
              <w:t>midazolam</w:t>
            </w:r>
            <w:proofErr w:type="spellEnd"/>
            <w:r w:rsidRPr="00A3780A">
              <w:rPr>
                <w:sz w:val="24"/>
                <w:szCs w:val="24"/>
                <w:lang w:val="da-DK"/>
              </w:rPr>
              <w:t xml:space="preserve">: AUC og halveringstiden for intravenøs </w:t>
            </w:r>
            <w:proofErr w:type="spellStart"/>
            <w:r w:rsidRPr="00A3780A">
              <w:rPr>
                <w:sz w:val="24"/>
                <w:szCs w:val="24"/>
                <w:lang w:val="da-DK"/>
              </w:rPr>
              <w:t>midazolam</w:t>
            </w:r>
            <w:proofErr w:type="spellEnd"/>
            <w:r w:rsidRPr="00A3780A">
              <w:rPr>
                <w:sz w:val="24"/>
                <w:szCs w:val="24"/>
                <w:lang w:val="da-DK"/>
              </w:rPr>
              <w:t xml:space="preserve"> steg 1,5 gange ved tilstedeværelse af fentanyl.</w:t>
            </w:r>
          </w:p>
        </w:tc>
      </w:tr>
      <w:tr w:rsidR="005C5AEF" w:rsidRPr="00A3780A" w14:paraId="30216BC4" w14:textId="77777777" w:rsidTr="00343441">
        <w:trPr>
          <w:trHeight w:val="413"/>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015BD6D8"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3B4DBB91" w14:textId="77777777" w:rsidR="005C5AEF" w:rsidRPr="00A3780A" w:rsidRDefault="005C5AEF" w:rsidP="000815D2">
            <w:pPr>
              <w:rPr>
                <w:sz w:val="24"/>
                <w:szCs w:val="24"/>
                <w:lang w:val="da-DK"/>
              </w:rPr>
            </w:pPr>
            <w:r w:rsidRPr="00A3780A">
              <w:rPr>
                <w:sz w:val="24"/>
                <w:szCs w:val="24"/>
                <w:lang w:val="da-DK"/>
              </w:rPr>
              <w:t xml:space="preserve">Yderligere oplysninger fra oral </w:t>
            </w:r>
            <w:proofErr w:type="spellStart"/>
            <w:r w:rsidRPr="00A3780A">
              <w:rPr>
                <w:sz w:val="24"/>
                <w:szCs w:val="24"/>
                <w:lang w:val="da-DK"/>
              </w:rPr>
              <w:t>midazolam</w:t>
            </w:r>
            <w:proofErr w:type="spellEnd"/>
          </w:p>
        </w:tc>
      </w:tr>
      <w:tr w:rsidR="005C5AEF" w:rsidRPr="00A3780A" w14:paraId="3D8C0884"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0D300517"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063FF064" w14:textId="77777777" w:rsidR="005C5AEF" w:rsidRPr="00A3780A" w:rsidRDefault="005C5AEF" w:rsidP="000815D2">
            <w:pPr>
              <w:rPr>
                <w:sz w:val="24"/>
                <w:szCs w:val="24"/>
                <w:lang w:val="da-DK"/>
              </w:rPr>
            </w:pPr>
            <w:proofErr w:type="spellStart"/>
            <w:r w:rsidRPr="00A3780A">
              <w:rPr>
                <w:sz w:val="24"/>
                <w:szCs w:val="24"/>
                <w:lang w:val="da-DK"/>
              </w:rPr>
              <w:t>Nefazodon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5DF5E62C" w14:textId="77777777" w:rsidR="005C5AEF" w:rsidRPr="00A3780A" w:rsidRDefault="005C5AEF" w:rsidP="000815D2">
            <w:pPr>
              <w:rPr>
                <w:sz w:val="24"/>
                <w:szCs w:val="24"/>
                <w:lang w:val="da-DK"/>
              </w:rPr>
            </w:pPr>
            <w:proofErr w:type="spellStart"/>
            <w:r w:rsidRPr="00A3780A">
              <w:rPr>
                <w:sz w:val="24"/>
                <w:szCs w:val="24"/>
                <w:lang w:val="da-DK"/>
              </w:rPr>
              <w:t>Nefazodon</w:t>
            </w:r>
            <w:proofErr w:type="spellEnd"/>
            <w:r w:rsidRPr="00A3780A">
              <w:rPr>
                <w:sz w:val="24"/>
                <w:szCs w:val="24"/>
                <w:lang w:val="da-DK"/>
              </w:rPr>
              <w:t xml:space="preserve"> forøgede plasmakoncentrationerne af oralt </w:t>
            </w:r>
            <w:proofErr w:type="spellStart"/>
            <w:r w:rsidRPr="00A3780A">
              <w:rPr>
                <w:sz w:val="24"/>
                <w:szCs w:val="24"/>
                <w:lang w:val="da-DK"/>
              </w:rPr>
              <w:t>midazolam</w:t>
            </w:r>
            <w:proofErr w:type="spellEnd"/>
            <w:r w:rsidRPr="00A3780A">
              <w:rPr>
                <w:sz w:val="24"/>
                <w:szCs w:val="24"/>
                <w:lang w:val="da-DK"/>
              </w:rPr>
              <w:t xml:space="preserve"> 4,6 gange og forlængede den terminale halveringstid 1,6 gange.</w:t>
            </w:r>
          </w:p>
        </w:tc>
      </w:tr>
      <w:tr w:rsidR="005C5AEF" w:rsidRPr="00A3780A" w14:paraId="6A97107D" w14:textId="77777777" w:rsidTr="00343441">
        <w:trPr>
          <w:trHeight w:val="841"/>
        </w:trPr>
        <w:tc>
          <w:tcPr>
            <w:tcW w:w="1448" w:type="pct"/>
            <w:vMerge w:val="restart"/>
            <w:tcBorders>
              <w:top w:val="single" w:sz="4" w:space="0" w:color="auto"/>
              <w:left w:val="single" w:sz="4" w:space="0" w:color="auto"/>
              <w:bottom w:val="single" w:sz="4" w:space="0" w:color="auto"/>
              <w:right w:val="single" w:sz="4" w:space="0" w:color="auto"/>
            </w:tcBorders>
          </w:tcPr>
          <w:p w14:paraId="79F42BDB" w14:textId="5F849EA1" w:rsidR="005C5AEF" w:rsidRPr="00A3780A" w:rsidRDefault="005C5AEF" w:rsidP="000815D2">
            <w:pPr>
              <w:rPr>
                <w:sz w:val="24"/>
                <w:szCs w:val="24"/>
                <w:lang w:val="da-DK"/>
              </w:rPr>
            </w:pPr>
            <w:r w:rsidRPr="00A3780A">
              <w:rPr>
                <w:b/>
                <w:i/>
                <w:sz w:val="24"/>
                <w:szCs w:val="24"/>
                <w:u w:val="single"/>
                <w:lang w:val="da-DK"/>
              </w:rPr>
              <w:t>Lægemidler, der inducerer CYP3A</w:t>
            </w:r>
          </w:p>
        </w:tc>
        <w:tc>
          <w:tcPr>
            <w:tcW w:w="1427" w:type="pct"/>
            <w:tcBorders>
              <w:top w:val="single" w:sz="4" w:space="0" w:color="auto"/>
              <w:left w:val="single" w:sz="4" w:space="0" w:color="auto"/>
              <w:bottom w:val="single" w:sz="4" w:space="0" w:color="auto"/>
              <w:right w:val="single" w:sz="4" w:space="0" w:color="auto"/>
            </w:tcBorders>
            <w:hideMark/>
          </w:tcPr>
          <w:p w14:paraId="27436A3E" w14:textId="77777777" w:rsidR="005C5AEF" w:rsidRPr="00A3780A" w:rsidRDefault="005C5AEF" w:rsidP="000815D2">
            <w:pPr>
              <w:rPr>
                <w:sz w:val="24"/>
                <w:szCs w:val="24"/>
                <w:lang w:val="da-DK"/>
              </w:rPr>
            </w:pPr>
            <w:proofErr w:type="spellStart"/>
            <w:r w:rsidRPr="00A3780A">
              <w:rPr>
                <w:sz w:val="24"/>
                <w:szCs w:val="24"/>
                <w:lang w:val="da-DK"/>
              </w:rPr>
              <w:t>Rifampicin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604FA5C3" w14:textId="075B958B" w:rsidR="005C5AEF" w:rsidRPr="00A3780A" w:rsidRDefault="005C5AEF" w:rsidP="000815D2">
            <w:pPr>
              <w:rPr>
                <w:sz w:val="24"/>
                <w:szCs w:val="24"/>
                <w:lang w:val="da-DK"/>
              </w:rPr>
            </w:pPr>
            <w:proofErr w:type="spellStart"/>
            <w:r w:rsidRPr="00A3780A">
              <w:rPr>
                <w:sz w:val="24"/>
                <w:szCs w:val="24"/>
                <w:lang w:val="da-DK"/>
              </w:rPr>
              <w:t>Rifampicin</w:t>
            </w:r>
            <w:proofErr w:type="spellEnd"/>
            <w:r w:rsidRPr="00A3780A">
              <w:rPr>
                <w:sz w:val="24"/>
                <w:szCs w:val="24"/>
                <w:lang w:val="da-DK"/>
              </w:rPr>
              <w:t xml:space="preserve"> nedsatte plasmakoncentrationen af intravenøst </w:t>
            </w:r>
            <w:proofErr w:type="spellStart"/>
            <w:r w:rsidRPr="00A3780A">
              <w:rPr>
                <w:sz w:val="24"/>
                <w:szCs w:val="24"/>
                <w:lang w:val="da-DK"/>
              </w:rPr>
              <w:t>midazolam</w:t>
            </w:r>
            <w:proofErr w:type="spellEnd"/>
            <w:r w:rsidRPr="00A3780A">
              <w:rPr>
                <w:sz w:val="24"/>
                <w:szCs w:val="24"/>
                <w:lang w:val="da-DK"/>
              </w:rPr>
              <w:t xml:space="preserve"> med ca. 60 % efter 7 dage med </w:t>
            </w:r>
            <w:proofErr w:type="spellStart"/>
            <w:r w:rsidRPr="00A3780A">
              <w:rPr>
                <w:sz w:val="24"/>
                <w:szCs w:val="24"/>
                <w:lang w:val="da-DK"/>
              </w:rPr>
              <w:t>rifampicin</w:t>
            </w:r>
            <w:proofErr w:type="spellEnd"/>
            <w:r w:rsidRPr="00A3780A">
              <w:rPr>
                <w:sz w:val="24"/>
                <w:szCs w:val="24"/>
                <w:lang w:val="da-DK"/>
              </w:rPr>
              <w:t xml:space="preserve"> 600 mg en gang dagligt. Den terminale halveringstid faldt med ca. 50-60 %.</w:t>
            </w:r>
          </w:p>
        </w:tc>
      </w:tr>
      <w:tr w:rsidR="005C5AEF" w:rsidRPr="00A3780A" w14:paraId="72492DD9"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406085C5"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51F8A1CB" w14:textId="77777777" w:rsidR="005C5AEF" w:rsidRPr="00A3780A" w:rsidRDefault="005C5AEF" w:rsidP="000815D2">
            <w:pPr>
              <w:rPr>
                <w:sz w:val="24"/>
                <w:szCs w:val="24"/>
                <w:lang w:val="da-DK"/>
              </w:rPr>
            </w:pPr>
            <w:proofErr w:type="spellStart"/>
            <w:r w:rsidRPr="00A3780A">
              <w:rPr>
                <w:sz w:val="24"/>
                <w:szCs w:val="24"/>
                <w:lang w:val="da-DK"/>
              </w:rPr>
              <w:t>Ticagrelor</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4A63D0AC" w14:textId="77777777" w:rsidR="005C5AEF" w:rsidRPr="00A3780A" w:rsidRDefault="005C5AEF" w:rsidP="000815D2">
            <w:pPr>
              <w:rPr>
                <w:sz w:val="24"/>
                <w:szCs w:val="24"/>
                <w:lang w:val="da-DK"/>
              </w:rPr>
            </w:pPr>
            <w:proofErr w:type="spellStart"/>
            <w:r w:rsidRPr="00A3780A">
              <w:rPr>
                <w:sz w:val="24"/>
                <w:szCs w:val="24"/>
                <w:lang w:val="da-DK"/>
              </w:rPr>
              <w:t>Ticagrelor</w:t>
            </w:r>
            <w:proofErr w:type="spellEnd"/>
            <w:r w:rsidRPr="00A3780A">
              <w:rPr>
                <w:sz w:val="24"/>
                <w:szCs w:val="24"/>
                <w:lang w:val="da-DK"/>
              </w:rPr>
              <w:t xml:space="preserve"> er en svag CYP3A-induktor, men har kun små virkninger på eksponeringen for intravenøst administreret </w:t>
            </w:r>
            <w:proofErr w:type="spellStart"/>
            <w:r w:rsidRPr="00A3780A">
              <w:rPr>
                <w:sz w:val="24"/>
                <w:szCs w:val="24"/>
                <w:lang w:val="da-DK"/>
              </w:rPr>
              <w:t>midazolam</w:t>
            </w:r>
            <w:proofErr w:type="spellEnd"/>
            <w:r w:rsidRPr="00A3780A">
              <w:rPr>
                <w:sz w:val="24"/>
                <w:szCs w:val="24"/>
                <w:lang w:val="da-DK"/>
              </w:rPr>
              <w:t xml:space="preserve"> (-12 %) og 4-hydroxymidazolam (-23 %).</w:t>
            </w:r>
          </w:p>
        </w:tc>
      </w:tr>
      <w:tr w:rsidR="005C5AEF" w:rsidRPr="00A3780A" w14:paraId="0AF18E7B" w14:textId="77777777" w:rsidTr="00343441">
        <w:trPr>
          <w:trHeight w:val="427"/>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7C70D617"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0FD21EBA" w14:textId="77777777" w:rsidR="005C5AEF" w:rsidRPr="00A3780A" w:rsidRDefault="005C5AEF" w:rsidP="000815D2">
            <w:pPr>
              <w:rPr>
                <w:sz w:val="24"/>
                <w:szCs w:val="24"/>
                <w:lang w:val="da-DK"/>
              </w:rPr>
            </w:pPr>
            <w:r w:rsidRPr="00A3780A">
              <w:rPr>
                <w:sz w:val="24"/>
                <w:szCs w:val="24"/>
                <w:lang w:val="da-DK"/>
              </w:rPr>
              <w:t xml:space="preserve">Yderligere oplysninger fra oral </w:t>
            </w:r>
            <w:proofErr w:type="spellStart"/>
            <w:r w:rsidRPr="00A3780A">
              <w:rPr>
                <w:sz w:val="24"/>
                <w:szCs w:val="24"/>
                <w:lang w:val="da-DK"/>
              </w:rPr>
              <w:t>midazolam</w:t>
            </w:r>
            <w:proofErr w:type="spellEnd"/>
          </w:p>
        </w:tc>
      </w:tr>
      <w:tr w:rsidR="005C5AEF" w:rsidRPr="00A3780A" w14:paraId="665F70F9"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6FF3AE0B"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7268C006" w14:textId="77777777" w:rsidR="005C5AEF" w:rsidRPr="00A3780A" w:rsidRDefault="005C5AEF" w:rsidP="000815D2">
            <w:pPr>
              <w:rPr>
                <w:sz w:val="24"/>
                <w:szCs w:val="24"/>
                <w:lang w:val="da-DK"/>
              </w:rPr>
            </w:pPr>
            <w:proofErr w:type="spellStart"/>
            <w:r w:rsidRPr="00A3780A">
              <w:rPr>
                <w:sz w:val="24"/>
                <w:szCs w:val="24"/>
                <w:lang w:val="da-DK"/>
              </w:rPr>
              <w:t>Rifampicin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379B92E7" w14:textId="77777777" w:rsidR="005C5AEF" w:rsidRPr="00A3780A" w:rsidRDefault="005C5AEF" w:rsidP="000815D2">
            <w:pPr>
              <w:rPr>
                <w:sz w:val="24"/>
                <w:szCs w:val="24"/>
                <w:lang w:val="da-DK"/>
              </w:rPr>
            </w:pPr>
            <w:proofErr w:type="spellStart"/>
            <w:r w:rsidRPr="00A3780A">
              <w:rPr>
                <w:sz w:val="24"/>
                <w:szCs w:val="24"/>
                <w:lang w:val="da-DK"/>
              </w:rPr>
              <w:t>Rifampicin</w:t>
            </w:r>
            <w:proofErr w:type="spellEnd"/>
            <w:r w:rsidRPr="00A3780A">
              <w:rPr>
                <w:sz w:val="24"/>
                <w:szCs w:val="24"/>
                <w:lang w:val="da-DK"/>
              </w:rPr>
              <w:t xml:space="preserve"> nedsatte plasmakoncentrationen af oral </w:t>
            </w:r>
            <w:proofErr w:type="spellStart"/>
            <w:r w:rsidRPr="00A3780A">
              <w:rPr>
                <w:sz w:val="24"/>
                <w:szCs w:val="24"/>
                <w:lang w:val="da-DK"/>
              </w:rPr>
              <w:t>midazolam</w:t>
            </w:r>
            <w:proofErr w:type="spellEnd"/>
            <w:r w:rsidRPr="00A3780A">
              <w:rPr>
                <w:sz w:val="24"/>
                <w:szCs w:val="24"/>
                <w:lang w:val="da-DK"/>
              </w:rPr>
              <w:t xml:space="preserve"> med 96 % hos raske forsøgspersoner, og dets </w:t>
            </w:r>
            <w:proofErr w:type="spellStart"/>
            <w:r w:rsidRPr="00A3780A">
              <w:rPr>
                <w:sz w:val="24"/>
                <w:szCs w:val="24"/>
                <w:lang w:val="da-DK"/>
              </w:rPr>
              <w:t>psykomotoriske</w:t>
            </w:r>
            <w:proofErr w:type="spellEnd"/>
            <w:r w:rsidRPr="00A3780A">
              <w:rPr>
                <w:sz w:val="24"/>
                <w:szCs w:val="24"/>
                <w:lang w:val="da-DK"/>
              </w:rPr>
              <w:t xml:space="preserve"> virkning gik næsten helt tabt.</w:t>
            </w:r>
          </w:p>
        </w:tc>
      </w:tr>
      <w:tr w:rsidR="005C5AEF" w:rsidRPr="00A3780A" w14:paraId="1E08B94C"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767DDE1D"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55BF00AF" w14:textId="77777777" w:rsidR="005C5AEF" w:rsidRPr="00A3780A" w:rsidRDefault="005C5AEF" w:rsidP="000815D2">
            <w:pPr>
              <w:rPr>
                <w:sz w:val="24"/>
                <w:szCs w:val="24"/>
                <w:lang w:val="da-DK"/>
              </w:rPr>
            </w:pPr>
            <w:proofErr w:type="spellStart"/>
            <w:r w:rsidRPr="00A3780A">
              <w:rPr>
                <w:sz w:val="24"/>
                <w:szCs w:val="24"/>
                <w:lang w:val="da-DK"/>
              </w:rPr>
              <w:t>Carbamazepin</w:t>
            </w:r>
            <w:proofErr w:type="spellEnd"/>
            <w:r w:rsidRPr="00A3780A">
              <w:rPr>
                <w:sz w:val="24"/>
                <w:szCs w:val="24"/>
                <w:lang w:val="da-DK"/>
              </w:rPr>
              <w:t>/</w:t>
            </w:r>
            <w:r w:rsidRPr="00A3780A">
              <w:rPr>
                <w:sz w:val="24"/>
                <w:szCs w:val="24"/>
                <w:lang w:val="da-DK"/>
              </w:rPr>
              <w:br/>
            </w:r>
            <w:proofErr w:type="spellStart"/>
            <w:r w:rsidRPr="00A3780A">
              <w:rPr>
                <w:sz w:val="24"/>
                <w:szCs w:val="24"/>
                <w:lang w:val="da-DK"/>
              </w:rPr>
              <w:t>phenytoin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1B8A270C" w14:textId="77777777" w:rsidR="005C5AEF" w:rsidRPr="00A3780A" w:rsidRDefault="005C5AEF" w:rsidP="000815D2">
            <w:pPr>
              <w:rPr>
                <w:sz w:val="24"/>
                <w:szCs w:val="24"/>
                <w:lang w:val="da-DK"/>
              </w:rPr>
            </w:pPr>
            <w:r w:rsidRPr="00A3780A">
              <w:rPr>
                <w:sz w:val="24"/>
                <w:szCs w:val="24"/>
                <w:lang w:val="da-DK"/>
              </w:rPr>
              <w:t xml:space="preserve">Gentagne doser af </w:t>
            </w:r>
            <w:proofErr w:type="spellStart"/>
            <w:r w:rsidRPr="00A3780A">
              <w:rPr>
                <w:sz w:val="24"/>
                <w:szCs w:val="24"/>
                <w:lang w:val="da-DK"/>
              </w:rPr>
              <w:t>carbamazepin</w:t>
            </w:r>
            <w:proofErr w:type="spellEnd"/>
            <w:r w:rsidRPr="00A3780A">
              <w:rPr>
                <w:sz w:val="24"/>
                <w:szCs w:val="24"/>
                <w:lang w:val="da-DK"/>
              </w:rPr>
              <w:t xml:space="preserve"> eller </w:t>
            </w:r>
            <w:proofErr w:type="spellStart"/>
            <w:r w:rsidRPr="00A3780A">
              <w:rPr>
                <w:sz w:val="24"/>
                <w:szCs w:val="24"/>
                <w:lang w:val="da-DK"/>
              </w:rPr>
              <w:t>phenytoin</w:t>
            </w:r>
            <w:proofErr w:type="spellEnd"/>
            <w:r w:rsidRPr="00A3780A">
              <w:rPr>
                <w:sz w:val="24"/>
                <w:szCs w:val="24"/>
                <w:lang w:val="da-DK"/>
              </w:rPr>
              <w:t xml:space="preserve"> resulterede i et fald i plasmakoncentrationen af oral </w:t>
            </w:r>
            <w:proofErr w:type="spellStart"/>
            <w:r w:rsidRPr="00A3780A">
              <w:rPr>
                <w:sz w:val="24"/>
                <w:szCs w:val="24"/>
                <w:lang w:val="da-DK"/>
              </w:rPr>
              <w:t>midazolam</w:t>
            </w:r>
            <w:proofErr w:type="spellEnd"/>
            <w:r w:rsidRPr="00A3780A">
              <w:rPr>
                <w:sz w:val="24"/>
                <w:szCs w:val="24"/>
                <w:lang w:val="da-DK"/>
              </w:rPr>
              <w:t xml:space="preserve"> på op til 90 % og en forkortelse af den terminale halveringstid på ca. 60 %.</w:t>
            </w:r>
          </w:p>
        </w:tc>
      </w:tr>
      <w:tr w:rsidR="005C5AEF" w:rsidRPr="00A3780A" w14:paraId="77263F9F"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4FB96C74"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178281CC" w14:textId="77777777" w:rsidR="005C5AEF" w:rsidRPr="00A3780A" w:rsidRDefault="005C5AEF" w:rsidP="000815D2">
            <w:pPr>
              <w:rPr>
                <w:sz w:val="24"/>
                <w:szCs w:val="24"/>
                <w:lang w:val="da-DK"/>
              </w:rPr>
            </w:pPr>
            <w:proofErr w:type="spellStart"/>
            <w:r w:rsidRPr="00A3780A">
              <w:rPr>
                <w:sz w:val="24"/>
                <w:szCs w:val="24"/>
                <w:lang w:val="da-DK"/>
              </w:rPr>
              <w:t>Mitotan</w:t>
            </w:r>
            <w:proofErr w:type="spellEnd"/>
            <w:r w:rsidRPr="00A3780A">
              <w:rPr>
                <w:sz w:val="24"/>
                <w:szCs w:val="24"/>
                <w:lang w:val="da-DK"/>
              </w:rPr>
              <w:t xml:space="preserve"> eller </w:t>
            </w:r>
            <w:proofErr w:type="spellStart"/>
            <w:r w:rsidRPr="00A3780A">
              <w:rPr>
                <w:sz w:val="24"/>
                <w:szCs w:val="24"/>
                <w:lang w:val="da-DK"/>
              </w:rPr>
              <w:t>enzalutamid</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04BA38EB" w14:textId="77777777" w:rsidR="005C5AEF" w:rsidRPr="00A3780A" w:rsidRDefault="005C5AEF" w:rsidP="000815D2">
            <w:pPr>
              <w:rPr>
                <w:sz w:val="24"/>
                <w:szCs w:val="24"/>
                <w:lang w:val="da-DK"/>
              </w:rPr>
            </w:pPr>
            <w:r w:rsidRPr="00A3780A">
              <w:rPr>
                <w:sz w:val="24"/>
                <w:szCs w:val="24"/>
                <w:lang w:val="da-DK"/>
              </w:rPr>
              <w:t xml:space="preserve">Den meget stærke CYP3A4-induktion, der blev set efter </w:t>
            </w:r>
            <w:proofErr w:type="spellStart"/>
            <w:r w:rsidRPr="00A3780A">
              <w:rPr>
                <w:sz w:val="24"/>
                <w:szCs w:val="24"/>
                <w:lang w:val="da-DK"/>
              </w:rPr>
              <w:t>mitotan</w:t>
            </w:r>
            <w:proofErr w:type="spellEnd"/>
            <w:r w:rsidRPr="00A3780A">
              <w:rPr>
                <w:sz w:val="24"/>
                <w:szCs w:val="24"/>
                <w:lang w:val="da-DK"/>
              </w:rPr>
              <w:t xml:space="preserve"> eller </w:t>
            </w:r>
            <w:proofErr w:type="spellStart"/>
            <w:r w:rsidRPr="00A3780A">
              <w:rPr>
                <w:sz w:val="24"/>
                <w:szCs w:val="24"/>
                <w:lang w:val="da-DK"/>
              </w:rPr>
              <w:t>enzalutamid</w:t>
            </w:r>
            <w:proofErr w:type="spellEnd"/>
            <w:r w:rsidRPr="00A3780A">
              <w:rPr>
                <w:sz w:val="24"/>
                <w:szCs w:val="24"/>
                <w:lang w:val="da-DK"/>
              </w:rPr>
              <w:t xml:space="preserve">, resulterede i et markant og langvarigt fald i </w:t>
            </w:r>
            <w:proofErr w:type="spellStart"/>
            <w:r w:rsidRPr="00A3780A">
              <w:rPr>
                <w:sz w:val="24"/>
                <w:szCs w:val="24"/>
                <w:lang w:val="da-DK"/>
              </w:rPr>
              <w:t>midazolamniveauerne</w:t>
            </w:r>
            <w:proofErr w:type="spellEnd"/>
            <w:r w:rsidRPr="00A3780A">
              <w:rPr>
                <w:sz w:val="24"/>
                <w:szCs w:val="24"/>
                <w:lang w:val="da-DK"/>
              </w:rPr>
              <w:t xml:space="preserve"> hos cancerpatienter. AUC for oralt administreret </w:t>
            </w:r>
            <w:proofErr w:type="spellStart"/>
            <w:r w:rsidRPr="00A3780A">
              <w:rPr>
                <w:sz w:val="24"/>
                <w:szCs w:val="24"/>
                <w:lang w:val="da-DK"/>
              </w:rPr>
              <w:t>midazolam</w:t>
            </w:r>
            <w:proofErr w:type="spellEnd"/>
            <w:r w:rsidRPr="00A3780A">
              <w:rPr>
                <w:sz w:val="24"/>
                <w:szCs w:val="24"/>
                <w:lang w:val="da-DK"/>
              </w:rPr>
              <w:t xml:space="preserve"> blev reduceret til henholdsvis 5 % og 14 % af normalværdierne.</w:t>
            </w:r>
          </w:p>
        </w:tc>
      </w:tr>
      <w:tr w:rsidR="005C5AEF" w:rsidRPr="00A3780A" w14:paraId="3C586DE2"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1163B611"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394C7508" w14:textId="77777777" w:rsidR="005C5AEF" w:rsidRPr="00A3780A" w:rsidRDefault="005C5AEF" w:rsidP="000815D2">
            <w:pPr>
              <w:rPr>
                <w:sz w:val="24"/>
                <w:szCs w:val="24"/>
                <w:lang w:val="da-DK"/>
              </w:rPr>
            </w:pPr>
            <w:proofErr w:type="spellStart"/>
            <w:r w:rsidRPr="00A3780A">
              <w:rPr>
                <w:sz w:val="24"/>
                <w:szCs w:val="24"/>
                <w:lang w:val="da-DK"/>
              </w:rPr>
              <w:t>Clobazam</w:t>
            </w:r>
            <w:proofErr w:type="spellEnd"/>
            <w:r w:rsidRPr="00A3780A">
              <w:rPr>
                <w:sz w:val="24"/>
                <w:szCs w:val="24"/>
                <w:lang w:val="da-DK"/>
              </w:rPr>
              <w:t xml:space="preserve"> og </w:t>
            </w:r>
            <w:proofErr w:type="spellStart"/>
            <w:r w:rsidRPr="00A3780A">
              <w:rPr>
                <w:sz w:val="24"/>
                <w:szCs w:val="24"/>
                <w:lang w:val="da-DK"/>
              </w:rPr>
              <w:t>Efavirenz</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453278FD" w14:textId="77777777" w:rsidR="005C5AEF" w:rsidRPr="00A3780A" w:rsidRDefault="005C5AEF" w:rsidP="000815D2">
            <w:pPr>
              <w:rPr>
                <w:sz w:val="24"/>
                <w:szCs w:val="24"/>
                <w:lang w:val="da-DK"/>
              </w:rPr>
            </w:pPr>
            <w:proofErr w:type="spellStart"/>
            <w:r w:rsidRPr="00A3780A">
              <w:rPr>
                <w:sz w:val="24"/>
                <w:szCs w:val="24"/>
                <w:lang w:val="da-DK"/>
              </w:rPr>
              <w:t>Clobazam</w:t>
            </w:r>
            <w:proofErr w:type="spellEnd"/>
            <w:r w:rsidRPr="00A3780A">
              <w:rPr>
                <w:sz w:val="24"/>
                <w:szCs w:val="24"/>
                <w:lang w:val="da-DK"/>
              </w:rPr>
              <w:t xml:space="preserve"> og </w:t>
            </w:r>
            <w:proofErr w:type="spellStart"/>
            <w:r w:rsidRPr="00A3780A">
              <w:rPr>
                <w:sz w:val="24"/>
                <w:szCs w:val="24"/>
                <w:lang w:val="da-DK"/>
              </w:rPr>
              <w:t>Efavirenz</w:t>
            </w:r>
            <w:proofErr w:type="spellEnd"/>
            <w:r w:rsidRPr="00A3780A">
              <w:rPr>
                <w:sz w:val="24"/>
                <w:szCs w:val="24"/>
                <w:lang w:val="da-DK"/>
              </w:rPr>
              <w:t xml:space="preserve"> er svage induktorer af </w:t>
            </w:r>
            <w:proofErr w:type="spellStart"/>
            <w:r w:rsidRPr="00A3780A">
              <w:rPr>
                <w:sz w:val="24"/>
                <w:szCs w:val="24"/>
                <w:lang w:val="da-DK"/>
              </w:rPr>
              <w:t>midazolammetabolisme</w:t>
            </w:r>
            <w:proofErr w:type="spellEnd"/>
            <w:r w:rsidRPr="00A3780A">
              <w:rPr>
                <w:sz w:val="24"/>
                <w:szCs w:val="24"/>
                <w:lang w:val="da-DK"/>
              </w:rPr>
              <w:t xml:space="preserve"> og reducerer AUC for moderstoffet med ca. 30 %. Dette medfører en stigning på 4-5 gange i forholdet mellem den aktive metabolit (1'-hydroxymidazolam) og moderstoffet, men den kliniske betydning af dette er ukendt</w:t>
            </w:r>
          </w:p>
        </w:tc>
      </w:tr>
      <w:tr w:rsidR="005C5AEF" w:rsidRPr="00A3780A" w14:paraId="0D6D0DC0"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277C4720"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65C1702A" w14:textId="77777777" w:rsidR="005C5AEF" w:rsidRPr="00A3780A" w:rsidRDefault="005C5AEF" w:rsidP="000815D2">
            <w:pPr>
              <w:rPr>
                <w:sz w:val="24"/>
                <w:szCs w:val="24"/>
                <w:lang w:val="da-DK"/>
              </w:rPr>
            </w:pPr>
            <w:proofErr w:type="spellStart"/>
            <w:r w:rsidRPr="00A3780A">
              <w:rPr>
                <w:sz w:val="24"/>
                <w:szCs w:val="24"/>
                <w:lang w:val="da-DK"/>
              </w:rPr>
              <w:t>Vemurafenib</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48F8D76B" w14:textId="77777777" w:rsidR="005C5AEF" w:rsidRPr="00A3780A" w:rsidRDefault="005C5AEF" w:rsidP="000815D2">
            <w:pPr>
              <w:rPr>
                <w:sz w:val="24"/>
                <w:szCs w:val="24"/>
                <w:lang w:val="da-DK"/>
              </w:rPr>
            </w:pPr>
            <w:proofErr w:type="spellStart"/>
            <w:r w:rsidRPr="00A3780A">
              <w:rPr>
                <w:sz w:val="24"/>
                <w:szCs w:val="24"/>
                <w:lang w:val="da-DK"/>
              </w:rPr>
              <w:t>Vemurafenib</w:t>
            </w:r>
            <w:proofErr w:type="spellEnd"/>
            <w:r w:rsidRPr="00A3780A">
              <w:rPr>
                <w:sz w:val="24"/>
                <w:szCs w:val="24"/>
                <w:lang w:val="da-DK"/>
              </w:rPr>
              <w:t xml:space="preserve"> modulerer CYP-</w:t>
            </w:r>
            <w:proofErr w:type="spellStart"/>
            <w:r w:rsidRPr="00A3780A">
              <w:rPr>
                <w:sz w:val="24"/>
                <w:szCs w:val="24"/>
                <w:lang w:val="da-DK"/>
              </w:rPr>
              <w:t>isozymer</w:t>
            </w:r>
            <w:proofErr w:type="spellEnd"/>
            <w:r w:rsidRPr="00A3780A">
              <w:rPr>
                <w:sz w:val="24"/>
                <w:szCs w:val="24"/>
                <w:lang w:val="da-DK"/>
              </w:rPr>
              <w:t xml:space="preserve"> og inducerer CYP3A4 i mild grad: Gentagen dosis resulterede i et gennemsnitligt fald i eksponeringen for oral </w:t>
            </w:r>
            <w:proofErr w:type="spellStart"/>
            <w:r w:rsidRPr="00A3780A">
              <w:rPr>
                <w:sz w:val="24"/>
                <w:szCs w:val="24"/>
                <w:lang w:val="da-DK"/>
              </w:rPr>
              <w:t>midazolam</w:t>
            </w:r>
            <w:proofErr w:type="spellEnd"/>
            <w:r w:rsidRPr="00A3780A">
              <w:rPr>
                <w:sz w:val="24"/>
                <w:szCs w:val="24"/>
                <w:lang w:val="da-DK"/>
              </w:rPr>
              <w:t xml:space="preserve"> på 39 % (op til 80 % hos enkelte personer).</w:t>
            </w:r>
          </w:p>
        </w:tc>
      </w:tr>
      <w:tr w:rsidR="005C5AEF" w:rsidRPr="00A3780A" w14:paraId="02C46C7B" w14:textId="77777777" w:rsidTr="00343441">
        <w:trPr>
          <w:trHeight w:val="980"/>
        </w:trPr>
        <w:tc>
          <w:tcPr>
            <w:tcW w:w="1448" w:type="pct"/>
            <w:vMerge w:val="restart"/>
            <w:tcBorders>
              <w:top w:val="single" w:sz="4" w:space="0" w:color="auto"/>
              <w:left w:val="single" w:sz="4" w:space="0" w:color="auto"/>
              <w:bottom w:val="single" w:sz="4" w:space="0" w:color="auto"/>
              <w:right w:val="single" w:sz="4" w:space="0" w:color="auto"/>
            </w:tcBorders>
          </w:tcPr>
          <w:p w14:paraId="2BB5251D" w14:textId="77777777" w:rsidR="005C5AEF" w:rsidRPr="00A3780A" w:rsidRDefault="005C5AEF" w:rsidP="000815D2">
            <w:pPr>
              <w:rPr>
                <w:b/>
                <w:i/>
                <w:sz w:val="24"/>
                <w:szCs w:val="24"/>
                <w:u w:val="single"/>
                <w:lang w:val="da-DK"/>
              </w:rPr>
            </w:pPr>
            <w:r w:rsidRPr="00A3780A">
              <w:rPr>
                <w:b/>
                <w:i/>
                <w:sz w:val="24"/>
                <w:szCs w:val="24"/>
                <w:u w:val="single"/>
                <w:lang w:val="da-DK"/>
              </w:rPr>
              <w:t>Naturlægemidler og fødevarer</w:t>
            </w:r>
          </w:p>
          <w:p w14:paraId="5F5DA35F"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26516B8C" w14:textId="77777777" w:rsidR="005C5AEF" w:rsidRPr="00A3780A" w:rsidRDefault="005C5AEF" w:rsidP="000815D2">
            <w:pPr>
              <w:rPr>
                <w:sz w:val="24"/>
                <w:szCs w:val="24"/>
                <w:lang w:val="da-DK"/>
              </w:rPr>
            </w:pPr>
            <w:r w:rsidRPr="00A3780A">
              <w:rPr>
                <w:sz w:val="24"/>
                <w:szCs w:val="24"/>
                <w:lang w:val="da-DK"/>
              </w:rPr>
              <w:t>Perikon</w:t>
            </w:r>
          </w:p>
        </w:tc>
        <w:tc>
          <w:tcPr>
            <w:tcW w:w="2125" w:type="pct"/>
            <w:tcBorders>
              <w:top w:val="single" w:sz="4" w:space="0" w:color="auto"/>
              <w:left w:val="single" w:sz="4" w:space="0" w:color="auto"/>
              <w:bottom w:val="single" w:sz="4" w:space="0" w:color="auto"/>
              <w:right w:val="single" w:sz="4" w:space="0" w:color="auto"/>
            </w:tcBorders>
            <w:hideMark/>
          </w:tcPr>
          <w:p w14:paraId="1C97B340" w14:textId="77777777" w:rsidR="005C5AEF" w:rsidRPr="00A3780A" w:rsidRDefault="005C5AEF" w:rsidP="000815D2">
            <w:pPr>
              <w:rPr>
                <w:sz w:val="24"/>
                <w:szCs w:val="24"/>
                <w:lang w:val="da-DK"/>
              </w:rPr>
            </w:pPr>
            <w:r w:rsidRPr="00A3780A">
              <w:rPr>
                <w:sz w:val="24"/>
                <w:szCs w:val="24"/>
                <w:lang w:val="da-DK"/>
              </w:rPr>
              <w:t xml:space="preserve">Perikon reducerede plasmakoncentrationerne af </w:t>
            </w:r>
            <w:proofErr w:type="spellStart"/>
            <w:r w:rsidRPr="00A3780A">
              <w:rPr>
                <w:sz w:val="24"/>
                <w:szCs w:val="24"/>
                <w:lang w:val="da-DK"/>
              </w:rPr>
              <w:t>midazolam</w:t>
            </w:r>
            <w:proofErr w:type="spellEnd"/>
            <w:r w:rsidRPr="00A3780A">
              <w:rPr>
                <w:sz w:val="24"/>
                <w:szCs w:val="24"/>
                <w:lang w:val="da-DK"/>
              </w:rPr>
              <w:t xml:space="preserve"> med ca. 20-40 %, hvilket var forbundet med et fald i terminal halveringstid på ca. 15-17 %. Afhængigt af det specifikke perikonekstrakt kan den CYP3A4-inducerende virkning variere.</w:t>
            </w:r>
          </w:p>
        </w:tc>
      </w:tr>
      <w:tr w:rsidR="005C5AEF" w:rsidRPr="00A3780A" w14:paraId="7196139F" w14:textId="77777777" w:rsidTr="00343441">
        <w:trPr>
          <w:trHeight w:val="416"/>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44825013" w14:textId="77777777" w:rsidR="005C5AEF" w:rsidRPr="00A3780A" w:rsidRDefault="005C5AEF" w:rsidP="000815D2">
            <w:pPr>
              <w:rPr>
                <w:sz w:val="24"/>
                <w:szCs w:val="24"/>
                <w:lang w:val="da-DK"/>
              </w:rPr>
            </w:pPr>
          </w:p>
        </w:tc>
        <w:tc>
          <w:tcPr>
            <w:tcW w:w="3552" w:type="pct"/>
            <w:gridSpan w:val="2"/>
            <w:tcBorders>
              <w:top w:val="single" w:sz="4" w:space="0" w:color="auto"/>
              <w:left w:val="single" w:sz="4" w:space="0" w:color="auto"/>
              <w:bottom w:val="single" w:sz="4" w:space="0" w:color="auto"/>
              <w:right w:val="single" w:sz="4" w:space="0" w:color="auto"/>
            </w:tcBorders>
            <w:hideMark/>
          </w:tcPr>
          <w:p w14:paraId="5646B4E2" w14:textId="77777777" w:rsidR="005C5AEF" w:rsidRPr="00A3780A" w:rsidRDefault="005C5AEF" w:rsidP="000815D2">
            <w:pPr>
              <w:rPr>
                <w:sz w:val="24"/>
                <w:szCs w:val="24"/>
                <w:lang w:val="da-DK"/>
              </w:rPr>
            </w:pPr>
            <w:r w:rsidRPr="00A3780A">
              <w:rPr>
                <w:sz w:val="24"/>
                <w:szCs w:val="24"/>
                <w:lang w:val="da-DK"/>
              </w:rPr>
              <w:t xml:space="preserve">Yderligere oplysninger fra oral </w:t>
            </w:r>
            <w:proofErr w:type="spellStart"/>
            <w:r w:rsidRPr="00A3780A">
              <w:rPr>
                <w:sz w:val="24"/>
                <w:szCs w:val="24"/>
                <w:lang w:val="da-DK"/>
              </w:rPr>
              <w:t>midazolam</w:t>
            </w:r>
            <w:proofErr w:type="spellEnd"/>
          </w:p>
        </w:tc>
      </w:tr>
      <w:tr w:rsidR="005C5AEF" w:rsidRPr="00A3780A" w14:paraId="5E481D62" w14:textId="77777777" w:rsidTr="00343441">
        <w:trPr>
          <w:trHeight w:val="980"/>
        </w:trPr>
        <w:tc>
          <w:tcPr>
            <w:tcW w:w="1448" w:type="pct"/>
            <w:vMerge/>
            <w:tcBorders>
              <w:top w:val="single" w:sz="4" w:space="0" w:color="auto"/>
              <w:left w:val="single" w:sz="4" w:space="0" w:color="auto"/>
              <w:bottom w:val="single" w:sz="4" w:space="0" w:color="auto"/>
              <w:right w:val="single" w:sz="4" w:space="0" w:color="auto"/>
            </w:tcBorders>
            <w:vAlign w:val="center"/>
            <w:hideMark/>
          </w:tcPr>
          <w:p w14:paraId="257BAC94" w14:textId="77777777" w:rsidR="005C5AEF" w:rsidRPr="00A3780A" w:rsidRDefault="005C5AEF" w:rsidP="000815D2">
            <w:pPr>
              <w:rPr>
                <w:sz w:val="24"/>
                <w:szCs w:val="24"/>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14988050" w14:textId="77777777" w:rsidR="005C5AEF" w:rsidRPr="00A3780A" w:rsidRDefault="005C5AEF" w:rsidP="000815D2">
            <w:pPr>
              <w:rPr>
                <w:sz w:val="24"/>
                <w:szCs w:val="24"/>
                <w:lang w:val="da-DK"/>
              </w:rPr>
            </w:pPr>
            <w:proofErr w:type="spellStart"/>
            <w:r w:rsidRPr="00A3780A">
              <w:rPr>
                <w:sz w:val="24"/>
                <w:szCs w:val="24"/>
                <w:lang w:val="da-DK"/>
              </w:rPr>
              <w:t>Quercetin</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397F28AC" w14:textId="77777777" w:rsidR="005C5AEF" w:rsidRPr="00A3780A" w:rsidRDefault="005C5AEF" w:rsidP="000815D2">
            <w:pPr>
              <w:rPr>
                <w:sz w:val="24"/>
                <w:szCs w:val="24"/>
                <w:lang w:val="da-DK"/>
              </w:rPr>
            </w:pPr>
            <w:proofErr w:type="spellStart"/>
            <w:r w:rsidRPr="00A3780A">
              <w:rPr>
                <w:sz w:val="24"/>
                <w:szCs w:val="24"/>
                <w:lang w:val="da-DK"/>
              </w:rPr>
              <w:t>Quercetin</w:t>
            </w:r>
            <w:proofErr w:type="spellEnd"/>
            <w:r w:rsidRPr="00A3780A">
              <w:rPr>
                <w:sz w:val="24"/>
                <w:szCs w:val="24"/>
                <w:lang w:val="da-DK"/>
              </w:rPr>
              <w:t xml:space="preserve"> (også indeholdt i </w:t>
            </w:r>
            <w:proofErr w:type="spellStart"/>
            <w:r w:rsidRPr="00A3780A">
              <w:rPr>
                <w:sz w:val="24"/>
                <w:szCs w:val="24"/>
                <w:lang w:val="da-DK"/>
              </w:rPr>
              <w:t>ginkgo</w:t>
            </w:r>
            <w:proofErr w:type="spellEnd"/>
            <w:r w:rsidRPr="00A3780A">
              <w:rPr>
                <w:sz w:val="24"/>
                <w:szCs w:val="24"/>
                <w:lang w:val="da-DK"/>
              </w:rPr>
              <w:t xml:space="preserve"> </w:t>
            </w:r>
            <w:proofErr w:type="spellStart"/>
            <w:r w:rsidRPr="00A3780A">
              <w:rPr>
                <w:sz w:val="24"/>
                <w:szCs w:val="24"/>
                <w:lang w:val="da-DK"/>
              </w:rPr>
              <w:t>biloba</w:t>
            </w:r>
            <w:proofErr w:type="spellEnd"/>
            <w:r w:rsidRPr="00A3780A">
              <w:rPr>
                <w:sz w:val="24"/>
                <w:szCs w:val="24"/>
                <w:lang w:val="da-DK"/>
              </w:rPr>
              <w:t xml:space="preserve">) og </w:t>
            </w:r>
            <w:proofErr w:type="spellStart"/>
            <w:r w:rsidRPr="00A3780A">
              <w:rPr>
                <w:sz w:val="24"/>
                <w:szCs w:val="24"/>
                <w:lang w:val="da-DK"/>
              </w:rPr>
              <w:t>panax</w:t>
            </w:r>
            <w:proofErr w:type="spellEnd"/>
            <w:r w:rsidRPr="00A3780A">
              <w:rPr>
                <w:sz w:val="24"/>
                <w:szCs w:val="24"/>
                <w:lang w:val="da-DK"/>
              </w:rPr>
              <w:t xml:space="preserve"> ginseng har begge svage enzyminducerende virkninger og reducerede eksponeringen for </w:t>
            </w:r>
            <w:proofErr w:type="spellStart"/>
            <w:r w:rsidRPr="00A3780A">
              <w:rPr>
                <w:sz w:val="24"/>
                <w:szCs w:val="24"/>
                <w:lang w:val="da-DK"/>
              </w:rPr>
              <w:t>midazolam</w:t>
            </w:r>
            <w:proofErr w:type="spellEnd"/>
            <w:r w:rsidRPr="00A3780A">
              <w:rPr>
                <w:sz w:val="24"/>
                <w:szCs w:val="24"/>
                <w:lang w:val="da-DK"/>
              </w:rPr>
              <w:t xml:space="preserve"> efter oral administration med ca. 20-30 %.</w:t>
            </w:r>
          </w:p>
        </w:tc>
      </w:tr>
      <w:tr w:rsidR="005C5AEF" w:rsidRPr="00A3780A" w14:paraId="559BCBBC" w14:textId="77777777" w:rsidTr="00343441">
        <w:trPr>
          <w:trHeight w:val="980"/>
        </w:trPr>
        <w:tc>
          <w:tcPr>
            <w:tcW w:w="1448" w:type="pct"/>
            <w:tcBorders>
              <w:top w:val="single" w:sz="4" w:space="0" w:color="auto"/>
              <w:left w:val="single" w:sz="4" w:space="0" w:color="auto"/>
              <w:bottom w:val="single" w:sz="4" w:space="0" w:color="auto"/>
              <w:right w:val="single" w:sz="4" w:space="0" w:color="auto"/>
            </w:tcBorders>
            <w:hideMark/>
          </w:tcPr>
          <w:p w14:paraId="0F9C1CB6" w14:textId="77777777" w:rsidR="005C5AEF" w:rsidRPr="00A3780A" w:rsidRDefault="005C5AEF" w:rsidP="000815D2">
            <w:pPr>
              <w:rPr>
                <w:b/>
                <w:i/>
                <w:sz w:val="24"/>
                <w:szCs w:val="24"/>
                <w:lang w:val="da-DK"/>
              </w:rPr>
            </w:pPr>
            <w:r w:rsidRPr="00A3780A">
              <w:rPr>
                <w:b/>
                <w:i/>
                <w:sz w:val="24"/>
                <w:szCs w:val="24"/>
                <w:u w:val="single"/>
                <w:lang w:val="da-DK"/>
              </w:rPr>
              <w:t>Akut proteinforskydning</w:t>
            </w:r>
          </w:p>
        </w:tc>
        <w:tc>
          <w:tcPr>
            <w:tcW w:w="1427" w:type="pct"/>
            <w:tcBorders>
              <w:top w:val="single" w:sz="4" w:space="0" w:color="auto"/>
              <w:left w:val="single" w:sz="4" w:space="0" w:color="auto"/>
              <w:bottom w:val="single" w:sz="4" w:space="0" w:color="auto"/>
              <w:right w:val="single" w:sz="4" w:space="0" w:color="auto"/>
            </w:tcBorders>
            <w:hideMark/>
          </w:tcPr>
          <w:p w14:paraId="73061901" w14:textId="77777777" w:rsidR="005C5AEF" w:rsidRPr="00A3780A" w:rsidRDefault="005C5AEF" w:rsidP="000815D2">
            <w:pPr>
              <w:rPr>
                <w:sz w:val="24"/>
                <w:szCs w:val="24"/>
                <w:lang w:val="da-DK"/>
              </w:rPr>
            </w:pPr>
            <w:proofErr w:type="spellStart"/>
            <w:r w:rsidRPr="00A3780A">
              <w:rPr>
                <w:sz w:val="24"/>
                <w:szCs w:val="24"/>
                <w:lang w:val="da-DK"/>
              </w:rPr>
              <w:t>Valproinsyre</w:t>
            </w:r>
            <w:proofErr w:type="spellEnd"/>
          </w:p>
        </w:tc>
        <w:tc>
          <w:tcPr>
            <w:tcW w:w="2125" w:type="pct"/>
            <w:tcBorders>
              <w:top w:val="single" w:sz="4" w:space="0" w:color="auto"/>
              <w:left w:val="single" w:sz="4" w:space="0" w:color="auto"/>
              <w:bottom w:val="single" w:sz="4" w:space="0" w:color="auto"/>
              <w:right w:val="single" w:sz="4" w:space="0" w:color="auto"/>
            </w:tcBorders>
            <w:hideMark/>
          </w:tcPr>
          <w:p w14:paraId="4BFA1F9E" w14:textId="77777777" w:rsidR="005C5AEF" w:rsidRPr="00A3780A" w:rsidRDefault="005C5AEF" w:rsidP="000815D2">
            <w:pPr>
              <w:rPr>
                <w:sz w:val="24"/>
                <w:szCs w:val="24"/>
                <w:lang w:val="da-DK"/>
              </w:rPr>
            </w:pPr>
            <w:r w:rsidRPr="00A3780A">
              <w:rPr>
                <w:sz w:val="24"/>
                <w:szCs w:val="24"/>
                <w:lang w:val="da-DK"/>
              </w:rPr>
              <w:t xml:space="preserve">Øget koncentration af frit </w:t>
            </w:r>
            <w:proofErr w:type="spellStart"/>
            <w:r w:rsidRPr="00A3780A">
              <w:rPr>
                <w:sz w:val="24"/>
                <w:szCs w:val="24"/>
                <w:lang w:val="da-DK"/>
              </w:rPr>
              <w:t>midazolam</w:t>
            </w:r>
            <w:proofErr w:type="spellEnd"/>
            <w:r w:rsidRPr="00A3780A">
              <w:rPr>
                <w:sz w:val="24"/>
                <w:szCs w:val="24"/>
                <w:lang w:val="da-DK"/>
              </w:rPr>
              <w:t xml:space="preserve"> på grund af </w:t>
            </w:r>
            <w:proofErr w:type="spellStart"/>
            <w:r w:rsidRPr="00A3780A">
              <w:rPr>
                <w:sz w:val="24"/>
                <w:szCs w:val="24"/>
                <w:lang w:val="da-DK"/>
              </w:rPr>
              <w:t>valproinsyres</w:t>
            </w:r>
            <w:proofErr w:type="spellEnd"/>
            <w:r w:rsidRPr="00A3780A">
              <w:rPr>
                <w:sz w:val="24"/>
                <w:szCs w:val="24"/>
                <w:lang w:val="da-DK"/>
              </w:rPr>
              <w:t xml:space="preserve"> forskydning fra plasmaproteinbindingssteder kan ikke udelukkes, selvom den kliniske relevans af en sådan interaktion ikke er kendt.</w:t>
            </w:r>
          </w:p>
        </w:tc>
      </w:tr>
      <w:tr w:rsidR="005C5AEF" w:rsidRPr="00A3780A" w14:paraId="60171F83" w14:textId="77777777" w:rsidTr="00343441">
        <w:trPr>
          <w:trHeight w:val="980"/>
        </w:trPr>
        <w:tc>
          <w:tcPr>
            <w:tcW w:w="1448" w:type="pct"/>
            <w:tcBorders>
              <w:top w:val="single" w:sz="4" w:space="0" w:color="auto"/>
              <w:left w:val="single" w:sz="4" w:space="0" w:color="auto"/>
              <w:bottom w:val="single" w:sz="4" w:space="0" w:color="auto"/>
              <w:right w:val="single" w:sz="4" w:space="0" w:color="auto"/>
            </w:tcBorders>
          </w:tcPr>
          <w:p w14:paraId="54E3D53F" w14:textId="77777777" w:rsidR="005C5AEF" w:rsidRPr="00A3780A" w:rsidRDefault="005C5AEF" w:rsidP="000815D2">
            <w:pPr>
              <w:rPr>
                <w:b/>
                <w:i/>
                <w:sz w:val="24"/>
                <w:szCs w:val="24"/>
                <w:u w:val="single"/>
                <w:lang w:val="da-DK"/>
              </w:rPr>
            </w:pPr>
            <w:proofErr w:type="spellStart"/>
            <w:r w:rsidRPr="00A3780A">
              <w:rPr>
                <w:b/>
                <w:i/>
                <w:sz w:val="24"/>
                <w:szCs w:val="24"/>
                <w:u w:val="single"/>
                <w:lang w:val="da-DK"/>
              </w:rPr>
              <w:t>Farmakodynamiske</w:t>
            </w:r>
            <w:proofErr w:type="spellEnd"/>
            <w:r w:rsidRPr="00A3780A">
              <w:rPr>
                <w:b/>
                <w:i/>
                <w:sz w:val="24"/>
                <w:szCs w:val="24"/>
                <w:u w:val="single"/>
                <w:lang w:val="da-DK"/>
              </w:rPr>
              <w:t xml:space="preserve"> lægemiddelinteraktioner:</w:t>
            </w:r>
          </w:p>
          <w:p w14:paraId="4378A595" w14:textId="77777777" w:rsidR="005C5AEF" w:rsidRPr="00A3780A" w:rsidRDefault="005C5AEF" w:rsidP="000815D2">
            <w:pPr>
              <w:rPr>
                <w:sz w:val="24"/>
                <w:szCs w:val="24"/>
                <w:u w:val="single"/>
                <w:lang w:val="da-DK"/>
              </w:rPr>
            </w:pPr>
          </w:p>
        </w:tc>
        <w:tc>
          <w:tcPr>
            <w:tcW w:w="1427" w:type="pct"/>
            <w:tcBorders>
              <w:top w:val="single" w:sz="4" w:space="0" w:color="auto"/>
              <w:left w:val="single" w:sz="4" w:space="0" w:color="auto"/>
              <w:bottom w:val="single" w:sz="4" w:space="0" w:color="auto"/>
              <w:right w:val="single" w:sz="4" w:space="0" w:color="auto"/>
            </w:tcBorders>
            <w:hideMark/>
          </w:tcPr>
          <w:p w14:paraId="06751ADA" w14:textId="77777777" w:rsidR="005C5AEF" w:rsidRPr="00A3780A" w:rsidRDefault="005C5AEF" w:rsidP="000815D2">
            <w:pPr>
              <w:rPr>
                <w:sz w:val="24"/>
                <w:szCs w:val="24"/>
                <w:lang w:val="da-DK"/>
              </w:rPr>
            </w:pPr>
            <w:r w:rsidRPr="00A3780A">
              <w:rPr>
                <w:sz w:val="24"/>
                <w:szCs w:val="24"/>
                <w:lang w:val="da-DK"/>
              </w:rPr>
              <w:t>Sederende/hypnotiske midler og CNS-</w:t>
            </w:r>
            <w:proofErr w:type="spellStart"/>
            <w:r w:rsidRPr="00A3780A">
              <w:rPr>
                <w:sz w:val="24"/>
                <w:szCs w:val="24"/>
                <w:lang w:val="da-DK"/>
              </w:rPr>
              <w:t>depressiva</w:t>
            </w:r>
            <w:proofErr w:type="spellEnd"/>
            <w:r w:rsidRPr="00A3780A">
              <w:rPr>
                <w:sz w:val="24"/>
                <w:szCs w:val="24"/>
                <w:lang w:val="da-DK"/>
              </w:rPr>
              <w:t>, herunder alkohol</w:t>
            </w:r>
          </w:p>
        </w:tc>
        <w:tc>
          <w:tcPr>
            <w:tcW w:w="2125" w:type="pct"/>
            <w:tcBorders>
              <w:top w:val="single" w:sz="4" w:space="0" w:color="auto"/>
              <w:left w:val="single" w:sz="4" w:space="0" w:color="auto"/>
              <w:bottom w:val="single" w:sz="4" w:space="0" w:color="auto"/>
              <w:right w:val="single" w:sz="4" w:space="0" w:color="auto"/>
            </w:tcBorders>
          </w:tcPr>
          <w:p w14:paraId="5593C8E1" w14:textId="77777777" w:rsidR="005C5AEF" w:rsidRPr="00A3780A" w:rsidRDefault="005C5AEF" w:rsidP="000815D2">
            <w:pPr>
              <w:rPr>
                <w:sz w:val="24"/>
                <w:szCs w:val="24"/>
                <w:lang w:val="da-DK"/>
              </w:rPr>
            </w:pPr>
            <w:r w:rsidRPr="00A3780A">
              <w:rPr>
                <w:sz w:val="24"/>
                <w:szCs w:val="24"/>
                <w:lang w:val="da-DK"/>
              </w:rPr>
              <w:t xml:space="preserve">Samtidig administration af </w:t>
            </w:r>
            <w:proofErr w:type="spellStart"/>
            <w:r w:rsidRPr="00A3780A">
              <w:rPr>
                <w:sz w:val="24"/>
                <w:szCs w:val="24"/>
                <w:lang w:val="da-DK"/>
              </w:rPr>
              <w:t>midazolam</w:t>
            </w:r>
            <w:proofErr w:type="spellEnd"/>
            <w:r w:rsidRPr="00A3780A">
              <w:rPr>
                <w:sz w:val="24"/>
                <w:szCs w:val="24"/>
                <w:lang w:val="da-DK"/>
              </w:rPr>
              <w:t xml:space="preserve"> og andre sederende/hypnotiske midler og CNS-</w:t>
            </w:r>
            <w:proofErr w:type="spellStart"/>
            <w:r w:rsidRPr="00A3780A">
              <w:rPr>
                <w:sz w:val="24"/>
                <w:szCs w:val="24"/>
                <w:lang w:val="da-DK"/>
              </w:rPr>
              <w:t>depressiva</w:t>
            </w:r>
            <w:proofErr w:type="spellEnd"/>
            <w:r w:rsidRPr="00A3780A">
              <w:rPr>
                <w:sz w:val="24"/>
                <w:szCs w:val="24"/>
                <w:lang w:val="da-DK"/>
              </w:rPr>
              <w:t xml:space="preserve">, herunder alkohol, vil sandsynligvis resultere i øget sedation og </w:t>
            </w:r>
            <w:proofErr w:type="spellStart"/>
            <w:r w:rsidRPr="00A3780A">
              <w:rPr>
                <w:sz w:val="24"/>
                <w:szCs w:val="24"/>
                <w:lang w:val="da-DK"/>
              </w:rPr>
              <w:t>kardiorespiratorisk</w:t>
            </w:r>
            <w:proofErr w:type="spellEnd"/>
            <w:r w:rsidRPr="00A3780A">
              <w:rPr>
                <w:sz w:val="24"/>
                <w:szCs w:val="24"/>
                <w:lang w:val="da-DK"/>
              </w:rPr>
              <w:t xml:space="preserve"> depression.</w:t>
            </w:r>
          </w:p>
          <w:p w14:paraId="218E359C" w14:textId="77777777" w:rsidR="005C5AEF" w:rsidRPr="00A3780A" w:rsidRDefault="005C5AEF" w:rsidP="000815D2">
            <w:pPr>
              <w:rPr>
                <w:sz w:val="24"/>
                <w:szCs w:val="24"/>
                <w:lang w:val="da-DK"/>
              </w:rPr>
            </w:pPr>
          </w:p>
          <w:p w14:paraId="67AB5B4A" w14:textId="77777777" w:rsidR="005C5AEF" w:rsidRPr="00A3780A" w:rsidRDefault="005C5AEF" w:rsidP="000815D2">
            <w:pPr>
              <w:rPr>
                <w:sz w:val="24"/>
                <w:szCs w:val="24"/>
                <w:lang w:val="da-DK"/>
              </w:rPr>
            </w:pPr>
            <w:r w:rsidRPr="00A3780A">
              <w:rPr>
                <w:sz w:val="24"/>
                <w:szCs w:val="24"/>
                <w:lang w:val="da-DK"/>
              </w:rPr>
              <w:t xml:space="preserve">Eksempler omfatter opiatderivater (hvad enten de bruges som smertestillende midler, hostestillende midler eller substituerende behandlinger), antipsykotika, andre benzodiazepiner, der anvendes som angstdæmpende eller hypnotiske midler, barbiturater, </w:t>
            </w:r>
            <w:proofErr w:type="spellStart"/>
            <w:r w:rsidRPr="00A3780A">
              <w:rPr>
                <w:sz w:val="24"/>
                <w:szCs w:val="24"/>
                <w:lang w:val="da-DK"/>
              </w:rPr>
              <w:t>propofol</w:t>
            </w:r>
            <w:proofErr w:type="spellEnd"/>
            <w:r w:rsidRPr="00A3780A">
              <w:rPr>
                <w:sz w:val="24"/>
                <w:szCs w:val="24"/>
                <w:lang w:val="da-DK"/>
              </w:rPr>
              <w:t xml:space="preserve">, </w:t>
            </w:r>
            <w:proofErr w:type="spellStart"/>
            <w:r w:rsidRPr="00A3780A">
              <w:rPr>
                <w:sz w:val="24"/>
                <w:szCs w:val="24"/>
                <w:lang w:val="da-DK"/>
              </w:rPr>
              <w:t>ketamin</w:t>
            </w:r>
            <w:proofErr w:type="spellEnd"/>
            <w:r w:rsidRPr="00A3780A">
              <w:rPr>
                <w:sz w:val="24"/>
                <w:szCs w:val="24"/>
                <w:lang w:val="da-DK"/>
              </w:rPr>
              <w:t xml:space="preserve">, </w:t>
            </w:r>
            <w:proofErr w:type="spellStart"/>
            <w:r w:rsidRPr="00A3780A">
              <w:rPr>
                <w:sz w:val="24"/>
                <w:szCs w:val="24"/>
                <w:lang w:val="da-DK"/>
              </w:rPr>
              <w:t>etomidat</w:t>
            </w:r>
            <w:proofErr w:type="spellEnd"/>
            <w:r w:rsidRPr="00A3780A">
              <w:rPr>
                <w:sz w:val="24"/>
                <w:szCs w:val="24"/>
                <w:lang w:val="da-DK"/>
              </w:rPr>
              <w:t xml:space="preserve">; sederende </w:t>
            </w:r>
            <w:proofErr w:type="spellStart"/>
            <w:r w:rsidRPr="00A3780A">
              <w:rPr>
                <w:sz w:val="24"/>
                <w:szCs w:val="24"/>
                <w:lang w:val="da-DK"/>
              </w:rPr>
              <w:t>antidepressiva</w:t>
            </w:r>
            <w:proofErr w:type="spellEnd"/>
            <w:r w:rsidRPr="00A3780A">
              <w:rPr>
                <w:sz w:val="24"/>
                <w:szCs w:val="24"/>
                <w:lang w:val="da-DK"/>
              </w:rPr>
              <w:t xml:space="preserve">, tidlige generationer af HI-antihistaminer og centralt virkende </w:t>
            </w:r>
            <w:proofErr w:type="spellStart"/>
            <w:r w:rsidRPr="00A3780A">
              <w:rPr>
                <w:sz w:val="24"/>
                <w:szCs w:val="24"/>
                <w:lang w:val="da-DK"/>
              </w:rPr>
              <w:t>antihypertensiva</w:t>
            </w:r>
            <w:proofErr w:type="spellEnd"/>
            <w:r w:rsidRPr="00A3780A">
              <w:rPr>
                <w:sz w:val="24"/>
                <w:szCs w:val="24"/>
                <w:lang w:val="da-DK"/>
              </w:rPr>
              <w:t>.</w:t>
            </w:r>
          </w:p>
          <w:p w14:paraId="33DA19DF" w14:textId="77777777" w:rsidR="005C5AEF" w:rsidRPr="00A3780A" w:rsidRDefault="005C5AEF" w:rsidP="000815D2">
            <w:pPr>
              <w:rPr>
                <w:sz w:val="24"/>
                <w:szCs w:val="24"/>
                <w:lang w:val="da-DK"/>
              </w:rPr>
            </w:pPr>
          </w:p>
          <w:p w14:paraId="511F60BE" w14:textId="77777777" w:rsidR="005C5AEF" w:rsidRPr="00A3780A" w:rsidRDefault="005C5AEF" w:rsidP="000815D2">
            <w:pPr>
              <w:rPr>
                <w:sz w:val="24"/>
                <w:szCs w:val="24"/>
                <w:lang w:val="da-DK"/>
              </w:rPr>
            </w:pPr>
            <w:r w:rsidRPr="00A3780A">
              <w:rPr>
                <w:sz w:val="24"/>
                <w:szCs w:val="24"/>
                <w:lang w:val="da-DK"/>
              </w:rPr>
              <w:t xml:space="preserve">Alkohol kan forstærke den sederende virkning af </w:t>
            </w:r>
            <w:proofErr w:type="spellStart"/>
            <w:r w:rsidRPr="00A3780A">
              <w:rPr>
                <w:sz w:val="24"/>
                <w:szCs w:val="24"/>
                <w:lang w:val="da-DK"/>
              </w:rPr>
              <w:t>midazolam</w:t>
            </w:r>
            <w:proofErr w:type="spellEnd"/>
            <w:r w:rsidRPr="00A3780A">
              <w:rPr>
                <w:sz w:val="24"/>
                <w:szCs w:val="24"/>
                <w:lang w:val="da-DK"/>
              </w:rPr>
              <w:t xml:space="preserve"> markant. Alkoholindtagelse bør i særdeleshed undgås i tilfælde af administration af </w:t>
            </w:r>
            <w:proofErr w:type="spellStart"/>
            <w:r w:rsidRPr="00A3780A">
              <w:rPr>
                <w:sz w:val="24"/>
                <w:szCs w:val="24"/>
                <w:lang w:val="da-DK"/>
              </w:rPr>
              <w:t>midazolam</w:t>
            </w:r>
            <w:proofErr w:type="spellEnd"/>
            <w:r w:rsidRPr="00A3780A">
              <w:rPr>
                <w:sz w:val="24"/>
                <w:szCs w:val="24"/>
                <w:lang w:val="da-DK"/>
              </w:rPr>
              <w:t xml:space="preserve"> (se pkt. 4.4).</w:t>
            </w:r>
          </w:p>
          <w:p w14:paraId="3BCF45F8" w14:textId="77777777" w:rsidR="005C5AEF" w:rsidRPr="00A3780A" w:rsidRDefault="005C5AEF" w:rsidP="000815D2">
            <w:pPr>
              <w:rPr>
                <w:sz w:val="24"/>
                <w:szCs w:val="24"/>
                <w:lang w:val="da-DK"/>
              </w:rPr>
            </w:pPr>
          </w:p>
          <w:p w14:paraId="19BC18FB" w14:textId="77777777" w:rsidR="005C5AEF" w:rsidRPr="00A3780A" w:rsidRDefault="005C5AEF" w:rsidP="000815D2">
            <w:pPr>
              <w:rPr>
                <w:sz w:val="24"/>
                <w:szCs w:val="24"/>
                <w:lang w:val="da-DK"/>
              </w:rPr>
            </w:pPr>
            <w:proofErr w:type="spellStart"/>
            <w:r w:rsidRPr="00A3780A">
              <w:rPr>
                <w:sz w:val="24"/>
                <w:szCs w:val="24"/>
                <w:lang w:val="da-DK"/>
              </w:rPr>
              <w:t>Midazolam</w:t>
            </w:r>
            <w:proofErr w:type="spellEnd"/>
            <w:r w:rsidRPr="00A3780A">
              <w:rPr>
                <w:sz w:val="24"/>
                <w:szCs w:val="24"/>
                <w:lang w:val="da-DK"/>
              </w:rPr>
              <w:t xml:space="preserve"> nedsætter den minimale alveolære koncentration (MAC) af </w:t>
            </w:r>
            <w:proofErr w:type="spellStart"/>
            <w:r w:rsidRPr="00A3780A">
              <w:rPr>
                <w:sz w:val="24"/>
                <w:szCs w:val="24"/>
                <w:lang w:val="da-DK"/>
              </w:rPr>
              <w:t>inhalationsanæstetika</w:t>
            </w:r>
            <w:proofErr w:type="spellEnd"/>
            <w:r w:rsidRPr="00A3780A">
              <w:rPr>
                <w:sz w:val="24"/>
                <w:szCs w:val="24"/>
                <w:lang w:val="da-DK"/>
              </w:rPr>
              <w:t>.</w:t>
            </w:r>
          </w:p>
        </w:tc>
      </w:tr>
    </w:tbl>
    <w:p w14:paraId="6E48F4F0" w14:textId="70FE2240" w:rsidR="00A3780A" w:rsidRDefault="00A3780A" w:rsidP="009260DE">
      <w:pPr>
        <w:tabs>
          <w:tab w:val="left" w:pos="851"/>
        </w:tabs>
        <w:ind w:left="851"/>
        <w:rPr>
          <w:sz w:val="24"/>
          <w:szCs w:val="24"/>
        </w:rPr>
      </w:pPr>
    </w:p>
    <w:p w14:paraId="7FE9994A" w14:textId="77777777" w:rsidR="009260DE" w:rsidRPr="000E70D5" w:rsidRDefault="009260DE" w:rsidP="009260DE">
      <w:pPr>
        <w:tabs>
          <w:tab w:val="left" w:pos="851"/>
        </w:tabs>
        <w:ind w:left="851" w:hanging="851"/>
        <w:rPr>
          <w:b/>
          <w:sz w:val="24"/>
          <w:szCs w:val="24"/>
        </w:rPr>
      </w:pPr>
      <w:r w:rsidRPr="000E70D5">
        <w:rPr>
          <w:b/>
          <w:sz w:val="24"/>
          <w:szCs w:val="24"/>
        </w:rPr>
        <w:t>4.6</w:t>
      </w:r>
      <w:r w:rsidRPr="000E70D5">
        <w:rPr>
          <w:b/>
          <w:sz w:val="24"/>
          <w:szCs w:val="24"/>
        </w:rPr>
        <w:tab/>
      </w:r>
      <w:r w:rsidR="0071241E" w:rsidRPr="000E70D5">
        <w:rPr>
          <w:b/>
          <w:sz w:val="24"/>
          <w:szCs w:val="24"/>
        </w:rPr>
        <w:t>Fertilitet, g</w:t>
      </w:r>
      <w:r w:rsidRPr="000E70D5">
        <w:rPr>
          <w:b/>
          <w:sz w:val="24"/>
          <w:szCs w:val="24"/>
        </w:rPr>
        <w:t>raviditet og amning</w:t>
      </w:r>
    </w:p>
    <w:p w14:paraId="428EF877" w14:textId="77777777" w:rsidR="00B024F5" w:rsidRDefault="00B024F5" w:rsidP="00445723">
      <w:pPr>
        <w:ind w:left="851"/>
        <w:rPr>
          <w:sz w:val="24"/>
          <w:szCs w:val="24"/>
        </w:rPr>
      </w:pPr>
    </w:p>
    <w:p w14:paraId="06CF943D" w14:textId="7DC67BF9" w:rsidR="003E438B" w:rsidRPr="00B024F5" w:rsidRDefault="003E438B" w:rsidP="00445723">
      <w:pPr>
        <w:ind w:left="851"/>
        <w:rPr>
          <w:sz w:val="24"/>
          <w:szCs w:val="24"/>
          <w:u w:val="single"/>
        </w:rPr>
      </w:pPr>
      <w:r w:rsidRPr="00B024F5">
        <w:rPr>
          <w:sz w:val="24"/>
          <w:szCs w:val="24"/>
          <w:u w:val="single"/>
        </w:rPr>
        <w:t>Graviditet</w:t>
      </w:r>
    </w:p>
    <w:p w14:paraId="6476AD51" w14:textId="77777777" w:rsidR="003E438B" w:rsidRPr="000E70D5" w:rsidRDefault="003E438B" w:rsidP="00445723">
      <w:pPr>
        <w:ind w:left="851"/>
        <w:rPr>
          <w:sz w:val="24"/>
          <w:szCs w:val="24"/>
        </w:rPr>
      </w:pPr>
      <w:r w:rsidRPr="000E70D5">
        <w:rPr>
          <w:sz w:val="24"/>
          <w:szCs w:val="24"/>
        </w:rPr>
        <w:t xml:space="preserve">Der foreligger ikke tilstrækkelige data om </w:t>
      </w:r>
      <w:proofErr w:type="spellStart"/>
      <w:r w:rsidRPr="000E70D5">
        <w:rPr>
          <w:sz w:val="24"/>
          <w:szCs w:val="24"/>
        </w:rPr>
        <w:t>midazolam</w:t>
      </w:r>
      <w:proofErr w:type="spellEnd"/>
      <w:r w:rsidRPr="000E70D5">
        <w:rPr>
          <w:sz w:val="24"/>
          <w:szCs w:val="24"/>
        </w:rPr>
        <w:t xml:space="preserve"> til at bedømme dets sikkerhed under graviditet. Dyreforsøg tyder ikke på en </w:t>
      </w:r>
      <w:proofErr w:type="spellStart"/>
      <w:r w:rsidRPr="000E70D5">
        <w:rPr>
          <w:sz w:val="24"/>
          <w:szCs w:val="24"/>
        </w:rPr>
        <w:t>teratogen</w:t>
      </w:r>
      <w:proofErr w:type="spellEnd"/>
      <w:r w:rsidRPr="000E70D5">
        <w:rPr>
          <w:sz w:val="24"/>
          <w:szCs w:val="24"/>
        </w:rPr>
        <w:t xml:space="preserve"> virkning, men som for andre benzodiazepiner er der set </w:t>
      </w:r>
      <w:proofErr w:type="spellStart"/>
      <w:r w:rsidRPr="000E70D5">
        <w:rPr>
          <w:sz w:val="24"/>
          <w:szCs w:val="24"/>
        </w:rPr>
        <w:t>føtotoksicitet</w:t>
      </w:r>
      <w:proofErr w:type="spellEnd"/>
      <w:r w:rsidRPr="000E70D5">
        <w:rPr>
          <w:sz w:val="24"/>
          <w:szCs w:val="24"/>
        </w:rPr>
        <w:t xml:space="preserve">. </w:t>
      </w:r>
    </w:p>
    <w:p w14:paraId="37E3EF5E" w14:textId="77777777" w:rsidR="003E438B" w:rsidRPr="000E70D5" w:rsidRDefault="003E438B" w:rsidP="00445723">
      <w:pPr>
        <w:ind w:left="851"/>
        <w:rPr>
          <w:sz w:val="24"/>
          <w:szCs w:val="24"/>
        </w:rPr>
      </w:pPr>
    </w:p>
    <w:p w14:paraId="3E62B50D" w14:textId="77777777" w:rsidR="003E438B" w:rsidRPr="000E70D5" w:rsidRDefault="003E438B" w:rsidP="00445723">
      <w:pPr>
        <w:ind w:left="851"/>
        <w:rPr>
          <w:sz w:val="24"/>
          <w:szCs w:val="24"/>
        </w:rPr>
      </w:pPr>
      <w:r w:rsidRPr="000E70D5">
        <w:rPr>
          <w:sz w:val="24"/>
          <w:szCs w:val="24"/>
        </w:rPr>
        <w:t xml:space="preserve">Der er rapporteret om medfødte misdannelser hos kvinder, der havde taget benzodiazepiner, herunder </w:t>
      </w:r>
      <w:proofErr w:type="spellStart"/>
      <w:r w:rsidRPr="000E70D5">
        <w:rPr>
          <w:sz w:val="24"/>
          <w:szCs w:val="24"/>
        </w:rPr>
        <w:t>midazolam</w:t>
      </w:r>
      <w:proofErr w:type="spellEnd"/>
      <w:r w:rsidRPr="000E70D5">
        <w:rPr>
          <w:sz w:val="24"/>
          <w:szCs w:val="24"/>
        </w:rPr>
        <w:t>, i graviditetens første trimester. Årsagen til disse indberettede misdannelser er ikke klarlagt.</w:t>
      </w:r>
    </w:p>
    <w:p w14:paraId="6BC88DA2" w14:textId="77777777" w:rsidR="003E438B" w:rsidRPr="000E70D5" w:rsidRDefault="003E438B" w:rsidP="00445723">
      <w:pPr>
        <w:ind w:left="851"/>
        <w:rPr>
          <w:sz w:val="24"/>
          <w:szCs w:val="24"/>
        </w:rPr>
      </w:pPr>
      <w:r w:rsidRPr="000E70D5">
        <w:rPr>
          <w:sz w:val="24"/>
          <w:szCs w:val="24"/>
        </w:rPr>
        <w:t xml:space="preserve"> </w:t>
      </w:r>
    </w:p>
    <w:p w14:paraId="07EE7EDC" w14:textId="77777777" w:rsidR="003E438B" w:rsidRPr="000E70D5" w:rsidRDefault="003E438B" w:rsidP="00445723">
      <w:pPr>
        <w:ind w:left="851"/>
        <w:rPr>
          <w:sz w:val="24"/>
          <w:szCs w:val="24"/>
        </w:rPr>
      </w:pPr>
      <w:r w:rsidRPr="000E70D5">
        <w:rPr>
          <w:sz w:val="24"/>
          <w:szCs w:val="24"/>
        </w:rPr>
        <w:t xml:space="preserve">Det er rapporteret, at administration af høje </w:t>
      </w:r>
      <w:proofErr w:type="spellStart"/>
      <w:r w:rsidRPr="000E70D5">
        <w:rPr>
          <w:sz w:val="24"/>
          <w:szCs w:val="24"/>
        </w:rPr>
        <w:t>midazolamdoser</w:t>
      </w:r>
      <w:proofErr w:type="spellEnd"/>
      <w:r w:rsidRPr="000E70D5">
        <w:rPr>
          <w:sz w:val="24"/>
          <w:szCs w:val="24"/>
        </w:rPr>
        <w:t xml:space="preserve"> i graviditetens sidste trimester, under fødslen eller til induktion af anæstesi ved kejsersnit medførte bivirkninger hos moderen eller fostret (inhalationsrisiko hos moderen, uregelmæssig hjertefrekvens hos fostret samt </w:t>
      </w:r>
      <w:proofErr w:type="spellStart"/>
      <w:r w:rsidRPr="000E70D5">
        <w:rPr>
          <w:sz w:val="24"/>
          <w:szCs w:val="24"/>
        </w:rPr>
        <w:t>hypotoni</w:t>
      </w:r>
      <w:proofErr w:type="spellEnd"/>
      <w:r w:rsidRPr="000E70D5">
        <w:rPr>
          <w:sz w:val="24"/>
          <w:szCs w:val="24"/>
        </w:rPr>
        <w:t xml:space="preserve">, dårlig sutteevne, </w:t>
      </w:r>
      <w:proofErr w:type="spellStart"/>
      <w:r w:rsidRPr="000E70D5">
        <w:rPr>
          <w:sz w:val="24"/>
          <w:szCs w:val="24"/>
        </w:rPr>
        <w:t>hypotermi</w:t>
      </w:r>
      <w:proofErr w:type="spellEnd"/>
      <w:r w:rsidRPr="000E70D5">
        <w:rPr>
          <w:sz w:val="24"/>
          <w:szCs w:val="24"/>
        </w:rPr>
        <w:t xml:space="preserve"> og respirationsdepression hos den nyfødte).</w:t>
      </w:r>
    </w:p>
    <w:p w14:paraId="63856CE6" w14:textId="77777777" w:rsidR="003E438B" w:rsidRPr="000E70D5" w:rsidRDefault="003E438B" w:rsidP="00445723">
      <w:pPr>
        <w:ind w:left="851"/>
        <w:rPr>
          <w:sz w:val="24"/>
          <w:szCs w:val="24"/>
        </w:rPr>
      </w:pPr>
    </w:p>
    <w:p w14:paraId="10AFAF7D" w14:textId="77777777" w:rsidR="003E438B" w:rsidRPr="000E70D5" w:rsidRDefault="003E438B" w:rsidP="00445723">
      <w:pPr>
        <w:ind w:left="851"/>
        <w:rPr>
          <w:sz w:val="24"/>
          <w:szCs w:val="24"/>
        </w:rPr>
      </w:pPr>
      <w:r w:rsidRPr="000E70D5">
        <w:rPr>
          <w:sz w:val="24"/>
          <w:szCs w:val="24"/>
        </w:rPr>
        <w:t xml:space="preserve">Der kan endvidere være risiko for, at børn født af mødre, som har fået langvarig behandling med benzodiazepiner i det sene stadium af graviditeten, kan have udviklet fysisk afhængighed og dermed have en vis risiko for at få abstinenssymptomer i den </w:t>
      </w:r>
      <w:proofErr w:type="spellStart"/>
      <w:r w:rsidRPr="000E70D5">
        <w:rPr>
          <w:sz w:val="24"/>
          <w:szCs w:val="24"/>
        </w:rPr>
        <w:t>postnatale</w:t>
      </w:r>
      <w:proofErr w:type="spellEnd"/>
      <w:r w:rsidRPr="000E70D5">
        <w:rPr>
          <w:sz w:val="24"/>
          <w:szCs w:val="24"/>
        </w:rPr>
        <w:t xml:space="preserve"> periode.</w:t>
      </w:r>
    </w:p>
    <w:p w14:paraId="3EEC1285" w14:textId="77777777" w:rsidR="003E438B" w:rsidRPr="000E70D5" w:rsidRDefault="003E438B" w:rsidP="00445723">
      <w:pPr>
        <w:ind w:left="851"/>
        <w:rPr>
          <w:sz w:val="24"/>
          <w:szCs w:val="24"/>
        </w:rPr>
      </w:pPr>
    </w:p>
    <w:p w14:paraId="018F566E" w14:textId="77777777" w:rsidR="003E438B" w:rsidRPr="000E70D5" w:rsidRDefault="003E438B" w:rsidP="00445723">
      <w:pPr>
        <w:ind w:left="851"/>
        <w:rPr>
          <w:sz w:val="24"/>
          <w:szCs w:val="24"/>
        </w:rPr>
      </w:pPr>
      <w:r w:rsidRPr="000E70D5">
        <w:rPr>
          <w:sz w:val="24"/>
          <w:szCs w:val="24"/>
        </w:rPr>
        <w:t xml:space="preserve">Følgelig kan </w:t>
      </w:r>
      <w:proofErr w:type="spellStart"/>
      <w:r w:rsidRPr="000E70D5">
        <w:rPr>
          <w:sz w:val="24"/>
          <w:szCs w:val="24"/>
        </w:rPr>
        <w:t>midazolam</w:t>
      </w:r>
      <w:proofErr w:type="spellEnd"/>
      <w:r w:rsidRPr="000E70D5">
        <w:rPr>
          <w:sz w:val="24"/>
          <w:szCs w:val="24"/>
        </w:rPr>
        <w:t xml:space="preserve"> anvendes under graviditet, hvis det er klart nødvendigt, men det bør undgås i forbindelse med kejsersnit. </w:t>
      </w:r>
    </w:p>
    <w:p w14:paraId="72F372D4" w14:textId="77777777" w:rsidR="003E438B" w:rsidRPr="000E70D5" w:rsidRDefault="003E438B" w:rsidP="00445723">
      <w:pPr>
        <w:ind w:left="851"/>
        <w:rPr>
          <w:sz w:val="24"/>
          <w:szCs w:val="24"/>
        </w:rPr>
      </w:pPr>
      <w:r w:rsidRPr="000E70D5">
        <w:rPr>
          <w:sz w:val="24"/>
          <w:szCs w:val="24"/>
        </w:rPr>
        <w:t xml:space="preserve">Risikoen for nyfødte skal tages i betragtning i tilfælde af administration af </w:t>
      </w:r>
      <w:proofErr w:type="spellStart"/>
      <w:r w:rsidRPr="000E70D5">
        <w:rPr>
          <w:sz w:val="24"/>
          <w:szCs w:val="24"/>
        </w:rPr>
        <w:t>midazolam</w:t>
      </w:r>
      <w:proofErr w:type="spellEnd"/>
      <w:r w:rsidRPr="000E70D5">
        <w:rPr>
          <w:sz w:val="24"/>
          <w:szCs w:val="24"/>
        </w:rPr>
        <w:t xml:space="preserve"> i forbindelse med kirurgi tæt på terminen.</w:t>
      </w:r>
    </w:p>
    <w:p w14:paraId="00892A0E" w14:textId="77777777" w:rsidR="003E438B" w:rsidRPr="000E70D5" w:rsidRDefault="003E438B" w:rsidP="00445723">
      <w:pPr>
        <w:ind w:left="851"/>
        <w:rPr>
          <w:sz w:val="24"/>
          <w:szCs w:val="24"/>
        </w:rPr>
      </w:pPr>
    </w:p>
    <w:p w14:paraId="291EFD7B" w14:textId="77777777" w:rsidR="003E438B" w:rsidRPr="00B024F5" w:rsidRDefault="003E438B" w:rsidP="00445723">
      <w:pPr>
        <w:ind w:left="851"/>
        <w:rPr>
          <w:sz w:val="24"/>
          <w:szCs w:val="24"/>
          <w:u w:val="single"/>
        </w:rPr>
      </w:pPr>
      <w:r w:rsidRPr="00B024F5">
        <w:rPr>
          <w:sz w:val="24"/>
          <w:szCs w:val="24"/>
          <w:u w:val="single"/>
        </w:rPr>
        <w:t>Amning</w:t>
      </w:r>
    </w:p>
    <w:p w14:paraId="24EF1979" w14:textId="77777777" w:rsidR="003E438B" w:rsidRPr="000E70D5" w:rsidRDefault="003E438B" w:rsidP="00445723">
      <w:pPr>
        <w:ind w:left="851"/>
        <w:rPr>
          <w:sz w:val="24"/>
          <w:szCs w:val="24"/>
        </w:rPr>
      </w:pPr>
      <w:proofErr w:type="spellStart"/>
      <w:r w:rsidRPr="000E70D5">
        <w:rPr>
          <w:sz w:val="24"/>
          <w:szCs w:val="24"/>
        </w:rPr>
        <w:t>Midazolam</w:t>
      </w:r>
      <w:proofErr w:type="spellEnd"/>
      <w:r w:rsidRPr="000E70D5">
        <w:rPr>
          <w:sz w:val="24"/>
          <w:szCs w:val="24"/>
        </w:rPr>
        <w:t xml:space="preserve"> udskilles i brystmælken i små mængder. Ammende mødre skal rådes til at afbryde amningen i 24 timer efter administration af </w:t>
      </w:r>
      <w:proofErr w:type="spellStart"/>
      <w:r w:rsidRPr="000E70D5">
        <w:rPr>
          <w:sz w:val="24"/>
          <w:szCs w:val="24"/>
        </w:rPr>
        <w:t>midazolam</w:t>
      </w:r>
      <w:proofErr w:type="spellEnd"/>
      <w:r w:rsidRPr="000E70D5">
        <w:rPr>
          <w:sz w:val="24"/>
          <w:szCs w:val="24"/>
        </w:rPr>
        <w:t>.</w:t>
      </w:r>
    </w:p>
    <w:p w14:paraId="0FE3AD66" w14:textId="77777777" w:rsidR="009260DE" w:rsidRPr="000E70D5" w:rsidRDefault="009260DE" w:rsidP="009260DE">
      <w:pPr>
        <w:tabs>
          <w:tab w:val="left" w:pos="851"/>
        </w:tabs>
        <w:ind w:left="851"/>
        <w:rPr>
          <w:sz w:val="24"/>
          <w:szCs w:val="24"/>
        </w:rPr>
      </w:pPr>
    </w:p>
    <w:p w14:paraId="2C7FE8A3" w14:textId="77777777" w:rsidR="009260DE" w:rsidRPr="000E70D5" w:rsidRDefault="009260DE" w:rsidP="009260DE">
      <w:pPr>
        <w:tabs>
          <w:tab w:val="left" w:pos="851"/>
        </w:tabs>
        <w:ind w:left="851" w:hanging="851"/>
        <w:rPr>
          <w:b/>
          <w:sz w:val="24"/>
          <w:szCs w:val="24"/>
        </w:rPr>
      </w:pPr>
      <w:r w:rsidRPr="000E70D5">
        <w:rPr>
          <w:b/>
          <w:sz w:val="24"/>
          <w:szCs w:val="24"/>
        </w:rPr>
        <w:t>4.7</w:t>
      </w:r>
      <w:r w:rsidRPr="000E70D5">
        <w:rPr>
          <w:b/>
          <w:sz w:val="24"/>
          <w:szCs w:val="24"/>
        </w:rPr>
        <w:tab/>
        <w:t xml:space="preserve">Virkning på evnen til at føre motorkøretøj </w:t>
      </w:r>
      <w:r w:rsidR="0071241E" w:rsidRPr="000E70D5">
        <w:rPr>
          <w:b/>
          <w:sz w:val="24"/>
          <w:szCs w:val="24"/>
        </w:rPr>
        <w:t>og</w:t>
      </w:r>
      <w:r w:rsidRPr="000E70D5">
        <w:rPr>
          <w:b/>
          <w:sz w:val="24"/>
          <w:szCs w:val="24"/>
        </w:rPr>
        <w:t xml:space="preserve"> betjene maskiner</w:t>
      </w:r>
    </w:p>
    <w:p w14:paraId="3C8FFBB8" w14:textId="77777777" w:rsidR="00B024F5" w:rsidRDefault="00B024F5" w:rsidP="00445723">
      <w:pPr>
        <w:ind w:left="851"/>
        <w:rPr>
          <w:sz w:val="24"/>
          <w:szCs w:val="24"/>
        </w:rPr>
      </w:pPr>
      <w:r>
        <w:rPr>
          <w:sz w:val="24"/>
          <w:szCs w:val="24"/>
        </w:rPr>
        <w:t>Mærkning.</w:t>
      </w:r>
    </w:p>
    <w:p w14:paraId="09017BB3" w14:textId="0BCC6D76" w:rsidR="003E438B" w:rsidRPr="000E70D5" w:rsidRDefault="003E438B" w:rsidP="00445723">
      <w:pPr>
        <w:ind w:left="851"/>
        <w:rPr>
          <w:sz w:val="24"/>
          <w:szCs w:val="24"/>
        </w:rPr>
      </w:pPr>
      <w:proofErr w:type="spellStart"/>
      <w:r w:rsidRPr="000E70D5">
        <w:rPr>
          <w:sz w:val="24"/>
          <w:szCs w:val="24"/>
        </w:rPr>
        <w:t>Midazolam</w:t>
      </w:r>
      <w:proofErr w:type="spellEnd"/>
      <w:r w:rsidRPr="000E70D5">
        <w:rPr>
          <w:sz w:val="24"/>
          <w:szCs w:val="24"/>
        </w:rPr>
        <w:t xml:space="preserve"> </w:t>
      </w:r>
      <w:r w:rsidR="006A4CF2">
        <w:rPr>
          <w:sz w:val="24"/>
          <w:szCs w:val="24"/>
        </w:rPr>
        <w:t>"</w:t>
      </w:r>
      <w:proofErr w:type="spellStart"/>
      <w:r w:rsidRPr="000E70D5">
        <w:rPr>
          <w:sz w:val="24"/>
          <w:szCs w:val="24"/>
        </w:rPr>
        <w:t>Aguettant</w:t>
      </w:r>
      <w:proofErr w:type="spellEnd"/>
      <w:r w:rsidR="006A4CF2">
        <w:rPr>
          <w:sz w:val="24"/>
          <w:szCs w:val="24"/>
        </w:rPr>
        <w:t>"</w:t>
      </w:r>
      <w:r w:rsidRPr="000E70D5">
        <w:rPr>
          <w:sz w:val="24"/>
          <w:szCs w:val="24"/>
        </w:rPr>
        <w:t xml:space="preserve"> påvirker i væsentlig grad evnen til at føre motorkøretøj og betjene maskiner.</w:t>
      </w:r>
    </w:p>
    <w:p w14:paraId="18F339A0" w14:textId="77777777" w:rsidR="003E438B" w:rsidRPr="000E70D5" w:rsidRDefault="003E438B" w:rsidP="00445723">
      <w:pPr>
        <w:ind w:left="851"/>
        <w:rPr>
          <w:sz w:val="24"/>
          <w:szCs w:val="24"/>
        </w:rPr>
      </w:pPr>
    </w:p>
    <w:p w14:paraId="45F6806C" w14:textId="77777777" w:rsidR="003E438B" w:rsidRPr="000E70D5" w:rsidRDefault="003E438B" w:rsidP="00445723">
      <w:pPr>
        <w:ind w:left="851"/>
        <w:rPr>
          <w:sz w:val="24"/>
          <w:szCs w:val="24"/>
        </w:rPr>
      </w:pPr>
      <w:r w:rsidRPr="000E70D5">
        <w:rPr>
          <w:sz w:val="24"/>
          <w:szCs w:val="24"/>
        </w:rPr>
        <w:t xml:space="preserve">Sedation, amnesi, nedsat opmærksomhed og nedsat muskelfunktion kan påvirke evnen til at føre motorkøretøj eller betjene maskiner. Før brug af </w:t>
      </w:r>
      <w:proofErr w:type="spellStart"/>
      <w:r w:rsidRPr="000E70D5">
        <w:rPr>
          <w:sz w:val="24"/>
          <w:szCs w:val="24"/>
        </w:rPr>
        <w:t>midazolam</w:t>
      </w:r>
      <w:proofErr w:type="spellEnd"/>
      <w:r w:rsidRPr="000E70D5">
        <w:rPr>
          <w:sz w:val="24"/>
          <w:szCs w:val="24"/>
        </w:rPr>
        <w:t xml:space="preserve"> skal patienten advares om ikke at føre motorkøretøj eller betjene maskiner, før der er opnået fuldstændig restitution. Lægen skal tage stilling til, hvornår disse aktiviteter kan genoptages. Det anbefales, at patienterne har en ledsager, når de skal hjem efter udskrivning.</w:t>
      </w:r>
    </w:p>
    <w:p w14:paraId="1CA98C26" w14:textId="77777777" w:rsidR="003E438B" w:rsidRPr="000E70D5" w:rsidRDefault="003E438B" w:rsidP="00445723">
      <w:pPr>
        <w:ind w:left="851"/>
        <w:rPr>
          <w:sz w:val="24"/>
          <w:szCs w:val="24"/>
        </w:rPr>
      </w:pPr>
    </w:p>
    <w:p w14:paraId="2F724A46" w14:textId="77777777" w:rsidR="003E438B" w:rsidRPr="000E70D5" w:rsidRDefault="003E438B" w:rsidP="00445723">
      <w:pPr>
        <w:ind w:left="851"/>
        <w:rPr>
          <w:sz w:val="24"/>
          <w:szCs w:val="24"/>
        </w:rPr>
      </w:pPr>
      <w:r w:rsidRPr="000E70D5">
        <w:rPr>
          <w:sz w:val="24"/>
          <w:szCs w:val="24"/>
        </w:rPr>
        <w:t>Hvis der forekommer utilstrækkelig søvn, eller hvis der indtages alkohol, kan sandsynligheden for nedsat årvågenhed øges (se pkt. 4.5).</w:t>
      </w:r>
    </w:p>
    <w:p w14:paraId="777416C5" w14:textId="1B1DD990" w:rsidR="000815D2" w:rsidRDefault="000815D2">
      <w:pPr>
        <w:rPr>
          <w:sz w:val="24"/>
          <w:szCs w:val="24"/>
        </w:rPr>
      </w:pPr>
      <w:r>
        <w:rPr>
          <w:sz w:val="24"/>
          <w:szCs w:val="24"/>
        </w:rPr>
        <w:br w:type="page"/>
      </w:r>
    </w:p>
    <w:p w14:paraId="63302807" w14:textId="77777777" w:rsidR="009260DE" w:rsidRPr="000E70D5" w:rsidRDefault="009260DE" w:rsidP="009260DE">
      <w:pPr>
        <w:tabs>
          <w:tab w:val="left" w:pos="851"/>
        </w:tabs>
        <w:ind w:left="851"/>
        <w:rPr>
          <w:sz w:val="24"/>
          <w:szCs w:val="24"/>
        </w:rPr>
      </w:pPr>
    </w:p>
    <w:p w14:paraId="3B9A8AF6" w14:textId="77777777" w:rsidR="009260DE" w:rsidRPr="000E70D5" w:rsidRDefault="009260DE" w:rsidP="009260DE">
      <w:pPr>
        <w:tabs>
          <w:tab w:val="left" w:pos="851"/>
        </w:tabs>
        <w:ind w:left="851" w:hanging="851"/>
        <w:rPr>
          <w:b/>
          <w:sz w:val="24"/>
          <w:szCs w:val="24"/>
        </w:rPr>
      </w:pPr>
      <w:r w:rsidRPr="000E70D5">
        <w:rPr>
          <w:b/>
          <w:sz w:val="24"/>
          <w:szCs w:val="24"/>
        </w:rPr>
        <w:t>4.8</w:t>
      </w:r>
      <w:r w:rsidRPr="000E70D5">
        <w:rPr>
          <w:b/>
          <w:sz w:val="24"/>
          <w:szCs w:val="24"/>
        </w:rPr>
        <w:tab/>
        <w:t>Bivirkninger</w:t>
      </w:r>
    </w:p>
    <w:p w14:paraId="32700D42" w14:textId="77777777" w:rsidR="003E438B" w:rsidRPr="000E70D5" w:rsidRDefault="003E438B" w:rsidP="00445723">
      <w:pPr>
        <w:ind w:left="851"/>
        <w:rPr>
          <w:sz w:val="24"/>
          <w:szCs w:val="24"/>
        </w:rPr>
      </w:pPr>
      <w:r w:rsidRPr="000E70D5">
        <w:rPr>
          <w:sz w:val="24"/>
          <w:szCs w:val="24"/>
        </w:rPr>
        <w:t xml:space="preserve">Følgende bivirkninger er blevet indberettet (hyppighed ikke kendt; kan ikke estimeres ud fra forhåndenværende data) ved injektion af </w:t>
      </w:r>
      <w:proofErr w:type="spellStart"/>
      <w:r w:rsidRPr="000E70D5">
        <w:rPr>
          <w:sz w:val="24"/>
          <w:szCs w:val="24"/>
        </w:rPr>
        <w:t>midazolam</w:t>
      </w:r>
      <w:proofErr w:type="spellEnd"/>
      <w:r w:rsidRPr="000E70D5">
        <w:rPr>
          <w:sz w:val="24"/>
          <w:szCs w:val="24"/>
        </w:rPr>
        <w:t>.</w:t>
      </w:r>
    </w:p>
    <w:p w14:paraId="14EAAC96" w14:textId="77777777" w:rsidR="003E438B" w:rsidRPr="000E70D5" w:rsidRDefault="003E438B" w:rsidP="00445723">
      <w:pPr>
        <w:ind w:left="851"/>
        <w:rPr>
          <w:noProof/>
          <w:sz w:val="24"/>
          <w:szCs w:val="24"/>
        </w:rPr>
      </w:pPr>
    </w:p>
    <w:p w14:paraId="59A85ABE" w14:textId="77777777" w:rsidR="003E438B" w:rsidRPr="000E70D5" w:rsidRDefault="003E438B" w:rsidP="00445723">
      <w:pPr>
        <w:ind w:left="851"/>
        <w:rPr>
          <w:noProof/>
          <w:sz w:val="24"/>
          <w:szCs w:val="24"/>
          <w:u w:val="single"/>
        </w:rPr>
      </w:pPr>
      <w:r w:rsidRPr="000E70D5">
        <w:rPr>
          <w:sz w:val="24"/>
          <w:szCs w:val="24"/>
          <w:u w:val="single"/>
        </w:rPr>
        <w:t>Bivirkningstabel</w:t>
      </w:r>
    </w:p>
    <w:p w14:paraId="2AAE102E" w14:textId="77777777" w:rsidR="003E438B" w:rsidRPr="000E70D5" w:rsidRDefault="003E438B" w:rsidP="00445723">
      <w:pPr>
        <w:ind w:left="851"/>
        <w:rPr>
          <w:noProof/>
          <w:sz w:val="24"/>
          <w:szCs w:val="24"/>
        </w:rPr>
      </w:pPr>
      <w:r w:rsidRPr="000E70D5">
        <w:rPr>
          <w:sz w:val="24"/>
          <w:szCs w:val="24"/>
        </w:rPr>
        <w:t>Hyppighedskategorierne er som følger:</w:t>
      </w:r>
    </w:p>
    <w:p w14:paraId="72AF706D" w14:textId="77777777" w:rsidR="003E438B" w:rsidRPr="000E70D5" w:rsidRDefault="003E438B" w:rsidP="00445723">
      <w:pPr>
        <w:ind w:left="851"/>
        <w:rPr>
          <w:noProof/>
          <w:sz w:val="24"/>
          <w:szCs w:val="24"/>
        </w:rPr>
      </w:pPr>
      <w:r w:rsidRPr="000E70D5">
        <w:rPr>
          <w:sz w:val="24"/>
          <w:szCs w:val="24"/>
        </w:rPr>
        <w:t>Meget almindelig: ≥ 1/10</w:t>
      </w:r>
    </w:p>
    <w:p w14:paraId="4F78FCE2" w14:textId="77777777" w:rsidR="003E438B" w:rsidRPr="000E70D5" w:rsidRDefault="003E438B" w:rsidP="00445723">
      <w:pPr>
        <w:ind w:left="851"/>
        <w:rPr>
          <w:noProof/>
          <w:sz w:val="24"/>
          <w:szCs w:val="24"/>
        </w:rPr>
      </w:pPr>
      <w:r w:rsidRPr="000E70D5">
        <w:rPr>
          <w:sz w:val="24"/>
          <w:szCs w:val="24"/>
        </w:rPr>
        <w:t>Almindelig: ≥ 1/100 til &lt; 1/10</w:t>
      </w:r>
    </w:p>
    <w:p w14:paraId="6F8A4A88" w14:textId="77777777" w:rsidR="003E438B" w:rsidRPr="000E70D5" w:rsidRDefault="003E438B" w:rsidP="00445723">
      <w:pPr>
        <w:ind w:left="851"/>
        <w:rPr>
          <w:noProof/>
          <w:sz w:val="24"/>
          <w:szCs w:val="24"/>
        </w:rPr>
      </w:pPr>
      <w:r w:rsidRPr="000E70D5">
        <w:rPr>
          <w:sz w:val="24"/>
          <w:szCs w:val="24"/>
        </w:rPr>
        <w:t>Ikke almindelig: ≥ 1/1.000 til &lt; 1/100</w:t>
      </w:r>
    </w:p>
    <w:p w14:paraId="275A3AD8" w14:textId="77777777" w:rsidR="003E438B" w:rsidRPr="000E70D5" w:rsidRDefault="003E438B" w:rsidP="00445723">
      <w:pPr>
        <w:ind w:left="851"/>
        <w:rPr>
          <w:noProof/>
          <w:sz w:val="24"/>
          <w:szCs w:val="24"/>
        </w:rPr>
      </w:pPr>
      <w:r w:rsidRPr="000E70D5">
        <w:rPr>
          <w:sz w:val="24"/>
          <w:szCs w:val="24"/>
        </w:rPr>
        <w:t>Sjælden: ≥ 1/10.000 til &lt; 1/1.000</w:t>
      </w:r>
    </w:p>
    <w:p w14:paraId="4B9038A0" w14:textId="77777777" w:rsidR="003E438B" w:rsidRPr="000E70D5" w:rsidRDefault="003E438B" w:rsidP="00445723">
      <w:pPr>
        <w:ind w:left="851"/>
        <w:rPr>
          <w:noProof/>
          <w:sz w:val="24"/>
          <w:szCs w:val="24"/>
        </w:rPr>
      </w:pPr>
      <w:r w:rsidRPr="000E70D5">
        <w:rPr>
          <w:sz w:val="24"/>
          <w:szCs w:val="24"/>
        </w:rPr>
        <w:t>Meget sjælden: &lt; 1/10.000</w:t>
      </w:r>
    </w:p>
    <w:p w14:paraId="76D928E4" w14:textId="77777777" w:rsidR="003E438B" w:rsidRPr="000E70D5" w:rsidRDefault="003E438B" w:rsidP="00445723">
      <w:pPr>
        <w:ind w:left="851"/>
        <w:rPr>
          <w:sz w:val="24"/>
          <w:szCs w:val="24"/>
        </w:rPr>
      </w:pPr>
      <w:r w:rsidRPr="000E70D5">
        <w:rPr>
          <w:sz w:val="24"/>
          <w:szCs w:val="24"/>
        </w:rPr>
        <w:t>Ikke kendt (kan ikke estimeres ud fra forhåndenværende data)</w:t>
      </w:r>
    </w:p>
    <w:p w14:paraId="040299B5" w14:textId="77777777" w:rsidR="003E438B" w:rsidRPr="000E70D5" w:rsidRDefault="003E438B" w:rsidP="00445723">
      <w:pPr>
        <w:ind w:left="851"/>
        <w:rPr>
          <w:noProof/>
          <w:sz w:val="24"/>
          <w:szCs w:val="24"/>
        </w:rPr>
      </w:pPr>
    </w:p>
    <w:tbl>
      <w:tblPr>
        <w:tblStyle w:val="TableNormal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6"/>
        <w:gridCol w:w="6652"/>
      </w:tblGrid>
      <w:tr w:rsidR="003E438B" w:rsidRPr="00B024F5" w14:paraId="0935801E" w14:textId="77777777" w:rsidTr="00445723">
        <w:trPr>
          <w:trHeight w:val="211"/>
        </w:trPr>
        <w:tc>
          <w:tcPr>
            <w:tcW w:w="1542" w:type="pct"/>
            <w:tcBorders>
              <w:top w:val="single" w:sz="8" w:space="0" w:color="000000"/>
              <w:left w:val="single" w:sz="8" w:space="0" w:color="000000"/>
              <w:bottom w:val="single" w:sz="8" w:space="0" w:color="000000"/>
              <w:right w:val="single" w:sz="8" w:space="0" w:color="000000"/>
            </w:tcBorders>
            <w:noWrap/>
            <w:hideMark/>
          </w:tcPr>
          <w:p w14:paraId="72CF775D" w14:textId="77777777" w:rsidR="003E438B" w:rsidRPr="00B024F5" w:rsidRDefault="003E438B">
            <w:pPr>
              <w:pStyle w:val="TableParagraph"/>
              <w:keepNext/>
              <w:widowControl/>
              <w:spacing w:line="246" w:lineRule="exact"/>
              <w:ind w:left="0"/>
              <w:rPr>
                <w:rFonts w:ascii="Times New Roman" w:hAnsi="Times New Roman" w:cs="Times New Roman"/>
                <w:i/>
              </w:rPr>
            </w:pPr>
            <w:r w:rsidRPr="00B024F5">
              <w:rPr>
                <w:rFonts w:ascii="Times New Roman" w:hAnsi="Times New Roman" w:cs="Times New Roman"/>
                <w:i/>
              </w:rPr>
              <w:t>Immunsystemet</w:t>
            </w:r>
          </w:p>
        </w:tc>
        <w:tc>
          <w:tcPr>
            <w:tcW w:w="3458" w:type="pct"/>
            <w:tcBorders>
              <w:top w:val="single" w:sz="8" w:space="0" w:color="000000"/>
              <w:left w:val="single" w:sz="8" w:space="0" w:color="000000"/>
              <w:bottom w:val="single" w:sz="8" w:space="0" w:color="000000"/>
              <w:right w:val="single" w:sz="8" w:space="0" w:color="000000"/>
            </w:tcBorders>
            <w:noWrap/>
          </w:tcPr>
          <w:p w14:paraId="1C2316FC"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6BB592B9" w14:textId="77777777" w:rsidTr="00445723">
        <w:trPr>
          <w:trHeight w:val="211"/>
        </w:trPr>
        <w:tc>
          <w:tcPr>
            <w:tcW w:w="1542" w:type="pct"/>
            <w:tcBorders>
              <w:top w:val="single" w:sz="8" w:space="0" w:color="000000"/>
              <w:left w:val="single" w:sz="8" w:space="0" w:color="000000"/>
              <w:bottom w:val="single" w:sz="8" w:space="0" w:color="000000"/>
              <w:right w:val="single" w:sz="8" w:space="0" w:color="000000"/>
            </w:tcBorders>
            <w:noWrap/>
            <w:hideMark/>
          </w:tcPr>
          <w:p w14:paraId="6480A5B6" w14:textId="77777777" w:rsidR="003E438B" w:rsidRPr="00B024F5" w:rsidRDefault="003E438B">
            <w:pPr>
              <w:pStyle w:val="TableParagraph"/>
              <w:keepNext/>
              <w:widowControl/>
              <w:spacing w:line="246" w:lineRule="exact"/>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36621467" w14:textId="77777777" w:rsidR="003E438B" w:rsidRPr="00B024F5" w:rsidRDefault="003E438B">
            <w:pPr>
              <w:pStyle w:val="TableParagraph"/>
              <w:keepNext/>
              <w:widowControl/>
              <w:spacing w:line="246" w:lineRule="exact"/>
              <w:ind w:left="0"/>
              <w:rPr>
                <w:rFonts w:ascii="Times New Roman" w:hAnsi="Times New Roman" w:cs="Times New Roman"/>
              </w:rPr>
            </w:pPr>
            <w:r w:rsidRPr="00B024F5">
              <w:rPr>
                <w:rFonts w:ascii="Times New Roman" w:hAnsi="Times New Roman" w:cs="Times New Roman"/>
              </w:rPr>
              <w:t xml:space="preserve">Overfølsomhed, </w:t>
            </w:r>
            <w:proofErr w:type="spellStart"/>
            <w:r w:rsidRPr="00B024F5">
              <w:rPr>
                <w:rFonts w:ascii="Times New Roman" w:hAnsi="Times New Roman" w:cs="Times New Roman"/>
              </w:rPr>
              <w:t>angioødem</w:t>
            </w:r>
            <w:proofErr w:type="spellEnd"/>
            <w:r w:rsidRPr="00B024F5">
              <w:rPr>
                <w:rFonts w:ascii="Times New Roman" w:hAnsi="Times New Roman" w:cs="Times New Roman"/>
              </w:rPr>
              <w:t xml:space="preserve">, </w:t>
            </w:r>
            <w:proofErr w:type="spellStart"/>
            <w:r w:rsidRPr="00B024F5">
              <w:rPr>
                <w:rFonts w:ascii="Times New Roman" w:hAnsi="Times New Roman" w:cs="Times New Roman"/>
              </w:rPr>
              <w:t>anafylaktisk</w:t>
            </w:r>
            <w:proofErr w:type="spellEnd"/>
            <w:r w:rsidRPr="00B024F5">
              <w:rPr>
                <w:rFonts w:ascii="Times New Roman" w:hAnsi="Times New Roman" w:cs="Times New Roman"/>
              </w:rPr>
              <w:t xml:space="preserve"> </w:t>
            </w:r>
            <w:proofErr w:type="spellStart"/>
            <w:r w:rsidRPr="00B024F5">
              <w:rPr>
                <w:rFonts w:ascii="Times New Roman" w:hAnsi="Times New Roman" w:cs="Times New Roman"/>
              </w:rPr>
              <w:t>shock</w:t>
            </w:r>
            <w:proofErr w:type="spellEnd"/>
          </w:p>
        </w:tc>
      </w:tr>
      <w:tr w:rsidR="003E438B" w:rsidRPr="00B024F5" w14:paraId="3D404C90" w14:textId="77777777" w:rsidTr="00445723">
        <w:trPr>
          <w:trHeight w:val="211"/>
        </w:trPr>
        <w:tc>
          <w:tcPr>
            <w:tcW w:w="1542" w:type="pct"/>
            <w:tcBorders>
              <w:top w:val="single" w:sz="8" w:space="0" w:color="000000"/>
              <w:left w:val="single" w:sz="8" w:space="0" w:color="000000"/>
              <w:bottom w:val="single" w:sz="8" w:space="0" w:color="000000"/>
              <w:right w:val="single" w:sz="8" w:space="0" w:color="000000"/>
            </w:tcBorders>
            <w:noWrap/>
            <w:hideMark/>
          </w:tcPr>
          <w:p w14:paraId="2FCAC535" w14:textId="77777777" w:rsidR="003E438B" w:rsidRPr="00B024F5" w:rsidRDefault="003E438B">
            <w:pPr>
              <w:pStyle w:val="TableParagraph"/>
              <w:keepNext/>
              <w:widowControl/>
              <w:spacing w:line="246" w:lineRule="exact"/>
              <w:ind w:left="0"/>
              <w:rPr>
                <w:rFonts w:ascii="Times New Roman" w:hAnsi="Times New Roman" w:cs="Times New Roman"/>
                <w:i/>
              </w:rPr>
            </w:pPr>
            <w:r w:rsidRPr="00B024F5">
              <w:rPr>
                <w:rFonts w:ascii="Times New Roman" w:hAnsi="Times New Roman" w:cs="Times New Roman"/>
                <w:i/>
              </w:rPr>
              <w:t>Psykiske forstyrrelser</w:t>
            </w:r>
          </w:p>
        </w:tc>
        <w:tc>
          <w:tcPr>
            <w:tcW w:w="3458" w:type="pct"/>
            <w:tcBorders>
              <w:top w:val="single" w:sz="8" w:space="0" w:color="000000"/>
              <w:left w:val="single" w:sz="8" w:space="0" w:color="000000"/>
              <w:bottom w:val="single" w:sz="8" w:space="0" w:color="000000"/>
              <w:right w:val="single" w:sz="8" w:space="0" w:color="000000"/>
            </w:tcBorders>
            <w:noWrap/>
          </w:tcPr>
          <w:p w14:paraId="10FC61CA"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61EC9254" w14:textId="77777777" w:rsidTr="00445723">
        <w:trPr>
          <w:trHeight w:val="1097"/>
        </w:trPr>
        <w:tc>
          <w:tcPr>
            <w:tcW w:w="1542" w:type="pct"/>
            <w:tcBorders>
              <w:top w:val="single" w:sz="8" w:space="0" w:color="000000"/>
              <w:left w:val="single" w:sz="8" w:space="0" w:color="000000"/>
              <w:bottom w:val="single" w:sz="8" w:space="0" w:color="000000"/>
              <w:right w:val="single" w:sz="8" w:space="0" w:color="000000"/>
            </w:tcBorders>
            <w:noWrap/>
            <w:hideMark/>
          </w:tcPr>
          <w:p w14:paraId="66C60368"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557D977A"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Konfusion, desorientering, følelsesmæssige og humørmæssige forstyrrelser, ændringer i libido</w:t>
            </w:r>
          </w:p>
          <w:p w14:paraId="4E291656" w14:textId="77777777" w:rsidR="003E438B" w:rsidRPr="00B024F5" w:rsidRDefault="003E438B">
            <w:pPr>
              <w:pStyle w:val="TableParagraph"/>
              <w:keepNext/>
              <w:widowControl/>
              <w:ind w:left="0" w:right="1357"/>
              <w:rPr>
                <w:rFonts w:ascii="Times New Roman" w:hAnsi="Times New Roman" w:cs="Times New Roman"/>
              </w:rPr>
            </w:pPr>
            <w:proofErr w:type="gramStart"/>
            <w:r w:rsidRPr="00B024F5">
              <w:rPr>
                <w:rFonts w:ascii="Times New Roman" w:hAnsi="Times New Roman" w:cs="Times New Roman"/>
              </w:rPr>
              <w:t>Agitation</w:t>
            </w:r>
            <w:r w:rsidRPr="00B024F5">
              <w:rPr>
                <w:rFonts w:ascii="Times New Roman" w:hAnsi="Times New Roman" w:cs="Times New Roman"/>
                <w:vertAlign w:val="superscript"/>
              </w:rPr>
              <w:t>(</w:t>
            </w:r>
            <w:proofErr w:type="gramEnd"/>
            <w:r w:rsidRPr="00B024F5">
              <w:rPr>
                <w:rFonts w:ascii="Times New Roman" w:hAnsi="Times New Roman" w:cs="Times New Roman"/>
                <w:vertAlign w:val="superscript"/>
              </w:rPr>
              <w:t>1)</w:t>
            </w:r>
            <w:r w:rsidRPr="00B024F5">
              <w:rPr>
                <w:rFonts w:ascii="Times New Roman" w:hAnsi="Times New Roman" w:cs="Times New Roman"/>
              </w:rPr>
              <w:t>, fjendtlighed</w:t>
            </w:r>
            <w:r w:rsidRPr="00B024F5">
              <w:rPr>
                <w:rFonts w:ascii="Times New Roman" w:hAnsi="Times New Roman" w:cs="Times New Roman"/>
                <w:vertAlign w:val="superscript"/>
              </w:rPr>
              <w:t>(1)</w:t>
            </w:r>
            <w:r w:rsidRPr="00B024F5">
              <w:rPr>
                <w:rFonts w:ascii="Times New Roman" w:hAnsi="Times New Roman" w:cs="Times New Roman"/>
              </w:rPr>
              <w:t>, vrede</w:t>
            </w:r>
            <w:r w:rsidRPr="00B024F5">
              <w:rPr>
                <w:rFonts w:ascii="Times New Roman" w:hAnsi="Times New Roman" w:cs="Times New Roman"/>
                <w:vertAlign w:val="superscript"/>
              </w:rPr>
              <w:t>(1)</w:t>
            </w:r>
            <w:r w:rsidRPr="00B024F5">
              <w:rPr>
                <w:rFonts w:ascii="Times New Roman" w:hAnsi="Times New Roman" w:cs="Times New Roman"/>
              </w:rPr>
              <w:t>, aggressivitet</w:t>
            </w:r>
            <w:r w:rsidRPr="00B024F5">
              <w:rPr>
                <w:rFonts w:ascii="Times New Roman" w:hAnsi="Times New Roman" w:cs="Times New Roman"/>
                <w:vertAlign w:val="superscript"/>
              </w:rPr>
              <w:t>(1)</w:t>
            </w:r>
            <w:r w:rsidRPr="00B024F5">
              <w:rPr>
                <w:rFonts w:ascii="Times New Roman" w:hAnsi="Times New Roman" w:cs="Times New Roman"/>
              </w:rPr>
              <w:t>, ophidselse</w:t>
            </w:r>
            <w:r w:rsidRPr="00B024F5">
              <w:rPr>
                <w:rFonts w:ascii="Times New Roman" w:hAnsi="Times New Roman" w:cs="Times New Roman"/>
                <w:vertAlign w:val="superscript"/>
              </w:rPr>
              <w:t>(1)</w:t>
            </w:r>
            <w:r w:rsidRPr="00B024F5">
              <w:rPr>
                <w:rFonts w:ascii="Times New Roman" w:hAnsi="Times New Roman" w:cs="Times New Roman"/>
              </w:rPr>
              <w:t>.</w:t>
            </w:r>
          </w:p>
          <w:p w14:paraId="194AB41E"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Fysisk lægemiddelafhængighed og abstinenssyndrom Misbrug</w:t>
            </w:r>
          </w:p>
        </w:tc>
      </w:tr>
      <w:tr w:rsidR="003E438B" w:rsidRPr="00B024F5" w14:paraId="544E4086" w14:textId="77777777" w:rsidTr="00445723">
        <w:trPr>
          <w:trHeight w:val="211"/>
        </w:trPr>
        <w:tc>
          <w:tcPr>
            <w:tcW w:w="1542" w:type="pct"/>
            <w:tcBorders>
              <w:top w:val="single" w:sz="8" w:space="0" w:color="000000"/>
              <w:left w:val="single" w:sz="8" w:space="0" w:color="000000"/>
              <w:bottom w:val="single" w:sz="8" w:space="0" w:color="000000"/>
              <w:right w:val="single" w:sz="8" w:space="0" w:color="000000"/>
            </w:tcBorders>
            <w:noWrap/>
            <w:hideMark/>
          </w:tcPr>
          <w:p w14:paraId="4BB67988" w14:textId="77777777" w:rsidR="003E438B" w:rsidRPr="00B024F5" w:rsidRDefault="003E438B">
            <w:pPr>
              <w:pStyle w:val="TableParagraph"/>
              <w:keepNext/>
              <w:widowControl/>
              <w:spacing w:line="246" w:lineRule="exact"/>
              <w:ind w:left="0"/>
              <w:rPr>
                <w:rFonts w:ascii="Times New Roman" w:hAnsi="Times New Roman" w:cs="Times New Roman"/>
                <w:i/>
              </w:rPr>
            </w:pPr>
            <w:r w:rsidRPr="00B024F5">
              <w:rPr>
                <w:rFonts w:ascii="Times New Roman" w:hAnsi="Times New Roman" w:cs="Times New Roman"/>
                <w:i/>
              </w:rPr>
              <w:t>Nervesystemet</w:t>
            </w:r>
          </w:p>
        </w:tc>
        <w:tc>
          <w:tcPr>
            <w:tcW w:w="3458" w:type="pct"/>
            <w:tcBorders>
              <w:top w:val="single" w:sz="8" w:space="0" w:color="000000"/>
              <w:left w:val="single" w:sz="8" w:space="0" w:color="000000"/>
              <w:bottom w:val="single" w:sz="8" w:space="0" w:color="000000"/>
              <w:right w:val="single" w:sz="8" w:space="0" w:color="000000"/>
            </w:tcBorders>
            <w:noWrap/>
          </w:tcPr>
          <w:p w14:paraId="32612827"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667DDDB7" w14:textId="77777777" w:rsidTr="00445723">
        <w:trPr>
          <w:trHeight w:val="1271"/>
        </w:trPr>
        <w:tc>
          <w:tcPr>
            <w:tcW w:w="1542" w:type="pct"/>
            <w:tcBorders>
              <w:top w:val="single" w:sz="8" w:space="0" w:color="000000"/>
              <w:left w:val="single" w:sz="8" w:space="0" w:color="000000"/>
              <w:bottom w:val="single" w:sz="8" w:space="0" w:color="000000"/>
              <w:right w:val="single" w:sz="8" w:space="0" w:color="000000"/>
            </w:tcBorders>
            <w:noWrap/>
            <w:hideMark/>
          </w:tcPr>
          <w:p w14:paraId="590E4525"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137F8EEF"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 xml:space="preserve">Ufrivillige bevægelser (inklusive toniske/kloniske bevægelser og </w:t>
            </w:r>
            <w:proofErr w:type="spellStart"/>
            <w:proofErr w:type="gramStart"/>
            <w:r w:rsidRPr="00B024F5">
              <w:rPr>
                <w:rFonts w:ascii="Times New Roman" w:hAnsi="Times New Roman" w:cs="Times New Roman"/>
              </w:rPr>
              <w:t>muskeltremor</w:t>
            </w:r>
            <w:proofErr w:type="spellEnd"/>
            <w:r w:rsidRPr="00B024F5">
              <w:rPr>
                <w:rFonts w:ascii="Times New Roman" w:hAnsi="Times New Roman" w:cs="Times New Roman"/>
              </w:rPr>
              <w:t>)</w:t>
            </w:r>
            <w:r w:rsidRPr="00B024F5">
              <w:rPr>
                <w:rFonts w:ascii="Times New Roman" w:hAnsi="Times New Roman" w:cs="Times New Roman"/>
                <w:vertAlign w:val="superscript"/>
              </w:rPr>
              <w:t>(</w:t>
            </w:r>
            <w:proofErr w:type="gramEnd"/>
            <w:r w:rsidRPr="00B024F5">
              <w:rPr>
                <w:rFonts w:ascii="Times New Roman" w:hAnsi="Times New Roman" w:cs="Times New Roman"/>
                <w:vertAlign w:val="superscript"/>
              </w:rPr>
              <w:t>1)</w:t>
            </w:r>
            <w:r w:rsidRPr="00B024F5">
              <w:rPr>
                <w:rFonts w:ascii="Times New Roman" w:hAnsi="Times New Roman" w:cs="Times New Roman"/>
              </w:rPr>
              <w:t>, hyperaktivitet</w:t>
            </w:r>
            <w:r w:rsidRPr="00B024F5">
              <w:rPr>
                <w:rFonts w:ascii="Times New Roman" w:hAnsi="Times New Roman" w:cs="Times New Roman"/>
                <w:vertAlign w:val="superscript"/>
              </w:rPr>
              <w:t>(1)</w:t>
            </w:r>
            <w:r w:rsidRPr="00B024F5">
              <w:rPr>
                <w:rFonts w:ascii="Times New Roman" w:hAnsi="Times New Roman" w:cs="Times New Roman"/>
              </w:rPr>
              <w:t>,</w:t>
            </w:r>
          </w:p>
          <w:p w14:paraId="1F9B2F48" w14:textId="77777777" w:rsidR="003E438B" w:rsidRPr="00B024F5" w:rsidRDefault="003E438B">
            <w:pPr>
              <w:pStyle w:val="TableParagraph"/>
              <w:keepNext/>
              <w:widowControl/>
              <w:spacing w:line="260" w:lineRule="atLeast"/>
              <w:ind w:left="0"/>
              <w:rPr>
                <w:rFonts w:ascii="Times New Roman" w:hAnsi="Times New Roman" w:cs="Times New Roman"/>
              </w:rPr>
            </w:pPr>
            <w:r w:rsidRPr="00B024F5">
              <w:rPr>
                <w:rFonts w:ascii="Times New Roman" w:hAnsi="Times New Roman" w:cs="Times New Roman"/>
              </w:rPr>
              <w:t xml:space="preserve">Sedation (forlænget og postoperativ), nedsat årvågenhed, døsighed, hovedpine, svimmelhed, </w:t>
            </w:r>
            <w:proofErr w:type="spellStart"/>
            <w:r w:rsidRPr="00B024F5">
              <w:rPr>
                <w:rFonts w:ascii="Times New Roman" w:hAnsi="Times New Roman" w:cs="Times New Roman"/>
              </w:rPr>
              <w:t>ataksi</w:t>
            </w:r>
            <w:proofErr w:type="spellEnd"/>
            <w:r w:rsidRPr="00B024F5">
              <w:rPr>
                <w:rFonts w:ascii="Times New Roman" w:hAnsi="Times New Roman" w:cs="Times New Roman"/>
              </w:rPr>
              <w:t xml:space="preserve">, </w:t>
            </w:r>
            <w:proofErr w:type="spellStart"/>
            <w:r w:rsidRPr="00B024F5">
              <w:rPr>
                <w:rFonts w:ascii="Times New Roman" w:hAnsi="Times New Roman" w:cs="Times New Roman"/>
              </w:rPr>
              <w:t>anterograd</w:t>
            </w:r>
            <w:proofErr w:type="spellEnd"/>
            <w:r w:rsidRPr="00B024F5">
              <w:rPr>
                <w:rFonts w:ascii="Times New Roman" w:hAnsi="Times New Roman" w:cs="Times New Roman"/>
              </w:rPr>
              <w:t xml:space="preserve"> </w:t>
            </w:r>
            <w:proofErr w:type="gramStart"/>
            <w:r w:rsidRPr="00B024F5">
              <w:rPr>
                <w:rFonts w:ascii="Times New Roman" w:hAnsi="Times New Roman" w:cs="Times New Roman"/>
              </w:rPr>
              <w:t>amnesi</w:t>
            </w:r>
            <w:r w:rsidRPr="00B024F5">
              <w:rPr>
                <w:rFonts w:ascii="Times New Roman" w:hAnsi="Times New Roman" w:cs="Times New Roman"/>
                <w:vertAlign w:val="superscript"/>
              </w:rPr>
              <w:t>(</w:t>
            </w:r>
            <w:proofErr w:type="gramEnd"/>
            <w:r w:rsidRPr="00B024F5">
              <w:rPr>
                <w:rFonts w:ascii="Times New Roman" w:hAnsi="Times New Roman" w:cs="Times New Roman"/>
                <w:vertAlign w:val="superscript"/>
              </w:rPr>
              <w:t>2)</w:t>
            </w:r>
            <w:r w:rsidRPr="00B024F5">
              <w:rPr>
                <w:rFonts w:ascii="Times New Roman" w:hAnsi="Times New Roman" w:cs="Times New Roman"/>
              </w:rPr>
              <w:t xml:space="preserve">, hvis varighed er direkte relateret til den administrerede dosis. Kramper er blevet rapporteret hos for tidligt fødte spædbørn og nyfødte. </w:t>
            </w:r>
          </w:p>
          <w:p w14:paraId="1F71A970" w14:textId="77777777" w:rsidR="003E438B" w:rsidRPr="00B024F5" w:rsidRDefault="003E438B">
            <w:pPr>
              <w:pStyle w:val="TableParagraph"/>
              <w:keepNext/>
              <w:widowControl/>
              <w:spacing w:line="260" w:lineRule="atLeast"/>
              <w:ind w:left="0"/>
              <w:rPr>
                <w:rFonts w:ascii="Times New Roman" w:hAnsi="Times New Roman" w:cs="Times New Roman"/>
              </w:rPr>
            </w:pPr>
            <w:r w:rsidRPr="00B024F5">
              <w:rPr>
                <w:rFonts w:ascii="Times New Roman" w:hAnsi="Times New Roman" w:cs="Times New Roman"/>
              </w:rPr>
              <w:t>Abstinenskramper</w:t>
            </w:r>
          </w:p>
        </w:tc>
      </w:tr>
      <w:tr w:rsidR="003E438B" w:rsidRPr="00B024F5" w14:paraId="24730818" w14:textId="77777777" w:rsidTr="00445723">
        <w:trPr>
          <w:trHeight w:val="198"/>
        </w:trPr>
        <w:tc>
          <w:tcPr>
            <w:tcW w:w="1542" w:type="pct"/>
            <w:tcBorders>
              <w:top w:val="single" w:sz="8" w:space="0" w:color="000000"/>
              <w:left w:val="single" w:sz="8" w:space="0" w:color="000000"/>
              <w:bottom w:val="single" w:sz="8" w:space="0" w:color="000000"/>
              <w:right w:val="single" w:sz="8" w:space="0" w:color="000000"/>
            </w:tcBorders>
            <w:noWrap/>
            <w:hideMark/>
          </w:tcPr>
          <w:p w14:paraId="05AF9FE2"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i/>
              </w:rPr>
              <w:t>Hjerte</w:t>
            </w:r>
          </w:p>
        </w:tc>
        <w:tc>
          <w:tcPr>
            <w:tcW w:w="3458" w:type="pct"/>
            <w:tcBorders>
              <w:top w:val="single" w:sz="8" w:space="0" w:color="000000"/>
              <w:left w:val="single" w:sz="8" w:space="0" w:color="000000"/>
              <w:bottom w:val="single" w:sz="8" w:space="0" w:color="000000"/>
              <w:right w:val="single" w:sz="8" w:space="0" w:color="000000"/>
            </w:tcBorders>
            <w:noWrap/>
          </w:tcPr>
          <w:p w14:paraId="3D9551E1"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4A279E3E" w14:textId="77777777" w:rsidTr="00445723">
        <w:trPr>
          <w:trHeight w:val="173"/>
        </w:trPr>
        <w:tc>
          <w:tcPr>
            <w:tcW w:w="1542" w:type="pct"/>
            <w:tcBorders>
              <w:top w:val="single" w:sz="8" w:space="0" w:color="000000"/>
              <w:left w:val="single" w:sz="8" w:space="0" w:color="000000"/>
              <w:bottom w:val="single" w:sz="8" w:space="0" w:color="000000"/>
              <w:right w:val="single" w:sz="8" w:space="0" w:color="000000"/>
            </w:tcBorders>
            <w:noWrap/>
            <w:hideMark/>
          </w:tcPr>
          <w:p w14:paraId="6C0A5503"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636C3B30"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 xml:space="preserve">Hjertestop, bradykardi, </w:t>
            </w:r>
            <w:proofErr w:type="spellStart"/>
            <w:r w:rsidRPr="00B024F5">
              <w:rPr>
                <w:rFonts w:ascii="Times New Roman" w:hAnsi="Times New Roman" w:cs="Times New Roman"/>
              </w:rPr>
              <w:t>Kounis</w:t>
            </w:r>
            <w:proofErr w:type="spellEnd"/>
            <w:r w:rsidRPr="00B024F5">
              <w:rPr>
                <w:rFonts w:ascii="Times New Roman" w:hAnsi="Times New Roman" w:cs="Times New Roman"/>
              </w:rPr>
              <w:t xml:space="preserve"> </w:t>
            </w:r>
            <w:proofErr w:type="gramStart"/>
            <w:r w:rsidRPr="00B024F5">
              <w:rPr>
                <w:rFonts w:ascii="Times New Roman" w:hAnsi="Times New Roman" w:cs="Times New Roman"/>
              </w:rPr>
              <w:t>syndrom</w:t>
            </w:r>
            <w:r w:rsidRPr="00B024F5">
              <w:rPr>
                <w:rFonts w:ascii="Times New Roman" w:hAnsi="Times New Roman" w:cs="Times New Roman"/>
                <w:spacing w:val="-2"/>
                <w:vertAlign w:val="superscript"/>
              </w:rPr>
              <w:t>(</w:t>
            </w:r>
            <w:proofErr w:type="gramEnd"/>
            <w:r w:rsidRPr="00B024F5">
              <w:rPr>
                <w:rFonts w:ascii="Times New Roman" w:hAnsi="Times New Roman" w:cs="Times New Roman"/>
                <w:spacing w:val="-2"/>
                <w:vertAlign w:val="superscript"/>
              </w:rPr>
              <w:t>4)</w:t>
            </w:r>
          </w:p>
        </w:tc>
      </w:tr>
      <w:tr w:rsidR="003E438B" w:rsidRPr="00B024F5" w14:paraId="6C157863" w14:textId="77777777" w:rsidTr="00445723">
        <w:trPr>
          <w:trHeight w:val="178"/>
        </w:trPr>
        <w:tc>
          <w:tcPr>
            <w:tcW w:w="1542" w:type="pct"/>
            <w:tcBorders>
              <w:top w:val="single" w:sz="8" w:space="0" w:color="000000"/>
              <w:left w:val="single" w:sz="8" w:space="0" w:color="000000"/>
              <w:bottom w:val="single" w:sz="8" w:space="0" w:color="000000"/>
              <w:right w:val="single" w:sz="8" w:space="0" w:color="000000"/>
            </w:tcBorders>
            <w:noWrap/>
            <w:hideMark/>
          </w:tcPr>
          <w:p w14:paraId="6CEE8963" w14:textId="77777777" w:rsidR="003E438B" w:rsidRPr="00B024F5" w:rsidRDefault="003E438B">
            <w:pPr>
              <w:pStyle w:val="TableParagraph"/>
              <w:keepNext/>
              <w:widowControl/>
              <w:ind w:left="0"/>
              <w:rPr>
                <w:rFonts w:ascii="Times New Roman" w:hAnsi="Times New Roman" w:cs="Times New Roman"/>
              </w:rPr>
            </w:pPr>
            <w:proofErr w:type="spellStart"/>
            <w:r w:rsidRPr="00B024F5">
              <w:rPr>
                <w:rFonts w:ascii="Times New Roman" w:hAnsi="Times New Roman" w:cs="Times New Roman"/>
                <w:i/>
              </w:rPr>
              <w:t>Vaskulære</w:t>
            </w:r>
            <w:proofErr w:type="spellEnd"/>
            <w:r w:rsidRPr="00B024F5">
              <w:rPr>
                <w:rFonts w:ascii="Times New Roman" w:hAnsi="Times New Roman" w:cs="Times New Roman"/>
                <w:i/>
              </w:rPr>
              <w:t xml:space="preserve"> sygdomme</w:t>
            </w:r>
          </w:p>
        </w:tc>
        <w:tc>
          <w:tcPr>
            <w:tcW w:w="3458" w:type="pct"/>
            <w:tcBorders>
              <w:top w:val="single" w:sz="8" w:space="0" w:color="000000"/>
              <w:left w:val="single" w:sz="8" w:space="0" w:color="000000"/>
              <w:bottom w:val="single" w:sz="8" w:space="0" w:color="000000"/>
              <w:right w:val="single" w:sz="8" w:space="0" w:color="000000"/>
            </w:tcBorders>
            <w:noWrap/>
          </w:tcPr>
          <w:p w14:paraId="16198524"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621F4385" w14:textId="77777777" w:rsidTr="00445723">
        <w:trPr>
          <w:trHeight w:val="181"/>
        </w:trPr>
        <w:tc>
          <w:tcPr>
            <w:tcW w:w="1542" w:type="pct"/>
            <w:tcBorders>
              <w:top w:val="single" w:sz="8" w:space="0" w:color="000000"/>
              <w:left w:val="single" w:sz="8" w:space="0" w:color="000000"/>
              <w:bottom w:val="single" w:sz="8" w:space="0" w:color="000000"/>
              <w:right w:val="single" w:sz="8" w:space="0" w:color="000000"/>
            </w:tcBorders>
            <w:noWrap/>
            <w:hideMark/>
          </w:tcPr>
          <w:p w14:paraId="0EB864A8"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52FA29B7"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 xml:space="preserve">Hypotension, vasodilatation, </w:t>
            </w:r>
            <w:proofErr w:type="spellStart"/>
            <w:r w:rsidRPr="00B024F5">
              <w:rPr>
                <w:rFonts w:ascii="Times New Roman" w:hAnsi="Times New Roman" w:cs="Times New Roman"/>
              </w:rPr>
              <w:t>tromboflebitis</w:t>
            </w:r>
            <w:proofErr w:type="spellEnd"/>
            <w:r w:rsidRPr="00B024F5">
              <w:rPr>
                <w:rFonts w:ascii="Times New Roman" w:hAnsi="Times New Roman" w:cs="Times New Roman"/>
              </w:rPr>
              <w:t>, trombose</w:t>
            </w:r>
          </w:p>
        </w:tc>
      </w:tr>
      <w:tr w:rsidR="003E438B" w:rsidRPr="00B024F5" w14:paraId="508055B2" w14:textId="77777777" w:rsidTr="00445723">
        <w:trPr>
          <w:trHeight w:val="314"/>
        </w:trPr>
        <w:tc>
          <w:tcPr>
            <w:tcW w:w="1542" w:type="pct"/>
            <w:tcBorders>
              <w:top w:val="single" w:sz="8" w:space="0" w:color="000000"/>
              <w:left w:val="single" w:sz="8" w:space="0" w:color="000000"/>
              <w:bottom w:val="single" w:sz="8" w:space="0" w:color="000000"/>
              <w:right w:val="single" w:sz="8" w:space="0" w:color="000000"/>
            </w:tcBorders>
            <w:noWrap/>
            <w:hideMark/>
          </w:tcPr>
          <w:p w14:paraId="646E30B0"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i/>
              </w:rPr>
              <w:t xml:space="preserve">Luftveje, thorax og </w:t>
            </w:r>
            <w:proofErr w:type="spellStart"/>
            <w:r w:rsidRPr="00B024F5">
              <w:rPr>
                <w:rFonts w:ascii="Times New Roman" w:hAnsi="Times New Roman" w:cs="Times New Roman"/>
                <w:i/>
              </w:rPr>
              <w:t>mediastinum</w:t>
            </w:r>
            <w:proofErr w:type="spellEnd"/>
            <w:r w:rsidRPr="00B024F5">
              <w:rPr>
                <w:rFonts w:ascii="Times New Roman" w:hAnsi="Times New Roman" w:cs="Times New Roman"/>
                <w:i/>
              </w:rPr>
              <w:t xml:space="preserve"> </w:t>
            </w:r>
          </w:p>
        </w:tc>
        <w:tc>
          <w:tcPr>
            <w:tcW w:w="3458" w:type="pct"/>
            <w:tcBorders>
              <w:top w:val="single" w:sz="8" w:space="0" w:color="000000"/>
              <w:left w:val="single" w:sz="8" w:space="0" w:color="000000"/>
              <w:bottom w:val="single" w:sz="8" w:space="0" w:color="000000"/>
              <w:right w:val="single" w:sz="8" w:space="0" w:color="000000"/>
            </w:tcBorders>
            <w:noWrap/>
          </w:tcPr>
          <w:p w14:paraId="724EB4F0"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271FBF09" w14:textId="77777777" w:rsidTr="00445723">
        <w:trPr>
          <w:trHeight w:val="484"/>
        </w:trPr>
        <w:tc>
          <w:tcPr>
            <w:tcW w:w="1542" w:type="pct"/>
            <w:tcBorders>
              <w:top w:val="single" w:sz="8" w:space="0" w:color="000000"/>
              <w:left w:val="single" w:sz="8" w:space="0" w:color="000000"/>
              <w:bottom w:val="single" w:sz="8" w:space="0" w:color="000000"/>
              <w:right w:val="single" w:sz="8" w:space="0" w:color="000000"/>
            </w:tcBorders>
            <w:noWrap/>
            <w:hideMark/>
          </w:tcPr>
          <w:p w14:paraId="666466E7"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34CC9292" w14:textId="77777777" w:rsidR="003E438B" w:rsidRPr="00B024F5" w:rsidRDefault="003E438B">
            <w:pPr>
              <w:pStyle w:val="TableParagraph"/>
              <w:keepNext/>
              <w:widowControl/>
              <w:spacing w:line="256" w:lineRule="exact"/>
              <w:ind w:left="0"/>
              <w:rPr>
                <w:rFonts w:ascii="Times New Roman" w:hAnsi="Times New Roman" w:cs="Times New Roman"/>
              </w:rPr>
            </w:pPr>
            <w:r w:rsidRPr="00B024F5">
              <w:rPr>
                <w:rFonts w:ascii="Times New Roman" w:hAnsi="Times New Roman" w:cs="Times New Roman"/>
              </w:rPr>
              <w:t xml:space="preserve">Respirationsdepression, apnø, respirationsophør, dyspnø og </w:t>
            </w:r>
            <w:proofErr w:type="spellStart"/>
            <w:r w:rsidRPr="00B024F5">
              <w:rPr>
                <w:rFonts w:ascii="Times New Roman" w:hAnsi="Times New Roman" w:cs="Times New Roman"/>
              </w:rPr>
              <w:t>laryngospasme</w:t>
            </w:r>
            <w:proofErr w:type="spellEnd"/>
            <w:r w:rsidRPr="00B024F5">
              <w:rPr>
                <w:rFonts w:ascii="Times New Roman" w:hAnsi="Times New Roman" w:cs="Times New Roman"/>
              </w:rPr>
              <w:t>, hikke</w:t>
            </w:r>
          </w:p>
        </w:tc>
      </w:tr>
      <w:tr w:rsidR="003E438B" w:rsidRPr="00B024F5" w14:paraId="3BCE6C2E" w14:textId="77777777" w:rsidTr="00445723">
        <w:trPr>
          <w:trHeight w:val="60"/>
        </w:trPr>
        <w:tc>
          <w:tcPr>
            <w:tcW w:w="1542" w:type="pct"/>
            <w:tcBorders>
              <w:top w:val="single" w:sz="8" w:space="0" w:color="000000"/>
              <w:left w:val="single" w:sz="8" w:space="0" w:color="000000"/>
              <w:bottom w:val="single" w:sz="8" w:space="0" w:color="000000"/>
              <w:right w:val="single" w:sz="8" w:space="0" w:color="000000"/>
            </w:tcBorders>
            <w:noWrap/>
            <w:hideMark/>
          </w:tcPr>
          <w:p w14:paraId="07F08780"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i/>
              </w:rPr>
              <w:t>Mave-tarm-kanalen</w:t>
            </w:r>
          </w:p>
        </w:tc>
        <w:tc>
          <w:tcPr>
            <w:tcW w:w="3458" w:type="pct"/>
            <w:tcBorders>
              <w:top w:val="single" w:sz="8" w:space="0" w:color="000000"/>
              <w:left w:val="single" w:sz="8" w:space="0" w:color="000000"/>
              <w:bottom w:val="single" w:sz="8" w:space="0" w:color="000000"/>
              <w:right w:val="single" w:sz="8" w:space="0" w:color="000000"/>
            </w:tcBorders>
            <w:noWrap/>
          </w:tcPr>
          <w:p w14:paraId="318AFB10"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6276862B" w14:textId="77777777" w:rsidTr="00445723">
        <w:trPr>
          <w:trHeight w:val="60"/>
        </w:trPr>
        <w:tc>
          <w:tcPr>
            <w:tcW w:w="1542" w:type="pct"/>
            <w:tcBorders>
              <w:top w:val="single" w:sz="8" w:space="0" w:color="000000"/>
              <w:left w:val="single" w:sz="8" w:space="0" w:color="000000"/>
              <w:bottom w:val="single" w:sz="8" w:space="0" w:color="000000"/>
              <w:right w:val="single" w:sz="8" w:space="0" w:color="000000"/>
            </w:tcBorders>
            <w:noWrap/>
            <w:hideMark/>
          </w:tcPr>
          <w:p w14:paraId="7918F29B"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4D20129A"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Kvalme, opkastning, obstipation, mundtørhed</w:t>
            </w:r>
          </w:p>
        </w:tc>
      </w:tr>
      <w:tr w:rsidR="003E438B" w:rsidRPr="00B024F5" w14:paraId="6FF9C188" w14:textId="77777777" w:rsidTr="00445723">
        <w:trPr>
          <w:trHeight w:val="60"/>
        </w:trPr>
        <w:tc>
          <w:tcPr>
            <w:tcW w:w="1542" w:type="pct"/>
            <w:tcBorders>
              <w:top w:val="single" w:sz="8" w:space="0" w:color="000000"/>
              <w:left w:val="single" w:sz="8" w:space="0" w:color="000000"/>
              <w:bottom w:val="single" w:sz="8" w:space="0" w:color="000000"/>
              <w:right w:val="single" w:sz="8" w:space="0" w:color="000000"/>
            </w:tcBorders>
            <w:noWrap/>
            <w:hideMark/>
          </w:tcPr>
          <w:p w14:paraId="780612DC"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i/>
              </w:rPr>
              <w:t>Hud og subkutane væv</w:t>
            </w:r>
          </w:p>
        </w:tc>
        <w:tc>
          <w:tcPr>
            <w:tcW w:w="3458" w:type="pct"/>
            <w:tcBorders>
              <w:top w:val="single" w:sz="8" w:space="0" w:color="000000"/>
              <w:left w:val="single" w:sz="8" w:space="0" w:color="000000"/>
              <w:bottom w:val="single" w:sz="8" w:space="0" w:color="000000"/>
              <w:right w:val="single" w:sz="8" w:space="0" w:color="000000"/>
            </w:tcBorders>
            <w:noWrap/>
          </w:tcPr>
          <w:p w14:paraId="1C0E69B3"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450178BC" w14:textId="77777777" w:rsidTr="00445723">
        <w:trPr>
          <w:trHeight w:val="60"/>
        </w:trPr>
        <w:tc>
          <w:tcPr>
            <w:tcW w:w="1542" w:type="pct"/>
            <w:tcBorders>
              <w:top w:val="single" w:sz="8" w:space="0" w:color="000000"/>
              <w:left w:val="single" w:sz="8" w:space="0" w:color="000000"/>
              <w:bottom w:val="single" w:sz="8" w:space="0" w:color="000000"/>
              <w:right w:val="single" w:sz="8" w:space="0" w:color="000000"/>
            </w:tcBorders>
            <w:noWrap/>
            <w:hideMark/>
          </w:tcPr>
          <w:p w14:paraId="5B825F83"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33970E04"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 xml:space="preserve">Hududslæt, </w:t>
            </w:r>
            <w:proofErr w:type="spellStart"/>
            <w:r w:rsidRPr="00B024F5">
              <w:rPr>
                <w:rFonts w:ascii="Times New Roman" w:hAnsi="Times New Roman" w:cs="Times New Roman"/>
              </w:rPr>
              <w:t>urticaria</w:t>
            </w:r>
            <w:proofErr w:type="spellEnd"/>
            <w:r w:rsidRPr="00B024F5">
              <w:rPr>
                <w:rFonts w:ascii="Times New Roman" w:hAnsi="Times New Roman" w:cs="Times New Roman"/>
              </w:rPr>
              <w:t xml:space="preserve">, </w:t>
            </w:r>
            <w:proofErr w:type="spellStart"/>
            <w:r w:rsidRPr="00B024F5">
              <w:rPr>
                <w:rFonts w:ascii="Times New Roman" w:hAnsi="Times New Roman" w:cs="Times New Roman"/>
              </w:rPr>
              <w:t>pruritus</w:t>
            </w:r>
            <w:proofErr w:type="spellEnd"/>
          </w:p>
        </w:tc>
      </w:tr>
      <w:tr w:rsidR="003E438B" w:rsidRPr="00B024F5" w14:paraId="36674541" w14:textId="77777777" w:rsidTr="00445723">
        <w:trPr>
          <w:trHeight w:val="252"/>
        </w:trPr>
        <w:tc>
          <w:tcPr>
            <w:tcW w:w="1542" w:type="pct"/>
            <w:tcBorders>
              <w:top w:val="single" w:sz="8" w:space="0" w:color="000000"/>
              <w:left w:val="single" w:sz="8" w:space="0" w:color="000000"/>
              <w:bottom w:val="single" w:sz="8" w:space="0" w:color="000000"/>
              <w:right w:val="single" w:sz="8" w:space="0" w:color="000000"/>
            </w:tcBorders>
            <w:noWrap/>
            <w:hideMark/>
          </w:tcPr>
          <w:p w14:paraId="6481907F"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i/>
              </w:rPr>
              <w:t>Almene symptomer og reaktioner på administrationsstedet</w:t>
            </w:r>
          </w:p>
        </w:tc>
        <w:tc>
          <w:tcPr>
            <w:tcW w:w="3458" w:type="pct"/>
            <w:tcBorders>
              <w:top w:val="single" w:sz="8" w:space="0" w:color="000000"/>
              <w:left w:val="single" w:sz="8" w:space="0" w:color="000000"/>
              <w:bottom w:val="single" w:sz="8" w:space="0" w:color="000000"/>
              <w:right w:val="single" w:sz="8" w:space="0" w:color="000000"/>
            </w:tcBorders>
            <w:noWrap/>
          </w:tcPr>
          <w:p w14:paraId="59914DEC"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7F937E6E" w14:textId="77777777" w:rsidTr="00445723">
        <w:trPr>
          <w:trHeight w:val="133"/>
        </w:trPr>
        <w:tc>
          <w:tcPr>
            <w:tcW w:w="1542" w:type="pct"/>
            <w:tcBorders>
              <w:top w:val="single" w:sz="8" w:space="0" w:color="000000"/>
              <w:left w:val="single" w:sz="8" w:space="0" w:color="000000"/>
              <w:bottom w:val="single" w:sz="8" w:space="0" w:color="000000"/>
              <w:right w:val="single" w:sz="8" w:space="0" w:color="000000"/>
            </w:tcBorders>
            <w:noWrap/>
            <w:hideMark/>
          </w:tcPr>
          <w:p w14:paraId="32D8A562"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3C4D611E"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 xml:space="preserve">Træthed, </w:t>
            </w:r>
            <w:proofErr w:type="spellStart"/>
            <w:r w:rsidRPr="00B024F5">
              <w:rPr>
                <w:rFonts w:ascii="Times New Roman" w:hAnsi="Times New Roman" w:cs="Times New Roman"/>
              </w:rPr>
              <w:t>erytem</w:t>
            </w:r>
            <w:proofErr w:type="spellEnd"/>
            <w:r w:rsidRPr="00B024F5">
              <w:rPr>
                <w:rFonts w:ascii="Times New Roman" w:hAnsi="Times New Roman" w:cs="Times New Roman"/>
              </w:rPr>
              <w:t xml:space="preserve"> på injektionsstedet, smerter på injektionsstedet</w:t>
            </w:r>
          </w:p>
        </w:tc>
      </w:tr>
      <w:tr w:rsidR="003E438B" w:rsidRPr="00B024F5" w14:paraId="661F411A" w14:textId="77777777" w:rsidTr="00445723">
        <w:trPr>
          <w:trHeight w:val="122"/>
        </w:trPr>
        <w:tc>
          <w:tcPr>
            <w:tcW w:w="1542" w:type="pct"/>
            <w:tcBorders>
              <w:top w:val="single" w:sz="8" w:space="0" w:color="000000"/>
              <w:left w:val="single" w:sz="8" w:space="0" w:color="000000"/>
              <w:bottom w:val="single" w:sz="8" w:space="0" w:color="000000"/>
              <w:right w:val="single" w:sz="8" w:space="0" w:color="000000"/>
            </w:tcBorders>
            <w:noWrap/>
            <w:hideMark/>
          </w:tcPr>
          <w:p w14:paraId="58664D8D"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i/>
              </w:rPr>
              <w:t>Traumer, forgiftninger og behandlingskomplikationer</w:t>
            </w:r>
          </w:p>
        </w:tc>
        <w:tc>
          <w:tcPr>
            <w:tcW w:w="3458" w:type="pct"/>
            <w:tcBorders>
              <w:top w:val="single" w:sz="8" w:space="0" w:color="000000"/>
              <w:left w:val="single" w:sz="8" w:space="0" w:color="000000"/>
              <w:bottom w:val="single" w:sz="8" w:space="0" w:color="000000"/>
              <w:right w:val="single" w:sz="8" w:space="0" w:color="000000"/>
            </w:tcBorders>
            <w:noWrap/>
          </w:tcPr>
          <w:p w14:paraId="67BA0358"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72829F08" w14:textId="77777777" w:rsidTr="00445723">
        <w:trPr>
          <w:trHeight w:val="143"/>
        </w:trPr>
        <w:tc>
          <w:tcPr>
            <w:tcW w:w="1542" w:type="pct"/>
            <w:tcBorders>
              <w:top w:val="single" w:sz="8" w:space="0" w:color="000000"/>
              <w:left w:val="single" w:sz="8" w:space="0" w:color="000000"/>
              <w:bottom w:val="single" w:sz="8" w:space="0" w:color="000000"/>
              <w:right w:val="single" w:sz="8" w:space="0" w:color="000000"/>
            </w:tcBorders>
            <w:noWrap/>
            <w:hideMark/>
          </w:tcPr>
          <w:p w14:paraId="58115F21" w14:textId="77777777" w:rsidR="003E438B" w:rsidRPr="00B024F5" w:rsidRDefault="003E438B">
            <w:pPr>
              <w:pStyle w:val="TableParagraph"/>
              <w:keepNext/>
              <w:widowControl/>
              <w:ind w:left="0"/>
              <w:rPr>
                <w:rFonts w:ascii="Times New Roman" w:hAnsi="Times New Roman" w:cs="Times New Roman"/>
                <w:i/>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2D7B6947"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rPr>
              <w:t xml:space="preserve">Fald, </w:t>
            </w:r>
            <w:proofErr w:type="gramStart"/>
            <w:r w:rsidRPr="00B024F5">
              <w:rPr>
                <w:rFonts w:ascii="Times New Roman" w:hAnsi="Times New Roman" w:cs="Times New Roman"/>
              </w:rPr>
              <w:t>frakturer</w:t>
            </w:r>
            <w:r w:rsidRPr="00B024F5">
              <w:rPr>
                <w:rFonts w:ascii="Times New Roman" w:hAnsi="Times New Roman" w:cs="Times New Roman"/>
                <w:spacing w:val="-2"/>
                <w:vertAlign w:val="superscript"/>
              </w:rPr>
              <w:t>(</w:t>
            </w:r>
            <w:proofErr w:type="gramEnd"/>
            <w:r w:rsidRPr="00B024F5">
              <w:rPr>
                <w:rFonts w:ascii="Times New Roman" w:hAnsi="Times New Roman" w:cs="Times New Roman"/>
                <w:spacing w:val="-2"/>
                <w:vertAlign w:val="superscript"/>
              </w:rPr>
              <w:t>3)</w:t>
            </w:r>
          </w:p>
        </w:tc>
      </w:tr>
      <w:tr w:rsidR="003E438B" w:rsidRPr="00B024F5" w14:paraId="2705AEC6" w14:textId="77777777" w:rsidTr="00445723">
        <w:trPr>
          <w:trHeight w:val="60"/>
        </w:trPr>
        <w:tc>
          <w:tcPr>
            <w:tcW w:w="1542" w:type="pct"/>
            <w:tcBorders>
              <w:top w:val="single" w:sz="8" w:space="0" w:color="000000"/>
              <w:left w:val="single" w:sz="8" w:space="0" w:color="000000"/>
              <w:bottom w:val="single" w:sz="8" w:space="0" w:color="000000"/>
              <w:right w:val="single" w:sz="8" w:space="0" w:color="000000"/>
            </w:tcBorders>
            <w:noWrap/>
            <w:hideMark/>
          </w:tcPr>
          <w:p w14:paraId="181BF8BC" w14:textId="77777777" w:rsidR="003E438B" w:rsidRPr="00B024F5" w:rsidRDefault="003E438B">
            <w:pPr>
              <w:pStyle w:val="TableParagraph"/>
              <w:keepNext/>
              <w:widowControl/>
              <w:ind w:left="0"/>
              <w:rPr>
                <w:rFonts w:ascii="Times New Roman" w:hAnsi="Times New Roman" w:cs="Times New Roman"/>
              </w:rPr>
            </w:pPr>
            <w:r w:rsidRPr="00B024F5">
              <w:rPr>
                <w:rFonts w:ascii="Times New Roman" w:hAnsi="Times New Roman" w:cs="Times New Roman"/>
                <w:i/>
              </w:rPr>
              <w:t>Sociale forhold</w:t>
            </w:r>
          </w:p>
        </w:tc>
        <w:tc>
          <w:tcPr>
            <w:tcW w:w="3458" w:type="pct"/>
            <w:tcBorders>
              <w:top w:val="single" w:sz="8" w:space="0" w:color="000000"/>
              <w:left w:val="single" w:sz="8" w:space="0" w:color="000000"/>
              <w:bottom w:val="single" w:sz="8" w:space="0" w:color="000000"/>
              <w:right w:val="single" w:sz="8" w:space="0" w:color="000000"/>
            </w:tcBorders>
            <w:noWrap/>
          </w:tcPr>
          <w:p w14:paraId="0421FD79" w14:textId="77777777" w:rsidR="003E438B" w:rsidRPr="00B024F5" w:rsidRDefault="003E438B">
            <w:pPr>
              <w:pStyle w:val="TableParagraph"/>
              <w:keepNext/>
              <w:widowControl/>
              <w:ind w:left="0"/>
              <w:rPr>
                <w:rFonts w:ascii="Times New Roman" w:hAnsi="Times New Roman" w:cs="Times New Roman"/>
              </w:rPr>
            </w:pPr>
          </w:p>
        </w:tc>
      </w:tr>
      <w:tr w:rsidR="003E438B" w:rsidRPr="00B024F5" w14:paraId="0E403165" w14:textId="77777777" w:rsidTr="00445723">
        <w:trPr>
          <w:trHeight w:val="60"/>
        </w:trPr>
        <w:tc>
          <w:tcPr>
            <w:tcW w:w="1542" w:type="pct"/>
            <w:tcBorders>
              <w:top w:val="single" w:sz="8" w:space="0" w:color="000000"/>
              <w:left w:val="single" w:sz="8" w:space="0" w:color="000000"/>
              <w:bottom w:val="single" w:sz="8" w:space="0" w:color="000000"/>
              <w:right w:val="single" w:sz="8" w:space="0" w:color="000000"/>
            </w:tcBorders>
            <w:noWrap/>
            <w:hideMark/>
          </w:tcPr>
          <w:p w14:paraId="200EB507" w14:textId="77777777" w:rsidR="003E438B" w:rsidRPr="00B024F5" w:rsidRDefault="003E438B">
            <w:pPr>
              <w:pStyle w:val="TableParagraph"/>
              <w:keepNext/>
              <w:widowControl/>
              <w:ind w:left="0"/>
              <w:rPr>
                <w:rFonts w:ascii="Times New Roman" w:hAnsi="Times New Roman" w:cs="Times New Roman"/>
                <w:i/>
              </w:rPr>
            </w:pPr>
            <w:r w:rsidRPr="00B024F5">
              <w:rPr>
                <w:rFonts w:ascii="Times New Roman" w:hAnsi="Times New Roman" w:cs="Times New Roman"/>
              </w:rPr>
              <w:t>hyppighed ikke kendt</w:t>
            </w:r>
          </w:p>
        </w:tc>
        <w:tc>
          <w:tcPr>
            <w:tcW w:w="3458" w:type="pct"/>
            <w:tcBorders>
              <w:top w:val="single" w:sz="8" w:space="0" w:color="000000"/>
              <w:left w:val="single" w:sz="8" w:space="0" w:color="000000"/>
              <w:bottom w:val="single" w:sz="8" w:space="0" w:color="000000"/>
              <w:right w:val="single" w:sz="8" w:space="0" w:color="000000"/>
            </w:tcBorders>
            <w:noWrap/>
            <w:hideMark/>
          </w:tcPr>
          <w:p w14:paraId="6F4391E0" w14:textId="77777777" w:rsidR="003E438B" w:rsidRPr="00B024F5" w:rsidRDefault="003E438B">
            <w:pPr>
              <w:pStyle w:val="TableParagraph"/>
              <w:keepNext/>
              <w:widowControl/>
              <w:ind w:left="0"/>
              <w:rPr>
                <w:rFonts w:ascii="Times New Roman" w:hAnsi="Times New Roman" w:cs="Times New Roman"/>
              </w:rPr>
            </w:pPr>
            <w:proofErr w:type="gramStart"/>
            <w:r w:rsidRPr="00B024F5">
              <w:rPr>
                <w:rFonts w:ascii="Times New Roman" w:hAnsi="Times New Roman" w:cs="Times New Roman"/>
              </w:rPr>
              <w:t>Voldsomhed</w:t>
            </w:r>
            <w:r w:rsidRPr="00B024F5">
              <w:rPr>
                <w:rFonts w:ascii="Times New Roman" w:hAnsi="Times New Roman" w:cs="Times New Roman"/>
                <w:spacing w:val="-2"/>
                <w:vertAlign w:val="superscript"/>
              </w:rPr>
              <w:t>(</w:t>
            </w:r>
            <w:proofErr w:type="gramEnd"/>
            <w:r w:rsidRPr="00B024F5">
              <w:rPr>
                <w:rFonts w:ascii="Times New Roman" w:hAnsi="Times New Roman" w:cs="Times New Roman"/>
                <w:spacing w:val="-2"/>
                <w:vertAlign w:val="superscript"/>
              </w:rPr>
              <w:t>1)</w:t>
            </w:r>
          </w:p>
        </w:tc>
      </w:tr>
    </w:tbl>
    <w:p w14:paraId="4FB39C46" w14:textId="4B3D210A" w:rsidR="003E438B" w:rsidRPr="00A3780A" w:rsidRDefault="003E438B" w:rsidP="00B024F5">
      <w:pPr>
        <w:autoSpaceDE w:val="0"/>
        <w:autoSpaceDN w:val="0"/>
        <w:adjustRightInd w:val="0"/>
        <w:ind w:left="567" w:hanging="567"/>
        <w:rPr>
          <w:noProof/>
          <w:sz w:val="22"/>
          <w:szCs w:val="22"/>
        </w:rPr>
      </w:pPr>
      <w:r w:rsidRPr="00A3780A">
        <w:rPr>
          <w:noProof/>
          <w:sz w:val="22"/>
          <w:szCs w:val="22"/>
        </w:rPr>
        <w:t xml:space="preserve">(1) </w:t>
      </w:r>
      <w:r w:rsidR="00B024F5" w:rsidRPr="00A3780A">
        <w:rPr>
          <w:noProof/>
          <w:sz w:val="22"/>
          <w:szCs w:val="22"/>
        </w:rPr>
        <w:tab/>
      </w:r>
      <w:r w:rsidRPr="00A3780A">
        <w:rPr>
          <w:noProof/>
          <w:sz w:val="22"/>
          <w:szCs w:val="22"/>
          <w:u w:val="single"/>
        </w:rPr>
        <w:t>Paradoksale lægemiddelreaktioner</w:t>
      </w:r>
      <w:r w:rsidRPr="00A3780A">
        <w:rPr>
          <w:noProof/>
          <w:sz w:val="22"/>
          <w:szCs w:val="22"/>
        </w:rPr>
        <w:t>:</w:t>
      </w:r>
    </w:p>
    <w:p w14:paraId="387F0631" w14:textId="020D25CB" w:rsidR="003E438B" w:rsidRDefault="003E438B" w:rsidP="00B024F5">
      <w:pPr>
        <w:autoSpaceDE w:val="0"/>
        <w:autoSpaceDN w:val="0"/>
        <w:adjustRightInd w:val="0"/>
        <w:ind w:left="567"/>
        <w:rPr>
          <w:sz w:val="22"/>
          <w:szCs w:val="22"/>
        </w:rPr>
      </w:pPr>
      <w:r w:rsidRPr="00A3780A">
        <w:rPr>
          <w:sz w:val="22"/>
          <w:szCs w:val="22"/>
        </w:rPr>
        <w:t>Sådanne paradoksale lægemiddelreaktioner er især indberettet hos børn og ældre (se pkt. 4.4).</w:t>
      </w:r>
    </w:p>
    <w:p w14:paraId="7C1D5AB1" w14:textId="03296251" w:rsidR="003E438B" w:rsidRPr="00A3780A" w:rsidRDefault="003E438B" w:rsidP="00B024F5">
      <w:pPr>
        <w:autoSpaceDE w:val="0"/>
        <w:autoSpaceDN w:val="0"/>
        <w:adjustRightInd w:val="0"/>
        <w:ind w:left="567" w:hanging="567"/>
        <w:rPr>
          <w:noProof/>
          <w:sz w:val="22"/>
          <w:szCs w:val="22"/>
          <w:u w:val="single"/>
        </w:rPr>
      </w:pPr>
      <w:r w:rsidRPr="00A3780A">
        <w:rPr>
          <w:noProof/>
          <w:sz w:val="22"/>
          <w:szCs w:val="22"/>
        </w:rPr>
        <w:t xml:space="preserve">(2) </w:t>
      </w:r>
      <w:r w:rsidR="00B024F5" w:rsidRPr="00A3780A">
        <w:rPr>
          <w:noProof/>
          <w:sz w:val="22"/>
          <w:szCs w:val="22"/>
        </w:rPr>
        <w:tab/>
      </w:r>
      <w:r w:rsidRPr="00A3780A">
        <w:rPr>
          <w:noProof/>
          <w:sz w:val="22"/>
          <w:szCs w:val="22"/>
          <w:u w:val="single"/>
        </w:rPr>
        <w:t>Anterograd amnesi:</w:t>
      </w:r>
    </w:p>
    <w:p w14:paraId="19B56BDC" w14:textId="4C0B0BBC" w:rsidR="003E438B" w:rsidRDefault="003E438B" w:rsidP="00B024F5">
      <w:pPr>
        <w:autoSpaceDE w:val="0"/>
        <w:autoSpaceDN w:val="0"/>
        <w:adjustRightInd w:val="0"/>
        <w:ind w:left="567"/>
        <w:rPr>
          <w:sz w:val="22"/>
          <w:szCs w:val="22"/>
        </w:rPr>
      </w:pPr>
      <w:r w:rsidRPr="00A3780A">
        <w:rPr>
          <w:sz w:val="22"/>
          <w:szCs w:val="22"/>
        </w:rPr>
        <w:t xml:space="preserve">Der kan stadig være </w:t>
      </w:r>
      <w:proofErr w:type="spellStart"/>
      <w:r w:rsidRPr="00A3780A">
        <w:rPr>
          <w:sz w:val="22"/>
          <w:szCs w:val="22"/>
        </w:rPr>
        <w:t>anterograd</w:t>
      </w:r>
      <w:proofErr w:type="spellEnd"/>
      <w:r w:rsidRPr="00A3780A">
        <w:rPr>
          <w:sz w:val="22"/>
          <w:szCs w:val="22"/>
        </w:rPr>
        <w:t xml:space="preserve"> amnesi til stede efter proceduren, og der er rapporteret nogle få</w:t>
      </w:r>
      <w:r w:rsidR="00B024F5" w:rsidRPr="00A3780A">
        <w:rPr>
          <w:sz w:val="22"/>
          <w:szCs w:val="22"/>
        </w:rPr>
        <w:t xml:space="preserve"> </w:t>
      </w:r>
      <w:r w:rsidRPr="00A3780A">
        <w:rPr>
          <w:sz w:val="22"/>
          <w:szCs w:val="22"/>
        </w:rPr>
        <w:t>tilfælde af forlænget amnesi (se pkt. 4.4).</w:t>
      </w:r>
    </w:p>
    <w:p w14:paraId="5FF78C6B" w14:textId="2C5F0B01" w:rsidR="003E438B" w:rsidRPr="00A3780A" w:rsidRDefault="003E438B" w:rsidP="00B024F5">
      <w:pPr>
        <w:autoSpaceDE w:val="0"/>
        <w:autoSpaceDN w:val="0"/>
        <w:adjustRightInd w:val="0"/>
        <w:ind w:left="567" w:hanging="567"/>
        <w:jc w:val="both"/>
        <w:rPr>
          <w:noProof/>
          <w:sz w:val="22"/>
          <w:szCs w:val="22"/>
        </w:rPr>
      </w:pPr>
      <w:r w:rsidRPr="00A3780A">
        <w:rPr>
          <w:noProof/>
          <w:sz w:val="22"/>
          <w:szCs w:val="22"/>
        </w:rPr>
        <w:t xml:space="preserve">(3) </w:t>
      </w:r>
      <w:r w:rsidR="00B024F5" w:rsidRPr="00A3780A">
        <w:rPr>
          <w:noProof/>
          <w:sz w:val="22"/>
          <w:szCs w:val="22"/>
        </w:rPr>
        <w:tab/>
      </w:r>
      <w:r w:rsidRPr="00A3780A">
        <w:rPr>
          <w:noProof/>
          <w:sz w:val="22"/>
          <w:szCs w:val="22"/>
          <w:u w:val="single"/>
        </w:rPr>
        <w:t>Fald og frakturer</w:t>
      </w:r>
      <w:r w:rsidRPr="00A3780A">
        <w:rPr>
          <w:noProof/>
          <w:sz w:val="22"/>
          <w:szCs w:val="22"/>
        </w:rPr>
        <w:t>:</w:t>
      </w:r>
    </w:p>
    <w:p w14:paraId="4D411511" w14:textId="20F29E07" w:rsidR="003E438B" w:rsidRDefault="003E438B" w:rsidP="00B024F5">
      <w:pPr>
        <w:autoSpaceDE w:val="0"/>
        <w:autoSpaceDN w:val="0"/>
        <w:adjustRightInd w:val="0"/>
        <w:ind w:left="567"/>
        <w:rPr>
          <w:sz w:val="22"/>
          <w:szCs w:val="22"/>
        </w:rPr>
      </w:pPr>
      <w:r w:rsidRPr="00A3780A">
        <w:rPr>
          <w:sz w:val="22"/>
          <w:szCs w:val="22"/>
        </w:rPr>
        <w:t xml:space="preserve">Der er rapporteret fald og frakturer hos brugere af benzodiazepin. Risikoen for fald og frakturer er øget hos patienter, der samtidig tager </w:t>
      </w:r>
      <w:proofErr w:type="spellStart"/>
      <w:r w:rsidRPr="00A3780A">
        <w:rPr>
          <w:sz w:val="22"/>
          <w:szCs w:val="22"/>
        </w:rPr>
        <w:t>sedativa</w:t>
      </w:r>
      <w:proofErr w:type="spellEnd"/>
      <w:r w:rsidRPr="00A3780A">
        <w:rPr>
          <w:sz w:val="22"/>
          <w:szCs w:val="22"/>
        </w:rPr>
        <w:t xml:space="preserve"> (inklusive alkoholiske drikke), og</w:t>
      </w:r>
      <w:r w:rsidR="00B024F5" w:rsidRPr="00A3780A">
        <w:rPr>
          <w:sz w:val="22"/>
          <w:szCs w:val="22"/>
        </w:rPr>
        <w:t xml:space="preserve"> </w:t>
      </w:r>
      <w:r w:rsidRPr="00A3780A">
        <w:rPr>
          <w:sz w:val="22"/>
          <w:szCs w:val="22"/>
        </w:rPr>
        <w:t>hos ældre patienter.</w:t>
      </w:r>
    </w:p>
    <w:p w14:paraId="54D20CEF" w14:textId="42129C77" w:rsidR="003E438B" w:rsidRPr="00A3780A" w:rsidRDefault="003E438B" w:rsidP="00B024F5">
      <w:pPr>
        <w:autoSpaceDE w:val="0"/>
        <w:autoSpaceDN w:val="0"/>
        <w:adjustRightInd w:val="0"/>
        <w:ind w:left="567" w:hanging="567"/>
        <w:rPr>
          <w:sz w:val="22"/>
          <w:szCs w:val="22"/>
        </w:rPr>
      </w:pPr>
      <w:r w:rsidRPr="00A3780A">
        <w:rPr>
          <w:noProof/>
          <w:sz w:val="22"/>
          <w:szCs w:val="22"/>
        </w:rPr>
        <w:t xml:space="preserve">(4) </w:t>
      </w:r>
      <w:r w:rsidR="00B024F5" w:rsidRPr="00A3780A">
        <w:rPr>
          <w:noProof/>
          <w:sz w:val="22"/>
          <w:szCs w:val="22"/>
        </w:rPr>
        <w:tab/>
      </w:r>
      <w:r w:rsidRPr="00A3780A">
        <w:rPr>
          <w:noProof/>
          <w:sz w:val="22"/>
          <w:szCs w:val="22"/>
          <w:u w:val="single"/>
        </w:rPr>
        <w:t>Kounis syndrom</w:t>
      </w:r>
      <w:r w:rsidRPr="00A3780A">
        <w:rPr>
          <w:noProof/>
          <w:sz w:val="22"/>
          <w:szCs w:val="22"/>
        </w:rPr>
        <w:t>:</w:t>
      </w:r>
    </w:p>
    <w:p w14:paraId="19470BE9" w14:textId="77777777" w:rsidR="003E438B" w:rsidRPr="00A3780A" w:rsidRDefault="003E438B" w:rsidP="00B024F5">
      <w:pPr>
        <w:autoSpaceDE w:val="0"/>
        <w:autoSpaceDN w:val="0"/>
        <w:adjustRightInd w:val="0"/>
        <w:ind w:left="567"/>
        <w:rPr>
          <w:noProof/>
          <w:sz w:val="22"/>
          <w:szCs w:val="22"/>
        </w:rPr>
      </w:pPr>
      <w:r w:rsidRPr="00A3780A">
        <w:rPr>
          <w:sz w:val="22"/>
          <w:szCs w:val="22"/>
        </w:rPr>
        <w:t>Navnlig efter parenteral administration</w:t>
      </w:r>
    </w:p>
    <w:p w14:paraId="55A0B060" w14:textId="77777777" w:rsidR="003E438B" w:rsidRPr="000E70D5" w:rsidRDefault="003E438B" w:rsidP="003E438B">
      <w:pPr>
        <w:autoSpaceDE w:val="0"/>
        <w:autoSpaceDN w:val="0"/>
        <w:adjustRightInd w:val="0"/>
        <w:ind w:left="851"/>
        <w:jc w:val="both"/>
        <w:rPr>
          <w:noProof/>
          <w:sz w:val="24"/>
          <w:szCs w:val="24"/>
        </w:rPr>
      </w:pPr>
    </w:p>
    <w:p w14:paraId="109B3EB3" w14:textId="77777777" w:rsidR="003E438B" w:rsidRPr="00B024F5" w:rsidRDefault="003E438B" w:rsidP="00445723">
      <w:pPr>
        <w:ind w:left="851"/>
        <w:rPr>
          <w:sz w:val="24"/>
          <w:szCs w:val="24"/>
          <w:u w:val="single"/>
        </w:rPr>
      </w:pPr>
      <w:r w:rsidRPr="00B024F5">
        <w:rPr>
          <w:sz w:val="24"/>
          <w:szCs w:val="24"/>
          <w:u w:val="single"/>
        </w:rPr>
        <w:t>Afhængighed:</w:t>
      </w:r>
    </w:p>
    <w:p w14:paraId="2EC11B1E" w14:textId="77777777" w:rsidR="003E438B" w:rsidRPr="000E70D5" w:rsidRDefault="003E438B" w:rsidP="00445723">
      <w:pPr>
        <w:ind w:left="851"/>
        <w:rPr>
          <w:noProof/>
          <w:sz w:val="24"/>
          <w:szCs w:val="24"/>
        </w:rPr>
      </w:pPr>
      <w:r w:rsidRPr="000E70D5">
        <w:rPr>
          <w:sz w:val="24"/>
          <w:szCs w:val="24"/>
        </w:rPr>
        <w:t xml:space="preserve">Brug af </w:t>
      </w:r>
      <w:proofErr w:type="spellStart"/>
      <w:r w:rsidRPr="000E70D5">
        <w:rPr>
          <w:sz w:val="24"/>
          <w:szCs w:val="24"/>
        </w:rPr>
        <w:t>midazolam</w:t>
      </w:r>
      <w:proofErr w:type="spellEnd"/>
      <w:r w:rsidRPr="000E70D5">
        <w:rPr>
          <w:sz w:val="24"/>
          <w:szCs w:val="24"/>
        </w:rPr>
        <w:t xml:space="preserve"> – selv i terapeutiske doser – kan medføre udvikling af fysisk afhængighed. Efter langvarig </w:t>
      </w:r>
      <w:proofErr w:type="spellStart"/>
      <w:r w:rsidRPr="000E70D5">
        <w:rPr>
          <w:sz w:val="24"/>
          <w:szCs w:val="24"/>
        </w:rPr>
        <w:t>i.v</w:t>
      </w:r>
      <w:proofErr w:type="spellEnd"/>
      <w:r w:rsidRPr="000E70D5">
        <w:rPr>
          <w:sz w:val="24"/>
          <w:szCs w:val="24"/>
        </w:rPr>
        <w:t xml:space="preserve">. administration kan afbrydelse, især pludselig afbrydelse af lægemidlet, være ledsaget af abstinenssymptomer, inklusive abstinenskramper (se pkt. 4.4). Der er rapporteret tilfælde af misbrug. </w:t>
      </w:r>
    </w:p>
    <w:p w14:paraId="413A0951" w14:textId="77777777" w:rsidR="003E438B" w:rsidRPr="000E70D5" w:rsidRDefault="003E438B" w:rsidP="00445723">
      <w:pPr>
        <w:ind w:left="851"/>
        <w:rPr>
          <w:sz w:val="24"/>
          <w:szCs w:val="24"/>
        </w:rPr>
      </w:pPr>
    </w:p>
    <w:p w14:paraId="6A8443D6" w14:textId="77777777" w:rsidR="003E438B" w:rsidRPr="00B024F5" w:rsidRDefault="003E438B" w:rsidP="00445723">
      <w:pPr>
        <w:ind w:left="851"/>
        <w:rPr>
          <w:sz w:val="24"/>
          <w:szCs w:val="24"/>
          <w:u w:val="single"/>
        </w:rPr>
      </w:pPr>
      <w:r w:rsidRPr="00B024F5">
        <w:rPr>
          <w:noProof/>
          <w:sz w:val="24"/>
          <w:szCs w:val="24"/>
          <w:u w:val="single"/>
        </w:rPr>
        <w:t xml:space="preserve">Livstruende hændelser: </w:t>
      </w:r>
    </w:p>
    <w:p w14:paraId="6F2B59A8" w14:textId="77777777" w:rsidR="003E438B" w:rsidRPr="000E70D5" w:rsidRDefault="003E438B" w:rsidP="00445723">
      <w:pPr>
        <w:ind w:left="851"/>
        <w:rPr>
          <w:noProof/>
          <w:sz w:val="24"/>
          <w:szCs w:val="24"/>
        </w:rPr>
      </w:pPr>
      <w:r w:rsidRPr="000E70D5">
        <w:rPr>
          <w:sz w:val="24"/>
          <w:szCs w:val="24"/>
        </w:rPr>
        <w:t xml:space="preserve">Der er indberettet svære </w:t>
      </w:r>
      <w:proofErr w:type="spellStart"/>
      <w:r w:rsidRPr="000E70D5">
        <w:rPr>
          <w:sz w:val="24"/>
          <w:szCs w:val="24"/>
        </w:rPr>
        <w:t>kardiorespiratoriske</w:t>
      </w:r>
      <w:proofErr w:type="spellEnd"/>
      <w:r w:rsidRPr="000E70D5">
        <w:rPr>
          <w:sz w:val="24"/>
          <w:szCs w:val="24"/>
        </w:rPr>
        <w:t xml:space="preserve"> bivirkninger. Der er større risiko for livstruende hændelser hos voksne over 60 år og hos patienter med allerede tilstedeværende respirationsinsufficiens eller nedsat hjertefunktion, specielt når injektionen gives for hurtigt, eller når der gives en høj dosis (se pkt. 4.4).</w:t>
      </w:r>
    </w:p>
    <w:p w14:paraId="6D1B77F7" w14:textId="77777777" w:rsidR="003E438B" w:rsidRPr="00B024F5" w:rsidRDefault="003E438B" w:rsidP="00445723">
      <w:pPr>
        <w:ind w:left="851"/>
        <w:rPr>
          <w:sz w:val="24"/>
          <w:szCs w:val="24"/>
        </w:rPr>
      </w:pPr>
    </w:p>
    <w:p w14:paraId="51D63B56" w14:textId="77777777" w:rsidR="003E438B" w:rsidRPr="00B024F5" w:rsidRDefault="003E438B" w:rsidP="00445723">
      <w:pPr>
        <w:ind w:left="851"/>
        <w:rPr>
          <w:sz w:val="24"/>
          <w:szCs w:val="24"/>
          <w:u w:val="single"/>
        </w:rPr>
      </w:pPr>
      <w:r w:rsidRPr="00B024F5">
        <w:rPr>
          <w:noProof/>
          <w:sz w:val="24"/>
          <w:szCs w:val="24"/>
          <w:u w:val="single"/>
        </w:rPr>
        <w:t>Indberetning af formodede bivirkninger</w:t>
      </w:r>
    </w:p>
    <w:p w14:paraId="22AF2EC8" w14:textId="77777777" w:rsidR="003E438B" w:rsidRPr="000E70D5" w:rsidRDefault="003E438B" w:rsidP="00445723">
      <w:pPr>
        <w:ind w:left="851"/>
        <w:rPr>
          <w:noProof/>
          <w:sz w:val="24"/>
          <w:szCs w:val="24"/>
        </w:rPr>
      </w:pPr>
      <w:r w:rsidRPr="000E70D5">
        <w:rPr>
          <w:noProof/>
          <w:sz w:val="24"/>
          <w:szCs w:val="24"/>
        </w:rPr>
        <w:t>Når lægemidlet er godkendt, er indberetning af formodede bivirkninger vigtig.</w:t>
      </w:r>
      <w:r w:rsidRPr="000E70D5">
        <w:rPr>
          <w:sz w:val="24"/>
          <w:szCs w:val="24"/>
        </w:rPr>
        <w:t xml:space="preserve"> </w:t>
      </w:r>
      <w:r w:rsidRPr="000E70D5">
        <w:rPr>
          <w:noProof/>
          <w:sz w:val="24"/>
          <w:szCs w:val="24"/>
        </w:rPr>
        <w:t>Det muliggør løbende overvågning af benefit/risk-forholdet for lægemidlet.</w:t>
      </w:r>
      <w:r w:rsidRPr="000E70D5">
        <w:rPr>
          <w:sz w:val="24"/>
          <w:szCs w:val="24"/>
        </w:rPr>
        <w:t xml:space="preserve"> </w:t>
      </w:r>
      <w:r w:rsidRPr="000E70D5">
        <w:rPr>
          <w:noProof/>
          <w:sz w:val="24"/>
          <w:szCs w:val="24"/>
        </w:rPr>
        <w:t>Sundhedspersoner anmodes om at indberette alle formodede bivirkninger via:</w:t>
      </w:r>
    </w:p>
    <w:p w14:paraId="35A26EA5" w14:textId="77777777" w:rsidR="003E438B" w:rsidRPr="000E70D5" w:rsidRDefault="003E438B" w:rsidP="00445723">
      <w:pPr>
        <w:ind w:left="851"/>
        <w:rPr>
          <w:noProof/>
          <w:sz w:val="24"/>
          <w:szCs w:val="24"/>
        </w:rPr>
      </w:pPr>
    </w:p>
    <w:p w14:paraId="337B8E6D" w14:textId="77777777" w:rsidR="003E438B" w:rsidRPr="000E70D5" w:rsidRDefault="003E438B" w:rsidP="00445723">
      <w:pPr>
        <w:ind w:left="851"/>
        <w:rPr>
          <w:rFonts w:eastAsia="Calibri"/>
          <w:color w:val="000000"/>
          <w:sz w:val="24"/>
          <w:szCs w:val="24"/>
          <w:lang w:eastAsia="zh-CN"/>
        </w:rPr>
      </w:pPr>
      <w:r w:rsidRPr="000E70D5">
        <w:rPr>
          <w:sz w:val="24"/>
          <w:szCs w:val="24"/>
        </w:rPr>
        <w:t>Lægemiddelstyrelsen</w:t>
      </w:r>
    </w:p>
    <w:p w14:paraId="2613C750" w14:textId="77777777" w:rsidR="003E438B" w:rsidRPr="000E70D5" w:rsidRDefault="003E438B" w:rsidP="00445723">
      <w:pPr>
        <w:ind w:left="851"/>
        <w:rPr>
          <w:rFonts w:eastAsia="Calibri"/>
          <w:noProof/>
          <w:sz w:val="24"/>
          <w:szCs w:val="24"/>
          <w:lang w:eastAsia="zh-CN"/>
        </w:rPr>
      </w:pPr>
      <w:r w:rsidRPr="000E70D5">
        <w:rPr>
          <w:rFonts w:eastAsia="Calibri"/>
          <w:sz w:val="24"/>
          <w:szCs w:val="24"/>
          <w:lang w:eastAsia="zh-CN"/>
        </w:rPr>
        <w:t>Axel Heides Gade 1</w:t>
      </w:r>
    </w:p>
    <w:p w14:paraId="5FD20820" w14:textId="77777777" w:rsidR="003E438B" w:rsidRPr="000E70D5" w:rsidRDefault="003E438B" w:rsidP="00445723">
      <w:pPr>
        <w:ind w:left="851"/>
        <w:rPr>
          <w:rFonts w:eastAsia="Calibri"/>
          <w:noProof/>
          <w:sz w:val="24"/>
          <w:szCs w:val="24"/>
          <w:lang w:eastAsia="zh-CN"/>
        </w:rPr>
      </w:pPr>
      <w:r w:rsidRPr="000E70D5">
        <w:rPr>
          <w:rFonts w:eastAsia="Calibri"/>
          <w:noProof/>
          <w:sz w:val="24"/>
          <w:szCs w:val="24"/>
          <w:lang w:eastAsia="zh-CN"/>
        </w:rPr>
        <w:t xml:space="preserve">DK-2300 </w:t>
      </w:r>
      <w:r w:rsidRPr="000E70D5">
        <w:rPr>
          <w:rFonts w:eastAsia="Calibri"/>
          <w:sz w:val="24"/>
          <w:szCs w:val="24"/>
          <w:lang w:eastAsia="zh-CN"/>
        </w:rPr>
        <w:t>København S</w:t>
      </w:r>
    </w:p>
    <w:p w14:paraId="32D1E1E6" w14:textId="5D72DC40" w:rsidR="009260DE" w:rsidRPr="000E70D5" w:rsidRDefault="003E438B" w:rsidP="00B024F5">
      <w:pPr>
        <w:ind w:left="851"/>
        <w:rPr>
          <w:sz w:val="24"/>
          <w:szCs w:val="24"/>
        </w:rPr>
      </w:pPr>
      <w:r w:rsidRPr="000E70D5">
        <w:rPr>
          <w:rFonts w:eastAsia="Calibri"/>
          <w:sz w:val="24"/>
          <w:szCs w:val="24"/>
          <w:lang w:eastAsia="zh-CN"/>
        </w:rPr>
        <w:t>Websted</w:t>
      </w:r>
      <w:r w:rsidRPr="000E70D5">
        <w:rPr>
          <w:rFonts w:eastAsia="Calibri"/>
          <w:noProof/>
          <w:sz w:val="24"/>
          <w:szCs w:val="24"/>
          <w:lang w:eastAsia="zh-CN"/>
        </w:rPr>
        <w:t>: www.meldenbivirkning.dk</w:t>
      </w:r>
    </w:p>
    <w:p w14:paraId="38D408ED" w14:textId="77777777" w:rsidR="009260DE" w:rsidRPr="000E70D5" w:rsidRDefault="009260DE" w:rsidP="00A10294">
      <w:pPr>
        <w:tabs>
          <w:tab w:val="left" w:pos="851"/>
        </w:tabs>
        <w:ind w:left="851"/>
        <w:rPr>
          <w:sz w:val="24"/>
          <w:szCs w:val="24"/>
        </w:rPr>
      </w:pPr>
    </w:p>
    <w:p w14:paraId="396733CE" w14:textId="77777777" w:rsidR="009260DE" w:rsidRPr="000E70D5" w:rsidRDefault="009260DE" w:rsidP="009260DE">
      <w:pPr>
        <w:tabs>
          <w:tab w:val="left" w:pos="851"/>
        </w:tabs>
        <w:ind w:left="851" w:hanging="851"/>
        <w:rPr>
          <w:b/>
          <w:sz w:val="24"/>
          <w:szCs w:val="24"/>
        </w:rPr>
      </w:pPr>
      <w:r w:rsidRPr="000E70D5">
        <w:rPr>
          <w:b/>
          <w:sz w:val="24"/>
          <w:szCs w:val="24"/>
        </w:rPr>
        <w:t>4.9</w:t>
      </w:r>
      <w:r w:rsidRPr="000E70D5">
        <w:rPr>
          <w:b/>
          <w:sz w:val="24"/>
          <w:szCs w:val="24"/>
        </w:rPr>
        <w:tab/>
        <w:t>Overdosering</w:t>
      </w:r>
    </w:p>
    <w:p w14:paraId="16503043" w14:textId="77777777" w:rsidR="00B024F5" w:rsidRDefault="00B024F5" w:rsidP="00445723">
      <w:pPr>
        <w:ind w:left="851"/>
        <w:rPr>
          <w:sz w:val="24"/>
          <w:szCs w:val="24"/>
        </w:rPr>
      </w:pPr>
    </w:p>
    <w:p w14:paraId="0B255CE8" w14:textId="1A785B38" w:rsidR="003E438B" w:rsidRPr="00B024F5" w:rsidRDefault="003E438B" w:rsidP="00445723">
      <w:pPr>
        <w:ind w:left="851"/>
        <w:rPr>
          <w:sz w:val="24"/>
          <w:szCs w:val="24"/>
          <w:u w:val="single"/>
        </w:rPr>
      </w:pPr>
      <w:r w:rsidRPr="00B024F5">
        <w:rPr>
          <w:sz w:val="24"/>
          <w:szCs w:val="24"/>
          <w:u w:val="single"/>
        </w:rPr>
        <w:t>Symptomer</w:t>
      </w:r>
    </w:p>
    <w:p w14:paraId="3369E4E2" w14:textId="77777777" w:rsidR="003E438B" w:rsidRPr="000E70D5" w:rsidRDefault="003E438B" w:rsidP="00445723">
      <w:pPr>
        <w:ind w:left="851"/>
        <w:rPr>
          <w:sz w:val="24"/>
          <w:szCs w:val="24"/>
        </w:rPr>
      </w:pPr>
      <w:r w:rsidRPr="000E70D5">
        <w:rPr>
          <w:sz w:val="24"/>
          <w:szCs w:val="24"/>
        </w:rPr>
        <w:t xml:space="preserve">Ligesom andre benzodiazepiner forårsager </w:t>
      </w:r>
      <w:proofErr w:type="spellStart"/>
      <w:r w:rsidRPr="000E70D5">
        <w:rPr>
          <w:sz w:val="24"/>
          <w:szCs w:val="24"/>
        </w:rPr>
        <w:t>midazolam</w:t>
      </w:r>
      <w:proofErr w:type="spellEnd"/>
      <w:r w:rsidRPr="000E70D5">
        <w:rPr>
          <w:sz w:val="24"/>
          <w:szCs w:val="24"/>
        </w:rPr>
        <w:t xml:space="preserve"> almindeligvis døsighed, </w:t>
      </w:r>
      <w:proofErr w:type="spellStart"/>
      <w:r w:rsidRPr="000E70D5">
        <w:rPr>
          <w:sz w:val="24"/>
          <w:szCs w:val="24"/>
        </w:rPr>
        <w:t>ataksi</w:t>
      </w:r>
      <w:proofErr w:type="spellEnd"/>
      <w:r w:rsidRPr="000E70D5">
        <w:rPr>
          <w:sz w:val="24"/>
          <w:szCs w:val="24"/>
        </w:rPr>
        <w:t xml:space="preserve">, </w:t>
      </w:r>
      <w:proofErr w:type="spellStart"/>
      <w:r w:rsidRPr="000E70D5">
        <w:rPr>
          <w:sz w:val="24"/>
          <w:szCs w:val="24"/>
        </w:rPr>
        <w:t>dysartri</w:t>
      </w:r>
      <w:proofErr w:type="spellEnd"/>
      <w:r w:rsidRPr="000E70D5">
        <w:rPr>
          <w:sz w:val="24"/>
          <w:szCs w:val="24"/>
        </w:rPr>
        <w:t xml:space="preserve"> og nystagmus. Overdosering af </w:t>
      </w:r>
      <w:proofErr w:type="spellStart"/>
      <w:r w:rsidRPr="000E70D5">
        <w:rPr>
          <w:sz w:val="24"/>
          <w:szCs w:val="24"/>
        </w:rPr>
        <w:t>midazolam</w:t>
      </w:r>
      <w:proofErr w:type="spellEnd"/>
      <w:r w:rsidRPr="000E70D5">
        <w:rPr>
          <w:sz w:val="24"/>
          <w:szCs w:val="24"/>
        </w:rPr>
        <w:t xml:space="preserve"> er sjældent livstruende, hvis lægemidlet tages alene, men kan føre til </w:t>
      </w:r>
      <w:proofErr w:type="spellStart"/>
      <w:r w:rsidRPr="000E70D5">
        <w:rPr>
          <w:sz w:val="24"/>
          <w:szCs w:val="24"/>
        </w:rPr>
        <w:t>arefleksi</w:t>
      </w:r>
      <w:proofErr w:type="spellEnd"/>
      <w:r w:rsidRPr="000E70D5">
        <w:rPr>
          <w:sz w:val="24"/>
          <w:szCs w:val="24"/>
        </w:rPr>
        <w:t xml:space="preserve">, apnø, hypotension, </w:t>
      </w:r>
      <w:proofErr w:type="spellStart"/>
      <w:r w:rsidRPr="000E70D5">
        <w:rPr>
          <w:sz w:val="24"/>
          <w:szCs w:val="24"/>
        </w:rPr>
        <w:t>kardiorespiratorisk</w:t>
      </w:r>
      <w:proofErr w:type="spellEnd"/>
      <w:r w:rsidRPr="000E70D5">
        <w:rPr>
          <w:sz w:val="24"/>
          <w:szCs w:val="24"/>
        </w:rPr>
        <w:t xml:space="preserve"> depression og i sjældne tilfælde til koma. Hvis koma forekommer, varer det normalt i få timer, men kan være mere langvarigt og cyklisk, særligt hos ældre patienter. Benzodiazepiners respirationsdeprimerende virkning er mere alvorlig hos patienter med respiratorisk sygdom.</w:t>
      </w:r>
    </w:p>
    <w:p w14:paraId="007E7936" w14:textId="77777777" w:rsidR="003E438B" w:rsidRPr="000E70D5" w:rsidRDefault="003E438B" w:rsidP="00445723">
      <w:pPr>
        <w:ind w:left="851"/>
        <w:rPr>
          <w:sz w:val="24"/>
          <w:szCs w:val="24"/>
        </w:rPr>
      </w:pPr>
    </w:p>
    <w:p w14:paraId="0EFCCE8F" w14:textId="77777777" w:rsidR="003E438B" w:rsidRPr="000E70D5" w:rsidRDefault="003E438B" w:rsidP="00445723">
      <w:pPr>
        <w:ind w:left="851"/>
        <w:rPr>
          <w:sz w:val="24"/>
          <w:szCs w:val="24"/>
        </w:rPr>
      </w:pPr>
      <w:r w:rsidRPr="000E70D5">
        <w:rPr>
          <w:sz w:val="24"/>
          <w:szCs w:val="24"/>
        </w:rPr>
        <w:t xml:space="preserve">Benzodiazepiner øger virkningen af andre </w:t>
      </w:r>
      <w:proofErr w:type="spellStart"/>
      <w:r w:rsidRPr="000E70D5">
        <w:rPr>
          <w:sz w:val="24"/>
          <w:szCs w:val="24"/>
        </w:rPr>
        <w:t>hæmmere</w:t>
      </w:r>
      <w:proofErr w:type="spellEnd"/>
      <w:r w:rsidRPr="000E70D5">
        <w:rPr>
          <w:sz w:val="24"/>
          <w:szCs w:val="24"/>
        </w:rPr>
        <w:t xml:space="preserve"> af centralnervesystemet, herunder alkohol.</w:t>
      </w:r>
    </w:p>
    <w:p w14:paraId="138CF16F" w14:textId="77777777" w:rsidR="003E438B" w:rsidRPr="000E70D5" w:rsidRDefault="003E438B" w:rsidP="00445723">
      <w:pPr>
        <w:ind w:left="851"/>
        <w:rPr>
          <w:sz w:val="24"/>
          <w:szCs w:val="24"/>
        </w:rPr>
      </w:pPr>
    </w:p>
    <w:p w14:paraId="2116F81F" w14:textId="77777777" w:rsidR="003E438B" w:rsidRPr="00B64DCB" w:rsidRDefault="003E438B" w:rsidP="00445723">
      <w:pPr>
        <w:ind w:left="851"/>
        <w:rPr>
          <w:sz w:val="24"/>
          <w:szCs w:val="24"/>
          <w:u w:val="single"/>
        </w:rPr>
      </w:pPr>
      <w:r w:rsidRPr="00B64DCB">
        <w:rPr>
          <w:sz w:val="24"/>
          <w:szCs w:val="24"/>
          <w:u w:val="single"/>
        </w:rPr>
        <w:t>Håndtering</w:t>
      </w:r>
    </w:p>
    <w:p w14:paraId="09396F5B" w14:textId="77777777" w:rsidR="003E438B" w:rsidRPr="000E70D5" w:rsidRDefault="003E438B" w:rsidP="00445723">
      <w:pPr>
        <w:ind w:left="851"/>
        <w:rPr>
          <w:sz w:val="24"/>
          <w:szCs w:val="24"/>
        </w:rPr>
      </w:pPr>
      <w:r w:rsidRPr="000E70D5">
        <w:rPr>
          <w:sz w:val="24"/>
          <w:szCs w:val="24"/>
        </w:rPr>
        <w:t xml:space="preserve">Overvåg patientens vitalfunktioner, og udfør understøttende behandling ifølge patientens kliniske tilstand. Patienterne kan især have behov for symptomatisk behandling for </w:t>
      </w:r>
      <w:proofErr w:type="spellStart"/>
      <w:r w:rsidRPr="000E70D5">
        <w:rPr>
          <w:sz w:val="24"/>
          <w:szCs w:val="24"/>
        </w:rPr>
        <w:t>kardiorespiratoriske</w:t>
      </w:r>
      <w:proofErr w:type="spellEnd"/>
      <w:r w:rsidRPr="000E70D5">
        <w:rPr>
          <w:sz w:val="24"/>
          <w:szCs w:val="24"/>
        </w:rPr>
        <w:t xml:space="preserve"> virkninger eller virkninger på centralnervesystemet.</w:t>
      </w:r>
    </w:p>
    <w:p w14:paraId="7B71A6B9" w14:textId="77777777" w:rsidR="003E438B" w:rsidRPr="000E70D5" w:rsidRDefault="003E438B" w:rsidP="00445723">
      <w:pPr>
        <w:ind w:left="851"/>
        <w:rPr>
          <w:sz w:val="24"/>
          <w:szCs w:val="24"/>
        </w:rPr>
      </w:pPr>
    </w:p>
    <w:p w14:paraId="5215F34A" w14:textId="19A3F7CA" w:rsidR="003E438B" w:rsidRPr="000E70D5" w:rsidRDefault="003E438B" w:rsidP="00445723">
      <w:pPr>
        <w:ind w:left="851"/>
        <w:rPr>
          <w:sz w:val="24"/>
          <w:szCs w:val="24"/>
        </w:rPr>
      </w:pPr>
      <w:r w:rsidRPr="000E70D5">
        <w:rPr>
          <w:sz w:val="24"/>
          <w:szCs w:val="24"/>
        </w:rPr>
        <w:t xml:space="preserve">Hvis det er indtaget peroralt, bør yderligere absorption forhindres ved brug af en hensigtsmæssig metode, </w:t>
      </w:r>
      <w:r w:rsidR="000815D2">
        <w:rPr>
          <w:sz w:val="24"/>
          <w:szCs w:val="24"/>
        </w:rPr>
        <w:t>f.eks.</w:t>
      </w:r>
      <w:r w:rsidRPr="000E70D5">
        <w:rPr>
          <w:sz w:val="24"/>
          <w:szCs w:val="24"/>
        </w:rPr>
        <w:t xml:space="preserve"> behandling med aktivt kul inden for 1-2 timer. Hvis der anvendes aktivt kul, er beskyttelse af luftvejene nødvendig hos døsige patienter. I tilfælde af samtidig indtagelse af andre midler kan ventrikelskylning overvejes, men bør ikke foretages rutinemæssigt.</w:t>
      </w:r>
    </w:p>
    <w:p w14:paraId="2F234BA7" w14:textId="77777777" w:rsidR="003E438B" w:rsidRPr="000E70D5" w:rsidRDefault="003E438B" w:rsidP="00445723">
      <w:pPr>
        <w:ind w:left="851"/>
        <w:rPr>
          <w:sz w:val="24"/>
          <w:szCs w:val="24"/>
        </w:rPr>
      </w:pPr>
    </w:p>
    <w:p w14:paraId="781A237A" w14:textId="56D3A100" w:rsidR="003E438B" w:rsidRPr="000E70D5" w:rsidRDefault="003E438B" w:rsidP="00445723">
      <w:pPr>
        <w:ind w:left="851"/>
        <w:rPr>
          <w:sz w:val="24"/>
          <w:szCs w:val="24"/>
        </w:rPr>
      </w:pPr>
      <w:r w:rsidRPr="000E70D5">
        <w:rPr>
          <w:sz w:val="24"/>
          <w:szCs w:val="24"/>
        </w:rPr>
        <w:t xml:space="preserve">I tilfælde af svær CNS-depression kan det overvejes at anvende </w:t>
      </w:r>
      <w:proofErr w:type="spellStart"/>
      <w:r w:rsidRPr="000E70D5">
        <w:rPr>
          <w:sz w:val="24"/>
          <w:szCs w:val="24"/>
        </w:rPr>
        <w:t>flumazenil</w:t>
      </w:r>
      <w:proofErr w:type="spellEnd"/>
      <w:r w:rsidRPr="000E70D5">
        <w:rPr>
          <w:sz w:val="24"/>
          <w:szCs w:val="24"/>
        </w:rPr>
        <w:t xml:space="preserve">, som er en </w:t>
      </w:r>
      <w:proofErr w:type="spellStart"/>
      <w:r w:rsidRPr="000E70D5">
        <w:rPr>
          <w:sz w:val="24"/>
          <w:szCs w:val="24"/>
        </w:rPr>
        <w:t>benzodiazepinantagonist</w:t>
      </w:r>
      <w:proofErr w:type="spellEnd"/>
      <w:r w:rsidRPr="000E70D5">
        <w:rPr>
          <w:sz w:val="24"/>
          <w:szCs w:val="24"/>
        </w:rPr>
        <w:t xml:space="preserve">. Den må kun administreres under nøje monitorerede forhold. Den har en kort halveringstid (ca. en time), og patienter, der har fået </w:t>
      </w:r>
      <w:proofErr w:type="spellStart"/>
      <w:r w:rsidRPr="000E70D5">
        <w:rPr>
          <w:sz w:val="24"/>
          <w:szCs w:val="24"/>
        </w:rPr>
        <w:t>flumazenil</w:t>
      </w:r>
      <w:proofErr w:type="spellEnd"/>
      <w:r w:rsidRPr="000E70D5">
        <w:rPr>
          <w:sz w:val="24"/>
          <w:szCs w:val="24"/>
        </w:rPr>
        <w:t xml:space="preserve">, skal derfor overvåges, efter virkningen er aftaget. </w:t>
      </w:r>
      <w:proofErr w:type="spellStart"/>
      <w:r w:rsidRPr="000E70D5">
        <w:rPr>
          <w:sz w:val="24"/>
          <w:szCs w:val="24"/>
        </w:rPr>
        <w:t>Flumazenil</w:t>
      </w:r>
      <w:proofErr w:type="spellEnd"/>
      <w:r w:rsidRPr="000E70D5">
        <w:rPr>
          <w:sz w:val="24"/>
          <w:szCs w:val="24"/>
        </w:rPr>
        <w:t xml:space="preserve"> skal anvendes med ekstrem forsigtighed i nærvær af lægemidler, der reducerer krampetærsklen (</w:t>
      </w:r>
      <w:r w:rsidR="000815D2">
        <w:rPr>
          <w:sz w:val="24"/>
          <w:szCs w:val="24"/>
        </w:rPr>
        <w:t>f.eks.</w:t>
      </w:r>
      <w:r w:rsidRPr="000E70D5">
        <w:rPr>
          <w:sz w:val="24"/>
          <w:szCs w:val="24"/>
        </w:rPr>
        <w:t xml:space="preserve"> tricykliske </w:t>
      </w:r>
      <w:proofErr w:type="spellStart"/>
      <w:r w:rsidRPr="000E70D5">
        <w:rPr>
          <w:sz w:val="24"/>
          <w:szCs w:val="24"/>
        </w:rPr>
        <w:t>antidepressiva</w:t>
      </w:r>
      <w:proofErr w:type="spellEnd"/>
      <w:r w:rsidRPr="000E70D5">
        <w:rPr>
          <w:sz w:val="24"/>
          <w:szCs w:val="24"/>
        </w:rPr>
        <w:t>).</w:t>
      </w:r>
    </w:p>
    <w:p w14:paraId="1DCFE90C" w14:textId="77777777" w:rsidR="003E438B" w:rsidRPr="000E70D5" w:rsidRDefault="003E438B" w:rsidP="00445723">
      <w:pPr>
        <w:ind w:left="851"/>
        <w:rPr>
          <w:sz w:val="24"/>
          <w:szCs w:val="24"/>
        </w:rPr>
      </w:pPr>
      <w:r w:rsidRPr="000E70D5">
        <w:rPr>
          <w:sz w:val="24"/>
          <w:szCs w:val="24"/>
        </w:rPr>
        <w:t xml:space="preserve">Se yderligere information om korrekt brug af lægemidlet i ordinationsoplysningerne for </w:t>
      </w:r>
      <w:proofErr w:type="spellStart"/>
      <w:r w:rsidRPr="000E70D5">
        <w:rPr>
          <w:sz w:val="24"/>
          <w:szCs w:val="24"/>
        </w:rPr>
        <w:t>flumazenil</w:t>
      </w:r>
      <w:proofErr w:type="spellEnd"/>
      <w:r w:rsidRPr="000E70D5">
        <w:rPr>
          <w:sz w:val="24"/>
          <w:szCs w:val="24"/>
        </w:rPr>
        <w:t>.</w:t>
      </w:r>
    </w:p>
    <w:p w14:paraId="460C8CC5" w14:textId="77777777" w:rsidR="009260DE" w:rsidRPr="000E70D5" w:rsidRDefault="009260DE" w:rsidP="009260DE">
      <w:pPr>
        <w:tabs>
          <w:tab w:val="left" w:pos="851"/>
        </w:tabs>
        <w:ind w:left="851"/>
        <w:rPr>
          <w:sz w:val="24"/>
          <w:szCs w:val="24"/>
        </w:rPr>
      </w:pPr>
    </w:p>
    <w:p w14:paraId="6A814837" w14:textId="77777777" w:rsidR="009260DE" w:rsidRPr="000E70D5" w:rsidRDefault="009260DE" w:rsidP="009260DE">
      <w:pPr>
        <w:tabs>
          <w:tab w:val="left" w:pos="851"/>
        </w:tabs>
        <w:ind w:left="851" w:hanging="851"/>
        <w:rPr>
          <w:b/>
          <w:sz w:val="24"/>
          <w:szCs w:val="24"/>
        </w:rPr>
      </w:pPr>
      <w:r w:rsidRPr="000E70D5">
        <w:rPr>
          <w:b/>
          <w:sz w:val="24"/>
          <w:szCs w:val="24"/>
        </w:rPr>
        <w:t>4.10</w:t>
      </w:r>
      <w:r w:rsidRPr="000E70D5">
        <w:rPr>
          <w:b/>
          <w:sz w:val="24"/>
          <w:szCs w:val="24"/>
        </w:rPr>
        <w:tab/>
        <w:t>Udlevering</w:t>
      </w:r>
    </w:p>
    <w:p w14:paraId="7CBC6056" w14:textId="5F285647" w:rsidR="009260DE" w:rsidRPr="000E70D5" w:rsidRDefault="003E438B" w:rsidP="009260DE">
      <w:pPr>
        <w:tabs>
          <w:tab w:val="left" w:pos="851"/>
        </w:tabs>
        <w:ind w:left="851"/>
        <w:rPr>
          <w:sz w:val="24"/>
          <w:szCs w:val="24"/>
        </w:rPr>
      </w:pPr>
      <w:r w:rsidRPr="000E70D5">
        <w:rPr>
          <w:sz w:val="24"/>
          <w:szCs w:val="24"/>
        </w:rPr>
        <w:t>A</w:t>
      </w:r>
    </w:p>
    <w:p w14:paraId="61C8B4D5" w14:textId="77777777" w:rsidR="009260DE" w:rsidRPr="000E70D5" w:rsidRDefault="009260DE" w:rsidP="009260DE">
      <w:pPr>
        <w:tabs>
          <w:tab w:val="left" w:pos="851"/>
        </w:tabs>
        <w:ind w:left="851"/>
        <w:rPr>
          <w:sz w:val="24"/>
          <w:szCs w:val="24"/>
        </w:rPr>
      </w:pPr>
    </w:p>
    <w:p w14:paraId="6BCE374D" w14:textId="77777777" w:rsidR="009260DE" w:rsidRPr="000E70D5" w:rsidRDefault="009260DE" w:rsidP="009260DE">
      <w:pPr>
        <w:tabs>
          <w:tab w:val="left" w:pos="851"/>
        </w:tabs>
        <w:ind w:left="851"/>
        <w:rPr>
          <w:sz w:val="24"/>
          <w:szCs w:val="24"/>
        </w:rPr>
      </w:pPr>
    </w:p>
    <w:p w14:paraId="612C82B3" w14:textId="77777777" w:rsidR="009260DE" w:rsidRPr="000E70D5" w:rsidRDefault="009260DE" w:rsidP="009260DE">
      <w:pPr>
        <w:tabs>
          <w:tab w:val="left" w:pos="851"/>
        </w:tabs>
        <w:ind w:left="851" w:hanging="851"/>
        <w:rPr>
          <w:b/>
          <w:sz w:val="24"/>
          <w:szCs w:val="24"/>
        </w:rPr>
      </w:pPr>
      <w:r w:rsidRPr="000E70D5">
        <w:rPr>
          <w:b/>
          <w:sz w:val="24"/>
          <w:szCs w:val="24"/>
        </w:rPr>
        <w:t>5.</w:t>
      </w:r>
      <w:r w:rsidRPr="000E70D5">
        <w:rPr>
          <w:b/>
          <w:sz w:val="24"/>
          <w:szCs w:val="24"/>
        </w:rPr>
        <w:tab/>
        <w:t>FARMAKOLOGISKE EGENSKABER</w:t>
      </w:r>
    </w:p>
    <w:p w14:paraId="039F0571" w14:textId="77777777" w:rsidR="009260DE" w:rsidRPr="000E70D5" w:rsidRDefault="009260DE" w:rsidP="009260DE">
      <w:pPr>
        <w:tabs>
          <w:tab w:val="left" w:pos="851"/>
        </w:tabs>
        <w:ind w:left="851"/>
        <w:rPr>
          <w:sz w:val="24"/>
          <w:szCs w:val="24"/>
        </w:rPr>
      </w:pPr>
    </w:p>
    <w:p w14:paraId="06A06F8F" w14:textId="77777777" w:rsidR="009260DE" w:rsidRPr="000E70D5" w:rsidRDefault="009260DE" w:rsidP="009260DE">
      <w:pPr>
        <w:tabs>
          <w:tab w:val="num" w:pos="851"/>
        </w:tabs>
        <w:ind w:left="851" w:hanging="851"/>
        <w:rPr>
          <w:b/>
          <w:sz w:val="24"/>
          <w:szCs w:val="24"/>
        </w:rPr>
      </w:pPr>
      <w:r w:rsidRPr="000E70D5">
        <w:rPr>
          <w:b/>
          <w:sz w:val="24"/>
          <w:szCs w:val="24"/>
        </w:rPr>
        <w:t>5.1</w:t>
      </w:r>
      <w:r w:rsidRPr="000E70D5">
        <w:rPr>
          <w:b/>
          <w:sz w:val="24"/>
          <w:szCs w:val="24"/>
        </w:rPr>
        <w:tab/>
      </w:r>
      <w:proofErr w:type="spellStart"/>
      <w:r w:rsidRPr="000E70D5">
        <w:rPr>
          <w:b/>
          <w:sz w:val="24"/>
          <w:szCs w:val="24"/>
        </w:rPr>
        <w:t>Farmakodynamiske</w:t>
      </w:r>
      <w:proofErr w:type="spellEnd"/>
      <w:r w:rsidRPr="000E70D5">
        <w:rPr>
          <w:b/>
          <w:sz w:val="24"/>
          <w:szCs w:val="24"/>
        </w:rPr>
        <w:t xml:space="preserve"> egenskaber</w:t>
      </w:r>
    </w:p>
    <w:p w14:paraId="37594E32" w14:textId="77777777" w:rsidR="003E438B" w:rsidRPr="000E70D5" w:rsidRDefault="003E438B" w:rsidP="00445723">
      <w:pPr>
        <w:ind w:left="851"/>
        <w:rPr>
          <w:sz w:val="24"/>
          <w:szCs w:val="24"/>
        </w:rPr>
      </w:pPr>
      <w:proofErr w:type="spellStart"/>
      <w:r w:rsidRPr="000E70D5">
        <w:rPr>
          <w:sz w:val="24"/>
          <w:szCs w:val="24"/>
        </w:rPr>
        <w:t>Farmakoterapeutisk</w:t>
      </w:r>
      <w:proofErr w:type="spellEnd"/>
      <w:r w:rsidRPr="000E70D5">
        <w:rPr>
          <w:sz w:val="24"/>
          <w:szCs w:val="24"/>
        </w:rPr>
        <w:t xml:space="preserve"> klassifikation: </w:t>
      </w:r>
      <w:proofErr w:type="spellStart"/>
      <w:r w:rsidRPr="000E70D5">
        <w:rPr>
          <w:sz w:val="24"/>
          <w:szCs w:val="24"/>
        </w:rPr>
        <w:t>Hypnotika</w:t>
      </w:r>
      <w:proofErr w:type="spellEnd"/>
      <w:r w:rsidRPr="000E70D5">
        <w:rPr>
          <w:sz w:val="24"/>
          <w:szCs w:val="24"/>
        </w:rPr>
        <w:t xml:space="preserve"> og </w:t>
      </w:r>
      <w:proofErr w:type="spellStart"/>
      <w:r w:rsidRPr="000E70D5">
        <w:rPr>
          <w:sz w:val="24"/>
          <w:szCs w:val="24"/>
        </w:rPr>
        <w:t>sedativa</w:t>
      </w:r>
      <w:proofErr w:type="spellEnd"/>
      <w:r w:rsidRPr="000E70D5">
        <w:rPr>
          <w:sz w:val="24"/>
          <w:szCs w:val="24"/>
        </w:rPr>
        <w:t xml:space="preserve"> (benzodiazepin-derivater), ATC-kode: </w:t>
      </w:r>
      <w:bookmarkStart w:id="11" w:name="_Hlk126164300"/>
      <w:r w:rsidRPr="000E70D5">
        <w:rPr>
          <w:sz w:val="24"/>
          <w:szCs w:val="24"/>
        </w:rPr>
        <w:t>N05CD08</w:t>
      </w:r>
      <w:bookmarkEnd w:id="11"/>
      <w:r w:rsidRPr="000E70D5">
        <w:rPr>
          <w:sz w:val="24"/>
          <w:szCs w:val="24"/>
        </w:rPr>
        <w:t>.</w:t>
      </w:r>
    </w:p>
    <w:p w14:paraId="78199533" w14:textId="77777777" w:rsidR="003E438B" w:rsidRPr="000E70D5" w:rsidRDefault="003E438B" w:rsidP="00445723">
      <w:pPr>
        <w:ind w:left="851"/>
        <w:rPr>
          <w:sz w:val="24"/>
          <w:szCs w:val="24"/>
        </w:rPr>
      </w:pPr>
    </w:p>
    <w:p w14:paraId="087DB8D9" w14:textId="77777777" w:rsidR="003E438B" w:rsidRPr="000E70D5" w:rsidRDefault="003E438B" w:rsidP="00445723">
      <w:pPr>
        <w:ind w:left="851"/>
        <w:rPr>
          <w:sz w:val="24"/>
          <w:szCs w:val="24"/>
        </w:rPr>
      </w:pPr>
      <w:proofErr w:type="spellStart"/>
      <w:r w:rsidRPr="000E70D5">
        <w:rPr>
          <w:sz w:val="24"/>
          <w:szCs w:val="24"/>
        </w:rPr>
        <w:t>Midazolam</w:t>
      </w:r>
      <w:proofErr w:type="spellEnd"/>
      <w:r w:rsidRPr="000E70D5">
        <w:rPr>
          <w:sz w:val="24"/>
          <w:szCs w:val="24"/>
        </w:rPr>
        <w:t xml:space="preserve"> har hypnotiske og sedative virkninger, der er kendetegnet ved, at de sætter hurtigt ind og varer i kort tid. Det har også </w:t>
      </w:r>
      <w:proofErr w:type="spellStart"/>
      <w:r w:rsidRPr="000E70D5">
        <w:rPr>
          <w:sz w:val="24"/>
          <w:szCs w:val="24"/>
        </w:rPr>
        <w:t>anxiolytisk</w:t>
      </w:r>
      <w:proofErr w:type="spellEnd"/>
      <w:r w:rsidRPr="000E70D5">
        <w:rPr>
          <w:sz w:val="24"/>
          <w:szCs w:val="24"/>
        </w:rPr>
        <w:t xml:space="preserve">, </w:t>
      </w:r>
      <w:proofErr w:type="spellStart"/>
      <w:r w:rsidRPr="000E70D5">
        <w:rPr>
          <w:sz w:val="24"/>
          <w:szCs w:val="24"/>
        </w:rPr>
        <w:t>antikonvulsiv</w:t>
      </w:r>
      <w:proofErr w:type="spellEnd"/>
      <w:r w:rsidRPr="000E70D5">
        <w:rPr>
          <w:sz w:val="24"/>
          <w:szCs w:val="24"/>
        </w:rPr>
        <w:t xml:space="preserve"> og muskelafslappende virkning. </w:t>
      </w:r>
      <w:proofErr w:type="spellStart"/>
      <w:r w:rsidRPr="000E70D5">
        <w:rPr>
          <w:sz w:val="24"/>
          <w:szCs w:val="24"/>
        </w:rPr>
        <w:t>Midazolam</w:t>
      </w:r>
      <w:proofErr w:type="spellEnd"/>
      <w:r w:rsidRPr="000E70D5">
        <w:rPr>
          <w:sz w:val="24"/>
          <w:szCs w:val="24"/>
        </w:rPr>
        <w:t xml:space="preserve"> forringer den </w:t>
      </w:r>
      <w:proofErr w:type="spellStart"/>
      <w:r w:rsidRPr="000E70D5">
        <w:rPr>
          <w:sz w:val="24"/>
          <w:szCs w:val="24"/>
        </w:rPr>
        <w:t>psykomotoriske</w:t>
      </w:r>
      <w:proofErr w:type="spellEnd"/>
      <w:r w:rsidRPr="000E70D5">
        <w:rPr>
          <w:sz w:val="24"/>
          <w:szCs w:val="24"/>
        </w:rPr>
        <w:t xml:space="preserve"> funktion efter enkelte og/eller flere doser, men forårsager minimale </w:t>
      </w:r>
      <w:proofErr w:type="spellStart"/>
      <w:r w:rsidRPr="000E70D5">
        <w:rPr>
          <w:sz w:val="24"/>
          <w:szCs w:val="24"/>
        </w:rPr>
        <w:t>hæmodynamiske</w:t>
      </w:r>
      <w:proofErr w:type="spellEnd"/>
      <w:r w:rsidRPr="000E70D5">
        <w:rPr>
          <w:sz w:val="24"/>
          <w:szCs w:val="24"/>
        </w:rPr>
        <w:t xml:space="preserve"> ændringer.</w:t>
      </w:r>
    </w:p>
    <w:p w14:paraId="5A28FEEC" w14:textId="77777777" w:rsidR="003E438B" w:rsidRPr="000E70D5" w:rsidRDefault="003E438B" w:rsidP="00445723">
      <w:pPr>
        <w:ind w:left="851"/>
        <w:rPr>
          <w:sz w:val="24"/>
          <w:szCs w:val="24"/>
        </w:rPr>
      </w:pPr>
    </w:p>
    <w:p w14:paraId="71C8965F" w14:textId="77777777" w:rsidR="003E438B" w:rsidRPr="000E70D5" w:rsidRDefault="003E438B" w:rsidP="00445723">
      <w:pPr>
        <w:ind w:left="851"/>
        <w:rPr>
          <w:sz w:val="24"/>
          <w:szCs w:val="24"/>
        </w:rPr>
      </w:pPr>
      <w:r w:rsidRPr="000E70D5">
        <w:rPr>
          <w:sz w:val="24"/>
          <w:szCs w:val="24"/>
        </w:rPr>
        <w:t xml:space="preserve">Benzodiazepiners centrale virkninger medieres gennem en forøgelse af den </w:t>
      </w:r>
      <w:proofErr w:type="spellStart"/>
      <w:r w:rsidRPr="000E70D5">
        <w:rPr>
          <w:sz w:val="24"/>
          <w:szCs w:val="24"/>
        </w:rPr>
        <w:t>GABAerge</w:t>
      </w:r>
      <w:proofErr w:type="spellEnd"/>
      <w:r w:rsidRPr="000E70D5">
        <w:rPr>
          <w:sz w:val="24"/>
          <w:szCs w:val="24"/>
        </w:rPr>
        <w:t xml:space="preserve"> </w:t>
      </w:r>
      <w:proofErr w:type="spellStart"/>
      <w:r w:rsidRPr="000E70D5">
        <w:rPr>
          <w:sz w:val="24"/>
          <w:szCs w:val="24"/>
        </w:rPr>
        <w:t>neurotransmission</w:t>
      </w:r>
      <w:proofErr w:type="spellEnd"/>
      <w:r w:rsidRPr="000E70D5">
        <w:rPr>
          <w:sz w:val="24"/>
          <w:szCs w:val="24"/>
        </w:rPr>
        <w:t xml:space="preserve"> ved inhiberende synapser. Ved tilstedeværelsen af benzodiazepiner forbedres GABA-receptorens affinitet for neurotransmitteren gennem positiv </w:t>
      </w:r>
      <w:proofErr w:type="spellStart"/>
      <w:r w:rsidRPr="000E70D5">
        <w:rPr>
          <w:sz w:val="24"/>
          <w:szCs w:val="24"/>
        </w:rPr>
        <w:t>allosterisk</w:t>
      </w:r>
      <w:proofErr w:type="spellEnd"/>
      <w:r w:rsidRPr="000E70D5">
        <w:rPr>
          <w:sz w:val="24"/>
          <w:szCs w:val="24"/>
        </w:rPr>
        <w:t xml:space="preserve"> modulation, hvilket resulterer i en forøget virkning af frigivet GABA på den </w:t>
      </w:r>
      <w:proofErr w:type="spellStart"/>
      <w:r w:rsidRPr="000E70D5">
        <w:rPr>
          <w:sz w:val="24"/>
          <w:szCs w:val="24"/>
        </w:rPr>
        <w:t>postsynaptiske</w:t>
      </w:r>
      <w:proofErr w:type="spellEnd"/>
      <w:r w:rsidRPr="000E70D5">
        <w:rPr>
          <w:sz w:val="24"/>
          <w:szCs w:val="24"/>
        </w:rPr>
        <w:t xml:space="preserve"> strøm af </w:t>
      </w:r>
      <w:proofErr w:type="spellStart"/>
      <w:r w:rsidRPr="000E70D5">
        <w:rPr>
          <w:sz w:val="24"/>
          <w:szCs w:val="24"/>
        </w:rPr>
        <w:t>transmembrane</w:t>
      </w:r>
      <w:proofErr w:type="spellEnd"/>
      <w:r w:rsidRPr="000E70D5">
        <w:rPr>
          <w:sz w:val="24"/>
          <w:szCs w:val="24"/>
        </w:rPr>
        <w:t xml:space="preserve"> </w:t>
      </w:r>
      <w:proofErr w:type="spellStart"/>
      <w:r w:rsidRPr="000E70D5">
        <w:rPr>
          <w:sz w:val="24"/>
          <w:szCs w:val="24"/>
        </w:rPr>
        <w:t>chloridioner</w:t>
      </w:r>
      <w:proofErr w:type="spellEnd"/>
      <w:r w:rsidRPr="000E70D5">
        <w:rPr>
          <w:sz w:val="24"/>
          <w:szCs w:val="24"/>
        </w:rPr>
        <w:t>.</w:t>
      </w:r>
    </w:p>
    <w:p w14:paraId="373DB745" w14:textId="77777777" w:rsidR="003E438B" w:rsidRPr="000E70D5" w:rsidRDefault="003E438B" w:rsidP="00445723">
      <w:pPr>
        <w:ind w:left="851"/>
        <w:rPr>
          <w:sz w:val="24"/>
          <w:szCs w:val="24"/>
        </w:rPr>
      </w:pPr>
      <w:r w:rsidRPr="000E70D5">
        <w:rPr>
          <w:sz w:val="24"/>
          <w:szCs w:val="24"/>
        </w:rPr>
        <w:t xml:space="preserve">Kemisk </w:t>
      </w:r>
      <w:proofErr w:type="spellStart"/>
      <w:r w:rsidRPr="000E70D5">
        <w:rPr>
          <w:sz w:val="24"/>
          <w:szCs w:val="24"/>
        </w:rPr>
        <w:t>midazolam</w:t>
      </w:r>
      <w:proofErr w:type="spellEnd"/>
      <w:r w:rsidRPr="000E70D5">
        <w:rPr>
          <w:sz w:val="24"/>
          <w:szCs w:val="24"/>
        </w:rPr>
        <w:t xml:space="preserve"> er et derivat af </w:t>
      </w:r>
      <w:proofErr w:type="spellStart"/>
      <w:r w:rsidRPr="000E70D5">
        <w:rPr>
          <w:sz w:val="24"/>
          <w:szCs w:val="24"/>
        </w:rPr>
        <w:t>imidazobenzodiazepingruppen</w:t>
      </w:r>
      <w:proofErr w:type="spellEnd"/>
      <w:r w:rsidRPr="000E70D5">
        <w:rPr>
          <w:sz w:val="24"/>
          <w:szCs w:val="24"/>
        </w:rPr>
        <w:t xml:space="preserve">. Selvom den frie base er et </w:t>
      </w:r>
      <w:proofErr w:type="spellStart"/>
      <w:r w:rsidRPr="000E70D5">
        <w:rPr>
          <w:sz w:val="24"/>
          <w:szCs w:val="24"/>
        </w:rPr>
        <w:t>lipofilt</w:t>
      </w:r>
      <w:proofErr w:type="spellEnd"/>
      <w:r w:rsidRPr="000E70D5">
        <w:rPr>
          <w:sz w:val="24"/>
          <w:szCs w:val="24"/>
        </w:rPr>
        <w:t xml:space="preserve"> stof med lav opløselighed i vand, gør det basiske nitrogen i position 2 i </w:t>
      </w:r>
      <w:proofErr w:type="spellStart"/>
      <w:r w:rsidRPr="000E70D5">
        <w:rPr>
          <w:sz w:val="24"/>
          <w:szCs w:val="24"/>
        </w:rPr>
        <w:t>imidazobenzodiazepinringen</w:t>
      </w:r>
      <w:proofErr w:type="spellEnd"/>
      <w:r w:rsidRPr="000E70D5">
        <w:rPr>
          <w:sz w:val="24"/>
          <w:szCs w:val="24"/>
        </w:rPr>
        <w:t xml:space="preserve"> det aktive stof i </w:t>
      </w:r>
      <w:proofErr w:type="spellStart"/>
      <w:r w:rsidRPr="000E70D5">
        <w:rPr>
          <w:sz w:val="24"/>
          <w:szCs w:val="24"/>
        </w:rPr>
        <w:t>midazolam</w:t>
      </w:r>
      <w:proofErr w:type="spellEnd"/>
      <w:r w:rsidRPr="000E70D5">
        <w:rPr>
          <w:sz w:val="24"/>
          <w:szCs w:val="24"/>
        </w:rPr>
        <w:t xml:space="preserve"> i stand til at danne vandopløselige salte med syrer. Saltene danner en stabil og veltolereret opløsning til injektion. Dette kombineret med hurtig metabolisk transformation udgør årsagerne til den hurtigt indsættende og kortvarige virkning. Som følge af den lave toksicitet har </w:t>
      </w:r>
      <w:proofErr w:type="spellStart"/>
      <w:r w:rsidRPr="000E70D5">
        <w:rPr>
          <w:sz w:val="24"/>
          <w:szCs w:val="24"/>
        </w:rPr>
        <w:t>midazolam</w:t>
      </w:r>
      <w:proofErr w:type="spellEnd"/>
      <w:r w:rsidRPr="000E70D5">
        <w:rPr>
          <w:sz w:val="24"/>
          <w:szCs w:val="24"/>
        </w:rPr>
        <w:t xml:space="preserve"> et bredt terapeutisk interval.</w:t>
      </w:r>
    </w:p>
    <w:p w14:paraId="55AC962D" w14:textId="77777777" w:rsidR="003E438B" w:rsidRPr="000E70D5" w:rsidRDefault="003E438B" w:rsidP="00445723">
      <w:pPr>
        <w:ind w:left="851"/>
        <w:rPr>
          <w:sz w:val="24"/>
          <w:szCs w:val="24"/>
        </w:rPr>
      </w:pPr>
    </w:p>
    <w:p w14:paraId="590A1A75" w14:textId="77777777" w:rsidR="003E438B" w:rsidRPr="000E70D5" w:rsidRDefault="003E438B" w:rsidP="00445723">
      <w:pPr>
        <w:ind w:left="851"/>
        <w:rPr>
          <w:sz w:val="24"/>
          <w:szCs w:val="24"/>
        </w:rPr>
      </w:pPr>
      <w:r w:rsidRPr="000E70D5">
        <w:rPr>
          <w:sz w:val="24"/>
          <w:szCs w:val="24"/>
        </w:rPr>
        <w:t xml:space="preserve">Efter intramuskulær eller intravenøs administration optræder der </w:t>
      </w:r>
      <w:proofErr w:type="spellStart"/>
      <w:r w:rsidRPr="000E70D5">
        <w:rPr>
          <w:sz w:val="24"/>
          <w:szCs w:val="24"/>
        </w:rPr>
        <w:t>anterograd</w:t>
      </w:r>
      <w:proofErr w:type="spellEnd"/>
      <w:r w:rsidRPr="000E70D5">
        <w:rPr>
          <w:sz w:val="24"/>
          <w:szCs w:val="24"/>
        </w:rPr>
        <w:t xml:space="preserve"> amnesi af kort varighed (patienten husker ikke hændelser, der indtraf under stoffets maksimale virkning).</w:t>
      </w:r>
    </w:p>
    <w:p w14:paraId="7F3F00A9" w14:textId="77777777" w:rsidR="009260DE" w:rsidRPr="000E70D5" w:rsidRDefault="009260DE" w:rsidP="009260DE">
      <w:pPr>
        <w:tabs>
          <w:tab w:val="left" w:pos="851"/>
        </w:tabs>
        <w:ind w:left="851"/>
        <w:rPr>
          <w:sz w:val="24"/>
          <w:szCs w:val="24"/>
        </w:rPr>
      </w:pPr>
    </w:p>
    <w:p w14:paraId="2F095A7E" w14:textId="77777777" w:rsidR="009260DE" w:rsidRPr="000E70D5" w:rsidRDefault="009260DE" w:rsidP="009260DE">
      <w:pPr>
        <w:tabs>
          <w:tab w:val="left" w:pos="851"/>
        </w:tabs>
        <w:ind w:left="851" w:hanging="851"/>
        <w:rPr>
          <w:b/>
          <w:sz w:val="24"/>
          <w:szCs w:val="24"/>
        </w:rPr>
      </w:pPr>
      <w:r w:rsidRPr="000E70D5">
        <w:rPr>
          <w:b/>
          <w:sz w:val="24"/>
          <w:szCs w:val="24"/>
        </w:rPr>
        <w:t>5.2</w:t>
      </w:r>
      <w:r w:rsidRPr="000E70D5">
        <w:rPr>
          <w:b/>
          <w:sz w:val="24"/>
          <w:szCs w:val="24"/>
        </w:rPr>
        <w:tab/>
      </w:r>
      <w:proofErr w:type="spellStart"/>
      <w:r w:rsidRPr="000E70D5">
        <w:rPr>
          <w:b/>
          <w:sz w:val="24"/>
          <w:szCs w:val="24"/>
        </w:rPr>
        <w:t>Farmakokinetiske</w:t>
      </w:r>
      <w:proofErr w:type="spellEnd"/>
      <w:r w:rsidRPr="000E70D5">
        <w:rPr>
          <w:b/>
          <w:sz w:val="24"/>
          <w:szCs w:val="24"/>
        </w:rPr>
        <w:t xml:space="preserve"> egenskaber</w:t>
      </w:r>
    </w:p>
    <w:p w14:paraId="49487E2C" w14:textId="77777777" w:rsidR="00CA2EF6" w:rsidRDefault="00CA2EF6" w:rsidP="00445723">
      <w:pPr>
        <w:ind w:left="851"/>
        <w:rPr>
          <w:sz w:val="24"/>
          <w:szCs w:val="24"/>
        </w:rPr>
      </w:pPr>
    </w:p>
    <w:p w14:paraId="5725B5EE" w14:textId="52F62DD1" w:rsidR="003E438B" w:rsidRPr="00CA2EF6" w:rsidRDefault="003E438B" w:rsidP="00445723">
      <w:pPr>
        <w:ind w:left="851"/>
        <w:rPr>
          <w:sz w:val="24"/>
          <w:szCs w:val="24"/>
          <w:u w:val="single"/>
        </w:rPr>
      </w:pPr>
      <w:r w:rsidRPr="00CA2EF6">
        <w:rPr>
          <w:sz w:val="24"/>
          <w:szCs w:val="24"/>
          <w:u w:val="single"/>
        </w:rPr>
        <w:t>Absorption</w:t>
      </w:r>
    </w:p>
    <w:p w14:paraId="5CC15FE6" w14:textId="77777777" w:rsidR="003E438B" w:rsidRPr="000E70D5" w:rsidRDefault="003E438B" w:rsidP="00445723">
      <w:pPr>
        <w:ind w:left="851"/>
        <w:rPr>
          <w:sz w:val="24"/>
          <w:szCs w:val="24"/>
        </w:rPr>
      </w:pPr>
    </w:p>
    <w:p w14:paraId="0188DEBD" w14:textId="77777777" w:rsidR="003E438B" w:rsidRPr="000E70D5" w:rsidRDefault="003E438B" w:rsidP="00445723">
      <w:pPr>
        <w:ind w:left="851"/>
        <w:rPr>
          <w:sz w:val="24"/>
          <w:szCs w:val="24"/>
        </w:rPr>
      </w:pPr>
      <w:r w:rsidRPr="00CA2EF6">
        <w:rPr>
          <w:sz w:val="24"/>
          <w:szCs w:val="24"/>
          <w:u w:val="single"/>
        </w:rPr>
        <w:t>Efter intramuskulær administration</w:t>
      </w:r>
      <w:r w:rsidRPr="000E70D5">
        <w:rPr>
          <w:sz w:val="24"/>
          <w:szCs w:val="24"/>
        </w:rPr>
        <w:t xml:space="preserve"> absorberes </w:t>
      </w:r>
      <w:proofErr w:type="spellStart"/>
      <w:r w:rsidRPr="000E70D5">
        <w:rPr>
          <w:sz w:val="24"/>
          <w:szCs w:val="24"/>
        </w:rPr>
        <w:t>midazolam</w:t>
      </w:r>
      <w:proofErr w:type="spellEnd"/>
      <w:r w:rsidRPr="000E70D5">
        <w:rPr>
          <w:sz w:val="24"/>
          <w:szCs w:val="24"/>
        </w:rPr>
        <w:t xml:space="preserve"> hurtigt og fuldstændigt fra muskelvæv. Maksimale plasmakoncentrationer nås i løbet af 30 minutter. Den absolutte biotilgængelighed efter intramuskulær injektion er over 90 %.</w:t>
      </w:r>
    </w:p>
    <w:p w14:paraId="7AD5A683" w14:textId="4D42280E" w:rsidR="000815D2" w:rsidRDefault="000815D2">
      <w:pPr>
        <w:rPr>
          <w:noProof/>
          <w:sz w:val="24"/>
          <w:szCs w:val="24"/>
        </w:rPr>
      </w:pPr>
      <w:r>
        <w:rPr>
          <w:noProof/>
          <w:sz w:val="24"/>
          <w:szCs w:val="24"/>
        </w:rPr>
        <w:br w:type="page"/>
      </w:r>
    </w:p>
    <w:p w14:paraId="7E076F02" w14:textId="77777777" w:rsidR="003E438B" w:rsidRPr="000E70D5" w:rsidRDefault="003E438B" w:rsidP="00445723">
      <w:pPr>
        <w:ind w:left="851"/>
        <w:rPr>
          <w:noProof/>
          <w:sz w:val="24"/>
          <w:szCs w:val="24"/>
        </w:rPr>
      </w:pPr>
    </w:p>
    <w:p w14:paraId="7161F616" w14:textId="77777777" w:rsidR="003E438B" w:rsidRPr="00CA2EF6" w:rsidRDefault="003E438B" w:rsidP="00445723">
      <w:pPr>
        <w:ind w:left="851"/>
        <w:rPr>
          <w:noProof/>
          <w:sz w:val="24"/>
          <w:szCs w:val="24"/>
          <w:u w:val="single"/>
        </w:rPr>
      </w:pPr>
      <w:r w:rsidRPr="00CA2EF6">
        <w:rPr>
          <w:noProof/>
          <w:sz w:val="24"/>
          <w:szCs w:val="24"/>
          <w:u w:val="single"/>
        </w:rPr>
        <w:t>Absorption efter rektal administration</w:t>
      </w:r>
    </w:p>
    <w:p w14:paraId="562A912B" w14:textId="77777777" w:rsidR="003E438B" w:rsidRPr="000E70D5" w:rsidRDefault="003E438B" w:rsidP="00445723">
      <w:pPr>
        <w:ind w:left="851"/>
        <w:rPr>
          <w:noProof/>
          <w:sz w:val="24"/>
          <w:szCs w:val="24"/>
        </w:rPr>
      </w:pPr>
      <w:r w:rsidRPr="000E70D5">
        <w:rPr>
          <w:noProof/>
          <w:sz w:val="24"/>
          <w:szCs w:val="24"/>
        </w:rPr>
        <w:t>Efter rektal administration absorberes midazolam hurtigt. Maksimal plasmakoncentration nås på ca. 30 minutter. Den absolutte biotilgængelighed er omkring 50 %.</w:t>
      </w:r>
    </w:p>
    <w:p w14:paraId="3A0FFD1B" w14:textId="77777777" w:rsidR="003E438B" w:rsidRPr="000E70D5" w:rsidRDefault="003E438B" w:rsidP="00445723">
      <w:pPr>
        <w:ind w:left="851"/>
        <w:rPr>
          <w:sz w:val="24"/>
          <w:szCs w:val="24"/>
        </w:rPr>
      </w:pPr>
    </w:p>
    <w:p w14:paraId="126DD086" w14:textId="77777777" w:rsidR="003E438B" w:rsidRPr="00CA2EF6" w:rsidRDefault="003E438B" w:rsidP="00445723">
      <w:pPr>
        <w:ind w:left="851"/>
        <w:rPr>
          <w:sz w:val="24"/>
          <w:szCs w:val="24"/>
          <w:u w:val="single"/>
        </w:rPr>
      </w:pPr>
      <w:r w:rsidRPr="00CA2EF6">
        <w:rPr>
          <w:sz w:val="24"/>
          <w:szCs w:val="24"/>
          <w:u w:val="single"/>
        </w:rPr>
        <w:t>Fordeling</w:t>
      </w:r>
    </w:p>
    <w:p w14:paraId="19E564BF" w14:textId="59CFD28E" w:rsidR="003E438B" w:rsidRPr="000E70D5" w:rsidRDefault="003E438B" w:rsidP="00445723">
      <w:pPr>
        <w:ind w:left="851"/>
        <w:rPr>
          <w:sz w:val="24"/>
          <w:szCs w:val="24"/>
        </w:rPr>
      </w:pPr>
      <w:r w:rsidRPr="000E70D5">
        <w:rPr>
          <w:sz w:val="24"/>
          <w:szCs w:val="24"/>
        </w:rPr>
        <w:t xml:space="preserve">Når </w:t>
      </w:r>
      <w:proofErr w:type="spellStart"/>
      <w:r w:rsidRPr="000E70D5">
        <w:rPr>
          <w:sz w:val="24"/>
          <w:szCs w:val="24"/>
        </w:rPr>
        <w:t>midazolam</w:t>
      </w:r>
      <w:proofErr w:type="spellEnd"/>
      <w:r w:rsidRPr="000E70D5">
        <w:rPr>
          <w:sz w:val="24"/>
          <w:szCs w:val="24"/>
        </w:rPr>
        <w:t xml:space="preserve"> injiceres intravenøst, viser plasmakoncentrations-tidskurven en eller to distinkte dispositionsfaser. Fordelingsvolumenet ved </w:t>
      </w:r>
      <w:proofErr w:type="spellStart"/>
      <w:r w:rsidRPr="000E70D5">
        <w:rPr>
          <w:sz w:val="24"/>
          <w:szCs w:val="24"/>
        </w:rPr>
        <w:t>steady</w:t>
      </w:r>
      <w:proofErr w:type="spellEnd"/>
      <w:r w:rsidRPr="000E70D5">
        <w:rPr>
          <w:sz w:val="24"/>
          <w:szCs w:val="24"/>
        </w:rPr>
        <w:t xml:space="preserve"> </w:t>
      </w:r>
      <w:proofErr w:type="spellStart"/>
      <w:r w:rsidRPr="000E70D5">
        <w:rPr>
          <w:sz w:val="24"/>
          <w:szCs w:val="24"/>
        </w:rPr>
        <w:t>state</w:t>
      </w:r>
      <w:proofErr w:type="spellEnd"/>
      <w:r w:rsidRPr="000E70D5">
        <w:rPr>
          <w:sz w:val="24"/>
          <w:szCs w:val="24"/>
        </w:rPr>
        <w:t xml:space="preserve"> er 0,7</w:t>
      </w:r>
      <w:r w:rsidRPr="000E70D5">
        <w:rPr>
          <w:sz w:val="24"/>
          <w:szCs w:val="24"/>
        </w:rPr>
        <w:noBreakHyphen/>
        <w:t xml:space="preserve">1,2 l/kg. </w:t>
      </w:r>
      <w:proofErr w:type="spellStart"/>
      <w:r w:rsidRPr="000E70D5">
        <w:rPr>
          <w:sz w:val="24"/>
          <w:szCs w:val="24"/>
        </w:rPr>
        <w:t>Midazolam</w:t>
      </w:r>
      <w:proofErr w:type="spellEnd"/>
      <w:r w:rsidRPr="000E70D5">
        <w:rPr>
          <w:sz w:val="24"/>
          <w:szCs w:val="24"/>
        </w:rPr>
        <w:t xml:space="preserve"> har en plasmaproteinbindingsgrad på 96</w:t>
      </w:r>
      <w:r w:rsidRPr="000E70D5">
        <w:rPr>
          <w:sz w:val="24"/>
          <w:szCs w:val="24"/>
        </w:rPr>
        <w:noBreakHyphen/>
        <w:t xml:space="preserve">98 %. Det primære bindingsprotein er albumin. Der er en langsom og </w:t>
      </w:r>
      <w:proofErr w:type="spellStart"/>
      <w:r w:rsidRPr="000E70D5">
        <w:rPr>
          <w:sz w:val="24"/>
          <w:szCs w:val="24"/>
        </w:rPr>
        <w:t>insignifikant</w:t>
      </w:r>
      <w:proofErr w:type="spellEnd"/>
      <w:r w:rsidRPr="000E70D5">
        <w:rPr>
          <w:sz w:val="24"/>
          <w:szCs w:val="24"/>
        </w:rPr>
        <w:t xml:space="preserve"> passage af </w:t>
      </w:r>
      <w:proofErr w:type="spellStart"/>
      <w:r w:rsidRPr="000E70D5">
        <w:rPr>
          <w:sz w:val="24"/>
          <w:szCs w:val="24"/>
        </w:rPr>
        <w:t>midazolam</w:t>
      </w:r>
      <w:proofErr w:type="spellEnd"/>
      <w:r w:rsidRPr="000E70D5">
        <w:rPr>
          <w:sz w:val="24"/>
          <w:szCs w:val="24"/>
        </w:rPr>
        <w:t xml:space="preserve"> over i cerebrospinal</w:t>
      </w:r>
      <w:r w:rsidR="00A3780A">
        <w:rPr>
          <w:sz w:val="24"/>
          <w:szCs w:val="24"/>
        </w:rPr>
        <w:softHyphen/>
      </w:r>
      <w:r w:rsidRPr="000E70D5">
        <w:rPr>
          <w:sz w:val="24"/>
          <w:szCs w:val="24"/>
        </w:rPr>
        <w:t xml:space="preserve">væsken. Det er vist, at </w:t>
      </w:r>
      <w:proofErr w:type="spellStart"/>
      <w:r w:rsidRPr="000E70D5">
        <w:rPr>
          <w:sz w:val="24"/>
          <w:szCs w:val="24"/>
        </w:rPr>
        <w:t>midazolam</w:t>
      </w:r>
      <w:proofErr w:type="spellEnd"/>
      <w:r w:rsidRPr="000E70D5">
        <w:rPr>
          <w:sz w:val="24"/>
          <w:szCs w:val="24"/>
        </w:rPr>
        <w:t xml:space="preserve"> langsomt passerer placenta hos mennesker og går ind i den </w:t>
      </w:r>
      <w:proofErr w:type="spellStart"/>
      <w:r w:rsidRPr="000E70D5">
        <w:rPr>
          <w:sz w:val="24"/>
          <w:szCs w:val="24"/>
        </w:rPr>
        <w:t>føtale</w:t>
      </w:r>
      <w:proofErr w:type="spellEnd"/>
      <w:r w:rsidRPr="000E70D5">
        <w:rPr>
          <w:sz w:val="24"/>
          <w:szCs w:val="24"/>
        </w:rPr>
        <w:t xml:space="preserve"> cirkulation. Der findes små mængder </w:t>
      </w:r>
      <w:proofErr w:type="spellStart"/>
      <w:r w:rsidRPr="000E70D5">
        <w:rPr>
          <w:sz w:val="24"/>
          <w:szCs w:val="24"/>
        </w:rPr>
        <w:t>midazolam</w:t>
      </w:r>
      <w:proofErr w:type="spellEnd"/>
      <w:r w:rsidRPr="000E70D5">
        <w:rPr>
          <w:sz w:val="24"/>
          <w:szCs w:val="24"/>
        </w:rPr>
        <w:t xml:space="preserve"> i human mælk. </w:t>
      </w:r>
      <w:proofErr w:type="spellStart"/>
      <w:r w:rsidRPr="000E70D5">
        <w:rPr>
          <w:sz w:val="24"/>
          <w:szCs w:val="24"/>
        </w:rPr>
        <w:t>Midazolam</w:t>
      </w:r>
      <w:proofErr w:type="spellEnd"/>
      <w:r w:rsidRPr="000E70D5">
        <w:rPr>
          <w:sz w:val="24"/>
          <w:szCs w:val="24"/>
        </w:rPr>
        <w:t xml:space="preserve"> er ikke et substrat for lægemiddeltransportører.</w:t>
      </w:r>
    </w:p>
    <w:p w14:paraId="1056B27B" w14:textId="77777777" w:rsidR="003E438B" w:rsidRPr="000E70D5" w:rsidRDefault="003E438B" w:rsidP="00445723">
      <w:pPr>
        <w:ind w:left="851"/>
        <w:rPr>
          <w:sz w:val="24"/>
          <w:szCs w:val="24"/>
        </w:rPr>
      </w:pPr>
    </w:p>
    <w:p w14:paraId="6909C9E9" w14:textId="77777777" w:rsidR="003E438B" w:rsidRPr="00CA2EF6" w:rsidRDefault="003E438B" w:rsidP="00445723">
      <w:pPr>
        <w:ind w:left="851"/>
        <w:rPr>
          <w:sz w:val="24"/>
          <w:szCs w:val="24"/>
          <w:u w:val="single"/>
        </w:rPr>
      </w:pPr>
      <w:r w:rsidRPr="00CA2EF6">
        <w:rPr>
          <w:sz w:val="24"/>
          <w:szCs w:val="24"/>
          <w:u w:val="single"/>
        </w:rPr>
        <w:t>Biotransformation</w:t>
      </w:r>
    </w:p>
    <w:p w14:paraId="3793D672" w14:textId="290935FA" w:rsidR="003E438B" w:rsidRPr="000E70D5" w:rsidRDefault="003E438B" w:rsidP="00445723">
      <w:pPr>
        <w:ind w:left="851"/>
        <w:rPr>
          <w:sz w:val="24"/>
          <w:szCs w:val="24"/>
        </w:rPr>
      </w:pPr>
      <w:proofErr w:type="spellStart"/>
      <w:r w:rsidRPr="000E70D5">
        <w:rPr>
          <w:sz w:val="24"/>
          <w:szCs w:val="24"/>
        </w:rPr>
        <w:t>Midazolam</w:t>
      </w:r>
      <w:proofErr w:type="spellEnd"/>
      <w:r w:rsidRPr="000E70D5">
        <w:rPr>
          <w:sz w:val="24"/>
          <w:szCs w:val="24"/>
        </w:rPr>
        <w:t xml:space="preserve"> elimineres næsten fuldstændigt ved biotransformation. Den del af dosis, som elimineres af leveren, er beregnet til 30</w:t>
      </w:r>
      <w:r w:rsidRPr="000E70D5">
        <w:rPr>
          <w:sz w:val="24"/>
          <w:szCs w:val="24"/>
        </w:rPr>
        <w:noBreakHyphen/>
        <w:t xml:space="preserve">60 %. </w:t>
      </w:r>
      <w:proofErr w:type="spellStart"/>
      <w:r w:rsidRPr="000E70D5">
        <w:rPr>
          <w:sz w:val="24"/>
          <w:szCs w:val="24"/>
        </w:rPr>
        <w:t>Midazolam</w:t>
      </w:r>
      <w:proofErr w:type="spellEnd"/>
      <w:r w:rsidRPr="000E70D5">
        <w:rPr>
          <w:sz w:val="24"/>
          <w:szCs w:val="24"/>
        </w:rPr>
        <w:t xml:space="preserve"> </w:t>
      </w:r>
      <w:proofErr w:type="spellStart"/>
      <w:r w:rsidRPr="000E70D5">
        <w:rPr>
          <w:sz w:val="24"/>
          <w:szCs w:val="24"/>
        </w:rPr>
        <w:t>hydroxyleres</w:t>
      </w:r>
      <w:proofErr w:type="spellEnd"/>
      <w:r w:rsidRPr="000E70D5">
        <w:rPr>
          <w:sz w:val="24"/>
          <w:szCs w:val="24"/>
        </w:rPr>
        <w:t xml:space="preserve"> af </w:t>
      </w:r>
      <w:proofErr w:type="spellStart"/>
      <w:r w:rsidRPr="000E70D5">
        <w:rPr>
          <w:sz w:val="24"/>
          <w:szCs w:val="24"/>
        </w:rPr>
        <w:t>cytokrom</w:t>
      </w:r>
      <w:proofErr w:type="spellEnd"/>
      <w:r w:rsidRPr="000E70D5">
        <w:rPr>
          <w:sz w:val="24"/>
          <w:szCs w:val="24"/>
        </w:rPr>
        <w:t xml:space="preserve"> P450 CYP3A4- og CYP3A5-isoenzymer, og hovedmetabolitten i urin og plasma er 1'-hydroxy</w:t>
      </w:r>
      <w:r w:rsidR="00A3780A">
        <w:rPr>
          <w:sz w:val="24"/>
          <w:szCs w:val="24"/>
        </w:rPr>
        <w:softHyphen/>
      </w:r>
      <w:r w:rsidRPr="000E70D5">
        <w:rPr>
          <w:sz w:val="24"/>
          <w:szCs w:val="24"/>
        </w:rPr>
        <w:t>midazolam (også kendt som alfa-</w:t>
      </w:r>
      <w:proofErr w:type="spellStart"/>
      <w:r w:rsidRPr="000E70D5">
        <w:rPr>
          <w:sz w:val="24"/>
          <w:szCs w:val="24"/>
        </w:rPr>
        <w:t>hydroxymidazolam</w:t>
      </w:r>
      <w:proofErr w:type="spellEnd"/>
      <w:r w:rsidRPr="000E70D5">
        <w:rPr>
          <w:sz w:val="24"/>
          <w:szCs w:val="24"/>
        </w:rPr>
        <w:t>). Plasmakoncentrationerne af 1'-hydroxy</w:t>
      </w:r>
      <w:r w:rsidR="00A3780A">
        <w:rPr>
          <w:sz w:val="24"/>
          <w:szCs w:val="24"/>
        </w:rPr>
        <w:softHyphen/>
      </w:r>
      <w:r w:rsidRPr="000E70D5">
        <w:rPr>
          <w:sz w:val="24"/>
          <w:szCs w:val="24"/>
        </w:rPr>
        <w:t xml:space="preserve">midazolam er 12 % af moderstoffets. 1'-hydroxymidazolam er farmakologisk aktivt, men bidrager kun minimalt (ca. 10 %) til virkningerne af intravenøst </w:t>
      </w:r>
      <w:proofErr w:type="spellStart"/>
      <w:r w:rsidRPr="000E70D5">
        <w:rPr>
          <w:sz w:val="24"/>
          <w:szCs w:val="24"/>
        </w:rPr>
        <w:t>midazolam</w:t>
      </w:r>
      <w:proofErr w:type="spellEnd"/>
      <w:r w:rsidRPr="000E70D5">
        <w:rPr>
          <w:sz w:val="24"/>
          <w:szCs w:val="24"/>
        </w:rPr>
        <w:t>.</w:t>
      </w:r>
    </w:p>
    <w:p w14:paraId="3D96B559" w14:textId="77777777" w:rsidR="003E438B" w:rsidRPr="000E70D5" w:rsidRDefault="003E438B" w:rsidP="00445723">
      <w:pPr>
        <w:ind w:left="851"/>
        <w:rPr>
          <w:sz w:val="24"/>
          <w:szCs w:val="24"/>
        </w:rPr>
      </w:pPr>
    </w:p>
    <w:p w14:paraId="59B7DA51" w14:textId="77777777" w:rsidR="003E438B" w:rsidRPr="00CA2EF6" w:rsidRDefault="003E438B" w:rsidP="00445723">
      <w:pPr>
        <w:ind w:left="851"/>
        <w:rPr>
          <w:sz w:val="24"/>
          <w:szCs w:val="24"/>
          <w:u w:val="single"/>
        </w:rPr>
      </w:pPr>
      <w:r w:rsidRPr="00CA2EF6">
        <w:rPr>
          <w:sz w:val="24"/>
          <w:szCs w:val="24"/>
          <w:u w:val="single"/>
        </w:rPr>
        <w:t>Elimination</w:t>
      </w:r>
    </w:p>
    <w:p w14:paraId="7D3F3E19" w14:textId="77777777" w:rsidR="003E438B" w:rsidRPr="000E70D5" w:rsidRDefault="003E438B" w:rsidP="00445723">
      <w:pPr>
        <w:ind w:left="851"/>
        <w:rPr>
          <w:sz w:val="24"/>
          <w:szCs w:val="24"/>
        </w:rPr>
      </w:pPr>
      <w:r w:rsidRPr="000E70D5">
        <w:rPr>
          <w:sz w:val="24"/>
          <w:szCs w:val="24"/>
        </w:rPr>
        <w:t xml:space="preserve">Hos unge raske frivillige varierer </w:t>
      </w:r>
      <w:proofErr w:type="spellStart"/>
      <w:r w:rsidRPr="000E70D5">
        <w:rPr>
          <w:sz w:val="24"/>
          <w:szCs w:val="24"/>
        </w:rPr>
        <w:t>midazolams</w:t>
      </w:r>
      <w:proofErr w:type="spellEnd"/>
      <w:r w:rsidRPr="000E70D5">
        <w:rPr>
          <w:sz w:val="24"/>
          <w:szCs w:val="24"/>
        </w:rPr>
        <w:t xml:space="preserve"> eliminationshalveringstid fra 1,5 til 2,5 time. Eliminationshalveringstiden af metabolitten er under 1 time. Efter administration af </w:t>
      </w:r>
      <w:proofErr w:type="spellStart"/>
      <w:r w:rsidRPr="000E70D5">
        <w:rPr>
          <w:sz w:val="24"/>
          <w:szCs w:val="24"/>
        </w:rPr>
        <w:t>midazolam</w:t>
      </w:r>
      <w:proofErr w:type="spellEnd"/>
      <w:r w:rsidRPr="000E70D5">
        <w:rPr>
          <w:sz w:val="24"/>
          <w:szCs w:val="24"/>
        </w:rPr>
        <w:t xml:space="preserve"> falder koncentrationen af moderstoffet og hovedmetabolitten derfor parallelt. </w:t>
      </w:r>
      <w:proofErr w:type="spellStart"/>
      <w:r w:rsidRPr="000E70D5">
        <w:rPr>
          <w:sz w:val="24"/>
          <w:szCs w:val="24"/>
        </w:rPr>
        <w:t>Midazolams</w:t>
      </w:r>
      <w:proofErr w:type="spellEnd"/>
      <w:r w:rsidRPr="000E70D5">
        <w:rPr>
          <w:sz w:val="24"/>
          <w:szCs w:val="24"/>
        </w:rPr>
        <w:t xml:space="preserve"> </w:t>
      </w:r>
      <w:proofErr w:type="spellStart"/>
      <w:r w:rsidRPr="000E70D5">
        <w:rPr>
          <w:sz w:val="24"/>
          <w:szCs w:val="24"/>
        </w:rPr>
        <w:t>plasmaclearance</w:t>
      </w:r>
      <w:proofErr w:type="spellEnd"/>
      <w:r w:rsidRPr="000E70D5">
        <w:rPr>
          <w:sz w:val="24"/>
          <w:szCs w:val="24"/>
        </w:rPr>
        <w:t xml:space="preserve"> ligger i intervallet 300</w:t>
      </w:r>
      <w:r w:rsidRPr="000E70D5">
        <w:rPr>
          <w:sz w:val="24"/>
          <w:szCs w:val="24"/>
        </w:rPr>
        <w:noBreakHyphen/>
        <w:t xml:space="preserve">500 ml/min. </w:t>
      </w:r>
      <w:proofErr w:type="spellStart"/>
      <w:r w:rsidRPr="000E70D5">
        <w:rPr>
          <w:sz w:val="24"/>
          <w:szCs w:val="24"/>
        </w:rPr>
        <w:t>Midazolams</w:t>
      </w:r>
      <w:proofErr w:type="spellEnd"/>
      <w:r w:rsidRPr="000E70D5">
        <w:rPr>
          <w:sz w:val="24"/>
          <w:szCs w:val="24"/>
        </w:rPr>
        <w:t xml:space="preserve"> metabolitter udskilles hovedsageligt </w:t>
      </w:r>
      <w:proofErr w:type="spellStart"/>
      <w:r w:rsidRPr="000E70D5">
        <w:rPr>
          <w:sz w:val="24"/>
          <w:szCs w:val="24"/>
        </w:rPr>
        <w:t>renalt</w:t>
      </w:r>
      <w:proofErr w:type="spellEnd"/>
      <w:r w:rsidRPr="000E70D5">
        <w:rPr>
          <w:sz w:val="24"/>
          <w:szCs w:val="24"/>
        </w:rPr>
        <w:t xml:space="preserve"> (60</w:t>
      </w:r>
      <w:r w:rsidRPr="000E70D5">
        <w:rPr>
          <w:sz w:val="24"/>
          <w:szCs w:val="24"/>
        </w:rPr>
        <w:noBreakHyphen/>
        <w:t xml:space="preserve">80 % af den injicerede dosis) og genfindes som </w:t>
      </w:r>
      <w:proofErr w:type="spellStart"/>
      <w:r w:rsidRPr="000E70D5">
        <w:rPr>
          <w:sz w:val="24"/>
          <w:szCs w:val="24"/>
        </w:rPr>
        <w:t>glucurokonjugeret</w:t>
      </w:r>
      <w:proofErr w:type="spellEnd"/>
      <w:r w:rsidRPr="000E70D5">
        <w:rPr>
          <w:sz w:val="24"/>
          <w:szCs w:val="24"/>
        </w:rPr>
        <w:t xml:space="preserve"> 1'-hydroxymidazolam. Mindre end 1 % af dosis genfindes i urinen som </w:t>
      </w:r>
      <w:proofErr w:type="spellStart"/>
      <w:r w:rsidRPr="000E70D5">
        <w:rPr>
          <w:sz w:val="24"/>
          <w:szCs w:val="24"/>
        </w:rPr>
        <w:t>uomdannet</w:t>
      </w:r>
      <w:proofErr w:type="spellEnd"/>
      <w:r w:rsidRPr="000E70D5">
        <w:rPr>
          <w:sz w:val="24"/>
          <w:szCs w:val="24"/>
        </w:rPr>
        <w:t xml:space="preserve"> lægemiddel. Eliminationshalveringstiden for alfa-</w:t>
      </w:r>
      <w:proofErr w:type="spellStart"/>
      <w:r w:rsidRPr="000E70D5">
        <w:rPr>
          <w:sz w:val="24"/>
          <w:szCs w:val="24"/>
        </w:rPr>
        <w:t>hydroxymidazolam</w:t>
      </w:r>
      <w:proofErr w:type="spellEnd"/>
      <w:r w:rsidRPr="000E70D5">
        <w:rPr>
          <w:sz w:val="24"/>
          <w:szCs w:val="24"/>
        </w:rPr>
        <w:t xml:space="preserve"> er under 1 time. Gentagne indgivelser af </w:t>
      </w:r>
      <w:proofErr w:type="spellStart"/>
      <w:r w:rsidRPr="000E70D5">
        <w:rPr>
          <w:sz w:val="24"/>
          <w:szCs w:val="24"/>
        </w:rPr>
        <w:t>midazolam</w:t>
      </w:r>
      <w:proofErr w:type="spellEnd"/>
      <w:r w:rsidRPr="000E70D5">
        <w:rPr>
          <w:sz w:val="24"/>
          <w:szCs w:val="24"/>
        </w:rPr>
        <w:t xml:space="preserve"> inducerer ikke </w:t>
      </w:r>
      <w:proofErr w:type="spellStart"/>
      <w:r w:rsidRPr="000E70D5">
        <w:rPr>
          <w:sz w:val="24"/>
          <w:szCs w:val="24"/>
        </w:rPr>
        <w:t>lægemiddelmetaboliserende</w:t>
      </w:r>
      <w:proofErr w:type="spellEnd"/>
      <w:r w:rsidRPr="000E70D5">
        <w:rPr>
          <w:sz w:val="24"/>
          <w:szCs w:val="24"/>
        </w:rPr>
        <w:t xml:space="preserve"> enzymer.</w:t>
      </w:r>
    </w:p>
    <w:p w14:paraId="7E3E3BC4" w14:textId="77777777" w:rsidR="003E438B" w:rsidRPr="000E70D5" w:rsidRDefault="003E438B" w:rsidP="00445723">
      <w:pPr>
        <w:ind w:left="851"/>
        <w:rPr>
          <w:sz w:val="24"/>
          <w:szCs w:val="24"/>
        </w:rPr>
      </w:pPr>
    </w:p>
    <w:p w14:paraId="3487C39E" w14:textId="77777777" w:rsidR="003E438B" w:rsidRPr="00CA2EF6" w:rsidRDefault="003E438B" w:rsidP="00445723">
      <w:pPr>
        <w:ind w:left="851"/>
        <w:rPr>
          <w:sz w:val="24"/>
          <w:szCs w:val="24"/>
          <w:u w:val="single"/>
        </w:rPr>
      </w:pPr>
      <w:r w:rsidRPr="00CA2EF6">
        <w:rPr>
          <w:sz w:val="24"/>
          <w:szCs w:val="24"/>
          <w:u w:val="single"/>
        </w:rPr>
        <w:t>Farmakokinetik i særlige populationer</w:t>
      </w:r>
    </w:p>
    <w:p w14:paraId="57685026" w14:textId="77777777" w:rsidR="003E438B" w:rsidRPr="000E70D5" w:rsidRDefault="003E438B" w:rsidP="00445723">
      <w:pPr>
        <w:ind w:left="851"/>
        <w:rPr>
          <w:sz w:val="24"/>
          <w:szCs w:val="24"/>
        </w:rPr>
      </w:pPr>
    </w:p>
    <w:p w14:paraId="57D7B425" w14:textId="77777777" w:rsidR="003E438B" w:rsidRPr="000E70D5" w:rsidRDefault="003E438B" w:rsidP="00445723">
      <w:pPr>
        <w:ind w:left="851"/>
        <w:rPr>
          <w:i/>
          <w:sz w:val="24"/>
          <w:szCs w:val="24"/>
        </w:rPr>
      </w:pPr>
      <w:r w:rsidRPr="000E70D5">
        <w:rPr>
          <w:i/>
          <w:sz w:val="24"/>
          <w:szCs w:val="24"/>
        </w:rPr>
        <w:t>Ældre</w:t>
      </w:r>
    </w:p>
    <w:p w14:paraId="0926D054" w14:textId="77777777" w:rsidR="003E438B" w:rsidRPr="000E70D5" w:rsidRDefault="003E438B" w:rsidP="00445723">
      <w:pPr>
        <w:ind w:left="851"/>
        <w:rPr>
          <w:sz w:val="24"/>
          <w:szCs w:val="24"/>
        </w:rPr>
      </w:pPr>
      <w:r w:rsidRPr="000E70D5">
        <w:rPr>
          <w:sz w:val="24"/>
          <w:szCs w:val="24"/>
        </w:rPr>
        <w:t>Hos voksne over 60 år kan eliminationshalveringstiden være op til 4 gange længere.</w:t>
      </w:r>
    </w:p>
    <w:p w14:paraId="3112D4AC" w14:textId="77777777" w:rsidR="003E438B" w:rsidRPr="000E70D5" w:rsidRDefault="003E438B" w:rsidP="00445723">
      <w:pPr>
        <w:ind w:left="851"/>
        <w:rPr>
          <w:sz w:val="24"/>
          <w:szCs w:val="24"/>
        </w:rPr>
      </w:pPr>
    </w:p>
    <w:p w14:paraId="3A75A021" w14:textId="77777777" w:rsidR="003E438B" w:rsidRPr="000E70D5" w:rsidRDefault="003E438B" w:rsidP="00445723">
      <w:pPr>
        <w:ind w:left="851"/>
        <w:rPr>
          <w:i/>
          <w:sz w:val="24"/>
          <w:szCs w:val="24"/>
        </w:rPr>
      </w:pPr>
      <w:r w:rsidRPr="000E70D5">
        <w:rPr>
          <w:i/>
          <w:sz w:val="24"/>
          <w:szCs w:val="24"/>
        </w:rPr>
        <w:t>Børn</w:t>
      </w:r>
    </w:p>
    <w:p w14:paraId="4D8CDD11" w14:textId="77777777" w:rsidR="003E438B" w:rsidRPr="000E70D5" w:rsidRDefault="003E438B" w:rsidP="00445723">
      <w:pPr>
        <w:ind w:left="851"/>
        <w:rPr>
          <w:sz w:val="24"/>
          <w:szCs w:val="24"/>
        </w:rPr>
      </w:pPr>
      <w:r w:rsidRPr="000E70D5">
        <w:rPr>
          <w:noProof/>
          <w:sz w:val="24"/>
          <w:szCs w:val="24"/>
        </w:rPr>
        <w:t>Den rektale absorptionshastighed hos børn er den samme som hos voksne, men biotilgængeligheden er lavere (5</w:t>
      </w:r>
      <w:r w:rsidRPr="000E70D5">
        <w:rPr>
          <w:noProof/>
          <w:sz w:val="24"/>
          <w:szCs w:val="24"/>
        </w:rPr>
        <w:noBreakHyphen/>
        <w:t xml:space="preserve">18 %). </w:t>
      </w:r>
      <w:r w:rsidRPr="000E70D5">
        <w:rPr>
          <w:sz w:val="24"/>
          <w:szCs w:val="24"/>
        </w:rPr>
        <w:t xml:space="preserve">Eliminationshalveringstiden efter </w:t>
      </w:r>
      <w:proofErr w:type="spellStart"/>
      <w:r w:rsidRPr="000E70D5">
        <w:rPr>
          <w:sz w:val="24"/>
          <w:szCs w:val="24"/>
        </w:rPr>
        <w:t>i.v</w:t>
      </w:r>
      <w:proofErr w:type="spellEnd"/>
      <w:r w:rsidRPr="000E70D5">
        <w:rPr>
          <w:sz w:val="24"/>
          <w:szCs w:val="24"/>
        </w:rPr>
        <w:t xml:space="preserve">. og </w:t>
      </w:r>
      <w:proofErr w:type="spellStart"/>
      <w:r w:rsidRPr="000E70D5">
        <w:rPr>
          <w:sz w:val="24"/>
          <w:szCs w:val="24"/>
        </w:rPr>
        <w:t>rektal</w:t>
      </w:r>
      <w:proofErr w:type="spellEnd"/>
      <w:r w:rsidRPr="000E70D5">
        <w:rPr>
          <w:sz w:val="24"/>
          <w:szCs w:val="24"/>
        </w:rPr>
        <w:t xml:space="preserve"> administration er kortere hos børn i alderen 3</w:t>
      </w:r>
      <w:r w:rsidRPr="000E70D5">
        <w:rPr>
          <w:sz w:val="24"/>
          <w:szCs w:val="24"/>
        </w:rPr>
        <w:noBreakHyphen/>
        <w:t>10 år (1</w:t>
      </w:r>
      <w:r w:rsidRPr="000E70D5">
        <w:rPr>
          <w:sz w:val="24"/>
          <w:szCs w:val="24"/>
        </w:rPr>
        <w:noBreakHyphen/>
        <w:t xml:space="preserve">1,5 time) end hos voksne. Forskellen er forenelig med øget metabolisk </w:t>
      </w:r>
      <w:proofErr w:type="spellStart"/>
      <w:r w:rsidRPr="000E70D5">
        <w:rPr>
          <w:sz w:val="24"/>
          <w:szCs w:val="24"/>
        </w:rPr>
        <w:t>clearance</w:t>
      </w:r>
      <w:proofErr w:type="spellEnd"/>
      <w:r w:rsidRPr="000E70D5">
        <w:rPr>
          <w:sz w:val="24"/>
          <w:szCs w:val="24"/>
        </w:rPr>
        <w:t xml:space="preserve"> hos børn.</w:t>
      </w:r>
    </w:p>
    <w:p w14:paraId="3009AF2A" w14:textId="77777777" w:rsidR="003E438B" w:rsidRPr="000E70D5" w:rsidRDefault="003E438B" w:rsidP="00445723">
      <w:pPr>
        <w:ind w:left="851"/>
        <w:rPr>
          <w:sz w:val="24"/>
          <w:szCs w:val="24"/>
        </w:rPr>
      </w:pPr>
    </w:p>
    <w:p w14:paraId="7E91BDDD" w14:textId="77777777" w:rsidR="003E438B" w:rsidRPr="000E70D5" w:rsidRDefault="003E438B" w:rsidP="00445723">
      <w:pPr>
        <w:ind w:left="851"/>
        <w:rPr>
          <w:i/>
          <w:noProof/>
          <w:sz w:val="24"/>
          <w:szCs w:val="24"/>
        </w:rPr>
      </w:pPr>
      <w:r w:rsidRPr="000E70D5">
        <w:rPr>
          <w:i/>
          <w:noProof/>
          <w:sz w:val="24"/>
          <w:szCs w:val="24"/>
        </w:rPr>
        <w:t>Nyfødte</w:t>
      </w:r>
    </w:p>
    <w:p w14:paraId="382DBECC" w14:textId="77777777" w:rsidR="003E438B" w:rsidRPr="000E70D5" w:rsidRDefault="003E438B" w:rsidP="00445723">
      <w:pPr>
        <w:ind w:left="851"/>
        <w:rPr>
          <w:noProof/>
          <w:sz w:val="24"/>
          <w:szCs w:val="24"/>
        </w:rPr>
      </w:pPr>
      <w:r w:rsidRPr="000E70D5">
        <w:rPr>
          <w:noProof/>
          <w:sz w:val="24"/>
          <w:szCs w:val="24"/>
        </w:rPr>
        <w:t>Hos for tidligt fødte og fuldbårne nyfødte er eliminationshalveringstiden i gennemsnit 6</w:t>
      </w:r>
      <w:r w:rsidRPr="000E70D5">
        <w:rPr>
          <w:noProof/>
          <w:sz w:val="24"/>
          <w:szCs w:val="24"/>
        </w:rPr>
        <w:noBreakHyphen/>
        <w:t>12 timer, sandsynligvis på grund af umoden lever, og clearance er reduceret. Nyfødte med asfyksirelateret nedsat lever- og nyrefunktion har risiko for at generere uventet høj serumkoncentration af midazolam på grund af en signifikant nedsat og variabel clearance (se pkt. 4.4).</w:t>
      </w:r>
    </w:p>
    <w:p w14:paraId="4DFD6728" w14:textId="77777777" w:rsidR="003E438B" w:rsidRPr="000E70D5" w:rsidRDefault="003E438B" w:rsidP="00445723">
      <w:pPr>
        <w:ind w:left="851"/>
        <w:rPr>
          <w:sz w:val="24"/>
          <w:szCs w:val="24"/>
        </w:rPr>
      </w:pPr>
    </w:p>
    <w:p w14:paraId="0D6B5B93" w14:textId="77777777" w:rsidR="003E438B" w:rsidRPr="000E70D5" w:rsidRDefault="003E438B" w:rsidP="00445723">
      <w:pPr>
        <w:ind w:left="851"/>
        <w:rPr>
          <w:i/>
          <w:sz w:val="24"/>
          <w:szCs w:val="24"/>
        </w:rPr>
      </w:pPr>
      <w:r w:rsidRPr="000E70D5">
        <w:rPr>
          <w:i/>
          <w:sz w:val="24"/>
          <w:szCs w:val="24"/>
        </w:rPr>
        <w:t>Adipøse patienter</w:t>
      </w:r>
    </w:p>
    <w:p w14:paraId="6AA4DB69" w14:textId="77777777" w:rsidR="003E438B" w:rsidRPr="000E70D5" w:rsidRDefault="003E438B" w:rsidP="00445723">
      <w:pPr>
        <w:ind w:left="851"/>
        <w:rPr>
          <w:sz w:val="24"/>
          <w:szCs w:val="24"/>
        </w:rPr>
      </w:pPr>
      <w:r w:rsidRPr="000E70D5">
        <w:rPr>
          <w:sz w:val="24"/>
          <w:szCs w:val="24"/>
        </w:rPr>
        <w:t xml:space="preserve">Den gennemsnitlige eliminationshalveringstid er længere hos adipøse patienter end hos ikke-adipøse patienter (5,9 vs. 2,3 timer). Det skyldes en stigning på ca. 50 % i fordelingsvoluminet, korrigeret for total legemsvægt. Der er ingen signifikante forskelle i </w:t>
      </w:r>
      <w:proofErr w:type="spellStart"/>
      <w:r w:rsidRPr="000E70D5">
        <w:rPr>
          <w:sz w:val="24"/>
          <w:szCs w:val="24"/>
        </w:rPr>
        <w:t>clearance</w:t>
      </w:r>
      <w:proofErr w:type="spellEnd"/>
      <w:r w:rsidRPr="000E70D5">
        <w:rPr>
          <w:sz w:val="24"/>
          <w:szCs w:val="24"/>
        </w:rPr>
        <w:t xml:space="preserve"> hos adipøse og ikke-adipøse patienter.</w:t>
      </w:r>
    </w:p>
    <w:p w14:paraId="51823026" w14:textId="77777777" w:rsidR="003E438B" w:rsidRPr="000E70D5" w:rsidRDefault="003E438B" w:rsidP="00445723">
      <w:pPr>
        <w:ind w:left="851"/>
        <w:rPr>
          <w:sz w:val="24"/>
          <w:szCs w:val="24"/>
        </w:rPr>
      </w:pPr>
    </w:p>
    <w:p w14:paraId="0A7DF5F4" w14:textId="77777777" w:rsidR="003E438B" w:rsidRPr="000E70D5" w:rsidRDefault="003E438B" w:rsidP="00445723">
      <w:pPr>
        <w:ind w:left="851"/>
        <w:rPr>
          <w:i/>
          <w:sz w:val="24"/>
          <w:szCs w:val="24"/>
        </w:rPr>
      </w:pPr>
      <w:r w:rsidRPr="000E70D5">
        <w:rPr>
          <w:i/>
          <w:sz w:val="24"/>
          <w:szCs w:val="24"/>
        </w:rPr>
        <w:t>Patienter med nedsat leverfunktion</w:t>
      </w:r>
    </w:p>
    <w:p w14:paraId="1D514472" w14:textId="77777777" w:rsidR="003E438B" w:rsidRPr="000E70D5" w:rsidRDefault="003E438B" w:rsidP="00445723">
      <w:pPr>
        <w:ind w:left="851"/>
        <w:rPr>
          <w:sz w:val="24"/>
          <w:szCs w:val="24"/>
        </w:rPr>
      </w:pPr>
      <w:proofErr w:type="spellStart"/>
      <w:r w:rsidRPr="000E70D5">
        <w:rPr>
          <w:sz w:val="24"/>
          <w:szCs w:val="24"/>
        </w:rPr>
        <w:t>Clearance</w:t>
      </w:r>
      <w:proofErr w:type="spellEnd"/>
      <w:r w:rsidRPr="000E70D5">
        <w:rPr>
          <w:sz w:val="24"/>
          <w:szCs w:val="24"/>
        </w:rPr>
        <w:t xml:space="preserve"> hos </w:t>
      </w:r>
      <w:proofErr w:type="spellStart"/>
      <w:r w:rsidRPr="000E70D5">
        <w:rPr>
          <w:sz w:val="24"/>
          <w:szCs w:val="24"/>
        </w:rPr>
        <w:t>cirrotiske</w:t>
      </w:r>
      <w:proofErr w:type="spellEnd"/>
      <w:r w:rsidRPr="000E70D5">
        <w:rPr>
          <w:sz w:val="24"/>
          <w:szCs w:val="24"/>
        </w:rPr>
        <w:t xml:space="preserve"> patienter kan være nedsat, og eliminationen kan være længere sammenlignet med raske frivillige (se pkt. 4.4).</w:t>
      </w:r>
    </w:p>
    <w:p w14:paraId="51BB82BC" w14:textId="77777777" w:rsidR="003E438B" w:rsidRPr="000E70D5" w:rsidRDefault="003E438B" w:rsidP="00445723">
      <w:pPr>
        <w:ind w:left="851"/>
        <w:rPr>
          <w:sz w:val="24"/>
          <w:szCs w:val="24"/>
        </w:rPr>
      </w:pPr>
    </w:p>
    <w:p w14:paraId="21933E6A" w14:textId="77777777" w:rsidR="003E438B" w:rsidRPr="000E70D5" w:rsidRDefault="003E438B" w:rsidP="00445723">
      <w:pPr>
        <w:ind w:left="851"/>
        <w:rPr>
          <w:i/>
          <w:sz w:val="24"/>
          <w:szCs w:val="24"/>
        </w:rPr>
      </w:pPr>
      <w:r w:rsidRPr="000E70D5">
        <w:rPr>
          <w:i/>
          <w:sz w:val="24"/>
          <w:szCs w:val="24"/>
        </w:rPr>
        <w:t>Patienter med nedsat nyrefunktion</w:t>
      </w:r>
    </w:p>
    <w:p w14:paraId="28CE335D" w14:textId="61687CAD" w:rsidR="003E438B" w:rsidRPr="000E70D5" w:rsidRDefault="003E438B" w:rsidP="00445723">
      <w:pPr>
        <w:ind w:left="851"/>
        <w:rPr>
          <w:sz w:val="24"/>
          <w:szCs w:val="24"/>
        </w:rPr>
      </w:pPr>
      <w:r w:rsidRPr="000E70D5">
        <w:rPr>
          <w:sz w:val="24"/>
          <w:szCs w:val="24"/>
        </w:rPr>
        <w:t xml:space="preserve">Farmakokinetikken for ubundet </w:t>
      </w:r>
      <w:proofErr w:type="spellStart"/>
      <w:r w:rsidRPr="000E70D5">
        <w:rPr>
          <w:sz w:val="24"/>
          <w:szCs w:val="24"/>
        </w:rPr>
        <w:t>midazolam</w:t>
      </w:r>
      <w:proofErr w:type="spellEnd"/>
      <w:r w:rsidRPr="000E70D5">
        <w:rPr>
          <w:sz w:val="24"/>
          <w:szCs w:val="24"/>
        </w:rPr>
        <w:t xml:space="preserve"> ændres ikke hos patienter med svært nedsat nyrefunktion. </w:t>
      </w:r>
      <w:proofErr w:type="spellStart"/>
      <w:r w:rsidRPr="000E70D5">
        <w:rPr>
          <w:sz w:val="24"/>
          <w:szCs w:val="24"/>
        </w:rPr>
        <w:t>Midazolams</w:t>
      </w:r>
      <w:proofErr w:type="spellEnd"/>
      <w:r w:rsidRPr="000E70D5">
        <w:rPr>
          <w:sz w:val="24"/>
          <w:szCs w:val="24"/>
        </w:rPr>
        <w:t xml:space="preserve"> farmakologisk mildt aktive hovedmetabolit, 1'-hydroxy</w:t>
      </w:r>
      <w:r w:rsidR="00A3780A">
        <w:rPr>
          <w:sz w:val="24"/>
          <w:szCs w:val="24"/>
        </w:rPr>
        <w:softHyphen/>
      </w:r>
      <w:r w:rsidRPr="000E70D5">
        <w:rPr>
          <w:sz w:val="24"/>
          <w:szCs w:val="24"/>
        </w:rPr>
        <w:t xml:space="preserve">midazolamglucuronid, som udskilles gennem nyrerne, akkumuleres hos patienter med svært nedsat nyrefunktion. Denne akkumulering frembringer langvarig sedation. </w:t>
      </w:r>
      <w:proofErr w:type="spellStart"/>
      <w:r w:rsidRPr="000E70D5">
        <w:rPr>
          <w:sz w:val="24"/>
          <w:szCs w:val="24"/>
        </w:rPr>
        <w:t>Midazolam</w:t>
      </w:r>
      <w:proofErr w:type="spellEnd"/>
      <w:r w:rsidRPr="000E70D5">
        <w:rPr>
          <w:sz w:val="24"/>
          <w:szCs w:val="24"/>
        </w:rPr>
        <w:t xml:space="preserve"> bør derfor administreres forsigtigt og titreres til den ønskede virkning (se pkt. 4.4).</w:t>
      </w:r>
    </w:p>
    <w:p w14:paraId="09953BDF" w14:textId="77777777" w:rsidR="003E438B" w:rsidRPr="000E70D5" w:rsidRDefault="003E438B" w:rsidP="00445723">
      <w:pPr>
        <w:ind w:left="851"/>
        <w:rPr>
          <w:sz w:val="24"/>
          <w:szCs w:val="24"/>
        </w:rPr>
      </w:pPr>
    </w:p>
    <w:p w14:paraId="3D269F9F" w14:textId="77777777" w:rsidR="003E438B" w:rsidRPr="000E70D5" w:rsidRDefault="003E438B" w:rsidP="00445723">
      <w:pPr>
        <w:ind w:left="851"/>
        <w:rPr>
          <w:i/>
          <w:sz w:val="24"/>
          <w:szCs w:val="24"/>
        </w:rPr>
      </w:pPr>
      <w:r w:rsidRPr="000E70D5">
        <w:rPr>
          <w:i/>
          <w:sz w:val="24"/>
          <w:szCs w:val="24"/>
        </w:rPr>
        <w:t>Kritisk syge patienter</w:t>
      </w:r>
    </w:p>
    <w:p w14:paraId="0DC666CA" w14:textId="77777777" w:rsidR="003E438B" w:rsidRPr="000E70D5" w:rsidRDefault="003E438B" w:rsidP="00445723">
      <w:pPr>
        <w:ind w:left="851"/>
        <w:rPr>
          <w:sz w:val="24"/>
          <w:szCs w:val="24"/>
        </w:rPr>
      </w:pPr>
      <w:proofErr w:type="spellStart"/>
      <w:r w:rsidRPr="000E70D5">
        <w:rPr>
          <w:sz w:val="24"/>
          <w:szCs w:val="24"/>
        </w:rPr>
        <w:t>Midazolams</w:t>
      </w:r>
      <w:proofErr w:type="spellEnd"/>
      <w:r w:rsidRPr="000E70D5">
        <w:rPr>
          <w:sz w:val="24"/>
          <w:szCs w:val="24"/>
        </w:rPr>
        <w:t xml:space="preserve"> eliminationshalveringstid er op til seks gange længere hos kritisk syge patienter.</w:t>
      </w:r>
    </w:p>
    <w:p w14:paraId="0F620690" w14:textId="77777777" w:rsidR="003E438B" w:rsidRPr="000E70D5" w:rsidRDefault="003E438B" w:rsidP="00445723">
      <w:pPr>
        <w:ind w:left="851"/>
        <w:rPr>
          <w:sz w:val="24"/>
          <w:szCs w:val="24"/>
        </w:rPr>
      </w:pPr>
    </w:p>
    <w:p w14:paraId="3EA2781D" w14:textId="77777777" w:rsidR="003E438B" w:rsidRPr="000E70D5" w:rsidRDefault="003E438B" w:rsidP="00445723">
      <w:pPr>
        <w:ind w:left="851"/>
        <w:rPr>
          <w:i/>
          <w:sz w:val="24"/>
          <w:szCs w:val="24"/>
        </w:rPr>
      </w:pPr>
      <w:r w:rsidRPr="000E70D5">
        <w:rPr>
          <w:i/>
          <w:sz w:val="24"/>
          <w:szCs w:val="24"/>
        </w:rPr>
        <w:t>Patienter med hjerteinsufficiens</w:t>
      </w:r>
    </w:p>
    <w:p w14:paraId="79E6B40B" w14:textId="77777777" w:rsidR="003E438B" w:rsidRPr="000E70D5" w:rsidRDefault="003E438B" w:rsidP="00445723">
      <w:pPr>
        <w:ind w:left="851"/>
        <w:rPr>
          <w:sz w:val="24"/>
          <w:szCs w:val="24"/>
        </w:rPr>
      </w:pPr>
      <w:r w:rsidRPr="000E70D5">
        <w:rPr>
          <w:sz w:val="24"/>
          <w:szCs w:val="24"/>
        </w:rPr>
        <w:t>Eliminationshalveringstiden er længere hos patienter med kongestiv hjertesygdom, sammenlignet med raske frivillige (se pkt. 4.4).</w:t>
      </w:r>
    </w:p>
    <w:p w14:paraId="245712D1" w14:textId="77777777" w:rsidR="009260DE" w:rsidRPr="000E70D5" w:rsidRDefault="009260DE" w:rsidP="009260DE">
      <w:pPr>
        <w:tabs>
          <w:tab w:val="left" w:pos="851"/>
        </w:tabs>
        <w:ind w:left="851"/>
        <w:rPr>
          <w:sz w:val="24"/>
          <w:szCs w:val="24"/>
        </w:rPr>
      </w:pPr>
    </w:p>
    <w:p w14:paraId="3B79A222" w14:textId="77777777" w:rsidR="009260DE" w:rsidRPr="000E70D5" w:rsidRDefault="009260DE" w:rsidP="009260DE">
      <w:pPr>
        <w:tabs>
          <w:tab w:val="left" w:pos="851"/>
        </w:tabs>
        <w:ind w:left="851" w:hanging="851"/>
        <w:rPr>
          <w:b/>
          <w:sz w:val="24"/>
          <w:szCs w:val="24"/>
        </w:rPr>
      </w:pPr>
      <w:r w:rsidRPr="000E70D5">
        <w:rPr>
          <w:b/>
          <w:sz w:val="24"/>
          <w:szCs w:val="24"/>
        </w:rPr>
        <w:t>5.3</w:t>
      </w:r>
      <w:r w:rsidRPr="000E70D5">
        <w:rPr>
          <w:b/>
          <w:sz w:val="24"/>
          <w:szCs w:val="24"/>
        </w:rPr>
        <w:tab/>
      </w:r>
      <w:r w:rsidR="00BD7931" w:rsidRPr="000E70D5">
        <w:rPr>
          <w:b/>
          <w:sz w:val="24"/>
          <w:szCs w:val="24"/>
        </w:rPr>
        <w:t>Non-</w:t>
      </w:r>
      <w:r w:rsidRPr="000E70D5">
        <w:rPr>
          <w:b/>
          <w:sz w:val="24"/>
          <w:szCs w:val="24"/>
        </w:rPr>
        <w:t>kliniske sikkerhedsdata</w:t>
      </w:r>
    </w:p>
    <w:p w14:paraId="36F2267E" w14:textId="77777777" w:rsidR="003E438B" w:rsidRPr="000E70D5" w:rsidRDefault="003E438B" w:rsidP="00445723">
      <w:pPr>
        <w:ind w:left="851"/>
        <w:rPr>
          <w:sz w:val="24"/>
          <w:szCs w:val="24"/>
        </w:rPr>
      </w:pPr>
      <w:r w:rsidRPr="000E70D5">
        <w:rPr>
          <w:sz w:val="24"/>
          <w:szCs w:val="24"/>
        </w:rPr>
        <w:t>Der findes ikke andre non-kliniske data af relevans for den ordinerende læge, end dem der allerede er nævnt i andre afsnit af dette produktresumé.</w:t>
      </w:r>
    </w:p>
    <w:p w14:paraId="78C19868" w14:textId="77777777" w:rsidR="009260DE" w:rsidRPr="000E70D5" w:rsidRDefault="009260DE" w:rsidP="009260DE">
      <w:pPr>
        <w:tabs>
          <w:tab w:val="left" w:pos="851"/>
        </w:tabs>
        <w:ind w:left="851"/>
        <w:rPr>
          <w:sz w:val="24"/>
          <w:szCs w:val="24"/>
        </w:rPr>
      </w:pPr>
    </w:p>
    <w:p w14:paraId="3600D34E" w14:textId="77777777" w:rsidR="009260DE" w:rsidRPr="000E70D5" w:rsidRDefault="009260DE" w:rsidP="009260DE">
      <w:pPr>
        <w:tabs>
          <w:tab w:val="left" w:pos="851"/>
        </w:tabs>
        <w:ind w:left="851"/>
        <w:rPr>
          <w:sz w:val="24"/>
          <w:szCs w:val="24"/>
        </w:rPr>
      </w:pPr>
    </w:p>
    <w:p w14:paraId="58B7252F" w14:textId="77777777" w:rsidR="009260DE" w:rsidRPr="000E70D5" w:rsidRDefault="009260DE" w:rsidP="009260DE">
      <w:pPr>
        <w:tabs>
          <w:tab w:val="left" w:pos="851"/>
        </w:tabs>
        <w:ind w:left="851" w:hanging="851"/>
        <w:rPr>
          <w:b/>
          <w:sz w:val="24"/>
          <w:szCs w:val="24"/>
        </w:rPr>
      </w:pPr>
      <w:r w:rsidRPr="000E70D5">
        <w:rPr>
          <w:b/>
          <w:sz w:val="24"/>
          <w:szCs w:val="24"/>
        </w:rPr>
        <w:t>6.</w:t>
      </w:r>
      <w:r w:rsidRPr="000E70D5">
        <w:rPr>
          <w:b/>
          <w:sz w:val="24"/>
          <w:szCs w:val="24"/>
        </w:rPr>
        <w:tab/>
        <w:t>FARMACEUTISKE OPLYSNINGER</w:t>
      </w:r>
    </w:p>
    <w:p w14:paraId="051A71B7" w14:textId="77777777" w:rsidR="009260DE" w:rsidRPr="000E70D5" w:rsidRDefault="009260DE" w:rsidP="009260DE">
      <w:pPr>
        <w:tabs>
          <w:tab w:val="left" w:pos="851"/>
        </w:tabs>
        <w:ind w:left="851"/>
        <w:rPr>
          <w:sz w:val="24"/>
          <w:szCs w:val="24"/>
        </w:rPr>
      </w:pPr>
    </w:p>
    <w:p w14:paraId="628933B3" w14:textId="77777777" w:rsidR="009260DE" w:rsidRPr="000E70D5" w:rsidRDefault="009260DE" w:rsidP="009260DE">
      <w:pPr>
        <w:tabs>
          <w:tab w:val="left" w:pos="851"/>
        </w:tabs>
        <w:ind w:left="851" w:hanging="851"/>
        <w:rPr>
          <w:b/>
          <w:sz w:val="24"/>
          <w:szCs w:val="24"/>
        </w:rPr>
      </w:pPr>
      <w:r w:rsidRPr="000E70D5">
        <w:rPr>
          <w:b/>
          <w:sz w:val="24"/>
          <w:szCs w:val="24"/>
        </w:rPr>
        <w:t>6.1</w:t>
      </w:r>
      <w:r w:rsidRPr="000E70D5">
        <w:rPr>
          <w:b/>
          <w:sz w:val="24"/>
          <w:szCs w:val="24"/>
        </w:rPr>
        <w:tab/>
        <w:t>Hjælpestoffer</w:t>
      </w:r>
    </w:p>
    <w:p w14:paraId="3A26EC49" w14:textId="77777777" w:rsidR="003E438B" w:rsidRPr="000E70D5" w:rsidRDefault="003E438B" w:rsidP="00445723">
      <w:pPr>
        <w:ind w:left="851"/>
        <w:rPr>
          <w:sz w:val="24"/>
          <w:szCs w:val="24"/>
        </w:rPr>
      </w:pPr>
      <w:proofErr w:type="spellStart"/>
      <w:r w:rsidRPr="000E70D5">
        <w:rPr>
          <w:sz w:val="24"/>
          <w:szCs w:val="24"/>
        </w:rPr>
        <w:t>Natriumchlorid</w:t>
      </w:r>
      <w:proofErr w:type="spellEnd"/>
    </w:p>
    <w:p w14:paraId="02438C95" w14:textId="77777777" w:rsidR="003E438B" w:rsidRPr="000E70D5" w:rsidRDefault="003E438B" w:rsidP="00445723">
      <w:pPr>
        <w:ind w:left="851"/>
        <w:rPr>
          <w:sz w:val="24"/>
          <w:szCs w:val="24"/>
        </w:rPr>
      </w:pPr>
      <w:r w:rsidRPr="000E70D5">
        <w:rPr>
          <w:sz w:val="24"/>
          <w:szCs w:val="24"/>
        </w:rPr>
        <w:t>Natriumhydroxid (til pH-justering)</w:t>
      </w:r>
    </w:p>
    <w:p w14:paraId="7474DE5B" w14:textId="77777777" w:rsidR="003E438B" w:rsidRPr="000E70D5" w:rsidRDefault="003E438B" w:rsidP="00445723">
      <w:pPr>
        <w:ind w:left="851"/>
        <w:rPr>
          <w:sz w:val="24"/>
          <w:szCs w:val="24"/>
        </w:rPr>
      </w:pPr>
      <w:r w:rsidRPr="000E70D5">
        <w:rPr>
          <w:sz w:val="24"/>
          <w:szCs w:val="24"/>
        </w:rPr>
        <w:t xml:space="preserve">Saltsyre, koncentreret (til pH-justering) </w:t>
      </w:r>
    </w:p>
    <w:p w14:paraId="42834C09" w14:textId="77777777" w:rsidR="003E438B" w:rsidRPr="000E70D5" w:rsidRDefault="003E438B" w:rsidP="00445723">
      <w:pPr>
        <w:ind w:left="851"/>
        <w:rPr>
          <w:sz w:val="24"/>
          <w:szCs w:val="24"/>
        </w:rPr>
      </w:pPr>
      <w:r w:rsidRPr="000E70D5">
        <w:rPr>
          <w:sz w:val="24"/>
          <w:szCs w:val="24"/>
        </w:rPr>
        <w:t>Vand til injektionsvæsker</w:t>
      </w:r>
    </w:p>
    <w:p w14:paraId="1245F466" w14:textId="77777777" w:rsidR="009260DE" w:rsidRPr="000E70D5" w:rsidRDefault="009260DE" w:rsidP="009260DE">
      <w:pPr>
        <w:tabs>
          <w:tab w:val="left" w:pos="851"/>
        </w:tabs>
        <w:ind w:left="851"/>
        <w:rPr>
          <w:sz w:val="24"/>
          <w:szCs w:val="24"/>
        </w:rPr>
      </w:pPr>
    </w:p>
    <w:p w14:paraId="20BDB6A3" w14:textId="77777777" w:rsidR="009260DE" w:rsidRPr="000E70D5" w:rsidRDefault="009260DE" w:rsidP="009260DE">
      <w:pPr>
        <w:tabs>
          <w:tab w:val="left" w:pos="851"/>
        </w:tabs>
        <w:ind w:left="851" w:hanging="851"/>
        <w:rPr>
          <w:b/>
          <w:sz w:val="24"/>
          <w:szCs w:val="24"/>
        </w:rPr>
      </w:pPr>
      <w:r w:rsidRPr="000E70D5">
        <w:rPr>
          <w:b/>
          <w:sz w:val="24"/>
          <w:szCs w:val="24"/>
        </w:rPr>
        <w:t>6.2</w:t>
      </w:r>
      <w:r w:rsidRPr="000E70D5">
        <w:rPr>
          <w:b/>
          <w:sz w:val="24"/>
          <w:szCs w:val="24"/>
        </w:rPr>
        <w:tab/>
        <w:t>Uforligeligheder</w:t>
      </w:r>
    </w:p>
    <w:p w14:paraId="5EB62989" w14:textId="4DB0CC65" w:rsidR="003E438B" w:rsidRPr="000E70D5" w:rsidRDefault="003E438B" w:rsidP="00445723">
      <w:pPr>
        <w:ind w:left="851"/>
        <w:rPr>
          <w:sz w:val="24"/>
          <w:szCs w:val="24"/>
        </w:rPr>
      </w:pPr>
      <w:proofErr w:type="spellStart"/>
      <w:r w:rsidRPr="000E70D5">
        <w:rPr>
          <w:sz w:val="24"/>
          <w:szCs w:val="24"/>
        </w:rPr>
        <w:t>Midazolam</w:t>
      </w:r>
      <w:proofErr w:type="spellEnd"/>
      <w:r w:rsidRPr="000E70D5">
        <w:rPr>
          <w:sz w:val="24"/>
          <w:szCs w:val="24"/>
        </w:rPr>
        <w:t xml:space="preserve"> </w:t>
      </w:r>
      <w:r w:rsidR="006A4CF2">
        <w:rPr>
          <w:sz w:val="24"/>
          <w:szCs w:val="24"/>
        </w:rPr>
        <w:t>"</w:t>
      </w:r>
      <w:proofErr w:type="spellStart"/>
      <w:r w:rsidRPr="000E70D5">
        <w:rPr>
          <w:sz w:val="24"/>
          <w:szCs w:val="24"/>
        </w:rPr>
        <w:t>Aguettant</w:t>
      </w:r>
      <w:proofErr w:type="spellEnd"/>
      <w:r w:rsidR="006A4CF2">
        <w:rPr>
          <w:sz w:val="24"/>
          <w:szCs w:val="24"/>
        </w:rPr>
        <w:t>"</w:t>
      </w:r>
      <w:r w:rsidRPr="000E70D5">
        <w:rPr>
          <w:sz w:val="24"/>
          <w:szCs w:val="24"/>
        </w:rPr>
        <w:t xml:space="preserve"> </w:t>
      </w:r>
      <w:r w:rsidRPr="000E70D5">
        <w:rPr>
          <w:iCs/>
          <w:noProof/>
          <w:sz w:val="24"/>
          <w:szCs w:val="24"/>
        </w:rPr>
        <w:t xml:space="preserve">må </w:t>
      </w:r>
      <w:r w:rsidRPr="000E70D5">
        <w:rPr>
          <w:noProof/>
          <w:sz w:val="24"/>
          <w:szCs w:val="24"/>
        </w:rPr>
        <w:t>ikke fortyndes med 6 % Dextran 70 i dextrose.</w:t>
      </w:r>
    </w:p>
    <w:p w14:paraId="0D644A35" w14:textId="5106D5E3" w:rsidR="003E438B" w:rsidRPr="000E70D5" w:rsidRDefault="003E438B" w:rsidP="00445723">
      <w:pPr>
        <w:ind w:left="851"/>
        <w:rPr>
          <w:sz w:val="24"/>
          <w:szCs w:val="24"/>
        </w:rPr>
      </w:pPr>
      <w:proofErr w:type="spellStart"/>
      <w:r w:rsidRPr="000E70D5">
        <w:rPr>
          <w:sz w:val="24"/>
          <w:szCs w:val="24"/>
        </w:rPr>
        <w:t>Midazolam</w:t>
      </w:r>
      <w:proofErr w:type="spellEnd"/>
      <w:r w:rsidRPr="000E70D5">
        <w:rPr>
          <w:sz w:val="24"/>
          <w:szCs w:val="24"/>
        </w:rPr>
        <w:t xml:space="preserve"> </w:t>
      </w:r>
      <w:r w:rsidR="006A4CF2">
        <w:rPr>
          <w:sz w:val="24"/>
          <w:szCs w:val="24"/>
        </w:rPr>
        <w:t>"</w:t>
      </w:r>
      <w:proofErr w:type="spellStart"/>
      <w:r w:rsidRPr="000E70D5">
        <w:rPr>
          <w:sz w:val="24"/>
          <w:szCs w:val="24"/>
        </w:rPr>
        <w:t>Aguettant</w:t>
      </w:r>
      <w:proofErr w:type="spellEnd"/>
      <w:r w:rsidR="006A4CF2">
        <w:rPr>
          <w:sz w:val="24"/>
          <w:szCs w:val="24"/>
        </w:rPr>
        <w:t>"</w:t>
      </w:r>
      <w:r w:rsidRPr="000E70D5">
        <w:rPr>
          <w:sz w:val="24"/>
          <w:szCs w:val="24"/>
        </w:rPr>
        <w:t xml:space="preserve"> </w:t>
      </w:r>
      <w:r w:rsidRPr="000E70D5">
        <w:rPr>
          <w:iCs/>
          <w:noProof/>
          <w:sz w:val="24"/>
          <w:szCs w:val="24"/>
        </w:rPr>
        <w:t xml:space="preserve">må </w:t>
      </w:r>
      <w:r w:rsidRPr="000E70D5">
        <w:rPr>
          <w:noProof/>
          <w:sz w:val="24"/>
          <w:szCs w:val="24"/>
        </w:rPr>
        <w:t>ikke blandes med alkaliske opløsninger i injektioner. Midazolam udfældes i natriumbicarbonat.</w:t>
      </w:r>
    </w:p>
    <w:p w14:paraId="5B7F9A22" w14:textId="74078890" w:rsidR="003E438B" w:rsidRPr="000E70D5" w:rsidRDefault="003E438B" w:rsidP="00445723">
      <w:pPr>
        <w:ind w:left="851"/>
        <w:rPr>
          <w:sz w:val="24"/>
          <w:szCs w:val="24"/>
        </w:rPr>
      </w:pPr>
      <w:proofErr w:type="spellStart"/>
      <w:r w:rsidRPr="000E70D5">
        <w:rPr>
          <w:sz w:val="24"/>
          <w:szCs w:val="24"/>
        </w:rPr>
        <w:t>Midazolam</w:t>
      </w:r>
      <w:proofErr w:type="spellEnd"/>
      <w:r w:rsidRPr="000E70D5">
        <w:rPr>
          <w:sz w:val="24"/>
          <w:szCs w:val="24"/>
        </w:rPr>
        <w:t xml:space="preserve"> </w:t>
      </w:r>
      <w:r w:rsidR="006A4CF2">
        <w:rPr>
          <w:sz w:val="24"/>
          <w:szCs w:val="24"/>
        </w:rPr>
        <w:t>"</w:t>
      </w:r>
      <w:proofErr w:type="spellStart"/>
      <w:r w:rsidRPr="000E70D5">
        <w:rPr>
          <w:sz w:val="24"/>
          <w:szCs w:val="24"/>
        </w:rPr>
        <w:t>Aguettant</w:t>
      </w:r>
      <w:proofErr w:type="spellEnd"/>
      <w:r w:rsidR="006A4CF2">
        <w:rPr>
          <w:sz w:val="24"/>
          <w:szCs w:val="24"/>
        </w:rPr>
        <w:t>"</w:t>
      </w:r>
      <w:r w:rsidRPr="000E70D5">
        <w:rPr>
          <w:noProof/>
          <w:sz w:val="24"/>
          <w:szCs w:val="24"/>
        </w:rPr>
        <w:t xml:space="preserve"> må ikke fortyndes til 0,015 mg/ml i polypropylensprøjte på 10 ml med en af de opløsninger, der er nævnt i pkt. 6.6.</w:t>
      </w:r>
    </w:p>
    <w:p w14:paraId="4949041C" w14:textId="77777777" w:rsidR="003E438B" w:rsidRPr="000E70D5" w:rsidRDefault="003E438B" w:rsidP="00445723">
      <w:pPr>
        <w:ind w:left="851"/>
        <w:rPr>
          <w:sz w:val="24"/>
          <w:szCs w:val="24"/>
        </w:rPr>
      </w:pPr>
    </w:p>
    <w:p w14:paraId="112F8662" w14:textId="77777777" w:rsidR="003E438B" w:rsidRPr="000E70D5" w:rsidRDefault="003E438B" w:rsidP="00445723">
      <w:pPr>
        <w:ind w:left="851"/>
        <w:rPr>
          <w:noProof/>
          <w:sz w:val="24"/>
          <w:szCs w:val="24"/>
        </w:rPr>
      </w:pPr>
      <w:r w:rsidRPr="000E70D5">
        <w:rPr>
          <w:sz w:val="24"/>
          <w:szCs w:val="24"/>
        </w:rPr>
        <w:t>Dette lægemiddel må ikke blandes med andre lægemidler,</w:t>
      </w:r>
      <w:r w:rsidRPr="000E70D5">
        <w:rPr>
          <w:noProof/>
          <w:sz w:val="24"/>
          <w:szCs w:val="24"/>
        </w:rPr>
        <w:t xml:space="preserve"> end dem der er nævnt i pkt. 6.6.</w:t>
      </w:r>
    </w:p>
    <w:p w14:paraId="0AD80567" w14:textId="77777777" w:rsidR="009260DE" w:rsidRPr="000E70D5" w:rsidRDefault="009260DE" w:rsidP="009260DE">
      <w:pPr>
        <w:tabs>
          <w:tab w:val="left" w:pos="851"/>
        </w:tabs>
        <w:ind w:left="851"/>
        <w:rPr>
          <w:sz w:val="24"/>
          <w:szCs w:val="24"/>
        </w:rPr>
      </w:pPr>
    </w:p>
    <w:p w14:paraId="1C540A13" w14:textId="77777777" w:rsidR="009260DE" w:rsidRPr="000E70D5" w:rsidRDefault="009260DE" w:rsidP="009260DE">
      <w:pPr>
        <w:tabs>
          <w:tab w:val="left" w:pos="851"/>
        </w:tabs>
        <w:ind w:left="851" w:hanging="851"/>
        <w:rPr>
          <w:b/>
          <w:sz w:val="24"/>
          <w:szCs w:val="24"/>
        </w:rPr>
      </w:pPr>
      <w:r w:rsidRPr="000E70D5">
        <w:rPr>
          <w:b/>
          <w:sz w:val="24"/>
          <w:szCs w:val="24"/>
        </w:rPr>
        <w:t>6.3</w:t>
      </w:r>
      <w:r w:rsidRPr="000E70D5">
        <w:rPr>
          <w:b/>
          <w:sz w:val="24"/>
          <w:szCs w:val="24"/>
        </w:rPr>
        <w:tab/>
        <w:t>Opbevaringstid</w:t>
      </w:r>
    </w:p>
    <w:p w14:paraId="310ED2FF" w14:textId="77777777" w:rsidR="003E438B" w:rsidRPr="000E70D5" w:rsidRDefault="003E438B" w:rsidP="00445723">
      <w:pPr>
        <w:ind w:left="851"/>
        <w:rPr>
          <w:noProof/>
          <w:sz w:val="24"/>
          <w:szCs w:val="24"/>
        </w:rPr>
      </w:pPr>
      <w:r w:rsidRPr="000E70D5">
        <w:rPr>
          <w:noProof/>
          <w:sz w:val="24"/>
          <w:szCs w:val="24"/>
        </w:rPr>
        <w:t>3 år.</w:t>
      </w:r>
    </w:p>
    <w:p w14:paraId="20C14B7E" w14:textId="77777777" w:rsidR="003E438B" w:rsidRPr="000E70D5" w:rsidRDefault="003E438B" w:rsidP="00445723">
      <w:pPr>
        <w:ind w:left="851"/>
        <w:rPr>
          <w:sz w:val="24"/>
          <w:szCs w:val="24"/>
        </w:rPr>
      </w:pPr>
    </w:p>
    <w:p w14:paraId="3279E5DC" w14:textId="77777777" w:rsidR="003E438B" w:rsidRPr="000E70D5" w:rsidRDefault="003E438B" w:rsidP="00445723">
      <w:pPr>
        <w:ind w:left="851"/>
        <w:rPr>
          <w:sz w:val="24"/>
          <w:szCs w:val="24"/>
        </w:rPr>
      </w:pPr>
      <w:bookmarkStart w:id="12" w:name="_Hlk165305318"/>
      <w:r w:rsidRPr="000E70D5">
        <w:rPr>
          <w:sz w:val="24"/>
          <w:szCs w:val="24"/>
        </w:rPr>
        <w:t xml:space="preserve">Kemisk og fysisk stabilitet under brug er påvist i 24 timer ved 25 °C eller i 3 dage ved 2 til 8 °C med </w:t>
      </w:r>
      <w:proofErr w:type="spellStart"/>
      <w:r w:rsidRPr="000E70D5">
        <w:rPr>
          <w:sz w:val="24"/>
          <w:szCs w:val="24"/>
        </w:rPr>
        <w:t>natriumchlorid</w:t>
      </w:r>
      <w:proofErr w:type="spellEnd"/>
      <w:r w:rsidRPr="000E70D5">
        <w:rPr>
          <w:sz w:val="24"/>
          <w:szCs w:val="24"/>
        </w:rPr>
        <w:t xml:space="preserve"> 9 mg/ml (0,9 %), </w:t>
      </w:r>
      <w:proofErr w:type="spellStart"/>
      <w:r w:rsidRPr="000E70D5">
        <w:rPr>
          <w:sz w:val="24"/>
          <w:szCs w:val="24"/>
        </w:rPr>
        <w:t>glucose</w:t>
      </w:r>
      <w:proofErr w:type="spellEnd"/>
      <w:r w:rsidRPr="000E70D5">
        <w:rPr>
          <w:sz w:val="24"/>
          <w:szCs w:val="24"/>
        </w:rPr>
        <w:t xml:space="preserve"> 50 mg/ml (5 %) eller 100 mg/ml (10 %), </w:t>
      </w:r>
      <w:proofErr w:type="spellStart"/>
      <w:r w:rsidRPr="000E70D5">
        <w:rPr>
          <w:sz w:val="24"/>
          <w:szCs w:val="24"/>
        </w:rPr>
        <w:t>fructose</w:t>
      </w:r>
      <w:proofErr w:type="spellEnd"/>
      <w:r w:rsidRPr="000E70D5">
        <w:rPr>
          <w:sz w:val="24"/>
          <w:szCs w:val="24"/>
        </w:rPr>
        <w:t xml:space="preserve"> 50 mg/ml (5 %), Ringers opløsning eller Hartmanns opløsning. </w:t>
      </w:r>
    </w:p>
    <w:p w14:paraId="0973EE89" w14:textId="77777777" w:rsidR="003E438B" w:rsidRPr="000E70D5" w:rsidRDefault="003E438B" w:rsidP="00445723">
      <w:pPr>
        <w:ind w:left="851"/>
        <w:rPr>
          <w:sz w:val="24"/>
          <w:szCs w:val="24"/>
        </w:rPr>
      </w:pPr>
      <w:r w:rsidRPr="000E70D5">
        <w:rPr>
          <w:sz w:val="24"/>
          <w:szCs w:val="24"/>
        </w:rPr>
        <w:t xml:space="preserve">Fra et mikrobiologisk synspunkt bør produktet anvendes straks. Hvis det ikke anvendes straks, er opbevaringstiden og opbevaringsbetingelserne under brug brugerens ansvar </w:t>
      </w:r>
      <w:bookmarkEnd w:id="12"/>
      <w:r w:rsidRPr="000E70D5">
        <w:rPr>
          <w:sz w:val="24"/>
          <w:szCs w:val="24"/>
        </w:rPr>
        <w:t>og bør normalt ikke være længere end 24 timer ved 2-8 °C, medmindre fortyndingen har fundet sted under kontrollerede og validerede aseptiske forhold.</w:t>
      </w:r>
    </w:p>
    <w:p w14:paraId="01148C51" w14:textId="77777777" w:rsidR="009260DE" w:rsidRPr="000E70D5" w:rsidRDefault="009260DE" w:rsidP="009260DE">
      <w:pPr>
        <w:tabs>
          <w:tab w:val="left" w:pos="851"/>
        </w:tabs>
        <w:ind w:left="851"/>
        <w:rPr>
          <w:sz w:val="24"/>
          <w:szCs w:val="24"/>
        </w:rPr>
      </w:pPr>
    </w:p>
    <w:p w14:paraId="0C57A318" w14:textId="77777777" w:rsidR="009260DE" w:rsidRPr="000E70D5" w:rsidRDefault="009260DE" w:rsidP="009260DE">
      <w:pPr>
        <w:tabs>
          <w:tab w:val="left" w:pos="851"/>
        </w:tabs>
        <w:ind w:left="851" w:hanging="851"/>
        <w:rPr>
          <w:b/>
          <w:sz w:val="24"/>
          <w:szCs w:val="24"/>
        </w:rPr>
      </w:pPr>
      <w:r w:rsidRPr="000E70D5">
        <w:rPr>
          <w:b/>
          <w:sz w:val="24"/>
          <w:szCs w:val="24"/>
        </w:rPr>
        <w:t>6.4</w:t>
      </w:r>
      <w:r w:rsidRPr="000E70D5">
        <w:rPr>
          <w:b/>
          <w:sz w:val="24"/>
          <w:szCs w:val="24"/>
        </w:rPr>
        <w:tab/>
        <w:t>Særlige opbevaringsforhold</w:t>
      </w:r>
    </w:p>
    <w:p w14:paraId="02A12679" w14:textId="77777777" w:rsidR="003E438B" w:rsidRPr="000E70D5" w:rsidRDefault="003E438B" w:rsidP="00445723">
      <w:pPr>
        <w:ind w:left="851"/>
        <w:rPr>
          <w:sz w:val="24"/>
          <w:szCs w:val="24"/>
        </w:rPr>
      </w:pPr>
      <w:r w:rsidRPr="000E70D5">
        <w:rPr>
          <w:sz w:val="24"/>
          <w:szCs w:val="24"/>
        </w:rPr>
        <w:t>Der er ingen særlige krav vedrørende opbevaringstemperaturer for dette lægemiddel.</w:t>
      </w:r>
    </w:p>
    <w:p w14:paraId="7B4D98B7" w14:textId="77777777" w:rsidR="003E438B" w:rsidRPr="000E70D5" w:rsidRDefault="003E438B" w:rsidP="00445723">
      <w:pPr>
        <w:ind w:left="851"/>
        <w:rPr>
          <w:sz w:val="24"/>
          <w:szCs w:val="24"/>
        </w:rPr>
      </w:pPr>
      <w:r w:rsidRPr="000E70D5">
        <w:rPr>
          <w:sz w:val="24"/>
          <w:szCs w:val="24"/>
        </w:rPr>
        <w:t xml:space="preserve">Opbevar ampullen i den ydre karton for at beskytte mod lys. </w:t>
      </w:r>
    </w:p>
    <w:p w14:paraId="6AE89D7D" w14:textId="77777777" w:rsidR="003E438B" w:rsidRPr="000E70D5" w:rsidRDefault="003E438B" w:rsidP="00445723">
      <w:pPr>
        <w:ind w:left="851"/>
        <w:rPr>
          <w:sz w:val="24"/>
          <w:szCs w:val="24"/>
        </w:rPr>
      </w:pPr>
    </w:p>
    <w:p w14:paraId="78EEC2A9" w14:textId="77777777" w:rsidR="003E438B" w:rsidRPr="000E70D5" w:rsidRDefault="003E438B" w:rsidP="00445723">
      <w:pPr>
        <w:ind w:left="851"/>
        <w:rPr>
          <w:sz w:val="24"/>
          <w:szCs w:val="24"/>
        </w:rPr>
      </w:pPr>
      <w:r w:rsidRPr="000E70D5">
        <w:rPr>
          <w:sz w:val="24"/>
          <w:szCs w:val="24"/>
        </w:rPr>
        <w:t>Opbevaringsforhold efter fortynding af lægemidlet, se pkt. 6.3.</w:t>
      </w:r>
    </w:p>
    <w:p w14:paraId="5F1453D1" w14:textId="77777777" w:rsidR="009260DE" w:rsidRPr="000E70D5" w:rsidRDefault="009260DE" w:rsidP="009260DE">
      <w:pPr>
        <w:tabs>
          <w:tab w:val="left" w:pos="851"/>
        </w:tabs>
        <w:ind w:left="851"/>
        <w:rPr>
          <w:sz w:val="24"/>
          <w:szCs w:val="24"/>
        </w:rPr>
      </w:pPr>
    </w:p>
    <w:p w14:paraId="29E0537A" w14:textId="77777777" w:rsidR="009260DE" w:rsidRPr="000E70D5" w:rsidRDefault="009260DE" w:rsidP="009260DE">
      <w:pPr>
        <w:tabs>
          <w:tab w:val="left" w:pos="851"/>
        </w:tabs>
        <w:ind w:left="851" w:hanging="851"/>
        <w:rPr>
          <w:b/>
          <w:sz w:val="24"/>
          <w:szCs w:val="24"/>
        </w:rPr>
      </w:pPr>
      <w:r w:rsidRPr="000E70D5">
        <w:rPr>
          <w:b/>
          <w:sz w:val="24"/>
          <w:szCs w:val="24"/>
        </w:rPr>
        <w:t>6.5</w:t>
      </w:r>
      <w:r w:rsidRPr="000E70D5">
        <w:rPr>
          <w:b/>
          <w:sz w:val="24"/>
          <w:szCs w:val="24"/>
        </w:rPr>
        <w:tab/>
        <w:t>Emballagetype og pakningsstørrelser</w:t>
      </w:r>
    </w:p>
    <w:p w14:paraId="63D11862" w14:textId="77777777" w:rsidR="00CA2EF6" w:rsidRDefault="00CA2EF6" w:rsidP="00445723">
      <w:pPr>
        <w:ind w:left="851"/>
        <w:rPr>
          <w:noProof/>
          <w:sz w:val="24"/>
          <w:szCs w:val="24"/>
        </w:rPr>
      </w:pPr>
      <w:bookmarkStart w:id="13" w:name="_Hlk191651992"/>
    </w:p>
    <w:p w14:paraId="30C21AE0" w14:textId="7D1D3041" w:rsidR="003E438B" w:rsidRPr="00CA2EF6" w:rsidRDefault="003E438B" w:rsidP="00445723">
      <w:pPr>
        <w:ind w:left="851"/>
        <w:rPr>
          <w:noProof/>
          <w:sz w:val="24"/>
          <w:szCs w:val="24"/>
          <w:u w:val="single"/>
        </w:rPr>
      </w:pPr>
      <w:r w:rsidRPr="00CA2EF6">
        <w:rPr>
          <w:noProof/>
          <w:sz w:val="24"/>
          <w:szCs w:val="24"/>
          <w:u w:val="single"/>
        </w:rPr>
        <w:t xml:space="preserve">Midazolam </w:t>
      </w:r>
      <w:r w:rsidR="006A4CF2" w:rsidRPr="00CA2EF6">
        <w:rPr>
          <w:noProof/>
          <w:sz w:val="24"/>
          <w:szCs w:val="24"/>
          <w:u w:val="single"/>
        </w:rPr>
        <w:t>"</w:t>
      </w:r>
      <w:r w:rsidRPr="00CA2EF6">
        <w:rPr>
          <w:noProof/>
          <w:sz w:val="24"/>
          <w:szCs w:val="24"/>
          <w:u w:val="single"/>
        </w:rPr>
        <w:t>Aguettant</w:t>
      </w:r>
      <w:r w:rsidR="006A4CF2" w:rsidRPr="00CA2EF6">
        <w:rPr>
          <w:noProof/>
          <w:sz w:val="24"/>
          <w:szCs w:val="24"/>
          <w:u w:val="single"/>
        </w:rPr>
        <w:t>"</w:t>
      </w:r>
      <w:r w:rsidRPr="00CA2EF6">
        <w:rPr>
          <w:noProof/>
          <w:sz w:val="24"/>
          <w:szCs w:val="24"/>
          <w:u w:val="single"/>
        </w:rPr>
        <w:t xml:space="preserve"> 1 mg/ml injektions-/infusionsvæske, opløsning</w:t>
      </w:r>
      <w:bookmarkStart w:id="14" w:name="_Hlk191651557"/>
    </w:p>
    <w:p w14:paraId="218DC949" w14:textId="77777777" w:rsidR="003E438B" w:rsidRPr="000E70D5" w:rsidRDefault="003E438B" w:rsidP="00445723">
      <w:pPr>
        <w:ind w:left="851"/>
        <w:rPr>
          <w:sz w:val="24"/>
          <w:szCs w:val="24"/>
        </w:rPr>
      </w:pPr>
      <w:r w:rsidRPr="000E70D5">
        <w:rPr>
          <w:sz w:val="24"/>
          <w:szCs w:val="24"/>
        </w:rPr>
        <w:t xml:space="preserve">5 ml i glasampul (type I). </w:t>
      </w:r>
      <w:r w:rsidRPr="000E70D5">
        <w:rPr>
          <w:rFonts w:eastAsia="Aptos"/>
          <w:sz w:val="24"/>
          <w:szCs w:val="24"/>
        </w:rPr>
        <w:t xml:space="preserve">Hver pakning indeholder </w:t>
      </w:r>
      <w:r w:rsidRPr="000E70D5">
        <w:rPr>
          <w:sz w:val="24"/>
          <w:szCs w:val="24"/>
        </w:rPr>
        <w:t>10 eller 50 ampuller.</w:t>
      </w:r>
    </w:p>
    <w:p w14:paraId="576FBB0D" w14:textId="77777777" w:rsidR="003E438B" w:rsidRPr="000E70D5" w:rsidRDefault="003E438B" w:rsidP="00445723">
      <w:pPr>
        <w:ind w:left="851"/>
        <w:rPr>
          <w:sz w:val="24"/>
          <w:szCs w:val="24"/>
        </w:rPr>
      </w:pPr>
    </w:p>
    <w:p w14:paraId="7467D123" w14:textId="0675768C" w:rsidR="003E438B" w:rsidRPr="00CA2EF6" w:rsidRDefault="003E438B" w:rsidP="00445723">
      <w:pPr>
        <w:ind w:left="851"/>
        <w:rPr>
          <w:noProof/>
          <w:sz w:val="24"/>
          <w:szCs w:val="24"/>
          <w:u w:val="single"/>
        </w:rPr>
      </w:pPr>
      <w:r w:rsidRPr="00CA2EF6">
        <w:rPr>
          <w:noProof/>
          <w:sz w:val="24"/>
          <w:szCs w:val="24"/>
          <w:u w:val="single"/>
        </w:rPr>
        <w:t xml:space="preserve">Midazolam </w:t>
      </w:r>
      <w:r w:rsidR="006A4CF2" w:rsidRPr="00CA2EF6">
        <w:rPr>
          <w:noProof/>
          <w:sz w:val="24"/>
          <w:szCs w:val="24"/>
          <w:u w:val="single"/>
        </w:rPr>
        <w:t>"</w:t>
      </w:r>
      <w:r w:rsidRPr="00CA2EF6">
        <w:rPr>
          <w:noProof/>
          <w:sz w:val="24"/>
          <w:szCs w:val="24"/>
          <w:u w:val="single"/>
        </w:rPr>
        <w:t>Aguettant</w:t>
      </w:r>
      <w:r w:rsidR="006A4CF2" w:rsidRPr="00CA2EF6">
        <w:rPr>
          <w:noProof/>
          <w:sz w:val="24"/>
          <w:szCs w:val="24"/>
          <w:u w:val="single"/>
        </w:rPr>
        <w:t>"</w:t>
      </w:r>
      <w:r w:rsidRPr="00CA2EF6">
        <w:rPr>
          <w:noProof/>
          <w:sz w:val="24"/>
          <w:szCs w:val="24"/>
          <w:u w:val="single"/>
        </w:rPr>
        <w:t xml:space="preserve"> 5 mg/ml injektions-/infusionsvæske, opløsning</w:t>
      </w:r>
    </w:p>
    <w:p w14:paraId="4DCF2FBD" w14:textId="77777777" w:rsidR="003E438B" w:rsidRPr="000E70D5" w:rsidRDefault="003E438B" w:rsidP="00445723">
      <w:pPr>
        <w:ind w:left="851"/>
        <w:rPr>
          <w:sz w:val="24"/>
          <w:szCs w:val="24"/>
        </w:rPr>
      </w:pPr>
      <w:r w:rsidRPr="000E70D5">
        <w:rPr>
          <w:sz w:val="24"/>
          <w:szCs w:val="24"/>
        </w:rPr>
        <w:t xml:space="preserve">1 ml, 2 ml, 3 ml eller 10 ml i glasampul (type I). </w:t>
      </w:r>
      <w:r w:rsidRPr="000E70D5">
        <w:rPr>
          <w:rFonts w:eastAsia="Aptos"/>
          <w:sz w:val="24"/>
          <w:szCs w:val="24"/>
        </w:rPr>
        <w:t>Hver pakning indeholder</w:t>
      </w:r>
      <w:r w:rsidRPr="000E70D5">
        <w:rPr>
          <w:sz w:val="24"/>
          <w:szCs w:val="24"/>
        </w:rPr>
        <w:t xml:space="preserve"> 10 eller 50 ampuller.</w:t>
      </w:r>
    </w:p>
    <w:p w14:paraId="20674199" w14:textId="77777777" w:rsidR="003E438B" w:rsidRPr="000E70D5" w:rsidRDefault="003E438B" w:rsidP="00445723">
      <w:pPr>
        <w:ind w:left="851"/>
        <w:rPr>
          <w:sz w:val="24"/>
          <w:szCs w:val="24"/>
        </w:rPr>
      </w:pPr>
    </w:p>
    <w:p w14:paraId="344C5F8D" w14:textId="77777777" w:rsidR="003E438B" w:rsidRPr="000E70D5" w:rsidRDefault="003E438B" w:rsidP="00445723">
      <w:pPr>
        <w:ind w:left="851"/>
        <w:rPr>
          <w:sz w:val="24"/>
          <w:szCs w:val="24"/>
        </w:rPr>
      </w:pPr>
      <w:r w:rsidRPr="000E70D5">
        <w:rPr>
          <w:sz w:val="24"/>
          <w:szCs w:val="24"/>
        </w:rPr>
        <w:t xml:space="preserve">Ikke alle pakningsstørrelser er nødvendigvis markedsført. </w:t>
      </w:r>
    </w:p>
    <w:bookmarkEnd w:id="13"/>
    <w:bookmarkEnd w:id="14"/>
    <w:p w14:paraId="7FEA9AA8" w14:textId="77777777" w:rsidR="009260DE" w:rsidRPr="000E70D5" w:rsidRDefault="009260DE" w:rsidP="009260DE">
      <w:pPr>
        <w:tabs>
          <w:tab w:val="left" w:pos="851"/>
        </w:tabs>
        <w:ind w:left="851"/>
        <w:rPr>
          <w:sz w:val="24"/>
          <w:szCs w:val="24"/>
        </w:rPr>
      </w:pPr>
    </w:p>
    <w:p w14:paraId="663C284C" w14:textId="77777777" w:rsidR="009260DE" w:rsidRPr="000E70D5" w:rsidRDefault="009260DE" w:rsidP="009260DE">
      <w:pPr>
        <w:tabs>
          <w:tab w:val="left" w:pos="851"/>
        </w:tabs>
        <w:ind w:left="851" w:hanging="851"/>
        <w:rPr>
          <w:b/>
          <w:sz w:val="24"/>
          <w:szCs w:val="24"/>
        </w:rPr>
      </w:pPr>
      <w:r w:rsidRPr="000E70D5">
        <w:rPr>
          <w:b/>
          <w:sz w:val="24"/>
          <w:szCs w:val="24"/>
        </w:rPr>
        <w:t>6.6</w:t>
      </w:r>
      <w:r w:rsidRPr="000E70D5">
        <w:rPr>
          <w:b/>
          <w:sz w:val="24"/>
          <w:szCs w:val="24"/>
        </w:rPr>
        <w:tab/>
        <w:t xml:space="preserve">Regler for </w:t>
      </w:r>
      <w:r w:rsidR="00BD7931" w:rsidRPr="000E70D5">
        <w:rPr>
          <w:b/>
          <w:sz w:val="24"/>
          <w:szCs w:val="24"/>
        </w:rPr>
        <w:t>bortskaffelse</w:t>
      </w:r>
      <w:r w:rsidRPr="000E70D5">
        <w:rPr>
          <w:b/>
          <w:sz w:val="24"/>
          <w:szCs w:val="24"/>
        </w:rPr>
        <w:t xml:space="preserve"> og anden håndtering</w:t>
      </w:r>
    </w:p>
    <w:p w14:paraId="421648FA" w14:textId="77777777" w:rsidR="003E438B" w:rsidRPr="000E70D5" w:rsidRDefault="003E438B" w:rsidP="00445723">
      <w:pPr>
        <w:ind w:left="851"/>
        <w:rPr>
          <w:sz w:val="24"/>
          <w:szCs w:val="24"/>
        </w:rPr>
      </w:pPr>
      <w:r w:rsidRPr="000E70D5">
        <w:rPr>
          <w:sz w:val="24"/>
          <w:szCs w:val="24"/>
        </w:rPr>
        <w:t>Kun til engangsbrug. Opløsningen skal inspiceres visuelt før brug. Der bør kun anvendes klare opløsninger uden partikler.</w:t>
      </w:r>
    </w:p>
    <w:p w14:paraId="6BFA81E0" w14:textId="77777777" w:rsidR="003E438B" w:rsidRPr="000E70D5" w:rsidRDefault="003E438B" w:rsidP="00445723">
      <w:pPr>
        <w:ind w:left="851"/>
        <w:rPr>
          <w:sz w:val="24"/>
          <w:szCs w:val="24"/>
        </w:rPr>
      </w:pPr>
    </w:p>
    <w:p w14:paraId="04554D2A" w14:textId="77777777" w:rsidR="003E438B" w:rsidRPr="000E70D5" w:rsidRDefault="003E438B" w:rsidP="00A3780A">
      <w:pPr>
        <w:ind w:left="851"/>
        <w:rPr>
          <w:noProof/>
          <w:sz w:val="24"/>
          <w:szCs w:val="24"/>
        </w:rPr>
      </w:pPr>
      <w:r w:rsidRPr="000E70D5">
        <w:rPr>
          <w:noProof/>
          <w:sz w:val="24"/>
          <w:szCs w:val="24"/>
        </w:rPr>
        <w:t>Lægemidlet</w:t>
      </w:r>
      <w:r w:rsidRPr="000E70D5">
        <w:rPr>
          <w:sz w:val="24"/>
          <w:szCs w:val="24"/>
        </w:rPr>
        <w:t xml:space="preserve"> </w:t>
      </w:r>
      <w:r w:rsidRPr="000E70D5">
        <w:rPr>
          <w:noProof/>
          <w:sz w:val="24"/>
          <w:szCs w:val="24"/>
        </w:rPr>
        <w:t>er kompatibelt med</w:t>
      </w:r>
      <w:r w:rsidRPr="000E70D5">
        <w:rPr>
          <w:sz w:val="24"/>
          <w:szCs w:val="24"/>
        </w:rPr>
        <w:t xml:space="preserve"> </w:t>
      </w:r>
      <w:r w:rsidRPr="000E70D5">
        <w:rPr>
          <w:noProof/>
          <w:sz w:val="24"/>
          <w:szCs w:val="24"/>
        </w:rPr>
        <w:t>følgende infusionsopløsninger:</w:t>
      </w:r>
    </w:p>
    <w:p w14:paraId="577DEF31" w14:textId="77777777" w:rsidR="003E438B" w:rsidRPr="00CA2EF6" w:rsidRDefault="003E438B" w:rsidP="00A3780A">
      <w:pPr>
        <w:pStyle w:val="Listeafsnit"/>
        <w:numPr>
          <w:ilvl w:val="0"/>
          <w:numId w:val="34"/>
        </w:numPr>
        <w:tabs>
          <w:tab w:val="clear" w:pos="567"/>
        </w:tabs>
        <w:spacing w:line="240" w:lineRule="auto"/>
        <w:ind w:left="1276" w:hanging="425"/>
        <w:rPr>
          <w:sz w:val="24"/>
          <w:szCs w:val="24"/>
          <w:lang w:val="en-GB"/>
        </w:rPr>
      </w:pPr>
      <w:bookmarkStart w:id="15" w:name="_Hlk165305545"/>
      <w:r w:rsidRPr="00CA2EF6">
        <w:rPr>
          <w:noProof/>
          <w:sz w:val="24"/>
          <w:szCs w:val="24"/>
          <w:lang w:val="pt-PT"/>
        </w:rPr>
        <w:t>Natriumchlorid 9 mg/ml (0,9 %)</w:t>
      </w:r>
      <w:bookmarkStart w:id="16" w:name="_Hlk191902828"/>
    </w:p>
    <w:p w14:paraId="154E07B7" w14:textId="77777777" w:rsidR="003E438B" w:rsidRPr="00CA2EF6" w:rsidRDefault="003E438B" w:rsidP="00A3780A">
      <w:pPr>
        <w:pStyle w:val="Listeafsnit"/>
        <w:numPr>
          <w:ilvl w:val="0"/>
          <w:numId w:val="34"/>
        </w:numPr>
        <w:tabs>
          <w:tab w:val="clear" w:pos="567"/>
        </w:tabs>
        <w:spacing w:line="240" w:lineRule="auto"/>
        <w:ind w:left="1276" w:hanging="425"/>
        <w:rPr>
          <w:sz w:val="24"/>
          <w:szCs w:val="24"/>
          <w:lang w:val="en-GB"/>
        </w:rPr>
      </w:pPr>
      <w:r w:rsidRPr="00CA2EF6">
        <w:rPr>
          <w:noProof/>
          <w:sz w:val="24"/>
          <w:szCs w:val="24"/>
          <w:lang w:val="pt-PT"/>
        </w:rPr>
        <w:t>Glucose 50 mg/ml (5 %)</w:t>
      </w:r>
    </w:p>
    <w:p w14:paraId="6D8AB3F2" w14:textId="77777777" w:rsidR="003E438B" w:rsidRPr="00CA2EF6" w:rsidRDefault="003E438B" w:rsidP="00A3780A">
      <w:pPr>
        <w:pStyle w:val="Listeafsnit"/>
        <w:numPr>
          <w:ilvl w:val="0"/>
          <w:numId w:val="34"/>
        </w:numPr>
        <w:tabs>
          <w:tab w:val="clear" w:pos="567"/>
        </w:tabs>
        <w:spacing w:line="240" w:lineRule="auto"/>
        <w:ind w:left="1276" w:hanging="425"/>
        <w:rPr>
          <w:sz w:val="24"/>
          <w:szCs w:val="24"/>
          <w:lang w:val="en-GB"/>
        </w:rPr>
      </w:pPr>
      <w:r w:rsidRPr="00CA2EF6">
        <w:rPr>
          <w:noProof/>
          <w:sz w:val="24"/>
          <w:szCs w:val="24"/>
          <w:lang w:val="pt-PT"/>
        </w:rPr>
        <w:t>Glucose 100 mg/ml (10 %)</w:t>
      </w:r>
    </w:p>
    <w:p w14:paraId="7D263B27" w14:textId="77777777" w:rsidR="003E438B" w:rsidRPr="00CA2EF6" w:rsidRDefault="003E438B" w:rsidP="00A3780A">
      <w:pPr>
        <w:pStyle w:val="Listeafsnit"/>
        <w:numPr>
          <w:ilvl w:val="0"/>
          <w:numId w:val="34"/>
        </w:numPr>
        <w:tabs>
          <w:tab w:val="clear" w:pos="567"/>
        </w:tabs>
        <w:spacing w:line="240" w:lineRule="auto"/>
        <w:ind w:left="1276" w:hanging="425"/>
        <w:rPr>
          <w:sz w:val="24"/>
          <w:szCs w:val="24"/>
          <w:lang w:val="en-GB"/>
        </w:rPr>
      </w:pPr>
      <w:r w:rsidRPr="00CA2EF6">
        <w:rPr>
          <w:noProof/>
          <w:sz w:val="24"/>
          <w:szCs w:val="24"/>
          <w:lang w:val="pt-PT"/>
        </w:rPr>
        <w:t>Fructose 50 mg/ml (5 %)</w:t>
      </w:r>
    </w:p>
    <w:p w14:paraId="3EB84B44" w14:textId="77777777" w:rsidR="003E438B" w:rsidRPr="00CA2EF6" w:rsidRDefault="003E438B" w:rsidP="00A3780A">
      <w:pPr>
        <w:pStyle w:val="Listeafsnit"/>
        <w:numPr>
          <w:ilvl w:val="0"/>
          <w:numId w:val="34"/>
        </w:numPr>
        <w:tabs>
          <w:tab w:val="clear" w:pos="567"/>
        </w:tabs>
        <w:spacing w:line="240" w:lineRule="auto"/>
        <w:ind w:left="1276" w:hanging="425"/>
        <w:rPr>
          <w:sz w:val="24"/>
          <w:szCs w:val="24"/>
          <w:lang w:val="en-GB"/>
        </w:rPr>
      </w:pPr>
      <w:r w:rsidRPr="00CA2EF6">
        <w:rPr>
          <w:noProof/>
          <w:sz w:val="24"/>
          <w:szCs w:val="24"/>
          <w:lang w:val="pt-PT"/>
        </w:rPr>
        <w:t>Ringers opløsning</w:t>
      </w:r>
    </w:p>
    <w:p w14:paraId="3F2C5289" w14:textId="77777777" w:rsidR="003E438B" w:rsidRPr="00CA2EF6" w:rsidRDefault="003E438B" w:rsidP="00A3780A">
      <w:pPr>
        <w:pStyle w:val="Listeafsnit"/>
        <w:numPr>
          <w:ilvl w:val="0"/>
          <w:numId w:val="34"/>
        </w:numPr>
        <w:tabs>
          <w:tab w:val="clear" w:pos="567"/>
        </w:tabs>
        <w:spacing w:line="240" w:lineRule="auto"/>
        <w:ind w:left="1276" w:hanging="425"/>
        <w:rPr>
          <w:sz w:val="24"/>
          <w:szCs w:val="24"/>
          <w:lang w:val="en-GB"/>
        </w:rPr>
      </w:pPr>
      <w:r w:rsidRPr="00CA2EF6">
        <w:rPr>
          <w:noProof/>
          <w:sz w:val="24"/>
          <w:szCs w:val="24"/>
        </w:rPr>
        <w:t>Hartmanns opløsning.</w:t>
      </w:r>
    </w:p>
    <w:bookmarkEnd w:id="15"/>
    <w:bookmarkEnd w:id="16"/>
    <w:p w14:paraId="22671BA7" w14:textId="77777777" w:rsidR="003E438B" w:rsidRPr="000E70D5" w:rsidRDefault="003E438B" w:rsidP="00A3780A">
      <w:pPr>
        <w:ind w:left="851"/>
        <w:rPr>
          <w:sz w:val="24"/>
          <w:szCs w:val="24"/>
          <w:lang w:val="en-GB"/>
        </w:rPr>
      </w:pPr>
    </w:p>
    <w:p w14:paraId="58D5DBA5" w14:textId="77777777" w:rsidR="003E438B" w:rsidRPr="000E70D5" w:rsidRDefault="003E438B" w:rsidP="00445723">
      <w:pPr>
        <w:ind w:left="851"/>
        <w:rPr>
          <w:sz w:val="24"/>
          <w:szCs w:val="24"/>
        </w:rPr>
      </w:pPr>
      <w:r w:rsidRPr="000E70D5">
        <w:rPr>
          <w:sz w:val="24"/>
          <w:szCs w:val="24"/>
        </w:rPr>
        <w:t>Ikke anvendt lægemiddel samt affald heraf skal bortskaffes i henhold til lokale retningslinjer.</w:t>
      </w:r>
    </w:p>
    <w:p w14:paraId="1F583A76" w14:textId="77777777" w:rsidR="003E438B" w:rsidRPr="000E70D5" w:rsidRDefault="003E438B" w:rsidP="00445723">
      <w:pPr>
        <w:ind w:left="851"/>
        <w:rPr>
          <w:sz w:val="24"/>
          <w:szCs w:val="24"/>
        </w:rPr>
      </w:pPr>
    </w:p>
    <w:p w14:paraId="16C77B77" w14:textId="69532856" w:rsidR="003E438B" w:rsidRPr="000E70D5" w:rsidRDefault="003E438B" w:rsidP="00445723">
      <w:pPr>
        <w:ind w:left="851"/>
        <w:rPr>
          <w:sz w:val="24"/>
          <w:szCs w:val="24"/>
        </w:rPr>
      </w:pPr>
      <w:r w:rsidRPr="000E70D5">
        <w:rPr>
          <w:sz w:val="24"/>
          <w:szCs w:val="24"/>
        </w:rPr>
        <w:t xml:space="preserve">I tilfælde af intravenøs infusion kan </w:t>
      </w:r>
      <w:proofErr w:type="spellStart"/>
      <w:r w:rsidRPr="000E70D5">
        <w:rPr>
          <w:sz w:val="24"/>
          <w:szCs w:val="24"/>
          <w:u w:val="single"/>
        </w:rPr>
        <w:t>Midazolam</w:t>
      </w:r>
      <w:proofErr w:type="spellEnd"/>
      <w:r w:rsidRPr="000E70D5">
        <w:rPr>
          <w:sz w:val="24"/>
          <w:szCs w:val="24"/>
          <w:u w:val="single"/>
        </w:rPr>
        <w:t xml:space="preserve"> </w:t>
      </w:r>
      <w:r w:rsidR="006A4CF2">
        <w:rPr>
          <w:sz w:val="24"/>
          <w:szCs w:val="24"/>
          <w:u w:val="single"/>
        </w:rPr>
        <w:t>"</w:t>
      </w:r>
      <w:proofErr w:type="spellStart"/>
      <w:r w:rsidRPr="000E70D5">
        <w:rPr>
          <w:sz w:val="24"/>
          <w:szCs w:val="24"/>
          <w:u w:val="single"/>
        </w:rPr>
        <w:t>Aguettant</w:t>
      </w:r>
      <w:proofErr w:type="spellEnd"/>
      <w:r w:rsidR="006A4CF2">
        <w:rPr>
          <w:sz w:val="24"/>
          <w:szCs w:val="24"/>
          <w:u w:val="single"/>
        </w:rPr>
        <w:t>"</w:t>
      </w:r>
      <w:r w:rsidRPr="000E70D5">
        <w:rPr>
          <w:sz w:val="24"/>
          <w:szCs w:val="24"/>
          <w:u w:val="single"/>
        </w:rPr>
        <w:t xml:space="preserve"> </w:t>
      </w:r>
      <w:r w:rsidRPr="000E70D5">
        <w:rPr>
          <w:noProof/>
          <w:sz w:val="24"/>
          <w:szCs w:val="24"/>
          <w:u w:val="single"/>
        </w:rPr>
        <w:t>1 mg/ml injektions</w:t>
      </w:r>
      <w:r w:rsidRPr="000E70D5">
        <w:rPr>
          <w:noProof/>
          <w:sz w:val="24"/>
          <w:szCs w:val="24"/>
          <w:u w:val="single"/>
        </w:rPr>
        <w:noBreakHyphen/>
        <w:t xml:space="preserve">/infusionsvæske, opløsning eller </w:t>
      </w:r>
      <w:proofErr w:type="spellStart"/>
      <w:r w:rsidRPr="000E70D5">
        <w:rPr>
          <w:sz w:val="24"/>
          <w:szCs w:val="24"/>
          <w:u w:val="single"/>
        </w:rPr>
        <w:t>Midazolam</w:t>
      </w:r>
      <w:proofErr w:type="spellEnd"/>
      <w:r w:rsidRPr="000E70D5">
        <w:rPr>
          <w:sz w:val="24"/>
          <w:szCs w:val="24"/>
          <w:u w:val="single"/>
        </w:rPr>
        <w:t xml:space="preserve"> </w:t>
      </w:r>
      <w:r w:rsidR="006A4CF2">
        <w:rPr>
          <w:sz w:val="24"/>
          <w:szCs w:val="24"/>
          <w:u w:val="single"/>
        </w:rPr>
        <w:t>"</w:t>
      </w:r>
      <w:proofErr w:type="spellStart"/>
      <w:r w:rsidRPr="000E70D5">
        <w:rPr>
          <w:sz w:val="24"/>
          <w:szCs w:val="24"/>
          <w:u w:val="single"/>
        </w:rPr>
        <w:t>Aguettant</w:t>
      </w:r>
      <w:proofErr w:type="spellEnd"/>
      <w:r w:rsidR="006A4CF2">
        <w:rPr>
          <w:sz w:val="24"/>
          <w:szCs w:val="24"/>
          <w:u w:val="single"/>
        </w:rPr>
        <w:t>"</w:t>
      </w:r>
      <w:r w:rsidRPr="000E70D5">
        <w:rPr>
          <w:sz w:val="24"/>
          <w:szCs w:val="24"/>
        </w:rPr>
        <w:t xml:space="preserve"> </w:t>
      </w:r>
      <w:r w:rsidRPr="000E70D5">
        <w:rPr>
          <w:noProof/>
          <w:sz w:val="24"/>
          <w:szCs w:val="24"/>
          <w:u w:val="single"/>
        </w:rPr>
        <w:t>5 mg/ml injektions</w:t>
      </w:r>
      <w:r w:rsidRPr="000E70D5">
        <w:rPr>
          <w:noProof/>
          <w:sz w:val="24"/>
          <w:szCs w:val="24"/>
          <w:u w:val="single"/>
        </w:rPr>
        <w:noBreakHyphen/>
        <w:t>/infusionsvæske, opløsning</w:t>
      </w:r>
      <w:r w:rsidRPr="000E70D5">
        <w:rPr>
          <w:sz w:val="24"/>
          <w:szCs w:val="24"/>
        </w:rPr>
        <w:t xml:space="preserve"> fortyndes i området 0,015 til 0,15 mg/ml med en af ovennævnte opløsninger.</w:t>
      </w:r>
    </w:p>
    <w:p w14:paraId="17246BC2" w14:textId="77777777" w:rsidR="009260DE" w:rsidRPr="000E70D5" w:rsidRDefault="009260DE" w:rsidP="000730CA">
      <w:pPr>
        <w:tabs>
          <w:tab w:val="left" w:pos="851"/>
        </w:tabs>
        <w:ind w:left="851"/>
        <w:rPr>
          <w:sz w:val="24"/>
          <w:szCs w:val="24"/>
        </w:rPr>
      </w:pPr>
    </w:p>
    <w:p w14:paraId="6B46A04E" w14:textId="77777777" w:rsidR="009260DE" w:rsidRPr="000E70D5" w:rsidRDefault="009260DE" w:rsidP="009260DE">
      <w:pPr>
        <w:tabs>
          <w:tab w:val="left" w:pos="851"/>
        </w:tabs>
        <w:ind w:left="851" w:hanging="851"/>
        <w:rPr>
          <w:b/>
          <w:sz w:val="24"/>
          <w:szCs w:val="24"/>
        </w:rPr>
      </w:pPr>
      <w:r w:rsidRPr="000E70D5">
        <w:rPr>
          <w:b/>
          <w:sz w:val="24"/>
          <w:szCs w:val="24"/>
        </w:rPr>
        <w:t>7.</w:t>
      </w:r>
      <w:r w:rsidRPr="000E70D5">
        <w:rPr>
          <w:b/>
          <w:sz w:val="24"/>
          <w:szCs w:val="24"/>
        </w:rPr>
        <w:tab/>
        <w:t>INDEHAVER AF MARKEDSFØRINGSTILLADELSEN</w:t>
      </w:r>
    </w:p>
    <w:p w14:paraId="1A2D2BCF" w14:textId="77777777" w:rsidR="00445723" w:rsidRPr="000E70D5" w:rsidRDefault="00445723" w:rsidP="00445723">
      <w:pPr>
        <w:tabs>
          <w:tab w:val="left" w:pos="851"/>
        </w:tabs>
        <w:ind w:left="851"/>
        <w:rPr>
          <w:sz w:val="24"/>
          <w:szCs w:val="24"/>
        </w:rPr>
      </w:pPr>
      <w:proofErr w:type="spellStart"/>
      <w:r w:rsidRPr="000E70D5">
        <w:rPr>
          <w:sz w:val="24"/>
          <w:szCs w:val="24"/>
        </w:rPr>
        <w:t>Laboratoire</w:t>
      </w:r>
      <w:proofErr w:type="spellEnd"/>
      <w:r w:rsidRPr="000E70D5">
        <w:rPr>
          <w:sz w:val="24"/>
          <w:szCs w:val="24"/>
        </w:rPr>
        <w:t xml:space="preserve"> </w:t>
      </w:r>
      <w:proofErr w:type="spellStart"/>
      <w:r w:rsidRPr="000E70D5">
        <w:rPr>
          <w:sz w:val="24"/>
          <w:szCs w:val="24"/>
        </w:rPr>
        <w:t>Aguettant</w:t>
      </w:r>
      <w:proofErr w:type="spellEnd"/>
    </w:p>
    <w:p w14:paraId="51F66550" w14:textId="77777777" w:rsidR="00445723" w:rsidRPr="000E70D5" w:rsidRDefault="00445723" w:rsidP="00445723">
      <w:pPr>
        <w:tabs>
          <w:tab w:val="left" w:pos="851"/>
        </w:tabs>
        <w:ind w:left="851"/>
        <w:rPr>
          <w:sz w:val="24"/>
          <w:szCs w:val="24"/>
        </w:rPr>
      </w:pPr>
      <w:r w:rsidRPr="000E70D5">
        <w:rPr>
          <w:sz w:val="24"/>
          <w:szCs w:val="24"/>
        </w:rPr>
        <w:t xml:space="preserve">1 </w:t>
      </w:r>
      <w:proofErr w:type="spellStart"/>
      <w:r w:rsidRPr="000E70D5">
        <w:rPr>
          <w:sz w:val="24"/>
          <w:szCs w:val="24"/>
        </w:rPr>
        <w:t>rue</w:t>
      </w:r>
      <w:proofErr w:type="spellEnd"/>
      <w:r w:rsidRPr="000E70D5">
        <w:rPr>
          <w:sz w:val="24"/>
          <w:szCs w:val="24"/>
        </w:rPr>
        <w:t xml:space="preserve"> Alexander Fleming</w:t>
      </w:r>
    </w:p>
    <w:p w14:paraId="749981FB" w14:textId="77777777" w:rsidR="00445723" w:rsidRPr="000E70D5" w:rsidRDefault="00445723" w:rsidP="00445723">
      <w:pPr>
        <w:tabs>
          <w:tab w:val="left" w:pos="851"/>
        </w:tabs>
        <w:ind w:left="851"/>
        <w:rPr>
          <w:sz w:val="24"/>
          <w:szCs w:val="24"/>
        </w:rPr>
      </w:pPr>
      <w:r w:rsidRPr="000E70D5">
        <w:rPr>
          <w:sz w:val="24"/>
          <w:szCs w:val="24"/>
        </w:rPr>
        <w:t>69007 Lyon</w:t>
      </w:r>
    </w:p>
    <w:p w14:paraId="401C64CF" w14:textId="77777777" w:rsidR="00445723" w:rsidRPr="000E70D5" w:rsidRDefault="00445723" w:rsidP="00445723">
      <w:pPr>
        <w:tabs>
          <w:tab w:val="left" w:pos="851"/>
        </w:tabs>
        <w:ind w:left="851"/>
        <w:rPr>
          <w:sz w:val="24"/>
          <w:szCs w:val="24"/>
        </w:rPr>
      </w:pPr>
      <w:r w:rsidRPr="000E70D5">
        <w:rPr>
          <w:sz w:val="24"/>
          <w:szCs w:val="24"/>
        </w:rPr>
        <w:t>Frankrig</w:t>
      </w:r>
    </w:p>
    <w:p w14:paraId="17F9A6B3" w14:textId="77777777" w:rsidR="00641C65" w:rsidRPr="000E70D5" w:rsidRDefault="00641C65" w:rsidP="009260DE">
      <w:pPr>
        <w:tabs>
          <w:tab w:val="left" w:pos="851"/>
        </w:tabs>
        <w:ind w:left="851"/>
        <w:rPr>
          <w:sz w:val="24"/>
          <w:szCs w:val="24"/>
        </w:rPr>
      </w:pPr>
    </w:p>
    <w:p w14:paraId="5F7CDA7F" w14:textId="77777777" w:rsidR="009260DE" w:rsidRPr="000E70D5" w:rsidRDefault="009260DE" w:rsidP="009260DE">
      <w:pPr>
        <w:tabs>
          <w:tab w:val="left" w:pos="851"/>
        </w:tabs>
        <w:ind w:left="851" w:hanging="851"/>
        <w:rPr>
          <w:b/>
          <w:sz w:val="24"/>
          <w:szCs w:val="24"/>
        </w:rPr>
      </w:pPr>
      <w:r w:rsidRPr="000E70D5">
        <w:rPr>
          <w:b/>
          <w:sz w:val="24"/>
          <w:szCs w:val="24"/>
        </w:rPr>
        <w:t>8.</w:t>
      </w:r>
      <w:r w:rsidRPr="000E70D5">
        <w:rPr>
          <w:b/>
          <w:sz w:val="24"/>
          <w:szCs w:val="24"/>
        </w:rPr>
        <w:tab/>
        <w:t>MARKEDSFØRINGSTILLADELSESNUMMER (</w:t>
      </w:r>
      <w:r w:rsidR="00BF6243" w:rsidRPr="000E70D5">
        <w:rPr>
          <w:b/>
          <w:sz w:val="24"/>
          <w:szCs w:val="24"/>
        </w:rPr>
        <w:t>-</w:t>
      </w:r>
      <w:r w:rsidRPr="000E70D5">
        <w:rPr>
          <w:b/>
          <w:sz w:val="24"/>
          <w:szCs w:val="24"/>
        </w:rPr>
        <w:t>NUMRE)</w:t>
      </w:r>
    </w:p>
    <w:p w14:paraId="53D72030" w14:textId="27F52F7E" w:rsidR="009260DE" w:rsidRPr="000E70D5" w:rsidRDefault="00445723" w:rsidP="009260DE">
      <w:pPr>
        <w:tabs>
          <w:tab w:val="left" w:pos="851"/>
        </w:tabs>
        <w:ind w:left="851"/>
        <w:rPr>
          <w:sz w:val="24"/>
          <w:szCs w:val="24"/>
        </w:rPr>
      </w:pPr>
      <w:r w:rsidRPr="000E70D5">
        <w:rPr>
          <w:sz w:val="24"/>
          <w:szCs w:val="24"/>
        </w:rPr>
        <w:t>1 mg/ml: 72439</w:t>
      </w:r>
    </w:p>
    <w:p w14:paraId="51CD8A4B" w14:textId="57B89373" w:rsidR="00445723" w:rsidRPr="000E70D5" w:rsidRDefault="00445723" w:rsidP="009260DE">
      <w:pPr>
        <w:tabs>
          <w:tab w:val="left" w:pos="851"/>
        </w:tabs>
        <w:ind w:left="851"/>
        <w:rPr>
          <w:sz w:val="24"/>
          <w:szCs w:val="24"/>
        </w:rPr>
      </w:pPr>
      <w:r w:rsidRPr="000E70D5">
        <w:rPr>
          <w:sz w:val="24"/>
          <w:szCs w:val="24"/>
        </w:rPr>
        <w:t>5 mg/ml: 72440</w:t>
      </w:r>
    </w:p>
    <w:p w14:paraId="7EFABA69" w14:textId="77777777" w:rsidR="009260DE" w:rsidRPr="000E70D5" w:rsidRDefault="009260DE" w:rsidP="009260DE">
      <w:pPr>
        <w:tabs>
          <w:tab w:val="left" w:pos="851"/>
        </w:tabs>
        <w:ind w:left="851"/>
        <w:jc w:val="both"/>
        <w:rPr>
          <w:sz w:val="24"/>
          <w:szCs w:val="24"/>
        </w:rPr>
      </w:pPr>
    </w:p>
    <w:p w14:paraId="73CE3A57" w14:textId="77777777" w:rsidR="009260DE" w:rsidRPr="000E70D5" w:rsidRDefault="009260DE" w:rsidP="009260DE">
      <w:pPr>
        <w:tabs>
          <w:tab w:val="left" w:pos="851"/>
        </w:tabs>
        <w:ind w:left="851" w:hanging="851"/>
        <w:rPr>
          <w:b/>
          <w:sz w:val="24"/>
          <w:szCs w:val="24"/>
        </w:rPr>
      </w:pPr>
      <w:r w:rsidRPr="000E70D5">
        <w:rPr>
          <w:b/>
          <w:sz w:val="24"/>
          <w:szCs w:val="24"/>
        </w:rPr>
        <w:t>9.</w:t>
      </w:r>
      <w:r w:rsidRPr="000E70D5">
        <w:rPr>
          <w:b/>
          <w:sz w:val="24"/>
          <w:szCs w:val="24"/>
        </w:rPr>
        <w:tab/>
        <w:t>DATO FOR FØRSTE MARKEDSFØRINGSTILLADELSE</w:t>
      </w:r>
    </w:p>
    <w:p w14:paraId="49A10089" w14:textId="5F343FEA" w:rsidR="009260DE" w:rsidRPr="000E70D5" w:rsidRDefault="00445723" w:rsidP="009260DE">
      <w:pPr>
        <w:tabs>
          <w:tab w:val="left" w:pos="851"/>
        </w:tabs>
        <w:ind w:left="851"/>
        <w:rPr>
          <w:sz w:val="24"/>
          <w:szCs w:val="24"/>
        </w:rPr>
      </w:pPr>
      <w:r w:rsidRPr="000E70D5">
        <w:rPr>
          <w:sz w:val="24"/>
          <w:szCs w:val="24"/>
        </w:rPr>
        <w:t>17. december 2024 (injektionsvæske, opløsning i fyldt injektionssprøjte)</w:t>
      </w:r>
    </w:p>
    <w:p w14:paraId="409E5505" w14:textId="77777777" w:rsidR="009260DE" w:rsidRPr="000E70D5" w:rsidRDefault="009260DE" w:rsidP="009260DE">
      <w:pPr>
        <w:tabs>
          <w:tab w:val="left" w:pos="851"/>
        </w:tabs>
        <w:ind w:left="851"/>
        <w:rPr>
          <w:sz w:val="24"/>
          <w:szCs w:val="24"/>
        </w:rPr>
      </w:pPr>
    </w:p>
    <w:p w14:paraId="15308513" w14:textId="77777777" w:rsidR="009260DE" w:rsidRPr="000E70D5" w:rsidRDefault="009260DE" w:rsidP="009260DE">
      <w:pPr>
        <w:tabs>
          <w:tab w:val="left" w:pos="851"/>
        </w:tabs>
        <w:ind w:left="851" w:hanging="851"/>
        <w:rPr>
          <w:b/>
          <w:sz w:val="24"/>
          <w:szCs w:val="24"/>
        </w:rPr>
      </w:pPr>
      <w:r w:rsidRPr="000E70D5">
        <w:rPr>
          <w:b/>
          <w:sz w:val="24"/>
          <w:szCs w:val="24"/>
        </w:rPr>
        <w:t>10.</w:t>
      </w:r>
      <w:r w:rsidRPr="000E70D5">
        <w:rPr>
          <w:b/>
          <w:sz w:val="24"/>
          <w:szCs w:val="24"/>
        </w:rPr>
        <w:tab/>
        <w:t>DATO FOR ÆNDRING AF TEKSTEN</w:t>
      </w:r>
    </w:p>
    <w:p w14:paraId="016DDEBB" w14:textId="6D5DDE0B" w:rsidR="009260DE" w:rsidRPr="000E70D5" w:rsidRDefault="00445723" w:rsidP="009260DE">
      <w:pPr>
        <w:tabs>
          <w:tab w:val="left" w:pos="851"/>
        </w:tabs>
        <w:ind w:left="851"/>
        <w:rPr>
          <w:sz w:val="24"/>
          <w:szCs w:val="24"/>
        </w:rPr>
      </w:pPr>
      <w:r w:rsidRPr="000E70D5">
        <w:rPr>
          <w:sz w:val="24"/>
          <w:szCs w:val="24"/>
        </w:rPr>
        <w:t>-</w:t>
      </w:r>
    </w:p>
    <w:sectPr w:rsidR="009260DE" w:rsidRPr="000E70D5"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4B749" w14:textId="77777777" w:rsidR="003E438B" w:rsidRDefault="003E438B">
      <w:r>
        <w:separator/>
      </w:r>
    </w:p>
  </w:endnote>
  <w:endnote w:type="continuationSeparator" w:id="0">
    <w:p w14:paraId="475D0E7F" w14:textId="77777777" w:rsidR="003E438B" w:rsidRDefault="003E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2076" w14:textId="77777777" w:rsidR="003E438B" w:rsidRDefault="003E438B">
    <w:pPr>
      <w:pStyle w:val="Sidefod"/>
      <w:pBdr>
        <w:bottom w:val="single" w:sz="6" w:space="1" w:color="auto"/>
      </w:pBdr>
    </w:pPr>
  </w:p>
  <w:p w14:paraId="4B5D2AA7" w14:textId="77777777" w:rsidR="003E438B" w:rsidRDefault="003E438B" w:rsidP="00C42586">
    <w:pPr>
      <w:pStyle w:val="Sidefod"/>
      <w:tabs>
        <w:tab w:val="clear" w:pos="4819"/>
        <w:tab w:val="left" w:pos="8505"/>
      </w:tabs>
      <w:rPr>
        <w:i/>
        <w:sz w:val="18"/>
        <w:szCs w:val="18"/>
      </w:rPr>
    </w:pPr>
  </w:p>
  <w:p w14:paraId="503A3610" w14:textId="7EC24AE6" w:rsidR="003E438B" w:rsidRPr="00B373D7" w:rsidRDefault="003E438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6E3420">
      <w:rPr>
        <w:i/>
        <w:noProof/>
        <w:sz w:val="18"/>
        <w:szCs w:val="18"/>
      </w:rPr>
      <w:t>Midazolam Aguettant, injektions--infusionsvæske, opløsning 1 mg-ml og 5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8F72F" w14:textId="77777777" w:rsidR="003E438B" w:rsidRDefault="003E438B">
      <w:r>
        <w:separator/>
      </w:r>
    </w:p>
  </w:footnote>
  <w:footnote w:type="continuationSeparator" w:id="0">
    <w:p w14:paraId="01C9DC93" w14:textId="77777777" w:rsidR="003E438B" w:rsidRDefault="003E4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CBF"/>
    <w:multiLevelType w:val="hybridMultilevel"/>
    <w:tmpl w:val="1004AD4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5117DD9"/>
    <w:multiLevelType w:val="hybridMultilevel"/>
    <w:tmpl w:val="80D4A3F0"/>
    <w:lvl w:ilvl="0" w:tplc="040C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0AE514E0"/>
    <w:multiLevelType w:val="hybridMultilevel"/>
    <w:tmpl w:val="B5CCE4C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0BD63EE6"/>
    <w:multiLevelType w:val="hybridMultilevel"/>
    <w:tmpl w:val="A1223EA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12724E70"/>
    <w:multiLevelType w:val="hybridMultilevel"/>
    <w:tmpl w:val="CBDC4BC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5CF6809"/>
    <w:multiLevelType w:val="hybridMultilevel"/>
    <w:tmpl w:val="CF406A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0B1249"/>
    <w:multiLevelType w:val="hybridMultilevel"/>
    <w:tmpl w:val="3B9A0E8E"/>
    <w:lvl w:ilvl="0" w:tplc="040C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21904AD0"/>
    <w:multiLevelType w:val="hybridMultilevel"/>
    <w:tmpl w:val="87CE49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C0569A3"/>
    <w:multiLevelType w:val="hybridMultilevel"/>
    <w:tmpl w:val="AEEAE160"/>
    <w:lvl w:ilvl="0" w:tplc="20000001">
      <w:start w:val="1"/>
      <w:numFmt w:val="bullet"/>
      <w:lvlText w:val=""/>
      <w:lvlJc w:val="left"/>
      <w:pPr>
        <w:ind w:left="1571" w:hanging="360"/>
      </w:pPr>
      <w:rPr>
        <w:rFonts w:ascii="Symbol" w:hAnsi="Symbol" w:hint="default"/>
      </w:rPr>
    </w:lvl>
    <w:lvl w:ilvl="1" w:tplc="20000003">
      <w:start w:val="1"/>
      <w:numFmt w:val="bullet"/>
      <w:lvlText w:val="o"/>
      <w:lvlJc w:val="left"/>
      <w:pPr>
        <w:ind w:left="2291" w:hanging="360"/>
      </w:pPr>
      <w:rPr>
        <w:rFonts w:ascii="Courier New" w:hAnsi="Courier New" w:cs="Courier New" w:hint="default"/>
      </w:rPr>
    </w:lvl>
    <w:lvl w:ilvl="2" w:tplc="20000005">
      <w:start w:val="1"/>
      <w:numFmt w:val="bullet"/>
      <w:lvlText w:val=""/>
      <w:lvlJc w:val="left"/>
      <w:pPr>
        <w:ind w:left="3011" w:hanging="360"/>
      </w:pPr>
      <w:rPr>
        <w:rFonts w:ascii="Wingdings" w:hAnsi="Wingdings" w:hint="default"/>
      </w:rPr>
    </w:lvl>
    <w:lvl w:ilvl="3" w:tplc="20000001">
      <w:start w:val="1"/>
      <w:numFmt w:val="bullet"/>
      <w:lvlText w:val=""/>
      <w:lvlJc w:val="left"/>
      <w:pPr>
        <w:ind w:left="3731" w:hanging="360"/>
      </w:pPr>
      <w:rPr>
        <w:rFonts w:ascii="Symbol" w:hAnsi="Symbol" w:hint="default"/>
      </w:rPr>
    </w:lvl>
    <w:lvl w:ilvl="4" w:tplc="20000003">
      <w:start w:val="1"/>
      <w:numFmt w:val="bullet"/>
      <w:lvlText w:val="o"/>
      <w:lvlJc w:val="left"/>
      <w:pPr>
        <w:ind w:left="4451" w:hanging="360"/>
      </w:pPr>
      <w:rPr>
        <w:rFonts w:ascii="Courier New" w:hAnsi="Courier New" w:cs="Courier New" w:hint="default"/>
      </w:rPr>
    </w:lvl>
    <w:lvl w:ilvl="5" w:tplc="20000005">
      <w:start w:val="1"/>
      <w:numFmt w:val="bullet"/>
      <w:lvlText w:val=""/>
      <w:lvlJc w:val="left"/>
      <w:pPr>
        <w:ind w:left="5171" w:hanging="360"/>
      </w:pPr>
      <w:rPr>
        <w:rFonts w:ascii="Wingdings" w:hAnsi="Wingdings" w:hint="default"/>
      </w:rPr>
    </w:lvl>
    <w:lvl w:ilvl="6" w:tplc="20000001">
      <w:start w:val="1"/>
      <w:numFmt w:val="bullet"/>
      <w:lvlText w:val=""/>
      <w:lvlJc w:val="left"/>
      <w:pPr>
        <w:ind w:left="5891" w:hanging="360"/>
      </w:pPr>
      <w:rPr>
        <w:rFonts w:ascii="Symbol" w:hAnsi="Symbol" w:hint="default"/>
      </w:rPr>
    </w:lvl>
    <w:lvl w:ilvl="7" w:tplc="20000003">
      <w:start w:val="1"/>
      <w:numFmt w:val="bullet"/>
      <w:lvlText w:val="o"/>
      <w:lvlJc w:val="left"/>
      <w:pPr>
        <w:ind w:left="6611" w:hanging="360"/>
      </w:pPr>
      <w:rPr>
        <w:rFonts w:ascii="Courier New" w:hAnsi="Courier New" w:cs="Courier New" w:hint="default"/>
      </w:rPr>
    </w:lvl>
    <w:lvl w:ilvl="8" w:tplc="20000005">
      <w:start w:val="1"/>
      <w:numFmt w:val="bullet"/>
      <w:lvlText w:val=""/>
      <w:lvlJc w:val="left"/>
      <w:pPr>
        <w:ind w:left="7331" w:hanging="360"/>
      </w:pPr>
      <w:rPr>
        <w:rFonts w:ascii="Wingdings" w:hAnsi="Wingdings" w:hint="default"/>
      </w:rPr>
    </w:lvl>
  </w:abstractNum>
  <w:abstractNum w:abstractNumId="10" w15:restartNumberingAfterBreak="0">
    <w:nsid w:val="2D0B4DE6"/>
    <w:multiLevelType w:val="hybridMultilevel"/>
    <w:tmpl w:val="57722DF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335B6195"/>
    <w:multiLevelType w:val="hybridMultilevel"/>
    <w:tmpl w:val="BB2E4BC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4EF65A5"/>
    <w:multiLevelType w:val="hybridMultilevel"/>
    <w:tmpl w:val="55FE7BD8"/>
    <w:lvl w:ilvl="0" w:tplc="20000001">
      <w:start w:val="1"/>
      <w:numFmt w:val="bullet"/>
      <w:lvlText w:val=""/>
      <w:lvlJc w:val="left"/>
      <w:pPr>
        <w:ind w:left="1695" w:hanging="360"/>
      </w:pPr>
      <w:rPr>
        <w:rFonts w:ascii="Symbol" w:hAnsi="Symbol" w:hint="default"/>
      </w:rPr>
    </w:lvl>
    <w:lvl w:ilvl="1" w:tplc="20000003">
      <w:start w:val="1"/>
      <w:numFmt w:val="bullet"/>
      <w:lvlText w:val="o"/>
      <w:lvlJc w:val="left"/>
      <w:pPr>
        <w:ind w:left="2415" w:hanging="360"/>
      </w:pPr>
      <w:rPr>
        <w:rFonts w:ascii="Courier New" w:hAnsi="Courier New" w:cs="Courier New" w:hint="default"/>
      </w:rPr>
    </w:lvl>
    <w:lvl w:ilvl="2" w:tplc="20000005">
      <w:start w:val="1"/>
      <w:numFmt w:val="bullet"/>
      <w:lvlText w:val=""/>
      <w:lvlJc w:val="left"/>
      <w:pPr>
        <w:ind w:left="3135" w:hanging="360"/>
      </w:pPr>
      <w:rPr>
        <w:rFonts w:ascii="Wingdings" w:hAnsi="Wingdings" w:hint="default"/>
      </w:rPr>
    </w:lvl>
    <w:lvl w:ilvl="3" w:tplc="20000001">
      <w:start w:val="1"/>
      <w:numFmt w:val="bullet"/>
      <w:lvlText w:val=""/>
      <w:lvlJc w:val="left"/>
      <w:pPr>
        <w:ind w:left="3855" w:hanging="360"/>
      </w:pPr>
      <w:rPr>
        <w:rFonts w:ascii="Symbol" w:hAnsi="Symbol" w:hint="default"/>
      </w:rPr>
    </w:lvl>
    <w:lvl w:ilvl="4" w:tplc="20000003">
      <w:start w:val="1"/>
      <w:numFmt w:val="bullet"/>
      <w:lvlText w:val="o"/>
      <w:lvlJc w:val="left"/>
      <w:pPr>
        <w:ind w:left="4575" w:hanging="360"/>
      </w:pPr>
      <w:rPr>
        <w:rFonts w:ascii="Courier New" w:hAnsi="Courier New" w:cs="Courier New" w:hint="default"/>
      </w:rPr>
    </w:lvl>
    <w:lvl w:ilvl="5" w:tplc="20000005">
      <w:start w:val="1"/>
      <w:numFmt w:val="bullet"/>
      <w:lvlText w:val=""/>
      <w:lvlJc w:val="left"/>
      <w:pPr>
        <w:ind w:left="5295" w:hanging="360"/>
      </w:pPr>
      <w:rPr>
        <w:rFonts w:ascii="Wingdings" w:hAnsi="Wingdings" w:hint="default"/>
      </w:rPr>
    </w:lvl>
    <w:lvl w:ilvl="6" w:tplc="20000001">
      <w:start w:val="1"/>
      <w:numFmt w:val="bullet"/>
      <w:lvlText w:val=""/>
      <w:lvlJc w:val="left"/>
      <w:pPr>
        <w:ind w:left="6015" w:hanging="360"/>
      </w:pPr>
      <w:rPr>
        <w:rFonts w:ascii="Symbol" w:hAnsi="Symbol" w:hint="default"/>
      </w:rPr>
    </w:lvl>
    <w:lvl w:ilvl="7" w:tplc="20000003">
      <w:start w:val="1"/>
      <w:numFmt w:val="bullet"/>
      <w:lvlText w:val="o"/>
      <w:lvlJc w:val="left"/>
      <w:pPr>
        <w:ind w:left="6735" w:hanging="360"/>
      </w:pPr>
      <w:rPr>
        <w:rFonts w:ascii="Courier New" w:hAnsi="Courier New" w:cs="Courier New" w:hint="default"/>
      </w:rPr>
    </w:lvl>
    <w:lvl w:ilvl="8" w:tplc="20000005">
      <w:start w:val="1"/>
      <w:numFmt w:val="bullet"/>
      <w:lvlText w:val=""/>
      <w:lvlJc w:val="left"/>
      <w:pPr>
        <w:ind w:left="7455" w:hanging="360"/>
      </w:pPr>
      <w:rPr>
        <w:rFonts w:ascii="Wingdings" w:hAnsi="Wingdings" w:hint="default"/>
      </w:rPr>
    </w:lvl>
  </w:abstractNum>
  <w:abstractNum w:abstractNumId="14" w15:restartNumberingAfterBreak="0">
    <w:nsid w:val="362017F9"/>
    <w:multiLevelType w:val="hybridMultilevel"/>
    <w:tmpl w:val="C6A682F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6" w15:restartNumberingAfterBreak="0">
    <w:nsid w:val="394E2764"/>
    <w:multiLevelType w:val="hybridMultilevel"/>
    <w:tmpl w:val="B66E1794"/>
    <w:lvl w:ilvl="0" w:tplc="3BE65510">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3C861EE9"/>
    <w:multiLevelType w:val="hybridMultilevel"/>
    <w:tmpl w:val="F0EACB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9" w15:restartNumberingAfterBreak="0">
    <w:nsid w:val="45C2580B"/>
    <w:multiLevelType w:val="hybridMultilevel"/>
    <w:tmpl w:val="A5EE346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0" w15:restartNumberingAfterBreak="0">
    <w:nsid w:val="47BC2B3A"/>
    <w:multiLevelType w:val="hybridMultilevel"/>
    <w:tmpl w:val="3786672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1" w15:restartNumberingAfterBreak="0">
    <w:nsid w:val="48035D23"/>
    <w:multiLevelType w:val="hybridMultilevel"/>
    <w:tmpl w:val="84CCE894"/>
    <w:lvl w:ilvl="0" w:tplc="040C0003">
      <w:start w:val="1"/>
      <w:numFmt w:val="bullet"/>
      <w:lvlText w:val="o"/>
      <w:lvlJc w:val="left"/>
      <w:pPr>
        <w:ind w:left="1211" w:hanging="360"/>
      </w:pPr>
      <w:rPr>
        <w:rFonts w:ascii="Courier New" w:hAnsi="Courier New" w:cs="Courier New"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2" w15:restartNumberingAfterBreak="0">
    <w:nsid w:val="4DC96214"/>
    <w:multiLevelType w:val="hybridMultilevel"/>
    <w:tmpl w:val="845A1A86"/>
    <w:lvl w:ilvl="0" w:tplc="481E216E">
      <w:start w:val="1"/>
      <w:numFmt w:val="bullet"/>
      <w:lvlText w:val="-"/>
      <w:lvlJc w:val="left"/>
      <w:pPr>
        <w:ind w:left="720" w:hanging="266"/>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195"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E7B7CDE"/>
    <w:multiLevelType w:val="hybridMultilevel"/>
    <w:tmpl w:val="8F10D738"/>
    <w:lvl w:ilvl="0" w:tplc="20000001">
      <w:start w:val="1"/>
      <w:numFmt w:val="bullet"/>
      <w:lvlText w:val=""/>
      <w:lvlJc w:val="left"/>
      <w:pPr>
        <w:ind w:left="1635" w:hanging="360"/>
      </w:pPr>
      <w:rPr>
        <w:rFonts w:ascii="Symbol" w:hAnsi="Symbol" w:hint="default"/>
      </w:rPr>
    </w:lvl>
    <w:lvl w:ilvl="1" w:tplc="20000003">
      <w:start w:val="1"/>
      <w:numFmt w:val="bullet"/>
      <w:lvlText w:val="o"/>
      <w:lvlJc w:val="left"/>
      <w:pPr>
        <w:ind w:left="2355" w:hanging="360"/>
      </w:pPr>
      <w:rPr>
        <w:rFonts w:ascii="Courier New" w:hAnsi="Courier New" w:cs="Courier New" w:hint="default"/>
      </w:rPr>
    </w:lvl>
    <w:lvl w:ilvl="2" w:tplc="20000005">
      <w:start w:val="1"/>
      <w:numFmt w:val="bullet"/>
      <w:lvlText w:val=""/>
      <w:lvlJc w:val="left"/>
      <w:pPr>
        <w:ind w:left="3075" w:hanging="360"/>
      </w:pPr>
      <w:rPr>
        <w:rFonts w:ascii="Wingdings" w:hAnsi="Wingdings" w:hint="default"/>
      </w:rPr>
    </w:lvl>
    <w:lvl w:ilvl="3" w:tplc="20000001">
      <w:start w:val="1"/>
      <w:numFmt w:val="bullet"/>
      <w:lvlText w:val=""/>
      <w:lvlJc w:val="left"/>
      <w:pPr>
        <w:ind w:left="3795" w:hanging="360"/>
      </w:pPr>
      <w:rPr>
        <w:rFonts w:ascii="Symbol" w:hAnsi="Symbol" w:hint="default"/>
      </w:rPr>
    </w:lvl>
    <w:lvl w:ilvl="4" w:tplc="20000003">
      <w:start w:val="1"/>
      <w:numFmt w:val="bullet"/>
      <w:lvlText w:val="o"/>
      <w:lvlJc w:val="left"/>
      <w:pPr>
        <w:ind w:left="4515" w:hanging="360"/>
      </w:pPr>
      <w:rPr>
        <w:rFonts w:ascii="Courier New" w:hAnsi="Courier New" w:cs="Courier New" w:hint="default"/>
      </w:rPr>
    </w:lvl>
    <w:lvl w:ilvl="5" w:tplc="20000005">
      <w:start w:val="1"/>
      <w:numFmt w:val="bullet"/>
      <w:lvlText w:val=""/>
      <w:lvlJc w:val="left"/>
      <w:pPr>
        <w:ind w:left="5235" w:hanging="360"/>
      </w:pPr>
      <w:rPr>
        <w:rFonts w:ascii="Wingdings" w:hAnsi="Wingdings" w:hint="default"/>
      </w:rPr>
    </w:lvl>
    <w:lvl w:ilvl="6" w:tplc="20000001">
      <w:start w:val="1"/>
      <w:numFmt w:val="bullet"/>
      <w:lvlText w:val=""/>
      <w:lvlJc w:val="left"/>
      <w:pPr>
        <w:ind w:left="5955" w:hanging="360"/>
      </w:pPr>
      <w:rPr>
        <w:rFonts w:ascii="Symbol" w:hAnsi="Symbol" w:hint="default"/>
      </w:rPr>
    </w:lvl>
    <w:lvl w:ilvl="7" w:tplc="20000003">
      <w:start w:val="1"/>
      <w:numFmt w:val="bullet"/>
      <w:lvlText w:val="o"/>
      <w:lvlJc w:val="left"/>
      <w:pPr>
        <w:ind w:left="6675" w:hanging="360"/>
      </w:pPr>
      <w:rPr>
        <w:rFonts w:ascii="Courier New" w:hAnsi="Courier New" w:cs="Courier New" w:hint="default"/>
      </w:rPr>
    </w:lvl>
    <w:lvl w:ilvl="8" w:tplc="20000005">
      <w:start w:val="1"/>
      <w:numFmt w:val="bullet"/>
      <w:lvlText w:val=""/>
      <w:lvlJc w:val="left"/>
      <w:pPr>
        <w:ind w:left="7395" w:hanging="360"/>
      </w:pPr>
      <w:rPr>
        <w:rFonts w:ascii="Wingdings" w:hAnsi="Wingdings" w:hint="default"/>
      </w:rPr>
    </w:lvl>
  </w:abstractNum>
  <w:abstractNum w:abstractNumId="2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57001AC"/>
    <w:multiLevelType w:val="hybridMultilevel"/>
    <w:tmpl w:val="0A62A666"/>
    <w:lvl w:ilvl="0" w:tplc="040C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6" w15:restartNumberingAfterBreak="0">
    <w:nsid w:val="6B601AEA"/>
    <w:multiLevelType w:val="hybridMultilevel"/>
    <w:tmpl w:val="7E88AE02"/>
    <w:lvl w:ilvl="0" w:tplc="20000001">
      <w:start w:val="1"/>
      <w:numFmt w:val="bullet"/>
      <w:lvlText w:val=""/>
      <w:lvlJc w:val="left"/>
      <w:pPr>
        <w:ind w:left="1571" w:hanging="360"/>
      </w:pPr>
      <w:rPr>
        <w:rFonts w:ascii="Symbol" w:hAnsi="Symbol" w:hint="default"/>
      </w:rPr>
    </w:lvl>
    <w:lvl w:ilvl="1" w:tplc="20000003">
      <w:start w:val="1"/>
      <w:numFmt w:val="bullet"/>
      <w:lvlText w:val="o"/>
      <w:lvlJc w:val="left"/>
      <w:pPr>
        <w:ind w:left="2291" w:hanging="360"/>
      </w:pPr>
      <w:rPr>
        <w:rFonts w:ascii="Courier New" w:hAnsi="Courier New" w:cs="Courier New" w:hint="default"/>
      </w:rPr>
    </w:lvl>
    <w:lvl w:ilvl="2" w:tplc="20000005">
      <w:start w:val="1"/>
      <w:numFmt w:val="bullet"/>
      <w:lvlText w:val=""/>
      <w:lvlJc w:val="left"/>
      <w:pPr>
        <w:ind w:left="3011" w:hanging="360"/>
      </w:pPr>
      <w:rPr>
        <w:rFonts w:ascii="Wingdings" w:hAnsi="Wingdings" w:hint="default"/>
      </w:rPr>
    </w:lvl>
    <w:lvl w:ilvl="3" w:tplc="20000001">
      <w:start w:val="1"/>
      <w:numFmt w:val="bullet"/>
      <w:lvlText w:val=""/>
      <w:lvlJc w:val="left"/>
      <w:pPr>
        <w:ind w:left="3731" w:hanging="360"/>
      </w:pPr>
      <w:rPr>
        <w:rFonts w:ascii="Symbol" w:hAnsi="Symbol" w:hint="default"/>
      </w:rPr>
    </w:lvl>
    <w:lvl w:ilvl="4" w:tplc="20000003">
      <w:start w:val="1"/>
      <w:numFmt w:val="bullet"/>
      <w:lvlText w:val="o"/>
      <w:lvlJc w:val="left"/>
      <w:pPr>
        <w:ind w:left="4451" w:hanging="360"/>
      </w:pPr>
      <w:rPr>
        <w:rFonts w:ascii="Courier New" w:hAnsi="Courier New" w:cs="Courier New" w:hint="default"/>
      </w:rPr>
    </w:lvl>
    <w:lvl w:ilvl="5" w:tplc="20000005">
      <w:start w:val="1"/>
      <w:numFmt w:val="bullet"/>
      <w:lvlText w:val=""/>
      <w:lvlJc w:val="left"/>
      <w:pPr>
        <w:ind w:left="5171" w:hanging="360"/>
      </w:pPr>
      <w:rPr>
        <w:rFonts w:ascii="Wingdings" w:hAnsi="Wingdings" w:hint="default"/>
      </w:rPr>
    </w:lvl>
    <w:lvl w:ilvl="6" w:tplc="20000001">
      <w:start w:val="1"/>
      <w:numFmt w:val="bullet"/>
      <w:lvlText w:val=""/>
      <w:lvlJc w:val="left"/>
      <w:pPr>
        <w:ind w:left="5891" w:hanging="360"/>
      </w:pPr>
      <w:rPr>
        <w:rFonts w:ascii="Symbol" w:hAnsi="Symbol" w:hint="default"/>
      </w:rPr>
    </w:lvl>
    <w:lvl w:ilvl="7" w:tplc="20000003">
      <w:start w:val="1"/>
      <w:numFmt w:val="bullet"/>
      <w:lvlText w:val="o"/>
      <w:lvlJc w:val="left"/>
      <w:pPr>
        <w:ind w:left="6611" w:hanging="360"/>
      </w:pPr>
      <w:rPr>
        <w:rFonts w:ascii="Courier New" w:hAnsi="Courier New" w:cs="Courier New" w:hint="default"/>
      </w:rPr>
    </w:lvl>
    <w:lvl w:ilvl="8" w:tplc="20000005">
      <w:start w:val="1"/>
      <w:numFmt w:val="bullet"/>
      <w:lvlText w:val=""/>
      <w:lvlJc w:val="left"/>
      <w:pPr>
        <w:ind w:left="7331" w:hanging="360"/>
      </w:pPr>
      <w:rPr>
        <w:rFonts w:ascii="Wingdings" w:hAnsi="Wingdings" w:hint="default"/>
      </w:rPr>
    </w:lvl>
  </w:abstractNum>
  <w:abstractNum w:abstractNumId="27" w15:restartNumberingAfterBreak="0">
    <w:nsid w:val="6F1D0D1A"/>
    <w:multiLevelType w:val="multilevel"/>
    <w:tmpl w:val="E2264984"/>
    <w:lvl w:ilvl="0">
      <w:start w:val="1"/>
      <w:numFmt w:val="bullet"/>
      <w:lvlText w:val=""/>
      <w:lvlJc w:val="left"/>
      <w:pPr>
        <w:tabs>
          <w:tab w:val="num" w:pos="2024"/>
        </w:tabs>
        <w:ind w:left="2024" w:hanging="720"/>
      </w:pPr>
      <w:rPr>
        <w:rFonts w:ascii="Symbol" w:hAnsi="Symbol" w:hint="default"/>
      </w:rPr>
    </w:lvl>
    <w:lvl w:ilvl="1">
      <w:start w:val="1"/>
      <w:numFmt w:val="decimal"/>
      <w:lvlText w:val="%2."/>
      <w:lvlJc w:val="left"/>
      <w:pPr>
        <w:tabs>
          <w:tab w:val="num" w:pos="2744"/>
        </w:tabs>
        <w:ind w:left="2744" w:hanging="720"/>
      </w:pPr>
    </w:lvl>
    <w:lvl w:ilvl="2">
      <w:start w:val="1"/>
      <w:numFmt w:val="decimal"/>
      <w:lvlText w:val="%3."/>
      <w:lvlJc w:val="left"/>
      <w:pPr>
        <w:tabs>
          <w:tab w:val="num" w:pos="3464"/>
        </w:tabs>
        <w:ind w:left="3464" w:hanging="720"/>
      </w:pPr>
    </w:lvl>
    <w:lvl w:ilvl="3">
      <w:start w:val="1"/>
      <w:numFmt w:val="decimal"/>
      <w:lvlText w:val="%4."/>
      <w:lvlJc w:val="left"/>
      <w:pPr>
        <w:tabs>
          <w:tab w:val="num" w:pos="4184"/>
        </w:tabs>
        <w:ind w:left="4184" w:hanging="720"/>
      </w:pPr>
    </w:lvl>
    <w:lvl w:ilvl="4">
      <w:start w:val="1"/>
      <w:numFmt w:val="decimal"/>
      <w:lvlText w:val="%5."/>
      <w:lvlJc w:val="left"/>
      <w:pPr>
        <w:tabs>
          <w:tab w:val="num" w:pos="4904"/>
        </w:tabs>
        <w:ind w:left="4904" w:hanging="720"/>
      </w:pPr>
    </w:lvl>
    <w:lvl w:ilvl="5">
      <w:start w:val="1"/>
      <w:numFmt w:val="decimal"/>
      <w:lvlText w:val="%6."/>
      <w:lvlJc w:val="left"/>
      <w:pPr>
        <w:tabs>
          <w:tab w:val="num" w:pos="5624"/>
        </w:tabs>
        <w:ind w:left="5624" w:hanging="720"/>
      </w:pPr>
    </w:lvl>
    <w:lvl w:ilvl="6">
      <w:start w:val="1"/>
      <w:numFmt w:val="decimal"/>
      <w:lvlText w:val="%7."/>
      <w:lvlJc w:val="left"/>
      <w:pPr>
        <w:tabs>
          <w:tab w:val="num" w:pos="6344"/>
        </w:tabs>
        <w:ind w:left="6344" w:hanging="720"/>
      </w:pPr>
    </w:lvl>
    <w:lvl w:ilvl="7">
      <w:start w:val="1"/>
      <w:numFmt w:val="decimal"/>
      <w:lvlText w:val="%8."/>
      <w:lvlJc w:val="left"/>
      <w:pPr>
        <w:tabs>
          <w:tab w:val="num" w:pos="7064"/>
        </w:tabs>
        <w:ind w:left="7064" w:hanging="720"/>
      </w:pPr>
    </w:lvl>
    <w:lvl w:ilvl="8">
      <w:start w:val="1"/>
      <w:numFmt w:val="decimal"/>
      <w:lvlText w:val="%9."/>
      <w:lvlJc w:val="left"/>
      <w:pPr>
        <w:tabs>
          <w:tab w:val="num" w:pos="7784"/>
        </w:tabs>
        <w:ind w:left="7784" w:hanging="720"/>
      </w:pPr>
    </w:lvl>
  </w:abstractNum>
  <w:abstractNum w:abstractNumId="28" w15:restartNumberingAfterBreak="0">
    <w:nsid w:val="6F35019A"/>
    <w:multiLevelType w:val="hybridMultilevel"/>
    <w:tmpl w:val="534E2FBA"/>
    <w:lvl w:ilvl="0" w:tplc="040C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9" w15:restartNumberingAfterBreak="0">
    <w:nsid w:val="72B565A2"/>
    <w:multiLevelType w:val="hybridMultilevel"/>
    <w:tmpl w:val="283AAC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91868C1"/>
    <w:multiLevelType w:val="hybridMultilevel"/>
    <w:tmpl w:val="C50C02CA"/>
    <w:lvl w:ilvl="0" w:tplc="FFFFFFFF">
      <w:start w:val="1"/>
      <w:numFmt w:val="bullet"/>
      <w:lvlText w:val=""/>
      <w:lvlJc w:val="left"/>
      <w:pPr>
        <w:ind w:left="720" w:hanging="360"/>
      </w:pPr>
      <w:rPr>
        <w:rFonts w:ascii="Symbol" w:hAnsi="Symbol" w:hint="default"/>
      </w:rPr>
    </w:lvl>
    <w:lvl w:ilvl="1" w:tplc="3BE65510">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CD83C36"/>
    <w:multiLevelType w:val="hybridMultilevel"/>
    <w:tmpl w:val="500C2CB4"/>
    <w:lvl w:ilvl="0" w:tplc="040C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2" w15:restartNumberingAfterBreak="0">
    <w:nsid w:val="7E1D7A69"/>
    <w:multiLevelType w:val="hybridMultilevel"/>
    <w:tmpl w:val="B8A64834"/>
    <w:lvl w:ilvl="0" w:tplc="481E216E">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29"/>
  </w:num>
  <w:num w:numId="9">
    <w:abstractNumId w:val="9"/>
  </w:num>
  <w:num w:numId="10">
    <w:abstractNumId w:val="23"/>
  </w:num>
  <w:num w:numId="11">
    <w:abstractNumId w:val="13"/>
  </w:num>
  <w:num w:numId="12">
    <w:abstractNumId w:val="26"/>
  </w:num>
  <w:num w:numId="13">
    <w:abstractNumId w:val="30"/>
  </w:num>
  <w:num w:numId="14">
    <w:abstractNumId w:val="22"/>
  </w:num>
  <w:num w:numId="15">
    <w:abstractNumId w:val="16"/>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3"/>
  </w:num>
  <w:num w:numId="20">
    <w:abstractNumId w:val="21"/>
  </w:num>
  <w:num w:numId="21">
    <w:abstractNumId w:val="2"/>
  </w:num>
  <w:num w:numId="22">
    <w:abstractNumId w:val="11"/>
  </w:num>
  <w:num w:numId="23">
    <w:abstractNumId w:val="19"/>
  </w:num>
  <w:num w:numId="24">
    <w:abstractNumId w:val="25"/>
  </w:num>
  <w:num w:numId="25">
    <w:abstractNumId w:val="10"/>
  </w:num>
  <w:num w:numId="26">
    <w:abstractNumId w:val="14"/>
  </w:num>
  <w:num w:numId="27">
    <w:abstractNumId w:val="28"/>
  </w:num>
  <w:num w:numId="28">
    <w:abstractNumId w:val="0"/>
  </w:num>
  <w:num w:numId="29">
    <w:abstractNumId w:val="7"/>
  </w:num>
  <w:num w:numId="30">
    <w:abstractNumId w:val="20"/>
  </w:num>
  <w:num w:numId="31">
    <w:abstractNumId w:val="22"/>
  </w:num>
  <w:num w:numId="32">
    <w:abstractNumId w:val="32"/>
  </w:num>
  <w:num w:numId="33">
    <w:abstractNumId w:val="3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F3"/>
    <w:rsid w:val="000259B9"/>
    <w:rsid w:val="00041491"/>
    <w:rsid w:val="00050D16"/>
    <w:rsid w:val="000730CA"/>
    <w:rsid w:val="00074F2A"/>
    <w:rsid w:val="000815D2"/>
    <w:rsid w:val="000A1CA8"/>
    <w:rsid w:val="000A466B"/>
    <w:rsid w:val="000B058C"/>
    <w:rsid w:val="000D68B0"/>
    <w:rsid w:val="000E4EE6"/>
    <w:rsid w:val="000E70D5"/>
    <w:rsid w:val="001454E2"/>
    <w:rsid w:val="00206CE8"/>
    <w:rsid w:val="0021526C"/>
    <w:rsid w:val="00283A2B"/>
    <w:rsid w:val="002B30AD"/>
    <w:rsid w:val="002C1EC0"/>
    <w:rsid w:val="002C2C01"/>
    <w:rsid w:val="00343441"/>
    <w:rsid w:val="003A29AE"/>
    <w:rsid w:val="003A32D7"/>
    <w:rsid w:val="003B4074"/>
    <w:rsid w:val="003C769A"/>
    <w:rsid w:val="003D3A90"/>
    <w:rsid w:val="003E438B"/>
    <w:rsid w:val="003F1838"/>
    <w:rsid w:val="00410592"/>
    <w:rsid w:val="004251C1"/>
    <w:rsid w:val="004255EF"/>
    <w:rsid w:val="00445723"/>
    <w:rsid w:val="0045746C"/>
    <w:rsid w:val="0049104B"/>
    <w:rsid w:val="004E3B12"/>
    <w:rsid w:val="00532310"/>
    <w:rsid w:val="00565F0F"/>
    <w:rsid w:val="00594A86"/>
    <w:rsid w:val="00596D86"/>
    <w:rsid w:val="005C5AEF"/>
    <w:rsid w:val="00637F5A"/>
    <w:rsid w:val="00641C65"/>
    <w:rsid w:val="006560B1"/>
    <w:rsid w:val="006756DD"/>
    <w:rsid w:val="006A4CF2"/>
    <w:rsid w:val="006E3420"/>
    <w:rsid w:val="0071241E"/>
    <w:rsid w:val="00737275"/>
    <w:rsid w:val="00740EEC"/>
    <w:rsid w:val="0078011A"/>
    <w:rsid w:val="00782AF4"/>
    <w:rsid w:val="00790EE7"/>
    <w:rsid w:val="007948F3"/>
    <w:rsid w:val="007B6649"/>
    <w:rsid w:val="0082576E"/>
    <w:rsid w:val="0089346F"/>
    <w:rsid w:val="00907F75"/>
    <w:rsid w:val="009260DE"/>
    <w:rsid w:val="0093258A"/>
    <w:rsid w:val="009C7BA3"/>
    <w:rsid w:val="009D1F5A"/>
    <w:rsid w:val="00A10294"/>
    <w:rsid w:val="00A3780A"/>
    <w:rsid w:val="00B003BF"/>
    <w:rsid w:val="00B024F5"/>
    <w:rsid w:val="00B373D7"/>
    <w:rsid w:val="00B55271"/>
    <w:rsid w:val="00B64DCB"/>
    <w:rsid w:val="00BD7931"/>
    <w:rsid w:val="00BF6243"/>
    <w:rsid w:val="00C36276"/>
    <w:rsid w:val="00C42586"/>
    <w:rsid w:val="00C45F6B"/>
    <w:rsid w:val="00C60CCD"/>
    <w:rsid w:val="00C84483"/>
    <w:rsid w:val="00C95551"/>
    <w:rsid w:val="00CA2EF6"/>
    <w:rsid w:val="00CB20D7"/>
    <w:rsid w:val="00D020B0"/>
    <w:rsid w:val="00D11748"/>
    <w:rsid w:val="00D237F6"/>
    <w:rsid w:val="00D34D98"/>
    <w:rsid w:val="00D366CF"/>
    <w:rsid w:val="00D93992"/>
    <w:rsid w:val="00E108AA"/>
    <w:rsid w:val="00E3749A"/>
    <w:rsid w:val="00E7437F"/>
    <w:rsid w:val="00E865B8"/>
    <w:rsid w:val="00EC0B9B"/>
    <w:rsid w:val="00ED1CF0"/>
    <w:rsid w:val="00ED5E9F"/>
    <w:rsid w:val="00F66D4F"/>
    <w:rsid w:val="00FB6D01"/>
    <w:rsid w:val="00FE76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85C38"/>
  <w15:chartTrackingRefBased/>
  <w15:docId w15:val="{8BA5F1EB-2901-46F3-A091-FD330641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5C5AEF"/>
    <w:pPr>
      <w:tabs>
        <w:tab w:val="left" w:pos="567"/>
      </w:tabs>
      <w:spacing w:line="260" w:lineRule="exact"/>
      <w:ind w:left="720"/>
      <w:contextualSpacing/>
    </w:pPr>
    <w:rPr>
      <w:sz w:val="22"/>
    </w:rPr>
  </w:style>
  <w:style w:type="paragraph" w:customStyle="1" w:styleId="TableParagraph">
    <w:name w:val="Table Paragraph"/>
    <w:basedOn w:val="Normal"/>
    <w:uiPriority w:val="1"/>
    <w:qFormat/>
    <w:rsid w:val="005C5AEF"/>
    <w:pPr>
      <w:widowControl w:val="0"/>
      <w:autoSpaceDE w:val="0"/>
      <w:autoSpaceDN w:val="0"/>
      <w:ind w:left="107"/>
    </w:pPr>
    <w:rPr>
      <w:rFonts w:ascii="Segoe UI" w:eastAsia="Segoe UI" w:hAnsi="Segoe UI" w:cs="Segoe UI"/>
      <w:sz w:val="22"/>
      <w:szCs w:val="22"/>
    </w:rPr>
  </w:style>
  <w:style w:type="table" w:customStyle="1" w:styleId="TableNormal1">
    <w:name w:val="Table Normal1"/>
    <w:uiPriority w:val="2"/>
    <w:semiHidden/>
    <w:qFormat/>
    <w:rsid w:val="005C5AEF"/>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table" w:styleId="Tabel-Gitter">
    <w:name w:val="Table Grid"/>
    <w:basedOn w:val="Tabel-Normal"/>
    <w:rsid w:val="005C5AEF"/>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6268">
      <w:bodyDiv w:val="1"/>
      <w:marLeft w:val="0"/>
      <w:marRight w:val="0"/>
      <w:marTop w:val="0"/>
      <w:marBottom w:val="0"/>
      <w:divBdr>
        <w:top w:val="none" w:sz="0" w:space="0" w:color="auto"/>
        <w:left w:val="none" w:sz="0" w:space="0" w:color="auto"/>
        <w:bottom w:val="none" w:sz="0" w:space="0" w:color="auto"/>
        <w:right w:val="none" w:sz="0" w:space="0" w:color="auto"/>
      </w:divBdr>
    </w:div>
    <w:div w:id="11614666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50310590">
      <w:bodyDiv w:val="1"/>
      <w:marLeft w:val="0"/>
      <w:marRight w:val="0"/>
      <w:marTop w:val="0"/>
      <w:marBottom w:val="0"/>
      <w:divBdr>
        <w:top w:val="none" w:sz="0" w:space="0" w:color="auto"/>
        <w:left w:val="none" w:sz="0" w:space="0" w:color="auto"/>
        <w:bottom w:val="none" w:sz="0" w:space="0" w:color="auto"/>
        <w:right w:val="none" w:sz="0" w:space="0" w:color="auto"/>
      </w:divBdr>
    </w:div>
    <w:div w:id="340544913">
      <w:bodyDiv w:val="1"/>
      <w:marLeft w:val="0"/>
      <w:marRight w:val="0"/>
      <w:marTop w:val="0"/>
      <w:marBottom w:val="0"/>
      <w:divBdr>
        <w:top w:val="none" w:sz="0" w:space="0" w:color="auto"/>
        <w:left w:val="none" w:sz="0" w:space="0" w:color="auto"/>
        <w:bottom w:val="none" w:sz="0" w:space="0" w:color="auto"/>
        <w:right w:val="none" w:sz="0" w:space="0" w:color="auto"/>
      </w:divBdr>
    </w:div>
    <w:div w:id="399837540">
      <w:bodyDiv w:val="1"/>
      <w:marLeft w:val="0"/>
      <w:marRight w:val="0"/>
      <w:marTop w:val="0"/>
      <w:marBottom w:val="0"/>
      <w:divBdr>
        <w:top w:val="none" w:sz="0" w:space="0" w:color="auto"/>
        <w:left w:val="none" w:sz="0" w:space="0" w:color="auto"/>
        <w:bottom w:val="none" w:sz="0" w:space="0" w:color="auto"/>
        <w:right w:val="none" w:sz="0" w:space="0" w:color="auto"/>
      </w:divBdr>
    </w:div>
    <w:div w:id="585309882">
      <w:bodyDiv w:val="1"/>
      <w:marLeft w:val="0"/>
      <w:marRight w:val="0"/>
      <w:marTop w:val="0"/>
      <w:marBottom w:val="0"/>
      <w:divBdr>
        <w:top w:val="none" w:sz="0" w:space="0" w:color="auto"/>
        <w:left w:val="none" w:sz="0" w:space="0" w:color="auto"/>
        <w:bottom w:val="none" w:sz="0" w:space="0" w:color="auto"/>
        <w:right w:val="none" w:sz="0" w:space="0" w:color="auto"/>
      </w:divBdr>
    </w:div>
    <w:div w:id="695351697">
      <w:bodyDiv w:val="1"/>
      <w:marLeft w:val="0"/>
      <w:marRight w:val="0"/>
      <w:marTop w:val="0"/>
      <w:marBottom w:val="0"/>
      <w:divBdr>
        <w:top w:val="none" w:sz="0" w:space="0" w:color="auto"/>
        <w:left w:val="none" w:sz="0" w:space="0" w:color="auto"/>
        <w:bottom w:val="none" w:sz="0" w:space="0" w:color="auto"/>
        <w:right w:val="none" w:sz="0" w:space="0" w:color="auto"/>
      </w:divBdr>
    </w:div>
    <w:div w:id="699624580">
      <w:bodyDiv w:val="1"/>
      <w:marLeft w:val="0"/>
      <w:marRight w:val="0"/>
      <w:marTop w:val="0"/>
      <w:marBottom w:val="0"/>
      <w:divBdr>
        <w:top w:val="none" w:sz="0" w:space="0" w:color="auto"/>
        <w:left w:val="none" w:sz="0" w:space="0" w:color="auto"/>
        <w:bottom w:val="none" w:sz="0" w:space="0" w:color="auto"/>
        <w:right w:val="none" w:sz="0" w:space="0" w:color="auto"/>
      </w:divBdr>
    </w:div>
    <w:div w:id="723680759">
      <w:bodyDiv w:val="1"/>
      <w:marLeft w:val="0"/>
      <w:marRight w:val="0"/>
      <w:marTop w:val="0"/>
      <w:marBottom w:val="0"/>
      <w:divBdr>
        <w:top w:val="none" w:sz="0" w:space="0" w:color="auto"/>
        <w:left w:val="none" w:sz="0" w:space="0" w:color="auto"/>
        <w:bottom w:val="none" w:sz="0" w:space="0" w:color="auto"/>
        <w:right w:val="none" w:sz="0" w:space="0" w:color="auto"/>
      </w:divBdr>
    </w:div>
    <w:div w:id="944927727">
      <w:bodyDiv w:val="1"/>
      <w:marLeft w:val="0"/>
      <w:marRight w:val="0"/>
      <w:marTop w:val="0"/>
      <w:marBottom w:val="0"/>
      <w:divBdr>
        <w:top w:val="none" w:sz="0" w:space="0" w:color="auto"/>
        <w:left w:val="none" w:sz="0" w:space="0" w:color="auto"/>
        <w:bottom w:val="none" w:sz="0" w:space="0" w:color="auto"/>
        <w:right w:val="none" w:sz="0" w:space="0" w:color="auto"/>
      </w:divBdr>
    </w:div>
    <w:div w:id="1046563774">
      <w:bodyDiv w:val="1"/>
      <w:marLeft w:val="0"/>
      <w:marRight w:val="0"/>
      <w:marTop w:val="0"/>
      <w:marBottom w:val="0"/>
      <w:divBdr>
        <w:top w:val="none" w:sz="0" w:space="0" w:color="auto"/>
        <w:left w:val="none" w:sz="0" w:space="0" w:color="auto"/>
        <w:bottom w:val="none" w:sz="0" w:space="0" w:color="auto"/>
        <w:right w:val="none" w:sz="0" w:space="0" w:color="auto"/>
      </w:divBdr>
    </w:div>
    <w:div w:id="1178694127">
      <w:bodyDiv w:val="1"/>
      <w:marLeft w:val="0"/>
      <w:marRight w:val="0"/>
      <w:marTop w:val="0"/>
      <w:marBottom w:val="0"/>
      <w:divBdr>
        <w:top w:val="none" w:sz="0" w:space="0" w:color="auto"/>
        <w:left w:val="none" w:sz="0" w:space="0" w:color="auto"/>
        <w:bottom w:val="none" w:sz="0" w:space="0" w:color="auto"/>
        <w:right w:val="none" w:sz="0" w:space="0" w:color="auto"/>
      </w:divBdr>
    </w:div>
    <w:div w:id="1247880768">
      <w:bodyDiv w:val="1"/>
      <w:marLeft w:val="0"/>
      <w:marRight w:val="0"/>
      <w:marTop w:val="0"/>
      <w:marBottom w:val="0"/>
      <w:divBdr>
        <w:top w:val="none" w:sz="0" w:space="0" w:color="auto"/>
        <w:left w:val="none" w:sz="0" w:space="0" w:color="auto"/>
        <w:bottom w:val="none" w:sz="0" w:space="0" w:color="auto"/>
        <w:right w:val="none" w:sz="0" w:space="0" w:color="auto"/>
      </w:divBdr>
    </w:div>
    <w:div w:id="1281495045">
      <w:bodyDiv w:val="1"/>
      <w:marLeft w:val="0"/>
      <w:marRight w:val="0"/>
      <w:marTop w:val="0"/>
      <w:marBottom w:val="0"/>
      <w:divBdr>
        <w:top w:val="none" w:sz="0" w:space="0" w:color="auto"/>
        <w:left w:val="none" w:sz="0" w:space="0" w:color="auto"/>
        <w:bottom w:val="none" w:sz="0" w:space="0" w:color="auto"/>
        <w:right w:val="none" w:sz="0" w:space="0" w:color="auto"/>
      </w:divBdr>
    </w:div>
    <w:div w:id="1386904876">
      <w:bodyDiv w:val="1"/>
      <w:marLeft w:val="0"/>
      <w:marRight w:val="0"/>
      <w:marTop w:val="0"/>
      <w:marBottom w:val="0"/>
      <w:divBdr>
        <w:top w:val="none" w:sz="0" w:space="0" w:color="auto"/>
        <w:left w:val="none" w:sz="0" w:space="0" w:color="auto"/>
        <w:bottom w:val="none" w:sz="0" w:space="0" w:color="auto"/>
        <w:right w:val="none" w:sz="0" w:space="0" w:color="auto"/>
      </w:divBdr>
    </w:div>
    <w:div w:id="1412317246">
      <w:bodyDiv w:val="1"/>
      <w:marLeft w:val="0"/>
      <w:marRight w:val="0"/>
      <w:marTop w:val="0"/>
      <w:marBottom w:val="0"/>
      <w:divBdr>
        <w:top w:val="none" w:sz="0" w:space="0" w:color="auto"/>
        <w:left w:val="none" w:sz="0" w:space="0" w:color="auto"/>
        <w:bottom w:val="none" w:sz="0" w:space="0" w:color="auto"/>
        <w:right w:val="none" w:sz="0" w:space="0" w:color="auto"/>
      </w:divBdr>
    </w:div>
    <w:div w:id="1421290039">
      <w:bodyDiv w:val="1"/>
      <w:marLeft w:val="0"/>
      <w:marRight w:val="0"/>
      <w:marTop w:val="0"/>
      <w:marBottom w:val="0"/>
      <w:divBdr>
        <w:top w:val="none" w:sz="0" w:space="0" w:color="auto"/>
        <w:left w:val="none" w:sz="0" w:space="0" w:color="auto"/>
        <w:bottom w:val="none" w:sz="0" w:space="0" w:color="auto"/>
        <w:right w:val="none" w:sz="0" w:space="0" w:color="auto"/>
      </w:divBdr>
    </w:div>
    <w:div w:id="1626423021">
      <w:bodyDiv w:val="1"/>
      <w:marLeft w:val="0"/>
      <w:marRight w:val="0"/>
      <w:marTop w:val="0"/>
      <w:marBottom w:val="0"/>
      <w:divBdr>
        <w:top w:val="none" w:sz="0" w:space="0" w:color="auto"/>
        <w:left w:val="none" w:sz="0" w:space="0" w:color="auto"/>
        <w:bottom w:val="none" w:sz="0" w:space="0" w:color="auto"/>
        <w:right w:val="none" w:sz="0" w:space="0" w:color="auto"/>
      </w:divBdr>
    </w:div>
    <w:div w:id="1783108064">
      <w:bodyDiv w:val="1"/>
      <w:marLeft w:val="0"/>
      <w:marRight w:val="0"/>
      <w:marTop w:val="0"/>
      <w:marBottom w:val="0"/>
      <w:divBdr>
        <w:top w:val="none" w:sz="0" w:space="0" w:color="auto"/>
        <w:left w:val="none" w:sz="0" w:space="0" w:color="auto"/>
        <w:bottom w:val="none" w:sz="0" w:space="0" w:color="auto"/>
        <w:right w:val="none" w:sz="0" w:space="0" w:color="auto"/>
      </w:divBdr>
    </w:div>
    <w:div w:id="1796368543">
      <w:bodyDiv w:val="1"/>
      <w:marLeft w:val="0"/>
      <w:marRight w:val="0"/>
      <w:marTop w:val="0"/>
      <w:marBottom w:val="0"/>
      <w:divBdr>
        <w:top w:val="none" w:sz="0" w:space="0" w:color="auto"/>
        <w:left w:val="none" w:sz="0" w:space="0" w:color="auto"/>
        <w:bottom w:val="none" w:sz="0" w:space="0" w:color="auto"/>
        <w:right w:val="none" w:sz="0" w:space="0" w:color="auto"/>
      </w:divBdr>
    </w:div>
    <w:div w:id="20816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88</TotalTime>
  <Pages>24</Pages>
  <Words>6970</Words>
  <Characters>45209</Characters>
  <Application>Microsoft Office Word</Application>
  <DocSecurity>0</DocSecurity>
  <Lines>376</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2024091206, MT</dc:description>
  <cp:lastModifiedBy>Gitte Jørgensen</cp:lastModifiedBy>
  <cp:revision>14</cp:revision>
  <cp:lastPrinted>2012-08-22T08:53:00Z</cp:lastPrinted>
  <dcterms:created xsi:type="dcterms:W3CDTF">2025-10-13T07:22:00Z</dcterms:created>
  <dcterms:modified xsi:type="dcterms:W3CDTF">2025-10-16T07:32:00Z</dcterms:modified>
</cp:coreProperties>
</file>