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01DBE"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ECD25FB" wp14:editId="3F36C09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3A21D44C" w14:textId="77777777" w:rsidR="009260DE" w:rsidRPr="00C84483" w:rsidRDefault="009260DE" w:rsidP="009260DE">
      <w:pPr>
        <w:pStyle w:val="Titel"/>
        <w:tabs>
          <w:tab w:val="right" w:pos="9356"/>
        </w:tabs>
        <w:jc w:val="left"/>
        <w:rPr>
          <w:b w:val="0"/>
          <w:szCs w:val="24"/>
          <w:lang w:eastAsia="en-US"/>
        </w:rPr>
      </w:pPr>
    </w:p>
    <w:p w14:paraId="3EDA2C05" w14:textId="03CE92EB"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6A57EB">
        <w:rPr>
          <w:szCs w:val="24"/>
        </w:rPr>
        <w:t>22. november 2024</w:t>
      </w:r>
    </w:p>
    <w:p w14:paraId="52D78F70" w14:textId="77777777" w:rsidR="009260DE" w:rsidRPr="00C84483" w:rsidRDefault="009260DE" w:rsidP="009260DE">
      <w:pPr>
        <w:pStyle w:val="Titel"/>
        <w:tabs>
          <w:tab w:val="left" w:pos="8222"/>
        </w:tabs>
        <w:jc w:val="left"/>
        <w:rPr>
          <w:b w:val="0"/>
          <w:szCs w:val="24"/>
        </w:rPr>
      </w:pPr>
    </w:p>
    <w:p w14:paraId="32A68A70" w14:textId="77777777" w:rsidR="009260DE" w:rsidRPr="00C84483" w:rsidRDefault="009260DE" w:rsidP="009260DE">
      <w:pPr>
        <w:pStyle w:val="Titel"/>
        <w:jc w:val="left"/>
        <w:rPr>
          <w:b w:val="0"/>
          <w:szCs w:val="24"/>
        </w:rPr>
      </w:pPr>
    </w:p>
    <w:p w14:paraId="3A19C0DB" w14:textId="77777777" w:rsidR="009260DE" w:rsidRPr="00C84483" w:rsidRDefault="009260DE" w:rsidP="009260DE">
      <w:pPr>
        <w:pStyle w:val="Titel"/>
        <w:jc w:val="left"/>
        <w:rPr>
          <w:b w:val="0"/>
          <w:szCs w:val="24"/>
        </w:rPr>
      </w:pPr>
    </w:p>
    <w:p w14:paraId="0908670E" w14:textId="77777777" w:rsidR="009260DE" w:rsidRPr="00C84483" w:rsidRDefault="009260DE" w:rsidP="009260DE">
      <w:pPr>
        <w:jc w:val="center"/>
        <w:rPr>
          <w:b/>
          <w:sz w:val="24"/>
          <w:szCs w:val="24"/>
        </w:rPr>
      </w:pPr>
      <w:r w:rsidRPr="00C84483">
        <w:rPr>
          <w:b/>
          <w:sz w:val="24"/>
          <w:szCs w:val="24"/>
        </w:rPr>
        <w:t>PRODUKTRESUMÉ</w:t>
      </w:r>
    </w:p>
    <w:p w14:paraId="2266413B" w14:textId="77777777" w:rsidR="009260DE" w:rsidRPr="00C84483" w:rsidRDefault="009260DE" w:rsidP="009260DE">
      <w:pPr>
        <w:jc w:val="center"/>
        <w:rPr>
          <w:b/>
          <w:sz w:val="24"/>
          <w:szCs w:val="24"/>
        </w:rPr>
      </w:pPr>
    </w:p>
    <w:p w14:paraId="47E1304D" w14:textId="77777777" w:rsidR="009260DE" w:rsidRDefault="009260DE" w:rsidP="009260DE">
      <w:pPr>
        <w:jc w:val="center"/>
        <w:rPr>
          <w:b/>
          <w:sz w:val="24"/>
          <w:szCs w:val="24"/>
        </w:rPr>
      </w:pPr>
      <w:r w:rsidRPr="00C84483">
        <w:rPr>
          <w:b/>
          <w:sz w:val="24"/>
          <w:szCs w:val="24"/>
        </w:rPr>
        <w:t>for</w:t>
      </w:r>
    </w:p>
    <w:p w14:paraId="2506D8D5" w14:textId="77777777" w:rsidR="000B058C" w:rsidRPr="00C84483" w:rsidRDefault="000B058C" w:rsidP="009260DE">
      <w:pPr>
        <w:jc w:val="center"/>
        <w:rPr>
          <w:b/>
          <w:sz w:val="24"/>
          <w:szCs w:val="24"/>
        </w:rPr>
      </w:pPr>
    </w:p>
    <w:p w14:paraId="12B93B93" w14:textId="77777777" w:rsidR="009260DE" w:rsidRPr="00C84483" w:rsidRDefault="00CF6064" w:rsidP="009260DE">
      <w:pPr>
        <w:jc w:val="center"/>
        <w:rPr>
          <w:b/>
          <w:sz w:val="24"/>
          <w:szCs w:val="24"/>
        </w:rPr>
      </w:pPr>
      <w:r>
        <w:rPr>
          <w:b/>
          <w:sz w:val="24"/>
          <w:szCs w:val="24"/>
        </w:rPr>
        <w:t>Midodrin "Zentiva", tabletter</w:t>
      </w:r>
    </w:p>
    <w:p w14:paraId="672F21DC" w14:textId="77777777" w:rsidR="009260DE" w:rsidRPr="00C84483" w:rsidRDefault="009260DE" w:rsidP="009260DE">
      <w:pPr>
        <w:jc w:val="both"/>
        <w:rPr>
          <w:sz w:val="24"/>
          <w:szCs w:val="24"/>
        </w:rPr>
      </w:pPr>
    </w:p>
    <w:p w14:paraId="1632DC40" w14:textId="77777777" w:rsidR="009260DE" w:rsidRPr="00C84483" w:rsidRDefault="009260DE" w:rsidP="009260DE">
      <w:pPr>
        <w:jc w:val="both"/>
        <w:rPr>
          <w:sz w:val="24"/>
          <w:szCs w:val="24"/>
        </w:rPr>
      </w:pPr>
    </w:p>
    <w:p w14:paraId="3838493C"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625E4F4C" w14:textId="23E0B23E" w:rsidR="009260DE" w:rsidRPr="00C84483" w:rsidRDefault="00CC0865" w:rsidP="009260DE">
      <w:pPr>
        <w:tabs>
          <w:tab w:val="left" w:pos="851"/>
        </w:tabs>
        <w:ind w:left="851"/>
        <w:rPr>
          <w:sz w:val="24"/>
          <w:szCs w:val="24"/>
        </w:rPr>
      </w:pPr>
      <w:r>
        <w:rPr>
          <w:sz w:val="24"/>
          <w:szCs w:val="24"/>
        </w:rPr>
        <w:t>33290</w:t>
      </w:r>
    </w:p>
    <w:p w14:paraId="571501E8" w14:textId="77777777" w:rsidR="009260DE" w:rsidRPr="00C84483" w:rsidRDefault="009260DE" w:rsidP="009260DE">
      <w:pPr>
        <w:tabs>
          <w:tab w:val="left" w:pos="851"/>
        </w:tabs>
        <w:ind w:left="851"/>
        <w:rPr>
          <w:sz w:val="24"/>
          <w:szCs w:val="24"/>
        </w:rPr>
      </w:pPr>
    </w:p>
    <w:p w14:paraId="5BF6FF51"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2DAD9EB1" w14:textId="705720F0" w:rsidR="009260DE" w:rsidRPr="00C84483" w:rsidRDefault="00CC0865" w:rsidP="009260DE">
      <w:pPr>
        <w:tabs>
          <w:tab w:val="left" w:pos="851"/>
        </w:tabs>
        <w:ind w:left="851"/>
        <w:rPr>
          <w:sz w:val="24"/>
          <w:szCs w:val="24"/>
        </w:rPr>
      </w:pPr>
      <w:r>
        <w:rPr>
          <w:sz w:val="24"/>
          <w:szCs w:val="24"/>
        </w:rPr>
        <w:t>Midodrin "Zentiva"</w:t>
      </w:r>
    </w:p>
    <w:p w14:paraId="78ADC516" w14:textId="77777777" w:rsidR="009260DE" w:rsidRPr="00C84483" w:rsidRDefault="009260DE" w:rsidP="009260DE">
      <w:pPr>
        <w:tabs>
          <w:tab w:val="left" w:pos="851"/>
        </w:tabs>
        <w:ind w:left="851"/>
        <w:rPr>
          <w:sz w:val="24"/>
          <w:szCs w:val="24"/>
        </w:rPr>
      </w:pPr>
    </w:p>
    <w:p w14:paraId="3D6EE690"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2323BF1F" w14:textId="77777777" w:rsidR="00CC0865" w:rsidRPr="00CC0865" w:rsidRDefault="00CC0865" w:rsidP="00CC0865">
      <w:pPr>
        <w:tabs>
          <w:tab w:val="left" w:pos="851"/>
        </w:tabs>
        <w:ind w:left="851"/>
        <w:rPr>
          <w:iCs/>
          <w:sz w:val="24"/>
          <w:szCs w:val="24"/>
        </w:rPr>
      </w:pPr>
      <w:r w:rsidRPr="00CC0865">
        <w:rPr>
          <w:sz w:val="24"/>
          <w:szCs w:val="24"/>
        </w:rPr>
        <w:t>Hver tablet indeholder 2,5 mg midodrinhydrochlorid.</w:t>
      </w:r>
    </w:p>
    <w:p w14:paraId="2D67CFF8" w14:textId="77777777" w:rsidR="00CC0865" w:rsidRPr="00CC0865" w:rsidRDefault="00CC0865" w:rsidP="00CC0865">
      <w:pPr>
        <w:tabs>
          <w:tab w:val="left" w:pos="851"/>
        </w:tabs>
        <w:ind w:left="851"/>
        <w:rPr>
          <w:iCs/>
          <w:sz w:val="24"/>
          <w:szCs w:val="24"/>
        </w:rPr>
      </w:pPr>
      <w:r w:rsidRPr="00CC0865">
        <w:rPr>
          <w:sz w:val="24"/>
          <w:szCs w:val="24"/>
        </w:rPr>
        <w:t>Hver tablet indeholder 5 mg midodrinhydrochlorid.</w:t>
      </w:r>
    </w:p>
    <w:p w14:paraId="02A2306B" w14:textId="77777777" w:rsidR="00CC0865" w:rsidRPr="00CC0865" w:rsidRDefault="00CC0865" w:rsidP="00CC0865">
      <w:pPr>
        <w:tabs>
          <w:tab w:val="left" w:pos="851"/>
        </w:tabs>
        <w:ind w:left="851"/>
        <w:rPr>
          <w:iCs/>
          <w:sz w:val="24"/>
          <w:szCs w:val="24"/>
        </w:rPr>
      </w:pPr>
    </w:p>
    <w:p w14:paraId="23282BC0" w14:textId="77777777" w:rsidR="00CC0865" w:rsidRPr="00CC0865" w:rsidRDefault="00CC0865" w:rsidP="00CC0865">
      <w:pPr>
        <w:tabs>
          <w:tab w:val="left" w:pos="851"/>
        </w:tabs>
        <w:ind w:left="851"/>
        <w:rPr>
          <w:sz w:val="24"/>
          <w:szCs w:val="24"/>
        </w:rPr>
      </w:pPr>
      <w:r w:rsidRPr="00CC0865">
        <w:rPr>
          <w:sz w:val="24"/>
          <w:szCs w:val="24"/>
        </w:rPr>
        <w:t>Alle hjælpestoffer er anført under pkt. 6.1.</w:t>
      </w:r>
    </w:p>
    <w:p w14:paraId="5723250A" w14:textId="77777777" w:rsidR="00CC0865" w:rsidRPr="00CC0865" w:rsidRDefault="00CC0865" w:rsidP="00CC0865">
      <w:pPr>
        <w:tabs>
          <w:tab w:val="left" w:pos="851"/>
        </w:tabs>
        <w:ind w:left="851"/>
        <w:rPr>
          <w:sz w:val="24"/>
          <w:szCs w:val="24"/>
        </w:rPr>
      </w:pPr>
    </w:p>
    <w:p w14:paraId="6A9FC6EC"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69DBA95F" w14:textId="5CD50DBC" w:rsidR="00CC0865" w:rsidRPr="00CC0865" w:rsidRDefault="00CC0865" w:rsidP="00CC0865">
      <w:pPr>
        <w:tabs>
          <w:tab w:val="left" w:pos="851"/>
        </w:tabs>
        <w:ind w:left="851"/>
        <w:rPr>
          <w:sz w:val="24"/>
          <w:szCs w:val="24"/>
        </w:rPr>
      </w:pPr>
      <w:r w:rsidRPr="00CC0865">
        <w:rPr>
          <w:sz w:val="24"/>
          <w:szCs w:val="24"/>
        </w:rPr>
        <w:t>Tablet</w:t>
      </w:r>
      <w:r>
        <w:rPr>
          <w:sz w:val="24"/>
          <w:szCs w:val="24"/>
        </w:rPr>
        <w:t>ter</w:t>
      </w:r>
    </w:p>
    <w:p w14:paraId="2AFD86F7" w14:textId="77777777" w:rsidR="00CC0865" w:rsidRPr="00CC0865" w:rsidRDefault="00CC0865" w:rsidP="00CC0865">
      <w:pPr>
        <w:tabs>
          <w:tab w:val="left" w:pos="851"/>
        </w:tabs>
        <w:ind w:left="851"/>
        <w:rPr>
          <w:sz w:val="24"/>
          <w:szCs w:val="24"/>
        </w:rPr>
      </w:pPr>
    </w:p>
    <w:p w14:paraId="5B2F8952" w14:textId="77777777" w:rsidR="00CC0865" w:rsidRPr="00CC0865" w:rsidRDefault="00CC0865" w:rsidP="00CC0865">
      <w:pPr>
        <w:tabs>
          <w:tab w:val="left" w:pos="851"/>
        </w:tabs>
        <w:ind w:left="851"/>
        <w:rPr>
          <w:sz w:val="24"/>
          <w:szCs w:val="24"/>
          <w:u w:val="single"/>
        </w:rPr>
      </w:pPr>
      <w:r w:rsidRPr="00CC0865">
        <w:rPr>
          <w:sz w:val="24"/>
          <w:szCs w:val="24"/>
          <w:u w:val="single"/>
        </w:rPr>
        <w:t>Midodrin "Zentiva" 2,5 mg</w:t>
      </w:r>
    </w:p>
    <w:p w14:paraId="49B3F597" w14:textId="77777777" w:rsidR="00CC0865" w:rsidRPr="00CC0865" w:rsidRDefault="00CC0865" w:rsidP="00CC0865">
      <w:pPr>
        <w:tabs>
          <w:tab w:val="left" w:pos="851"/>
        </w:tabs>
        <w:ind w:left="851"/>
        <w:rPr>
          <w:sz w:val="24"/>
          <w:szCs w:val="24"/>
        </w:rPr>
      </w:pPr>
      <w:r w:rsidRPr="00CC0865">
        <w:rPr>
          <w:sz w:val="24"/>
          <w:szCs w:val="24"/>
        </w:rPr>
        <w:t xml:space="preserve">Hvid til råhvid, rund, flad, 7 mm diameter tablet med en delekærv på den ene side. Tabletten har kun delekærv for at muliggøre deling af tabletten, så den er nemmere at sluge. Tabletten kan ikke deles i to lige store doser. </w:t>
      </w:r>
    </w:p>
    <w:p w14:paraId="17E183CA" w14:textId="77777777" w:rsidR="00CC0865" w:rsidRPr="00CC0865" w:rsidRDefault="00CC0865" w:rsidP="00CC0865">
      <w:pPr>
        <w:tabs>
          <w:tab w:val="left" w:pos="851"/>
        </w:tabs>
        <w:ind w:left="851"/>
        <w:rPr>
          <w:sz w:val="24"/>
          <w:szCs w:val="24"/>
        </w:rPr>
      </w:pPr>
    </w:p>
    <w:p w14:paraId="41899F5E" w14:textId="77777777" w:rsidR="00CC0865" w:rsidRPr="00CC0865" w:rsidRDefault="00CC0865" w:rsidP="00CC0865">
      <w:pPr>
        <w:tabs>
          <w:tab w:val="left" w:pos="851"/>
        </w:tabs>
        <w:ind w:left="851"/>
        <w:rPr>
          <w:sz w:val="24"/>
          <w:szCs w:val="24"/>
          <w:u w:val="single"/>
        </w:rPr>
      </w:pPr>
      <w:r w:rsidRPr="00CC0865">
        <w:rPr>
          <w:sz w:val="24"/>
          <w:szCs w:val="24"/>
          <w:u w:val="single"/>
        </w:rPr>
        <w:t>Midodrin "Zentiva" 5 mg</w:t>
      </w:r>
    </w:p>
    <w:p w14:paraId="57B3C1D2" w14:textId="77777777" w:rsidR="00CC0865" w:rsidRPr="00CC0865" w:rsidRDefault="00CC0865" w:rsidP="00CC0865">
      <w:pPr>
        <w:tabs>
          <w:tab w:val="left" w:pos="851"/>
        </w:tabs>
        <w:ind w:left="851"/>
        <w:rPr>
          <w:sz w:val="24"/>
          <w:szCs w:val="24"/>
        </w:rPr>
      </w:pPr>
      <w:r w:rsidRPr="00CC0865">
        <w:rPr>
          <w:sz w:val="24"/>
          <w:szCs w:val="24"/>
        </w:rPr>
        <w:t>Plettet orange, rund, flad, 7 mm diameter tablet med en delekærv på den ene side. Tabletten kan deles i to lige store doser.</w:t>
      </w:r>
    </w:p>
    <w:p w14:paraId="0B5A1F9A" w14:textId="77777777" w:rsidR="009260DE" w:rsidRPr="00C84483" w:rsidRDefault="009260DE" w:rsidP="009260DE">
      <w:pPr>
        <w:tabs>
          <w:tab w:val="left" w:pos="851"/>
        </w:tabs>
        <w:ind w:left="851"/>
        <w:rPr>
          <w:sz w:val="24"/>
          <w:szCs w:val="24"/>
        </w:rPr>
      </w:pPr>
    </w:p>
    <w:p w14:paraId="1B7B1570" w14:textId="77777777" w:rsidR="009260DE" w:rsidRPr="00C84483" w:rsidRDefault="009260DE" w:rsidP="009260DE">
      <w:pPr>
        <w:tabs>
          <w:tab w:val="left" w:pos="851"/>
        </w:tabs>
        <w:ind w:left="851"/>
        <w:rPr>
          <w:sz w:val="24"/>
          <w:szCs w:val="24"/>
        </w:rPr>
      </w:pPr>
    </w:p>
    <w:p w14:paraId="5BF22FE5"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75244598" w14:textId="77777777" w:rsidR="009260DE" w:rsidRPr="00C84483" w:rsidRDefault="009260DE" w:rsidP="009260DE">
      <w:pPr>
        <w:tabs>
          <w:tab w:val="left" w:pos="851"/>
        </w:tabs>
        <w:ind w:left="851"/>
        <w:rPr>
          <w:b/>
          <w:sz w:val="24"/>
          <w:szCs w:val="24"/>
        </w:rPr>
      </w:pPr>
    </w:p>
    <w:p w14:paraId="0B8EDD85"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2F283757" w14:textId="77777777" w:rsidR="00CC0865" w:rsidRPr="00CC0865" w:rsidRDefault="00CC0865" w:rsidP="00CC0865">
      <w:pPr>
        <w:tabs>
          <w:tab w:val="left" w:pos="851"/>
        </w:tabs>
        <w:ind w:left="851"/>
        <w:rPr>
          <w:sz w:val="24"/>
          <w:szCs w:val="24"/>
        </w:rPr>
      </w:pPr>
      <w:r w:rsidRPr="00CC0865">
        <w:rPr>
          <w:sz w:val="24"/>
          <w:szCs w:val="24"/>
        </w:rPr>
        <w:t>Midodrin "Zentiva" er indiceret til voksne til behandling af svær ortostatisk hypotension på grund af autonom dysfunktion, når andre former for behandling eller andre handlinger er utilstrækkelige.</w:t>
      </w:r>
    </w:p>
    <w:p w14:paraId="3E0F361B" w14:textId="710BA36A" w:rsidR="00CC0865" w:rsidRDefault="00CC0865">
      <w:pPr>
        <w:rPr>
          <w:sz w:val="24"/>
          <w:szCs w:val="24"/>
        </w:rPr>
      </w:pPr>
      <w:r>
        <w:rPr>
          <w:sz w:val="24"/>
          <w:szCs w:val="24"/>
        </w:rPr>
        <w:br w:type="page"/>
      </w:r>
    </w:p>
    <w:p w14:paraId="668902EE" w14:textId="77777777" w:rsidR="009260DE" w:rsidRPr="00C84483" w:rsidRDefault="009260DE" w:rsidP="009260DE">
      <w:pPr>
        <w:tabs>
          <w:tab w:val="left" w:pos="851"/>
        </w:tabs>
        <w:ind w:left="851"/>
        <w:rPr>
          <w:sz w:val="24"/>
          <w:szCs w:val="24"/>
        </w:rPr>
      </w:pPr>
    </w:p>
    <w:p w14:paraId="689B8D63"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07C1A850" w14:textId="77777777" w:rsidR="00CC0865" w:rsidRPr="00CC0865" w:rsidRDefault="00CC0865" w:rsidP="00CC0865">
      <w:pPr>
        <w:tabs>
          <w:tab w:val="left" w:pos="851"/>
        </w:tabs>
        <w:ind w:left="851"/>
        <w:rPr>
          <w:sz w:val="24"/>
          <w:szCs w:val="24"/>
          <w:u w:val="single"/>
        </w:rPr>
      </w:pPr>
    </w:p>
    <w:p w14:paraId="2B62AC2D" w14:textId="77777777" w:rsidR="00CC0865" w:rsidRPr="00CC0865" w:rsidRDefault="00CC0865" w:rsidP="00CC0865">
      <w:pPr>
        <w:tabs>
          <w:tab w:val="left" w:pos="851"/>
        </w:tabs>
        <w:ind w:left="851"/>
        <w:rPr>
          <w:sz w:val="24"/>
          <w:szCs w:val="24"/>
          <w:u w:val="single"/>
        </w:rPr>
      </w:pPr>
      <w:r w:rsidRPr="00CC0865">
        <w:rPr>
          <w:sz w:val="24"/>
          <w:szCs w:val="24"/>
          <w:u w:val="single"/>
        </w:rPr>
        <w:t>Dosering</w:t>
      </w:r>
    </w:p>
    <w:p w14:paraId="16291345" w14:textId="77777777" w:rsidR="00CC0865" w:rsidRPr="00CC0865" w:rsidRDefault="00CC0865" w:rsidP="00CC0865">
      <w:pPr>
        <w:tabs>
          <w:tab w:val="left" w:pos="851"/>
        </w:tabs>
        <w:ind w:left="851"/>
        <w:rPr>
          <w:sz w:val="24"/>
          <w:szCs w:val="24"/>
        </w:rPr>
      </w:pPr>
      <w:r w:rsidRPr="00CC0865">
        <w:rPr>
          <w:sz w:val="24"/>
          <w:szCs w:val="24"/>
        </w:rPr>
        <w:t>Initialdosis: 2,5 mg tre gange daglig. Afhængigt af resultaterne af blodtryksmålinger i liggende og stående stilling kan denne dosis øges ugentligt op til en dosis på 10 mg tre gange daglig. Dette er den sædvanlige vedligeholdelsesdosis.</w:t>
      </w:r>
    </w:p>
    <w:p w14:paraId="40D4F4D7" w14:textId="77777777" w:rsidR="00CC0865" w:rsidRPr="00CC0865" w:rsidRDefault="00CC0865" w:rsidP="00CC0865">
      <w:pPr>
        <w:tabs>
          <w:tab w:val="left" w:pos="851"/>
        </w:tabs>
        <w:ind w:left="851"/>
        <w:rPr>
          <w:sz w:val="24"/>
          <w:szCs w:val="24"/>
        </w:rPr>
      </w:pPr>
    </w:p>
    <w:p w14:paraId="44C1AD7A" w14:textId="77777777" w:rsidR="00CC0865" w:rsidRPr="00CC0865" w:rsidRDefault="00CC0865" w:rsidP="00CC0865">
      <w:pPr>
        <w:tabs>
          <w:tab w:val="left" w:pos="851"/>
        </w:tabs>
        <w:ind w:left="851"/>
        <w:rPr>
          <w:sz w:val="24"/>
          <w:szCs w:val="24"/>
        </w:rPr>
      </w:pPr>
      <w:r w:rsidRPr="00CC0865">
        <w:rPr>
          <w:sz w:val="24"/>
          <w:szCs w:val="24"/>
        </w:rPr>
        <w:t>En omhyggelig evaluering af behandlingsrespons og af den samlede balance af de forventede fordele og risici skal iværksættes før en eventuel stigning i dosis og vejledning om at fortsætte behandlingen i lang tid.</w:t>
      </w:r>
    </w:p>
    <w:p w14:paraId="55290533" w14:textId="77777777" w:rsidR="00CC0865" w:rsidRPr="00CC0865" w:rsidRDefault="00CC0865" w:rsidP="00CC0865">
      <w:pPr>
        <w:tabs>
          <w:tab w:val="left" w:pos="851"/>
        </w:tabs>
        <w:ind w:left="851"/>
        <w:rPr>
          <w:sz w:val="24"/>
          <w:szCs w:val="24"/>
        </w:rPr>
      </w:pPr>
    </w:p>
    <w:p w14:paraId="21B9543D" w14:textId="77777777" w:rsidR="00CC0865" w:rsidRPr="00CC0865" w:rsidRDefault="00CC0865" w:rsidP="00CC0865">
      <w:pPr>
        <w:tabs>
          <w:tab w:val="left" w:pos="851"/>
        </w:tabs>
        <w:ind w:left="851"/>
        <w:rPr>
          <w:sz w:val="24"/>
          <w:szCs w:val="24"/>
        </w:rPr>
      </w:pPr>
      <w:r w:rsidRPr="00CC0865">
        <w:rPr>
          <w:sz w:val="24"/>
          <w:szCs w:val="24"/>
        </w:rPr>
        <w:t>Den sidste daglige dosis skal tages mindst 4 timer før sengetid for at undgå hypertension i liggende stilling (se også pkt. 4.4).</w:t>
      </w:r>
    </w:p>
    <w:p w14:paraId="5DE1726A" w14:textId="77777777" w:rsidR="00CC0865" w:rsidRPr="00CC0865" w:rsidRDefault="00CC0865" w:rsidP="00CC0865">
      <w:pPr>
        <w:tabs>
          <w:tab w:val="left" w:pos="851"/>
        </w:tabs>
        <w:ind w:left="851"/>
        <w:rPr>
          <w:sz w:val="24"/>
          <w:szCs w:val="24"/>
          <w:u w:val="single"/>
        </w:rPr>
      </w:pPr>
    </w:p>
    <w:p w14:paraId="2CEF2693" w14:textId="77777777" w:rsidR="00CC0865" w:rsidRPr="00CC0865" w:rsidRDefault="00CC0865" w:rsidP="00CC0865">
      <w:pPr>
        <w:tabs>
          <w:tab w:val="left" w:pos="851"/>
        </w:tabs>
        <w:ind w:left="851"/>
        <w:rPr>
          <w:iCs/>
          <w:sz w:val="24"/>
          <w:szCs w:val="24"/>
          <w:u w:val="single"/>
        </w:rPr>
      </w:pPr>
      <w:r w:rsidRPr="00CC0865">
        <w:rPr>
          <w:iCs/>
          <w:sz w:val="24"/>
          <w:szCs w:val="24"/>
          <w:u w:val="single"/>
        </w:rPr>
        <w:t>Særlige populationer</w:t>
      </w:r>
    </w:p>
    <w:p w14:paraId="6DA7959D" w14:textId="77777777" w:rsidR="00CC0865" w:rsidRPr="00CC0865" w:rsidRDefault="00CC0865" w:rsidP="00CC0865">
      <w:pPr>
        <w:tabs>
          <w:tab w:val="left" w:pos="851"/>
        </w:tabs>
        <w:ind w:left="851"/>
        <w:rPr>
          <w:i/>
          <w:sz w:val="24"/>
          <w:szCs w:val="24"/>
        </w:rPr>
      </w:pPr>
    </w:p>
    <w:p w14:paraId="51239B6D" w14:textId="77777777" w:rsidR="00CC0865" w:rsidRPr="00CC0865" w:rsidRDefault="00CC0865" w:rsidP="00CC0865">
      <w:pPr>
        <w:tabs>
          <w:tab w:val="left" w:pos="851"/>
        </w:tabs>
        <w:ind w:left="851"/>
        <w:rPr>
          <w:i/>
          <w:sz w:val="24"/>
          <w:szCs w:val="24"/>
        </w:rPr>
      </w:pPr>
      <w:r w:rsidRPr="00CC0865">
        <w:rPr>
          <w:i/>
          <w:sz w:val="24"/>
          <w:szCs w:val="24"/>
        </w:rPr>
        <w:t>Pædiatrisk population</w:t>
      </w:r>
    </w:p>
    <w:p w14:paraId="5E0E73F2" w14:textId="77777777" w:rsidR="00CC0865" w:rsidRPr="00CC0865" w:rsidRDefault="00CC0865" w:rsidP="00CC0865">
      <w:pPr>
        <w:tabs>
          <w:tab w:val="left" w:pos="851"/>
        </w:tabs>
        <w:ind w:left="851"/>
        <w:rPr>
          <w:sz w:val="24"/>
          <w:szCs w:val="24"/>
        </w:rPr>
      </w:pPr>
      <w:r w:rsidRPr="00CC0865">
        <w:rPr>
          <w:sz w:val="24"/>
          <w:szCs w:val="24"/>
        </w:rPr>
        <w:t xml:space="preserve">Midodrins sikkerhed og virkning hos børn er ikke klarlagt. Der foreligger ingen data. </w:t>
      </w:r>
    </w:p>
    <w:p w14:paraId="6B82F276" w14:textId="77777777" w:rsidR="00CC0865" w:rsidRPr="00CC0865" w:rsidRDefault="00CC0865" w:rsidP="00CC0865">
      <w:pPr>
        <w:tabs>
          <w:tab w:val="left" w:pos="851"/>
        </w:tabs>
        <w:ind w:left="851"/>
        <w:rPr>
          <w:sz w:val="24"/>
          <w:szCs w:val="24"/>
        </w:rPr>
      </w:pPr>
    </w:p>
    <w:p w14:paraId="199C9A1F" w14:textId="77777777" w:rsidR="00CC0865" w:rsidRPr="00CC0865" w:rsidRDefault="00CC0865" w:rsidP="00CC0865">
      <w:pPr>
        <w:tabs>
          <w:tab w:val="left" w:pos="851"/>
        </w:tabs>
        <w:ind w:left="851"/>
        <w:rPr>
          <w:i/>
          <w:sz w:val="24"/>
          <w:szCs w:val="24"/>
        </w:rPr>
      </w:pPr>
      <w:r w:rsidRPr="00CC0865">
        <w:rPr>
          <w:i/>
          <w:sz w:val="24"/>
          <w:szCs w:val="24"/>
        </w:rPr>
        <w:t>Ældre</w:t>
      </w:r>
    </w:p>
    <w:p w14:paraId="27D1577A" w14:textId="77777777" w:rsidR="00CC0865" w:rsidRPr="00CC0865" w:rsidRDefault="00CC0865" w:rsidP="00CC0865">
      <w:pPr>
        <w:tabs>
          <w:tab w:val="left" w:pos="851"/>
        </w:tabs>
        <w:ind w:left="851"/>
        <w:rPr>
          <w:sz w:val="24"/>
          <w:szCs w:val="24"/>
        </w:rPr>
      </w:pPr>
      <w:r w:rsidRPr="00CC0865">
        <w:rPr>
          <w:sz w:val="24"/>
          <w:szCs w:val="24"/>
        </w:rPr>
        <w:t>Der er utilstrækkelige data om dosering til ældre, og der er ingen specifikke studier, der har fokuseret på en mulig reduktion af dosis til ældre. Forsigtig titrering af dosis anbefales.</w:t>
      </w:r>
    </w:p>
    <w:p w14:paraId="2515B059" w14:textId="77777777" w:rsidR="00CC0865" w:rsidRPr="00CC0865" w:rsidRDefault="00CC0865" w:rsidP="00CC0865">
      <w:pPr>
        <w:tabs>
          <w:tab w:val="left" w:pos="851"/>
        </w:tabs>
        <w:ind w:left="851"/>
        <w:rPr>
          <w:sz w:val="24"/>
          <w:szCs w:val="24"/>
        </w:rPr>
      </w:pPr>
    </w:p>
    <w:p w14:paraId="4C1B15AE" w14:textId="77777777" w:rsidR="00CC0865" w:rsidRPr="00CC0865" w:rsidRDefault="00CC0865" w:rsidP="00CC0865">
      <w:pPr>
        <w:tabs>
          <w:tab w:val="left" w:pos="851"/>
        </w:tabs>
        <w:ind w:left="851"/>
        <w:rPr>
          <w:i/>
          <w:sz w:val="24"/>
          <w:szCs w:val="24"/>
        </w:rPr>
      </w:pPr>
      <w:r w:rsidRPr="00CC0865">
        <w:rPr>
          <w:i/>
          <w:sz w:val="24"/>
          <w:szCs w:val="24"/>
        </w:rPr>
        <w:t>Nedsat nyrefunktion</w:t>
      </w:r>
    </w:p>
    <w:p w14:paraId="461B9BC3" w14:textId="77777777" w:rsidR="00CC0865" w:rsidRPr="00CC0865" w:rsidRDefault="00CC0865" w:rsidP="00CC0865">
      <w:pPr>
        <w:tabs>
          <w:tab w:val="left" w:pos="851"/>
        </w:tabs>
        <w:ind w:left="851"/>
        <w:rPr>
          <w:sz w:val="24"/>
          <w:szCs w:val="24"/>
        </w:rPr>
      </w:pPr>
      <w:r w:rsidRPr="00CC0865">
        <w:rPr>
          <w:sz w:val="24"/>
          <w:szCs w:val="24"/>
        </w:rPr>
        <w:t>Der er ingen specifikke studier, der har fokuseret på en mulig reduktion af dosis til patienter med nedsat nyrefunktion. Midodrin er sædvanligvis kontraindiceret til patienter med akut nedsat nyrefunktion og alvorligt nedsat nyrefunktion (se pkt. 4.3).</w:t>
      </w:r>
    </w:p>
    <w:p w14:paraId="2C3362BB" w14:textId="77777777" w:rsidR="00CC0865" w:rsidRPr="00CC0865" w:rsidRDefault="00CC0865" w:rsidP="00CC0865">
      <w:pPr>
        <w:tabs>
          <w:tab w:val="left" w:pos="851"/>
        </w:tabs>
        <w:ind w:left="851"/>
        <w:rPr>
          <w:sz w:val="24"/>
          <w:szCs w:val="24"/>
        </w:rPr>
      </w:pPr>
    </w:p>
    <w:p w14:paraId="4A5F6012" w14:textId="77777777" w:rsidR="00CC0865" w:rsidRPr="00CC0865" w:rsidRDefault="00CC0865" w:rsidP="00CC0865">
      <w:pPr>
        <w:tabs>
          <w:tab w:val="left" w:pos="851"/>
        </w:tabs>
        <w:ind w:left="851"/>
        <w:rPr>
          <w:i/>
          <w:sz w:val="24"/>
          <w:szCs w:val="24"/>
        </w:rPr>
      </w:pPr>
      <w:r w:rsidRPr="00CC0865">
        <w:rPr>
          <w:i/>
          <w:sz w:val="24"/>
          <w:szCs w:val="24"/>
        </w:rPr>
        <w:t>Nedsat leverfunktion</w:t>
      </w:r>
    </w:p>
    <w:p w14:paraId="47F57EF6" w14:textId="77777777" w:rsidR="00CC0865" w:rsidRPr="00CC0865" w:rsidRDefault="00CC0865" w:rsidP="00CC0865">
      <w:pPr>
        <w:tabs>
          <w:tab w:val="left" w:pos="851"/>
        </w:tabs>
        <w:ind w:left="851"/>
        <w:rPr>
          <w:sz w:val="24"/>
          <w:szCs w:val="24"/>
        </w:rPr>
      </w:pPr>
      <w:r w:rsidRPr="00CC0865">
        <w:rPr>
          <w:sz w:val="24"/>
          <w:szCs w:val="24"/>
        </w:rPr>
        <w:t>Der er ingen specifikke studier med denne patientgruppe (se også pkt. 4.4).</w:t>
      </w:r>
    </w:p>
    <w:p w14:paraId="301476D7" w14:textId="77777777" w:rsidR="00CC0865" w:rsidRPr="00CC0865" w:rsidRDefault="00CC0865" w:rsidP="00CC0865">
      <w:pPr>
        <w:tabs>
          <w:tab w:val="left" w:pos="851"/>
        </w:tabs>
        <w:ind w:left="851"/>
        <w:rPr>
          <w:sz w:val="24"/>
          <w:szCs w:val="24"/>
        </w:rPr>
      </w:pPr>
    </w:p>
    <w:p w14:paraId="1C1FD6EC" w14:textId="77777777" w:rsidR="00CC0865" w:rsidRPr="00CC0865" w:rsidRDefault="00CC0865" w:rsidP="00CC0865">
      <w:pPr>
        <w:tabs>
          <w:tab w:val="left" w:pos="851"/>
        </w:tabs>
        <w:ind w:left="851"/>
        <w:rPr>
          <w:sz w:val="24"/>
          <w:szCs w:val="24"/>
          <w:u w:val="single"/>
        </w:rPr>
      </w:pPr>
      <w:r w:rsidRPr="00CC0865">
        <w:rPr>
          <w:sz w:val="24"/>
          <w:szCs w:val="24"/>
          <w:u w:val="single"/>
        </w:rPr>
        <w:t>Administration</w:t>
      </w:r>
    </w:p>
    <w:p w14:paraId="5EBD7466" w14:textId="77777777" w:rsidR="00CC0865" w:rsidRPr="00CC0865" w:rsidRDefault="00CC0865" w:rsidP="00CC0865">
      <w:pPr>
        <w:tabs>
          <w:tab w:val="left" w:pos="851"/>
        </w:tabs>
        <w:ind w:left="851"/>
        <w:rPr>
          <w:sz w:val="24"/>
          <w:szCs w:val="24"/>
        </w:rPr>
      </w:pPr>
      <w:r w:rsidRPr="00CC0865">
        <w:rPr>
          <w:sz w:val="24"/>
          <w:szCs w:val="24"/>
        </w:rPr>
        <w:t>Til oral anvendelse.</w:t>
      </w:r>
    </w:p>
    <w:p w14:paraId="2527579B" w14:textId="77777777" w:rsidR="00CC0865" w:rsidRPr="00CC0865" w:rsidRDefault="00CC0865" w:rsidP="00CC0865">
      <w:pPr>
        <w:tabs>
          <w:tab w:val="left" w:pos="851"/>
        </w:tabs>
        <w:ind w:left="851"/>
        <w:rPr>
          <w:sz w:val="24"/>
          <w:szCs w:val="24"/>
        </w:rPr>
      </w:pPr>
      <w:r w:rsidRPr="00CC0865">
        <w:rPr>
          <w:sz w:val="24"/>
          <w:szCs w:val="24"/>
        </w:rPr>
        <w:t>Midodrin "Zentiva" kan tages sammen med mad (se pkt. 5.2).</w:t>
      </w:r>
    </w:p>
    <w:p w14:paraId="422EB64B" w14:textId="77777777" w:rsidR="009260DE" w:rsidRPr="00C84483" w:rsidRDefault="009260DE" w:rsidP="009260DE">
      <w:pPr>
        <w:tabs>
          <w:tab w:val="left" w:pos="851"/>
        </w:tabs>
        <w:ind w:left="851"/>
        <w:rPr>
          <w:sz w:val="24"/>
          <w:szCs w:val="24"/>
        </w:rPr>
      </w:pPr>
    </w:p>
    <w:p w14:paraId="151434A3"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09AD16F1" w14:textId="77777777" w:rsidR="009945A6" w:rsidRPr="009945A6" w:rsidRDefault="009945A6" w:rsidP="009945A6">
      <w:pPr>
        <w:numPr>
          <w:ilvl w:val="0"/>
          <w:numId w:val="6"/>
        </w:numPr>
        <w:tabs>
          <w:tab w:val="left" w:pos="851"/>
        </w:tabs>
        <w:ind w:left="1134" w:hanging="283"/>
        <w:rPr>
          <w:sz w:val="24"/>
          <w:szCs w:val="24"/>
        </w:rPr>
      </w:pPr>
      <w:r w:rsidRPr="009945A6">
        <w:rPr>
          <w:sz w:val="24"/>
          <w:szCs w:val="24"/>
        </w:rPr>
        <w:t>Overfølsomhed over for det aktive stof eller over for et eller flere af hjælpestofferne anført i pkt. 6.1.</w:t>
      </w:r>
    </w:p>
    <w:p w14:paraId="5055C2AA" w14:textId="77777777" w:rsidR="009945A6" w:rsidRPr="009945A6" w:rsidRDefault="009945A6" w:rsidP="009945A6">
      <w:pPr>
        <w:numPr>
          <w:ilvl w:val="0"/>
          <w:numId w:val="6"/>
        </w:numPr>
        <w:tabs>
          <w:tab w:val="left" w:pos="851"/>
        </w:tabs>
        <w:ind w:left="1134" w:hanging="283"/>
        <w:rPr>
          <w:sz w:val="24"/>
          <w:szCs w:val="24"/>
        </w:rPr>
      </w:pPr>
      <w:r w:rsidRPr="009945A6">
        <w:rPr>
          <w:sz w:val="24"/>
          <w:szCs w:val="24"/>
        </w:rPr>
        <w:t>Alvorlig organisk hjertesygdom (f.eks. bradykardi, hjerteanfald, kongestivt hjertesvigt, kardielle ledningsforstyrrelser eller aortaaneurisme).</w:t>
      </w:r>
    </w:p>
    <w:p w14:paraId="0519C68F" w14:textId="77777777" w:rsidR="009945A6" w:rsidRPr="009945A6" w:rsidRDefault="009945A6" w:rsidP="009945A6">
      <w:pPr>
        <w:numPr>
          <w:ilvl w:val="0"/>
          <w:numId w:val="6"/>
        </w:numPr>
        <w:tabs>
          <w:tab w:val="left" w:pos="851"/>
        </w:tabs>
        <w:ind w:left="1134" w:hanging="283"/>
        <w:rPr>
          <w:sz w:val="24"/>
          <w:szCs w:val="24"/>
        </w:rPr>
      </w:pPr>
      <w:r w:rsidRPr="009945A6">
        <w:rPr>
          <w:sz w:val="24"/>
          <w:szCs w:val="24"/>
        </w:rPr>
        <w:t>Hypertension.</w:t>
      </w:r>
    </w:p>
    <w:p w14:paraId="48E30469" w14:textId="77777777" w:rsidR="009945A6" w:rsidRPr="009945A6" w:rsidRDefault="009945A6" w:rsidP="009945A6">
      <w:pPr>
        <w:numPr>
          <w:ilvl w:val="0"/>
          <w:numId w:val="6"/>
        </w:numPr>
        <w:tabs>
          <w:tab w:val="left" w:pos="851"/>
        </w:tabs>
        <w:ind w:left="1134" w:hanging="283"/>
        <w:rPr>
          <w:sz w:val="24"/>
          <w:szCs w:val="24"/>
        </w:rPr>
      </w:pPr>
      <w:r w:rsidRPr="009945A6">
        <w:rPr>
          <w:sz w:val="24"/>
          <w:szCs w:val="24"/>
        </w:rPr>
        <w:t>Alvorlig okklusionssygdom i blodkar, cerebrovaskulære okklusioner og karspasmer.</w:t>
      </w:r>
    </w:p>
    <w:p w14:paraId="482D0D48" w14:textId="77777777" w:rsidR="009945A6" w:rsidRPr="009945A6" w:rsidRDefault="009945A6" w:rsidP="009945A6">
      <w:pPr>
        <w:numPr>
          <w:ilvl w:val="0"/>
          <w:numId w:val="6"/>
        </w:numPr>
        <w:tabs>
          <w:tab w:val="left" w:pos="851"/>
        </w:tabs>
        <w:ind w:left="1134" w:hanging="283"/>
        <w:rPr>
          <w:sz w:val="24"/>
          <w:szCs w:val="24"/>
        </w:rPr>
      </w:pPr>
      <w:r w:rsidRPr="009945A6">
        <w:rPr>
          <w:sz w:val="24"/>
          <w:szCs w:val="24"/>
        </w:rPr>
        <w:t>Akut nyresygdom.</w:t>
      </w:r>
    </w:p>
    <w:p w14:paraId="03635488" w14:textId="77777777" w:rsidR="009945A6" w:rsidRPr="009945A6" w:rsidRDefault="009945A6" w:rsidP="009945A6">
      <w:pPr>
        <w:numPr>
          <w:ilvl w:val="0"/>
          <w:numId w:val="6"/>
        </w:numPr>
        <w:tabs>
          <w:tab w:val="left" w:pos="851"/>
        </w:tabs>
        <w:ind w:left="1134" w:hanging="283"/>
        <w:rPr>
          <w:sz w:val="24"/>
          <w:szCs w:val="24"/>
        </w:rPr>
      </w:pPr>
      <w:r w:rsidRPr="009945A6">
        <w:rPr>
          <w:sz w:val="24"/>
          <w:szCs w:val="24"/>
        </w:rPr>
        <w:t>Alvorligt nedsat nyrefunktion (kreatininclearance under 30 ml/min).</w:t>
      </w:r>
    </w:p>
    <w:p w14:paraId="14AEA2ED" w14:textId="77777777" w:rsidR="009945A6" w:rsidRPr="009945A6" w:rsidRDefault="009945A6" w:rsidP="009945A6">
      <w:pPr>
        <w:numPr>
          <w:ilvl w:val="0"/>
          <w:numId w:val="6"/>
        </w:numPr>
        <w:tabs>
          <w:tab w:val="left" w:pos="851"/>
        </w:tabs>
        <w:ind w:left="1134" w:hanging="283"/>
        <w:rPr>
          <w:sz w:val="24"/>
          <w:szCs w:val="24"/>
        </w:rPr>
      </w:pPr>
      <w:r w:rsidRPr="009945A6">
        <w:rPr>
          <w:sz w:val="24"/>
          <w:szCs w:val="24"/>
        </w:rPr>
        <w:t>Alvorlig prostatasygdom.</w:t>
      </w:r>
    </w:p>
    <w:p w14:paraId="0AAD1673" w14:textId="77777777" w:rsidR="009945A6" w:rsidRPr="009945A6" w:rsidRDefault="009945A6" w:rsidP="009945A6">
      <w:pPr>
        <w:numPr>
          <w:ilvl w:val="0"/>
          <w:numId w:val="6"/>
        </w:numPr>
        <w:tabs>
          <w:tab w:val="left" w:pos="851"/>
        </w:tabs>
        <w:ind w:left="1134" w:hanging="283"/>
        <w:rPr>
          <w:sz w:val="24"/>
          <w:szCs w:val="24"/>
        </w:rPr>
      </w:pPr>
      <w:r w:rsidRPr="009945A6">
        <w:rPr>
          <w:sz w:val="24"/>
          <w:szCs w:val="24"/>
        </w:rPr>
        <w:t>Urinretention.</w:t>
      </w:r>
    </w:p>
    <w:p w14:paraId="2D42DDAB" w14:textId="77777777" w:rsidR="009945A6" w:rsidRPr="009945A6" w:rsidRDefault="009945A6" w:rsidP="009945A6">
      <w:pPr>
        <w:numPr>
          <w:ilvl w:val="0"/>
          <w:numId w:val="6"/>
        </w:numPr>
        <w:tabs>
          <w:tab w:val="left" w:pos="851"/>
        </w:tabs>
        <w:ind w:left="1134" w:hanging="283"/>
        <w:rPr>
          <w:sz w:val="24"/>
          <w:szCs w:val="24"/>
        </w:rPr>
      </w:pPr>
      <w:r w:rsidRPr="009945A6">
        <w:rPr>
          <w:sz w:val="24"/>
          <w:szCs w:val="24"/>
        </w:rPr>
        <w:t>Proliferativ diabetisk retinopati.</w:t>
      </w:r>
    </w:p>
    <w:p w14:paraId="793EC32F" w14:textId="77777777" w:rsidR="009945A6" w:rsidRPr="009945A6" w:rsidRDefault="009945A6" w:rsidP="009945A6">
      <w:pPr>
        <w:numPr>
          <w:ilvl w:val="0"/>
          <w:numId w:val="6"/>
        </w:numPr>
        <w:tabs>
          <w:tab w:val="left" w:pos="851"/>
        </w:tabs>
        <w:ind w:left="1134" w:hanging="283"/>
        <w:rPr>
          <w:sz w:val="24"/>
          <w:szCs w:val="24"/>
        </w:rPr>
      </w:pPr>
      <w:r w:rsidRPr="009945A6">
        <w:rPr>
          <w:sz w:val="24"/>
          <w:szCs w:val="24"/>
        </w:rPr>
        <w:t>Fæokromocytom.</w:t>
      </w:r>
    </w:p>
    <w:p w14:paraId="77D2C8A6" w14:textId="77777777" w:rsidR="009945A6" w:rsidRPr="009945A6" w:rsidRDefault="009945A6" w:rsidP="009945A6">
      <w:pPr>
        <w:numPr>
          <w:ilvl w:val="0"/>
          <w:numId w:val="6"/>
        </w:numPr>
        <w:tabs>
          <w:tab w:val="left" w:pos="851"/>
        </w:tabs>
        <w:ind w:left="1134" w:hanging="283"/>
        <w:rPr>
          <w:sz w:val="24"/>
          <w:szCs w:val="24"/>
        </w:rPr>
      </w:pPr>
      <w:r w:rsidRPr="009945A6">
        <w:rPr>
          <w:sz w:val="24"/>
          <w:szCs w:val="24"/>
        </w:rPr>
        <w:t>Hyperthyreose.</w:t>
      </w:r>
    </w:p>
    <w:p w14:paraId="6C687BC4" w14:textId="77777777" w:rsidR="009945A6" w:rsidRPr="009945A6" w:rsidRDefault="009945A6" w:rsidP="009945A6">
      <w:pPr>
        <w:numPr>
          <w:ilvl w:val="0"/>
          <w:numId w:val="6"/>
        </w:numPr>
        <w:tabs>
          <w:tab w:val="left" w:pos="851"/>
        </w:tabs>
        <w:ind w:left="1134" w:hanging="283"/>
        <w:rPr>
          <w:sz w:val="24"/>
          <w:szCs w:val="24"/>
        </w:rPr>
      </w:pPr>
      <w:r w:rsidRPr="009945A6">
        <w:rPr>
          <w:sz w:val="24"/>
          <w:szCs w:val="24"/>
        </w:rPr>
        <w:t>Snævervinklet glaukom.</w:t>
      </w:r>
    </w:p>
    <w:p w14:paraId="7F610AF5" w14:textId="77777777" w:rsidR="009945A6" w:rsidRPr="009945A6" w:rsidRDefault="009945A6" w:rsidP="009945A6">
      <w:pPr>
        <w:tabs>
          <w:tab w:val="left" w:pos="851"/>
        </w:tabs>
        <w:ind w:left="851"/>
        <w:rPr>
          <w:sz w:val="24"/>
          <w:szCs w:val="24"/>
        </w:rPr>
      </w:pPr>
    </w:p>
    <w:p w14:paraId="41A6FDCE" w14:textId="77777777" w:rsidR="009260DE" w:rsidRPr="00C84483" w:rsidRDefault="009260DE" w:rsidP="009260DE">
      <w:pPr>
        <w:tabs>
          <w:tab w:val="left" w:pos="851"/>
        </w:tabs>
        <w:ind w:left="851"/>
        <w:rPr>
          <w:sz w:val="24"/>
          <w:szCs w:val="24"/>
        </w:rPr>
      </w:pPr>
    </w:p>
    <w:p w14:paraId="3E6393D0"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4E04E868" w14:textId="77777777" w:rsidR="00BD53B5" w:rsidRDefault="00BD53B5" w:rsidP="00BD53B5">
      <w:pPr>
        <w:tabs>
          <w:tab w:val="left" w:pos="851"/>
        </w:tabs>
        <w:ind w:left="851"/>
        <w:rPr>
          <w:sz w:val="24"/>
          <w:szCs w:val="24"/>
          <w:u w:val="single"/>
        </w:rPr>
      </w:pPr>
    </w:p>
    <w:p w14:paraId="17FF4A3A" w14:textId="02A6A497" w:rsidR="00BD53B5" w:rsidRPr="00BD53B5" w:rsidRDefault="00BD53B5" w:rsidP="00BD53B5">
      <w:pPr>
        <w:tabs>
          <w:tab w:val="left" w:pos="851"/>
        </w:tabs>
        <w:ind w:left="851"/>
        <w:rPr>
          <w:sz w:val="24"/>
          <w:szCs w:val="24"/>
          <w:u w:val="single"/>
        </w:rPr>
      </w:pPr>
      <w:r w:rsidRPr="00BD53B5">
        <w:rPr>
          <w:sz w:val="24"/>
          <w:szCs w:val="24"/>
          <w:u w:val="single"/>
        </w:rPr>
        <w:t>Alvorlig ortostatisk hypotension med hypertension i liggende stilling</w:t>
      </w:r>
    </w:p>
    <w:p w14:paraId="37CF5E73" w14:textId="77777777" w:rsidR="00BD53B5" w:rsidRPr="00BD53B5" w:rsidRDefault="00BD53B5" w:rsidP="00BD53B5">
      <w:pPr>
        <w:tabs>
          <w:tab w:val="left" w:pos="851"/>
        </w:tabs>
        <w:ind w:left="851"/>
        <w:rPr>
          <w:sz w:val="24"/>
          <w:szCs w:val="24"/>
        </w:rPr>
      </w:pPr>
      <w:r w:rsidRPr="00BD53B5">
        <w:rPr>
          <w:sz w:val="24"/>
          <w:szCs w:val="24"/>
        </w:rPr>
        <w:t>Regelmæssig overvågning af blodtryk i liggende og stående stilling er nødvendigt på grund af risikoen for hypertension i liggende stilling f.eks. om natten. Patienterne skal anmodes om straks at indberette symptomer på hypertension i liggende stilling, såsom brystsmerter, hjertebanken, åndenød, hovedpine og sløret syn, og skal overvåges for disse bivirkninger af den behandlende læge. Hypertension i liggende stilling kan ofte kontrolleres ved justering af dosis. Hvis der opstår hypertension i liggende stilling, som ikke kan kontrolleres ved at reducere dosis, skal behandlingen med midodrin stoppes.</w:t>
      </w:r>
    </w:p>
    <w:p w14:paraId="29673147" w14:textId="77777777" w:rsidR="00BD53B5" w:rsidRPr="00BD53B5" w:rsidRDefault="00BD53B5" w:rsidP="00BD53B5">
      <w:pPr>
        <w:tabs>
          <w:tab w:val="left" w:pos="851"/>
        </w:tabs>
        <w:ind w:left="851"/>
        <w:rPr>
          <w:sz w:val="24"/>
          <w:szCs w:val="24"/>
        </w:rPr>
      </w:pPr>
    </w:p>
    <w:p w14:paraId="76DA3FEA" w14:textId="77777777" w:rsidR="00BD53B5" w:rsidRPr="00BD53B5" w:rsidRDefault="00BD53B5" w:rsidP="00BD53B5">
      <w:pPr>
        <w:tabs>
          <w:tab w:val="left" w:pos="851"/>
        </w:tabs>
        <w:ind w:left="851"/>
        <w:rPr>
          <w:sz w:val="24"/>
          <w:szCs w:val="24"/>
        </w:rPr>
      </w:pPr>
      <w:r w:rsidRPr="00BD53B5">
        <w:rPr>
          <w:sz w:val="24"/>
          <w:szCs w:val="24"/>
        </w:rPr>
        <w:t>Tidspunktet for administration af lægemidlet er vigtig i denne sammenhæng. Undgå administration sent om aftenen. Den sidste daglige dosis skal tages mindst 4 timer før sengetid for at undgå hypertension i liggende stilling. Risikoen for at der opstår hypertension i liggende stilling om natten, kan reduceres ved at hæve hovedenden af sengen.</w:t>
      </w:r>
    </w:p>
    <w:p w14:paraId="2DD2ED05" w14:textId="77777777" w:rsidR="00BD53B5" w:rsidRPr="00BD53B5" w:rsidRDefault="00BD53B5" w:rsidP="00BD53B5">
      <w:pPr>
        <w:tabs>
          <w:tab w:val="left" w:pos="851"/>
        </w:tabs>
        <w:ind w:left="851"/>
        <w:rPr>
          <w:sz w:val="24"/>
          <w:szCs w:val="24"/>
        </w:rPr>
      </w:pPr>
    </w:p>
    <w:p w14:paraId="0FDB99C8" w14:textId="77777777" w:rsidR="00BD53B5" w:rsidRPr="00BD53B5" w:rsidRDefault="00BD53B5" w:rsidP="00BD53B5">
      <w:pPr>
        <w:tabs>
          <w:tab w:val="left" w:pos="851"/>
        </w:tabs>
        <w:ind w:left="851"/>
        <w:rPr>
          <w:sz w:val="24"/>
          <w:szCs w:val="24"/>
          <w:u w:val="single"/>
        </w:rPr>
      </w:pPr>
      <w:r w:rsidRPr="00BD53B5">
        <w:rPr>
          <w:sz w:val="24"/>
          <w:szCs w:val="24"/>
          <w:u w:val="single"/>
        </w:rPr>
        <w:t>Alvorlige forstyrrelser i det autonome nervesystem</w:t>
      </w:r>
    </w:p>
    <w:p w14:paraId="76A753A3" w14:textId="77777777" w:rsidR="00BD53B5" w:rsidRPr="00BD53B5" w:rsidRDefault="00BD53B5" w:rsidP="00BD53B5">
      <w:pPr>
        <w:tabs>
          <w:tab w:val="left" w:pos="851"/>
        </w:tabs>
        <w:ind w:left="851"/>
        <w:rPr>
          <w:sz w:val="24"/>
          <w:szCs w:val="24"/>
        </w:rPr>
      </w:pPr>
      <w:r w:rsidRPr="00BD53B5">
        <w:rPr>
          <w:sz w:val="24"/>
          <w:szCs w:val="24"/>
        </w:rPr>
        <w:t>Hos patienter, der lider af en alvorlig forstyrrelse i det autonome nervesystem, kan administration af midodrin føre til en yderligere reduktion i blodtrykket i stående stilling. Hvis dette forekommer, skal behandlingen med midodrin afbrydes.</w:t>
      </w:r>
    </w:p>
    <w:p w14:paraId="0C408715" w14:textId="77777777" w:rsidR="00BD53B5" w:rsidRPr="00BD53B5" w:rsidRDefault="00BD53B5" w:rsidP="00BD53B5">
      <w:pPr>
        <w:tabs>
          <w:tab w:val="left" w:pos="851"/>
        </w:tabs>
        <w:ind w:left="851"/>
        <w:rPr>
          <w:sz w:val="24"/>
          <w:szCs w:val="24"/>
        </w:rPr>
      </w:pPr>
    </w:p>
    <w:p w14:paraId="228AF5A4" w14:textId="77777777" w:rsidR="00BD53B5" w:rsidRPr="00BD53B5" w:rsidRDefault="00BD53B5" w:rsidP="00BD53B5">
      <w:pPr>
        <w:tabs>
          <w:tab w:val="left" w:pos="851"/>
        </w:tabs>
        <w:ind w:left="851"/>
        <w:rPr>
          <w:sz w:val="24"/>
          <w:szCs w:val="24"/>
          <w:u w:val="single"/>
        </w:rPr>
      </w:pPr>
      <w:r w:rsidRPr="00BD53B5">
        <w:rPr>
          <w:sz w:val="24"/>
          <w:szCs w:val="24"/>
          <w:u w:val="single"/>
        </w:rPr>
        <w:t>Aterosklerotisk sygdom</w:t>
      </w:r>
    </w:p>
    <w:p w14:paraId="47FE5338" w14:textId="77777777" w:rsidR="00BD53B5" w:rsidRPr="00BD53B5" w:rsidRDefault="00BD53B5" w:rsidP="00BD53B5">
      <w:pPr>
        <w:tabs>
          <w:tab w:val="left" w:pos="851"/>
        </w:tabs>
        <w:ind w:left="851"/>
        <w:rPr>
          <w:sz w:val="24"/>
          <w:szCs w:val="24"/>
        </w:rPr>
      </w:pPr>
      <w:r w:rsidRPr="00BD53B5">
        <w:rPr>
          <w:sz w:val="24"/>
          <w:szCs w:val="24"/>
        </w:rPr>
        <w:t>Der skal udvises forsigtighed hos patienter med aterosklerotisk sygdom især ved symptomer på angina intestinalis eller claudicatio i benene. Hvis der opstår symptomer på aterosklerotisk sygdom, skal behandling med midodrin seponeres.</w:t>
      </w:r>
    </w:p>
    <w:p w14:paraId="02CB5F7E" w14:textId="77777777" w:rsidR="00BD53B5" w:rsidRPr="00BD53B5" w:rsidRDefault="00BD53B5" w:rsidP="00BD53B5">
      <w:pPr>
        <w:tabs>
          <w:tab w:val="left" w:pos="851"/>
        </w:tabs>
        <w:ind w:left="851"/>
        <w:rPr>
          <w:sz w:val="24"/>
          <w:szCs w:val="24"/>
        </w:rPr>
      </w:pPr>
    </w:p>
    <w:p w14:paraId="4F1B1793" w14:textId="77777777" w:rsidR="00BD53B5" w:rsidRPr="00BD53B5" w:rsidRDefault="00BD53B5" w:rsidP="00BD53B5">
      <w:pPr>
        <w:tabs>
          <w:tab w:val="left" w:pos="851"/>
        </w:tabs>
        <w:ind w:left="851"/>
        <w:rPr>
          <w:sz w:val="24"/>
          <w:szCs w:val="24"/>
          <w:u w:val="single"/>
        </w:rPr>
      </w:pPr>
      <w:r w:rsidRPr="00BD53B5">
        <w:rPr>
          <w:sz w:val="24"/>
          <w:szCs w:val="24"/>
          <w:u w:val="single"/>
        </w:rPr>
        <w:t>Prostatasygdom</w:t>
      </w:r>
    </w:p>
    <w:p w14:paraId="5D644216" w14:textId="77777777" w:rsidR="00BD53B5" w:rsidRPr="00BD53B5" w:rsidRDefault="00BD53B5" w:rsidP="00BD53B5">
      <w:pPr>
        <w:tabs>
          <w:tab w:val="left" w:pos="851"/>
        </w:tabs>
        <w:ind w:left="851"/>
        <w:rPr>
          <w:sz w:val="24"/>
          <w:szCs w:val="24"/>
        </w:rPr>
      </w:pPr>
      <w:r w:rsidRPr="00BD53B5">
        <w:rPr>
          <w:sz w:val="24"/>
          <w:szCs w:val="24"/>
        </w:rPr>
        <w:t>Der rådes til forsigtighed hos patienter med prostatasygdom. Brug af lægemidlet kan forårsage urinretention.</w:t>
      </w:r>
    </w:p>
    <w:p w14:paraId="6A48351C" w14:textId="77777777" w:rsidR="00BD53B5" w:rsidRPr="00BD53B5" w:rsidRDefault="00BD53B5" w:rsidP="00BD53B5">
      <w:pPr>
        <w:tabs>
          <w:tab w:val="left" w:pos="851"/>
        </w:tabs>
        <w:ind w:left="851"/>
        <w:rPr>
          <w:sz w:val="24"/>
          <w:szCs w:val="24"/>
        </w:rPr>
      </w:pPr>
    </w:p>
    <w:p w14:paraId="6F2A5B52" w14:textId="77777777" w:rsidR="00BD53B5" w:rsidRPr="00BD53B5" w:rsidRDefault="00BD53B5" w:rsidP="00BD53B5">
      <w:pPr>
        <w:tabs>
          <w:tab w:val="left" w:pos="851"/>
        </w:tabs>
        <w:ind w:left="851"/>
        <w:rPr>
          <w:sz w:val="24"/>
          <w:szCs w:val="24"/>
          <w:u w:val="single"/>
        </w:rPr>
      </w:pPr>
      <w:r w:rsidRPr="00BD53B5">
        <w:rPr>
          <w:sz w:val="24"/>
          <w:szCs w:val="24"/>
          <w:u w:val="single"/>
        </w:rPr>
        <w:t>Nyre- og leverfunktion</w:t>
      </w:r>
    </w:p>
    <w:p w14:paraId="46FE450F" w14:textId="77777777" w:rsidR="00BD53B5" w:rsidRPr="00BD53B5" w:rsidRDefault="00BD53B5" w:rsidP="00BD53B5">
      <w:pPr>
        <w:tabs>
          <w:tab w:val="left" w:pos="851"/>
        </w:tabs>
        <w:ind w:left="851"/>
        <w:rPr>
          <w:sz w:val="24"/>
          <w:szCs w:val="24"/>
        </w:rPr>
      </w:pPr>
      <w:r w:rsidRPr="00BD53B5">
        <w:rPr>
          <w:sz w:val="24"/>
          <w:szCs w:val="24"/>
        </w:rPr>
        <w:t>Dette lægemiddel er kontraindiceret til patienter med akut nedsat nyrefunktion eller alvorligt nedsat nyrefunktion (se pkt. 4.3). Behandling med midodrin er ikke undersøgt hos patienter med nedsat leverfunktion. Det anbefales derfor at vurdere de renale og hepatiske parametre før behandling med midodrin og regelmæssigt under behandlingen.</w:t>
      </w:r>
    </w:p>
    <w:p w14:paraId="23AC3C6C" w14:textId="77777777" w:rsidR="00BD53B5" w:rsidRPr="00BD53B5" w:rsidRDefault="00BD53B5" w:rsidP="00BD53B5">
      <w:pPr>
        <w:tabs>
          <w:tab w:val="left" w:pos="851"/>
        </w:tabs>
        <w:ind w:left="851"/>
        <w:rPr>
          <w:sz w:val="24"/>
          <w:szCs w:val="24"/>
        </w:rPr>
      </w:pPr>
    </w:p>
    <w:p w14:paraId="2196CB43" w14:textId="77777777" w:rsidR="00BD53B5" w:rsidRPr="00BD53B5" w:rsidRDefault="00BD53B5" w:rsidP="00BD53B5">
      <w:pPr>
        <w:tabs>
          <w:tab w:val="left" w:pos="851"/>
        </w:tabs>
        <w:ind w:left="851"/>
        <w:rPr>
          <w:sz w:val="24"/>
          <w:szCs w:val="24"/>
          <w:u w:val="single"/>
        </w:rPr>
      </w:pPr>
      <w:r w:rsidRPr="00BD53B5">
        <w:rPr>
          <w:sz w:val="24"/>
          <w:szCs w:val="24"/>
          <w:u w:val="single"/>
        </w:rPr>
        <w:t>Hjertefrekvens</w:t>
      </w:r>
    </w:p>
    <w:p w14:paraId="31007C84" w14:textId="77777777" w:rsidR="00BD53B5" w:rsidRPr="00BD53B5" w:rsidRDefault="00BD53B5" w:rsidP="00BD53B5">
      <w:pPr>
        <w:tabs>
          <w:tab w:val="left" w:pos="851"/>
        </w:tabs>
        <w:ind w:left="851"/>
        <w:rPr>
          <w:sz w:val="24"/>
          <w:szCs w:val="24"/>
        </w:rPr>
      </w:pPr>
      <w:r w:rsidRPr="00BD53B5">
        <w:rPr>
          <w:sz w:val="24"/>
          <w:szCs w:val="24"/>
        </w:rPr>
        <w:t>Hjertefrekvensen kan blive langsommere efter administration af midodrin på grund af vagusrefleks. Der rådes til forsigtighed, når midodrin anvendes samtidig med hjerteglykosider (såsom digitalispræparater) og andre midler, der direkte eller indirekte reducerer hjertefrekvensen. Patienter bør overvåges for tegn eller symptomer, der tyder på bradykardi. Patienter, der oplever tegn eller symptomer, der tyder på bradykardi (langsommere puls, øget svimmelhed, synkope, opmærksomhed på hjertet), bør rådes til at seponere midodrin.</w:t>
      </w:r>
    </w:p>
    <w:p w14:paraId="309BB0EF" w14:textId="1431B2EB" w:rsidR="00BD53B5" w:rsidRDefault="00BD53B5">
      <w:pPr>
        <w:rPr>
          <w:sz w:val="24"/>
          <w:szCs w:val="24"/>
        </w:rPr>
      </w:pPr>
      <w:r>
        <w:rPr>
          <w:sz w:val="24"/>
          <w:szCs w:val="24"/>
        </w:rPr>
        <w:br w:type="page"/>
      </w:r>
    </w:p>
    <w:p w14:paraId="51A996CB" w14:textId="77777777" w:rsidR="009260DE" w:rsidRPr="00C84483" w:rsidRDefault="009260DE" w:rsidP="009260DE">
      <w:pPr>
        <w:tabs>
          <w:tab w:val="left" w:pos="851"/>
        </w:tabs>
        <w:ind w:left="851"/>
        <w:rPr>
          <w:sz w:val="24"/>
          <w:szCs w:val="24"/>
        </w:rPr>
      </w:pPr>
    </w:p>
    <w:p w14:paraId="5FDF9677"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621B7EE2" w14:textId="77777777" w:rsidR="00BD53B5" w:rsidRPr="00BD53B5" w:rsidRDefault="00BD53B5" w:rsidP="00BD53B5">
      <w:pPr>
        <w:tabs>
          <w:tab w:val="left" w:pos="851"/>
        </w:tabs>
        <w:ind w:left="851"/>
        <w:rPr>
          <w:sz w:val="24"/>
          <w:szCs w:val="24"/>
          <w:u w:val="single"/>
        </w:rPr>
      </w:pPr>
    </w:p>
    <w:p w14:paraId="53DF9CCF" w14:textId="77777777" w:rsidR="00BD53B5" w:rsidRPr="00BD53B5" w:rsidRDefault="00BD53B5" w:rsidP="00BD53B5">
      <w:pPr>
        <w:tabs>
          <w:tab w:val="left" w:pos="851"/>
        </w:tabs>
        <w:ind w:left="851"/>
        <w:rPr>
          <w:sz w:val="24"/>
          <w:szCs w:val="24"/>
          <w:u w:val="single"/>
        </w:rPr>
      </w:pPr>
      <w:r w:rsidRPr="00BD53B5">
        <w:rPr>
          <w:sz w:val="24"/>
          <w:szCs w:val="24"/>
          <w:u w:val="single"/>
        </w:rPr>
        <w:t>Sympatomimetika og andre vasopressormidler</w:t>
      </w:r>
    </w:p>
    <w:p w14:paraId="448FA2F1" w14:textId="77777777" w:rsidR="00BD53B5" w:rsidRPr="00BD53B5" w:rsidRDefault="00BD53B5" w:rsidP="00BD53B5">
      <w:pPr>
        <w:tabs>
          <w:tab w:val="left" w:pos="851"/>
        </w:tabs>
        <w:ind w:left="851"/>
        <w:rPr>
          <w:sz w:val="24"/>
          <w:szCs w:val="24"/>
        </w:rPr>
      </w:pPr>
      <w:r w:rsidRPr="00BD53B5">
        <w:rPr>
          <w:sz w:val="24"/>
          <w:szCs w:val="24"/>
        </w:rPr>
        <w:t>Samtidig behandling med sympatomimetika og andre vasokonstriktive stoffer, såsom reserpin, guanethidin, tricykliske antidepressiva, antihistaminer, thyreoideahormoner og MAO-hæmmere, herunder behandlinger, der fås uden recept, bør undgås, da der kan opstå en markant stigning i blodtrykket.</w:t>
      </w:r>
    </w:p>
    <w:p w14:paraId="556AC70C" w14:textId="77777777" w:rsidR="00BD53B5" w:rsidRPr="00BD53B5" w:rsidRDefault="00BD53B5" w:rsidP="00BD53B5">
      <w:pPr>
        <w:tabs>
          <w:tab w:val="left" w:pos="851"/>
        </w:tabs>
        <w:ind w:left="851"/>
        <w:rPr>
          <w:sz w:val="24"/>
          <w:szCs w:val="24"/>
        </w:rPr>
      </w:pPr>
    </w:p>
    <w:p w14:paraId="7C630CD8" w14:textId="77777777" w:rsidR="00BD53B5" w:rsidRPr="00BD53B5" w:rsidRDefault="00BD53B5" w:rsidP="00BD53B5">
      <w:pPr>
        <w:tabs>
          <w:tab w:val="left" w:pos="851"/>
        </w:tabs>
        <w:ind w:left="851"/>
        <w:rPr>
          <w:sz w:val="24"/>
          <w:szCs w:val="24"/>
          <w:u w:val="single"/>
        </w:rPr>
      </w:pPr>
      <w:r w:rsidRPr="00BD53B5">
        <w:rPr>
          <w:sz w:val="24"/>
          <w:szCs w:val="24"/>
          <w:u w:val="single"/>
        </w:rPr>
        <w:t>Alpha-adrenerge antagonister</w:t>
      </w:r>
    </w:p>
    <w:p w14:paraId="7EF0B379" w14:textId="77777777" w:rsidR="00BD53B5" w:rsidRPr="00BD53B5" w:rsidRDefault="00BD53B5" w:rsidP="00BD53B5">
      <w:pPr>
        <w:tabs>
          <w:tab w:val="left" w:pos="851"/>
        </w:tabs>
        <w:ind w:left="851"/>
        <w:rPr>
          <w:sz w:val="24"/>
          <w:szCs w:val="24"/>
        </w:rPr>
      </w:pPr>
      <w:r w:rsidRPr="00BD53B5">
        <w:rPr>
          <w:sz w:val="24"/>
          <w:szCs w:val="24"/>
        </w:rPr>
        <w:t>Som med andre specifikke alpha-adrenerge agonister blokeres midodrins virkning af alpha-adrenerge antagonister såsom prazosin og phentolamin.</w:t>
      </w:r>
    </w:p>
    <w:p w14:paraId="732236A5" w14:textId="77777777" w:rsidR="00BD53B5" w:rsidRPr="00BD53B5" w:rsidRDefault="00BD53B5" w:rsidP="00BD53B5">
      <w:pPr>
        <w:tabs>
          <w:tab w:val="left" w:pos="851"/>
        </w:tabs>
        <w:ind w:left="851"/>
        <w:rPr>
          <w:sz w:val="24"/>
          <w:szCs w:val="24"/>
        </w:rPr>
      </w:pPr>
    </w:p>
    <w:p w14:paraId="0297445E" w14:textId="77777777" w:rsidR="00BD53B5" w:rsidRPr="00BD53B5" w:rsidRDefault="00BD53B5" w:rsidP="00BD53B5">
      <w:pPr>
        <w:tabs>
          <w:tab w:val="left" w:pos="851"/>
        </w:tabs>
        <w:ind w:left="851"/>
        <w:rPr>
          <w:sz w:val="24"/>
          <w:szCs w:val="24"/>
          <w:u w:val="single"/>
        </w:rPr>
      </w:pPr>
      <w:r w:rsidRPr="00BD53B5">
        <w:rPr>
          <w:sz w:val="24"/>
          <w:szCs w:val="24"/>
          <w:u w:val="single"/>
        </w:rPr>
        <w:t>Lægemidler der sænker hjertefrekvensen</w:t>
      </w:r>
    </w:p>
    <w:p w14:paraId="00267756" w14:textId="77777777" w:rsidR="00BD53B5" w:rsidRPr="00BD53B5" w:rsidRDefault="00BD53B5" w:rsidP="00BD53B5">
      <w:pPr>
        <w:tabs>
          <w:tab w:val="left" w:pos="851"/>
        </w:tabs>
        <w:ind w:left="851"/>
        <w:rPr>
          <w:sz w:val="24"/>
          <w:szCs w:val="24"/>
        </w:rPr>
      </w:pPr>
      <w:r w:rsidRPr="00BD53B5">
        <w:rPr>
          <w:sz w:val="24"/>
          <w:szCs w:val="24"/>
        </w:rPr>
        <w:t>Overvågning anbefales, hvis midodrin kombineres med andre lægemidler, som direkte eller indirekte reducerer hjertefrekvensen.</w:t>
      </w:r>
    </w:p>
    <w:p w14:paraId="5EBCBFA9" w14:textId="77777777" w:rsidR="00BD53B5" w:rsidRPr="00BD53B5" w:rsidRDefault="00BD53B5" w:rsidP="00BD53B5">
      <w:pPr>
        <w:tabs>
          <w:tab w:val="left" w:pos="851"/>
        </w:tabs>
        <w:ind w:left="851"/>
        <w:rPr>
          <w:sz w:val="24"/>
          <w:szCs w:val="24"/>
        </w:rPr>
      </w:pPr>
    </w:p>
    <w:p w14:paraId="0A11A7AF" w14:textId="77777777" w:rsidR="00BD53B5" w:rsidRPr="00BD53B5" w:rsidRDefault="00BD53B5" w:rsidP="00BD53B5">
      <w:pPr>
        <w:tabs>
          <w:tab w:val="left" w:pos="851"/>
        </w:tabs>
        <w:ind w:left="851"/>
        <w:rPr>
          <w:sz w:val="24"/>
          <w:szCs w:val="24"/>
          <w:u w:val="single"/>
        </w:rPr>
      </w:pPr>
      <w:r w:rsidRPr="00BD53B5">
        <w:rPr>
          <w:sz w:val="24"/>
          <w:szCs w:val="24"/>
          <w:u w:val="single"/>
        </w:rPr>
        <w:t>Glykosider</w:t>
      </w:r>
    </w:p>
    <w:p w14:paraId="625AA05D" w14:textId="77777777" w:rsidR="00BD53B5" w:rsidRPr="00BD53B5" w:rsidRDefault="00BD53B5" w:rsidP="00BD53B5">
      <w:pPr>
        <w:tabs>
          <w:tab w:val="left" w:pos="851"/>
        </w:tabs>
        <w:ind w:left="851"/>
        <w:rPr>
          <w:sz w:val="24"/>
          <w:szCs w:val="24"/>
        </w:rPr>
      </w:pPr>
      <w:r w:rsidRPr="00BD53B5">
        <w:rPr>
          <w:sz w:val="24"/>
          <w:szCs w:val="24"/>
        </w:rPr>
        <w:t>Samtidig brug af digitalispræparater frarådes da den hjertefrekvenssænkende virkning kan blive forstærket af midodrin, og der kan opstå hjerteblok.</w:t>
      </w:r>
    </w:p>
    <w:p w14:paraId="49C70E0A" w14:textId="77777777" w:rsidR="00BD53B5" w:rsidRPr="00BD53B5" w:rsidRDefault="00BD53B5" w:rsidP="00BD53B5">
      <w:pPr>
        <w:tabs>
          <w:tab w:val="left" w:pos="851"/>
        </w:tabs>
        <w:ind w:left="851"/>
        <w:rPr>
          <w:sz w:val="24"/>
          <w:szCs w:val="24"/>
        </w:rPr>
      </w:pPr>
    </w:p>
    <w:p w14:paraId="747271F1" w14:textId="77777777" w:rsidR="00BD53B5" w:rsidRPr="00BD53B5" w:rsidRDefault="00BD53B5" w:rsidP="00BD53B5">
      <w:pPr>
        <w:tabs>
          <w:tab w:val="left" w:pos="851"/>
        </w:tabs>
        <w:ind w:left="851"/>
        <w:rPr>
          <w:sz w:val="24"/>
          <w:szCs w:val="24"/>
          <w:u w:val="single"/>
        </w:rPr>
      </w:pPr>
      <w:r w:rsidRPr="00BD53B5">
        <w:rPr>
          <w:sz w:val="24"/>
          <w:szCs w:val="24"/>
          <w:u w:val="single"/>
        </w:rPr>
        <w:t>Kortikosteroider</w:t>
      </w:r>
    </w:p>
    <w:p w14:paraId="658A225C" w14:textId="77777777" w:rsidR="00BD53B5" w:rsidRPr="00BD53B5" w:rsidRDefault="00BD53B5" w:rsidP="00BD53B5">
      <w:pPr>
        <w:tabs>
          <w:tab w:val="left" w:pos="851"/>
        </w:tabs>
        <w:ind w:left="851"/>
        <w:rPr>
          <w:sz w:val="24"/>
          <w:szCs w:val="24"/>
        </w:rPr>
      </w:pPr>
      <w:r w:rsidRPr="00BD53B5">
        <w:rPr>
          <w:sz w:val="24"/>
          <w:szCs w:val="24"/>
        </w:rPr>
        <w:t>Midodrin kan forstærke eller øge de hypertensive virkninger af kortikosteroidpræparater. Patienter i behandling med midodrin sammen med mineralokortikoider eller glukokortikoider (f.eks. fludrocortison) kan have øget risiko for glaukom/øget intraokulært tryk og bør overvåges nøje.</w:t>
      </w:r>
    </w:p>
    <w:p w14:paraId="7F550E57" w14:textId="77777777" w:rsidR="00BD53B5" w:rsidRPr="00BD53B5" w:rsidRDefault="00BD53B5" w:rsidP="00BD53B5">
      <w:pPr>
        <w:tabs>
          <w:tab w:val="left" w:pos="851"/>
        </w:tabs>
        <w:ind w:left="851"/>
        <w:rPr>
          <w:sz w:val="24"/>
          <w:szCs w:val="24"/>
        </w:rPr>
      </w:pPr>
    </w:p>
    <w:p w14:paraId="7D142786" w14:textId="77777777" w:rsidR="00BD53B5" w:rsidRPr="00BD53B5" w:rsidRDefault="00BD53B5" w:rsidP="00BD53B5">
      <w:pPr>
        <w:tabs>
          <w:tab w:val="left" w:pos="851"/>
        </w:tabs>
        <w:ind w:left="851"/>
        <w:rPr>
          <w:sz w:val="24"/>
          <w:szCs w:val="24"/>
          <w:u w:val="single"/>
        </w:rPr>
      </w:pPr>
      <w:r w:rsidRPr="00BD53B5">
        <w:rPr>
          <w:sz w:val="24"/>
          <w:szCs w:val="24"/>
          <w:u w:val="single"/>
        </w:rPr>
        <w:t>Risiko for farmakokinetiske interaktioner</w:t>
      </w:r>
    </w:p>
    <w:p w14:paraId="093D2CB4" w14:textId="77777777" w:rsidR="00BD53B5" w:rsidRPr="00BD53B5" w:rsidRDefault="00BD53B5" w:rsidP="00BD53B5">
      <w:pPr>
        <w:tabs>
          <w:tab w:val="left" w:pos="851"/>
        </w:tabs>
        <w:ind w:left="851"/>
        <w:rPr>
          <w:sz w:val="24"/>
          <w:szCs w:val="24"/>
        </w:rPr>
      </w:pPr>
      <w:r w:rsidRPr="00BD53B5">
        <w:rPr>
          <w:sz w:val="24"/>
          <w:szCs w:val="24"/>
        </w:rPr>
        <w:t>Risikoen for farmakokinetisk interaktion er begrænset, da de metaboliske omsætningsveje ikke involverer cytokrom P450-enzymer (se pkt. 5.2). Der har dog været rapporteret om nedsat clearance af lægemidler, som metaboliseres af CYP2D6 (f.eks. promethazin).</w:t>
      </w:r>
    </w:p>
    <w:p w14:paraId="0AE8B3F6" w14:textId="77777777" w:rsidR="00BD53B5" w:rsidRPr="00BD53B5" w:rsidRDefault="00BD53B5" w:rsidP="00BD53B5">
      <w:pPr>
        <w:tabs>
          <w:tab w:val="left" w:pos="851"/>
        </w:tabs>
        <w:ind w:left="851"/>
        <w:rPr>
          <w:sz w:val="24"/>
          <w:szCs w:val="24"/>
        </w:rPr>
      </w:pPr>
    </w:p>
    <w:p w14:paraId="1C4C8B2F" w14:textId="77777777" w:rsidR="00BD53B5" w:rsidRPr="00BD53B5" w:rsidRDefault="00BD53B5" w:rsidP="00BD53B5">
      <w:pPr>
        <w:tabs>
          <w:tab w:val="left" w:pos="851"/>
        </w:tabs>
        <w:ind w:left="851"/>
        <w:rPr>
          <w:sz w:val="24"/>
          <w:szCs w:val="24"/>
          <w:u w:val="single"/>
          <w:lang w:bidi="da-DK"/>
        </w:rPr>
      </w:pPr>
      <w:r w:rsidRPr="00BD53B5">
        <w:rPr>
          <w:sz w:val="24"/>
          <w:szCs w:val="24"/>
          <w:u w:val="single"/>
          <w:lang w:bidi="da-DK"/>
        </w:rPr>
        <w:t>Potentiel virkning af andre lægemidler på midodrin</w:t>
      </w:r>
    </w:p>
    <w:p w14:paraId="3F8440FF" w14:textId="77777777" w:rsidR="00BD53B5" w:rsidRPr="00BD53B5" w:rsidRDefault="00BD53B5" w:rsidP="00BD53B5">
      <w:pPr>
        <w:tabs>
          <w:tab w:val="left" w:pos="851"/>
        </w:tabs>
        <w:ind w:left="851"/>
        <w:rPr>
          <w:sz w:val="24"/>
          <w:szCs w:val="24"/>
          <w:lang w:bidi="da-DK"/>
        </w:rPr>
      </w:pPr>
      <w:r w:rsidRPr="00BD53B5">
        <w:rPr>
          <w:sz w:val="24"/>
          <w:szCs w:val="24"/>
          <w:lang w:bidi="da-DK"/>
        </w:rPr>
        <w:t xml:space="preserve">Der er ikke udført studier til vurdering af virkningen af andre lægemidler på midodrins eller den aktive metabolit desglymidodrins farmakokinetik. </w:t>
      </w:r>
      <w:r w:rsidRPr="00BD53B5">
        <w:rPr>
          <w:i/>
          <w:sz w:val="24"/>
          <w:szCs w:val="24"/>
          <w:lang w:bidi="da-DK"/>
        </w:rPr>
        <w:t>In vitro</w:t>
      </w:r>
      <w:r w:rsidRPr="00BD53B5">
        <w:rPr>
          <w:sz w:val="24"/>
          <w:szCs w:val="24"/>
          <w:lang w:bidi="da-DK"/>
        </w:rPr>
        <w:t xml:space="preserve"> data indikerer, at desglymidodrin er et substrat for CYP2D6. Samtidig administration af lægemidler, der hæmmer dette enzym (f.eks. quinidin, paroxetin, fluoxetin og bupropion), kan forårsage forhøjede plasmaniveauer af desglymidodrin, hvilket medfører en potentielt øget risiko for bivirkninger. </w:t>
      </w:r>
    </w:p>
    <w:p w14:paraId="4FBE55F2" w14:textId="77777777" w:rsidR="00BD53B5" w:rsidRPr="00BD53B5" w:rsidRDefault="00BD53B5" w:rsidP="00BD53B5">
      <w:pPr>
        <w:tabs>
          <w:tab w:val="left" w:pos="851"/>
        </w:tabs>
        <w:ind w:left="851"/>
        <w:rPr>
          <w:sz w:val="24"/>
          <w:szCs w:val="24"/>
          <w:lang w:bidi="da-DK"/>
        </w:rPr>
      </w:pPr>
    </w:p>
    <w:p w14:paraId="53F4008D" w14:textId="77777777" w:rsidR="00BD53B5" w:rsidRPr="00BD53B5" w:rsidRDefault="00BD53B5" w:rsidP="00BD53B5">
      <w:pPr>
        <w:tabs>
          <w:tab w:val="left" w:pos="851"/>
        </w:tabs>
        <w:ind w:left="851"/>
        <w:rPr>
          <w:sz w:val="24"/>
          <w:szCs w:val="24"/>
          <w:u w:val="single"/>
          <w:lang w:bidi="da-DK"/>
        </w:rPr>
      </w:pPr>
      <w:r w:rsidRPr="00BD53B5">
        <w:rPr>
          <w:sz w:val="24"/>
          <w:szCs w:val="24"/>
          <w:u w:val="single"/>
          <w:lang w:bidi="da-DK"/>
        </w:rPr>
        <w:t>Potentiel virkning af midodrin på andre lægemidler</w:t>
      </w:r>
    </w:p>
    <w:p w14:paraId="52C600AE" w14:textId="77777777" w:rsidR="00BD53B5" w:rsidRPr="00BD53B5" w:rsidRDefault="00BD53B5" w:rsidP="00BD53B5">
      <w:pPr>
        <w:tabs>
          <w:tab w:val="left" w:pos="851"/>
        </w:tabs>
        <w:ind w:left="851"/>
        <w:rPr>
          <w:sz w:val="24"/>
          <w:szCs w:val="24"/>
          <w:lang w:bidi="da-DK"/>
        </w:rPr>
      </w:pPr>
      <w:r w:rsidRPr="00BD53B5">
        <w:rPr>
          <w:sz w:val="24"/>
          <w:szCs w:val="24"/>
          <w:lang w:bidi="da-DK"/>
        </w:rPr>
        <w:t xml:space="preserve">Midodrin er en hæmmer af CYP2D6 og kan derfor påvirke metabolismen af andre lægemidler. Dette kan være af klinisk relevans for aktive stoffer, som hovedsageligt metaboliseres af CYP2D6, f.eks. tricykliske antidepressiva, betablokkere, selektive serotininoptagshæmmere (SSRI), antiarytmika (inklusive klasse 1A, 1B og 1C) og monoaminooxidasehæmmere (MAO-hæmmere) type B, især hvis det aktive stof også har et smalt terapeutisk indeks. </w:t>
      </w:r>
    </w:p>
    <w:p w14:paraId="1114FCCA" w14:textId="77777777" w:rsidR="00BD53B5" w:rsidRPr="00BD53B5" w:rsidRDefault="00BD53B5" w:rsidP="00BD53B5">
      <w:pPr>
        <w:tabs>
          <w:tab w:val="left" w:pos="851"/>
        </w:tabs>
        <w:ind w:left="851"/>
        <w:rPr>
          <w:sz w:val="24"/>
          <w:szCs w:val="24"/>
          <w:lang w:bidi="da-DK"/>
        </w:rPr>
      </w:pPr>
    </w:p>
    <w:p w14:paraId="6D32823C" w14:textId="77777777" w:rsidR="00BD53B5" w:rsidRPr="00BD53B5" w:rsidRDefault="00BD53B5" w:rsidP="00BD53B5">
      <w:pPr>
        <w:tabs>
          <w:tab w:val="left" w:pos="851"/>
        </w:tabs>
        <w:ind w:left="851"/>
        <w:rPr>
          <w:sz w:val="24"/>
          <w:szCs w:val="24"/>
          <w:u w:val="single"/>
          <w:lang w:bidi="da-DK"/>
        </w:rPr>
      </w:pPr>
      <w:r w:rsidRPr="00BD53B5">
        <w:rPr>
          <w:sz w:val="24"/>
          <w:szCs w:val="24"/>
          <w:u w:val="single"/>
          <w:lang w:bidi="da-DK"/>
        </w:rPr>
        <w:t>Falsk forhøjet plasma-metanefrin</w:t>
      </w:r>
    </w:p>
    <w:p w14:paraId="45BB221F" w14:textId="77777777" w:rsidR="00BD53B5" w:rsidRPr="00BD53B5" w:rsidRDefault="00BD53B5" w:rsidP="00BD53B5">
      <w:pPr>
        <w:tabs>
          <w:tab w:val="left" w:pos="851"/>
        </w:tabs>
        <w:ind w:left="851"/>
        <w:rPr>
          <w:sz w:val="24"/>
          <w:szCs w:val="24"/>
          <w:lang w:bidi="da-DK"/>
        </w:rPr>
      </w:pPr>
      <w:r w:rsidRPr="00BD53B5">
        <w:rPr>
          <w:sz w:val="24"/>
          <w:szCs w:val="24"/>
          <w:lang w:bidi="da-DK"/>
        </w:rPr>
        <w:t xml:space="preserve">Patienter, der tager midodrin, kan have falsk forhøjet plasma-metanefrin som følge af analytisk interferens målt ved HILIC-baseret HPLC-MS/MS. Potentialet for interferens bør </w:t>
      </w:r>
      <w:r w:rsidRPr="00BD53B5">
        <w:rPr>
          <w:sz w:val="24"/>
          <w:szCs w:val="24"/>
          <w:lang w:bidi="da-DK"/>
        </w:rPr>
        <w:lastRenderedPageBreak/>
        <w:t>overvejes i tilfælde, hvor biokemisk undersøgelse for mulig fæokromocytom og paragangliom er påkrævet hos patienter, der tager midodrin.</w:t>
      </w:r>
    </w:p>
    <w:p w14:paraId="49035479" w14:textId="77777777" w:rsidR="009260DE" w:rsidRPr="00C84483" w:rsidRDefault="009260DE" w:rsidP="009260DE">
      <w:pPr>
        <w:tabs>
          <w:tab w:val="left" w:pos="851"/>
        </w:tabs>
        <w:ind w:left="851"/>
        <w:rPr>
          <w:sz w:val="24"/>
          <w:szCs w:val="24"/>
        </w:rPr>
      </w:pPr>
    </w:p>
    <w:p w14:paraId="1FCC8591"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7AF95143" w14:textId="77777777" w:rsidR="006112A2" w:rsidRDefault="006112A2" w:rsidP="006112A2">
      <w:pPr>
        <w:tabs>
          <w:tab w:val="left" w:pos="851"/>
        </w:tabs>
        <w:ind w:left="851"/>
        <w:rPr>
          <w:sz w:val="24"/>
          <w:szCs w:val="24"/>
          <w:u w:val="single"/>
        </w:rPr>
      </w:pPr>
    </w:p>
    <w:p w14:paraId="4A95FC0F" w14:textId="6B5019C3" w:rsidR="006112A2" w:rsidRPr="006112A2" w:rsidRDefault="006112A2" w:rsidP="006112A2">
      <w:pPr>
        <w:tabs>
          <w:tab w:val="left" w:pos="851"/>
        </w:tabs>
        <w:ind w:left="851"/>
        <w:rPr>
          <w:sz w:val="24"/>
          <w:szCs w:val="24"/>
          <w:u w:val="single"/>
        </w:rPr>
      </w:pPr>
      <w:r w:rsidRPr="006112A2">
        <w:rPr>
          <w:sz w:val="24"/>
          <w:szCs w:val="24"/>
          <w:u w:val="single"/>
        </w:rPr>
        <w:t>Graviditet</w:t>
      </w:r>
    </w:p>
    <w:p w14:paraId="76F396F9" w14:textId="77777777" w:rsidR="006112A2" w:rsidRPr="006112A2" w:rsidRDefault="006112A2" w:rsidP="006112A2">
      <w:pPr>
        <w:tabs>
          <w:tab w:val="left" w:pos="851"/>
        </w:tabs>
        <w:ind w:left="851"/>
        <w:rPr>
          <w:sz w:val="24"/>
          <w:szCs w:val="24"/>
        </w:rPr>
      </w:pPr>
      <w:r w:rsidRPr="006112A2">
        <w:rPr>
          <w:sz w:val="24"/>
          <w:szCs w:val="24"/>
        </w:rPr>
        <w:t>Der er ingen data fra anvendelse af midodrinhydrochlorid til gravide kvinder. Dyrestudier har påvist reproduktionstoksicitet ved maternelt toksiske doser.</w:t>
      </w:r>
    </w:p>
    <w:p w14:paraId="79F3D241" w14:textId="77777777" w:rsidR="006112A2" w:rsidRPr="006112A2" w:rsidRDefault="006112A2" w:rsidP="006112A2">
      <w:pPr>
        <w:tabs>
          <w:tab w:val="left" w:pos="851"/>
        </w:tabs>
        <w:ind w:left="851"/>
        <w:rPr>
          <w:sz w:val="24"/>
          <w:szCs w:val="24"/>
        </w:rPr>
      </w:pPr>
      <w:r w:rsidRPr="006112A2">
        <w:rPr>
          <w:sz w:val="24"/>
          <w:szCs w:val="24"/>
        </w:rPr>
        <w:t>Midodrin anbefales ikke under graviditeten og til kvinder i den fertile alder, som ikke anvender sikker kontraception.</w:t>
      </w:r>
    </w:p>
    <w:p w14:paraId="19D5F4F0" w14:textId="77777777" w:rsidR="006112A2" w:rsidRPr="006112A2" w:rsidRDefault="006112A2" w:rsidP="006112A2">
      <w:pPr>
        <w:tabs>
          <w:tab w:val="left" w:pos="851"/>
        </w:tabs>
        <w:ind w:left="851"/>
        <w:rPr>
          <w:sz w:val="24"/>
          <w:szCs w:val="24"/>
        </w:rPr>
      </w:pPr>
    </w:p>
    <w:p w14:paraId="40224F43" w14:textId="77777777" w:rsidR="006112A2" w:rsidRPr="006112A2" w:rsidRDefault="006112A2" w:rsidP="006112A2">
      <w:pPr>
        <w:tabs>
          <w:tab w:val="left" w:pos="851"/>
        </w:tabs>
        <w:ind w:left="851"/>
        <w:rPr>
          <w:sz w:val="24"/>
          <w:szCs w:val="24"/>
          <w:u w:val="single"/>
        </w:rPr>
      </w:pPr>
      <w:r w:rsidRPr="006112A2">
        <w:rPr>
          <w:sz w:val="24"/>
          <w:szCs w:val="24"/>
          <w:u w:val="single"/>
        </w:rPr>
        <w:t>Amning</w:t>
      </w:r>
    </w:p>
    <w:p w14:paraId="7F47A064" w14:textId="77777777" w:rsidR="006112A2" w:rsidRPr="006112A2" w:rsidRDefault="006112A2" w:rsidP="006112A2">
      <w:pPr>
        <w:tabs>
          <w:tab w:val="left" w:pos="851"/>
        </w:tabs>
        <w:ind w:left="851"/>
        <w:rPr>
          <w:sz w:val="24"/>
          <w:szCs w:val="24"/>
        </w:rPr>
      </w:pPr>
      <w:r w:rsidRPr="006112A2">
        <w:rPr>
          <w:sz w:val="24"/>
          <w:szCs w:val="24"/>
        </w:rPr>
        <w:t>Det er ukendt, om midodrin og dets metabolitter udskilles i human mælk.</w:t>
      </w:r>
    </w:p>
    <w:p w14:paraId="79E12179" w14:textId="77777777" w:rsidR="006112A2" w:rsidRPr="006112A2" w:rsidRDefault="006112A2" w:rsidP="006112A2">
      <w:pPr>
        <w:tabs>
          <w:tab w:val="left" w:pos="851"/>
        </w:tabs>
        <w:ind w:left="851"/>
        <w:rPr>
          <w:sz w:val="24"/>
          <w:szCs w:val="24"/>
        </w:rPr>
      </w:pPr>
      <w:r w:rsidRPr="006112A2">
        <w:rPr>
          <w:sz w:val="24"/>
          <w:szCs w:val="24"/>
        </w:rPr>
        <w:t>En risiko for nyfødte/spædbørn kan ikke udelukkes. Midodrin må ikke anvendes under amning.</w:t>
      </w:r>
    </w:p>
    <w:p w14:paraId="4CCE169E" w14:textId="77777777" w:rsidR="006112A2" w:rsidRPr="006112A2" w:rsidRDefault="006112A2" w:rsidP="006112A2">
      <w:pPr>
        <w:tabs>
          <w:tab w:val="left" w:pos="851"/>
        </w:tabs>
        <w:ind w:left="851"/>
        <w:rPr>
          <w:sz w:val="24"/>
          <w:szCs w:val="24"/>
        </w:rPr>
      </w:pPr>
    </w:p>
    <w:p w14:paraId="19468863" w14:textId="77777777" w:rsidR="006112A2" w:rsidRPr="006112A2" w:rsidRDefault="006112A2" w:rsidP="006112A2">
      <w:pPr>
        <w:tabs>
          <w:tab w:val="left" w:pos="851"/>
        </w:tabs>
        <w:ind w:left="851"/>
        <w:rPr>
          <w:sz w:val="24"/>
          <w:szCs w:val="24"/>
          <w:u w:val="single"/>
        </w:rPr>
      </w:pPr>
      <w:r w:rsidRPr="006112A2">
        <w:rPr>
          <w:sz w:val="24"/>
          <w:szCs w:val="24"/>
          <w:u w:val="single"/>
        </w:rPr>
        <w:t>Fertilitet</w:t>
      </w:r>
    </w:p>
    <w:p w14:paraId="41EB0167" w14:textId="77777777" w:rsidR="006112A2" w:rsidRPr="006112A2" w:rsidRDefault="006112A2" w:rsidP="006112A2">
      <w:pPr>
        <w:tabs>
          <w:tab w:val="left" w:pos="851"/>
        </w:tabs>
        <w:ind w:left="851"/>
        <w:rPr>
          <w:sz w:val="24"/>
          <w:szCs w:val="24"/>
        </w:rPr>
      </w:pPr>
      <w:r w:rsidRPr="006112A2">
        <w:rPr>
          <w:sz w:val="24"/>
          <w:szCs w:val="24"/>
        </w:rPr>
        <w:t>Dyrestudier er utilstrækkelige med hensyn til vurdering af fertilitet.</w:t>
      </w:r>
    </w:p>
    <w:p w14:paraId="482059A0" w14:textId="77777777" w:rsidR="009260DE" w:rsidRPr="00C84483" w:rsidRDefault="009260DE" w:rsidP="009260DE">
      <w:pPr>
        <w:tabs>
          <w:tab w:val="left" w:pos="851"/>
        </w:tabs>
        <w:ind w:left="851"/>
        <w:rPr>
          <w:sz w:val="24"/>
          <w:szCs w:val="24"/>
        </w:rPr>
      </w:pPr>
    </w:p>
    <w:p w14:paraId="1C1B3A33"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48B94114" w14:textId="77777777" w:rsidR="006112A2" w:rsidRPr="006112A2" w:rsidRDefault="006112A2" w:rsidP="006112A2">
      <w:pPr>
        <w:tabs>
          <w:tab w:val="left" w:pos="851"/>
        </w:tabs>
        <w:ind w:left="851"/>
        <w:rPr>
          <w:sz w:val="24"/>
          <w:szCs w:val="24"/>
        </w:rPr>
      </w:pPr>
      <w:r w:rsidRPr="006112A2">
        <w:rPr>
          <w:sz w:val="24"/>
          <w:szCs w:val="24"/>
        </w:rPr>
        <w:t>Ikke mærkning</w:t>
      </w:r>
    </w:p>
    <w:p w14:paraId="06026939" w14:textId="77777777" w:rsidR="006112A2" w:rsidRPr="006112A2" w:rsidRDefault="006112A2" w:rsidP="006112A2">
      <w:pPr>
        <w:tabs>
          <w:tab w:val="left" w:pos="851"/>
        </w:tabs>
        <w:ind w:left="851"/>
        <w:rPr>
          <w:sz w:val="24"/>
          <w:szCs w:val="24"/>
        </w:rPr>
      </w:pPr>
      <w:r w:rsidRPr="006112A2">
        <w:rPr>
          <w:sz w:val="24"/>
          <w:szCs w:val="24"/>
        </w:rPr>
        <w:t>Midodrin påvirker kun i ubetydelig grad evnen til at føre motorkøretøj og betjene maskiner.</w:t>
      </w:r>
    </w:p>
    <w:p w14:paraId="258B51BA" w14:textId="77777777" w:rsidR="006112A2" w:rsidRPr="006112A2" w:rsidRDefault="006112A2" w:rsidP="006112A2">
      <w:pPr>
        <w:tabs>
          <w:tab w:val="left" w:pos="851"/>
        </w:tabs>
        <w:ind w:left="851"/>
        <w:rPr>
          <w:sz w:val="24"/>
          <w:szCs w:val="24"/>
        </w:rPr>
      </w:pPr>
      <w:r w:rsidRPr="006112A2">
        <w:rPr>
          <w:sz w:val="24"/>
          <w:szCs w:val="24"/>
        </w:rPr>
        <w:t>Patienter, der oplever svimmelhed eller ørhed, bør dog ikke føre motorkøretøj eller betjene maskiner.</w:t>
      </w:r>
    </w:p>
    <w:p w14:paraId="6AF234A8" w14:textId="77777777" w:rsidR="009260DE" w:rsidRPr="00C84483" w:rsidRDefault="009260DE" w:rsidP="009260DE">
      <w:pPr>
        <w:tabs>
          <w:tab w:val="left" w:pos="851"/>
        </w:tabs>
        <w:ind w:left="851"/>
        <w:rPr>
          <w:sz w:val="24"/>
          <w:szCs w:val="24"/>
        </w:rPr>
      </w:pPr>
    </w:p>
    <w:p w14:paraId="68DB0F0F"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14F90520" w14:textId="77777777" w:rsidR="006112A2" w:rsidRDefault="006112A2" w:rsidP="006112A2">
      <w:pPr>
        <w:tabs>
          <w:tab w:val="left" w:pos="851"/>
        </w:tabs>
        <w:ind w:left="851"/>
        <w:rPr>
          <w:sz w:val="24"/>
          <w:szCs w:val="24"/>
          <w:u w:val="single"/>
        </w:rPr>
      </w:pPr>
    </w:p>
    <w:p w14:paraId="21876020" w14:textId="114EBEC3" w:rsidR="006112A2" w:rsidRPr="006112A2" w:rsidRDefault="006112A2" w:rsidP="006112A2">
      <w:pPr>
        <w:tabs>
          <w:tab w:val="left" w:pos="851"/>
        </w:tabs>
        <w:ind w:left="851"/>
        <w:rPr>
          <w:sz w:val="24"/>
          <w:szCs w:val="24"/>
          <w:u w:val="single"/>
        </w:rPr>
      </w:pPr>
      <w:r w:rsidRPr="006112A2">
        <w:rPr>
          <w:sz w:val="24"/>
          <w:szCs w:val="24"/>
          <w:u w:val="single"/>
        </w:rPr>
        <w:t>Resumé af sikkerhedsprofilen</w:t>
      </w:r>
    </w:p>
    <w:p w14:paraId="617F7D12" w14:textId="77777777" w:rsidR="006112A2" w:rsidRPr="006112A2" w:rsidRDefault="006112A2" w:rsidP="006112A2">
      <w:pPr>
        <w:tabs>
          <w:tab w:val="left" w:pos="851"/>
        </w:tabs>
        <w:ind w:left="851"/>
        <w:rPr>
          <w:sz w:val="24"/>
          <w:szCs w:val="24"/>
        </w:rPr>
      </w:pPr>
      <w:r w:rsidRPr="006112A2">
        <w:rPr>
          <w:sz w:val="24"/>
          <w:szCs w:val="24"/>
        </w:rPr>
        <w:t>De hyppigste og meget almindelige bivirkninger i forbindelse med midodrinbehandling er piloerektion, kløe i hovedbunden og dysuri.</w:t>
      </w:r>
    </w:p>
    <w:p w14:paraId="72EE0662" w14:textId="77777777" w:rsidR="006112A2" w:rsidRPr="006112A2" w:rsidRDefault="006112A2" w:rsidP="006112A2">
      <w:pPr>
        <w:tabs>
          <w:tab w:val="left" w:pos="851"/>
        </w:tabs>
        <w:ind w:left="851"/>
        <w:rPr>
          <w:sz w:val="24"/>
          <w:szCs w:val="24"/>
          <w:u w:val="single"/>
        </w:rPr>
      </w:pPr>
    </w:p>
    <w:p w14:paraId="3077DE8E" w14:textId="77777777" w:rsidR="006112A2" w:rsidRPr="006112A2" w:rsidRDefault="006112A2" w:rsidP="006112A2">
      <w:pPr>
        <w:tabs>
          <w:tab w:val="left" w:pos="851"/>
        </w:tabs>
        <w:ind w:left="851"/>
        <w:rPr>
          <w:sz w:val="24"/>
          <w:szCs w:val="24"/>
          <w:u w:val="single"/>
        </w:rPr>
      </w:pPr>
      <w:r w:rsidRPr="006112A2">
        <w:rPr>
          <w:sz w:val="24"/>
          <w:szCs w:val="24"/>
          <w:u w:val="single"/>
        </w:rPr>
        <w:t>Liste over bivirkninger i tabelform</w:t>
      </w:r>
    </w:p>
    <w:p w14:paraId="01A1B84B" w14:textId="77777777" w:rsidR="006112A2" w:rsidRPr="006112A2" w:rsidRDefault="006112A2" w:rsidP="006112A2">
      <w:pPr>
        <w:tabs>
          <w:tab w:val="left" w:pos="851"/>
        </w:tabs>
        <w:ind w:left="851"/>
        <w:rPr>
          <w:iCs/>
          <w:sz w:val="24"/>
          <w:szCs w:val="24"/>
        </w:rPr>
      </w:pPr>
      <w:r w:rsidRPr="006112A2">
        <w:rPr>
          <w:iCs/>
          <w:sz w:val="24"/>
          <w:szCs w:val="24"/>
        </w:rPr>
        <w:t>Bivirkningerne er anført efter absolut frekvens. Frekvenser defineres som meget almindelig (≥1/10), almindelig (≥1/100 til &lt;1/10), ikke almindelig (≥1/1.000 til &lt;1/100), sjælden (≥1/10.000 til &lt;1/1.000), meget sjælden (&lt;1/10.000), ikke kendt (kan ikke estimeres ud fra forhåndenværende data).</w:t>
      </w:r>
    </w:p>
    <w:p w14:paraId="6F5E21E5" w14:textId="5A195FA8" w:rsidR="009260DE" w:rsidRDefault="009260DE" w:rsidP="00A10294">
      <w:pPr>
        <w:tabs>
          <w:tab w:val="left" w:pos="851"/>
        </w:tabs>
        <w:ind w:left="851"/>
        <w:rPr>
          <w:sz w:val="24"/>
          <w:szCs w:val="24"/>
        </w:rPr>
      </w:pPr>
    </w:p>
    <w:tbl>
      <w:tblPr>
        <w:tblpPr w:leftFromText="141" w:rightFromText="141" w:vertAnchor="text" w:horzAnchor="margin" w:tblpY="44"/>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1540"/>
        <w:gridCol w:w="1699"/>
        <w:gridCol w:w="1559"/>
        <w:gridCol w:w="1558"/>
        <w:gridCol w:w="1416"/>
      </w:tblGrid>
      <w:tr w:rsidR="006112A2" w14:paraId="7D24613D" w14:textId="77777777" w:rsidTr="006112A2">
        <w:tc>
          <w:tcPr>
            <w:tcW w:w="1858" w:type="dxa"/>
            <w:tcBorders>
              <w:top w:val="single" w:sz="4" w:space="0" w:color="auto"/>
              <w:left w:val="single" w:sz="4" w:space="0" w:color="auto"/>
              <w:bottom w:val="single" w:sz="4" w:space="0" w:color="auto"/>
              <w:right w:val="single" w:sz="4" w:space="0" w:color="auto"/>
            </w:tcBorders>
            <w:hideMark/>
          </w:tcPr>
          <w:p w14:paraId="30290B5F" w14:textId="77777777" w:rsidR="006112A2" w:rsidRDefault="006112A2">
            <w:pPr>
              <w:tabs>
                <w:tab w:val="left" w:pos="567"/>
              </w:tabs>
              <w:autoSpaceDE w:val="0"/>
              <w:autoSpaceDN w:val="0"/>
              <w:adjustRightInd w:val="0"/>
              <w:rPr>
                <w:rFonts w:eastAsiaTheme="minorEastAsia"/>
                <w:b/>
                <w:sz w:val="24"/>
                <w:szCs w:val="24"/>
                <w:lang w:eastAsia="da-DK"/>
              </w:rPr>
            </w:pPr>
            <w:r>
              <w:rPr>
                <w:rFonts w:eastAsiaTheme="minorEastAsia"/>
                <w:b/>
                <w:sz w:val="24"/>
                <w:szCs w:val="24"/>
                <w:lang w:eastAsia="da-DK"/>
              </w:rPr>
              <w:t>Organklasse</w:t>
            </w:r>
          </w:p>
        </w:tc>
        <w:tc>
          <w:tcPr>
            <w:tcW w:w="1540" w:type="dxa"/>
            <w:tcBorders>
              <w:top w:val="single" w:sz="4" w:space="0" w:color="auto"/>
              <w:left w:val="single" w:sz="4" w:space="0" w:color="auto"/>
              <w:bottom w:val="single" w:sz="4" w:space="0" w:color="auto"/>
              <w:right w:val="single" w:sz="4" w:space="0" w:color="auto"/>
            </w:tcBorders>
          </w:tcPr>
          <w:p w14:paraId="31A617D3" w14:textId="77777777" w:rsidR="006112A2" w:rsidRDefault="006112A2">
            <w:pPr>
              <w:tabs>
                <w:tab w:val="left" w:pos="567"/>
              </w:tabs>
              <w:autoSpaceDE w:val="0"/>
              <w:autoSpaceDN w:val="0"/>
              <w:adjustRightInd w:val="0"/>
              <w:ind w:left="14"/>
              <w:rPr>
                <w:rFonts w:eastAsiaTheme="minorEastAsia"/>
                <w:b/>
                <w:sz w:val="24"/>
                <w:szCs w:val="24"/>
                <w:lang w:eastAsia="da-DK"/>
              </w:rPr>
            </w:pPr>
            <w:r>
              <w:rPr>
                <w:rFonts w:eastAsiaTheme="minorEastAsia"/>
                <w:b/>
                <w:sz w:val="24"/>
                <w:szCs w:val="24"/>
                <w:lang w:eastAsia="da-DK"/>
              </w:rPr>
              <w:t>Meget almindelig</w:t>
            </w:r>
          </w:p>
          <w:p w14:paraId="4BECCB19" w14:textId="77777777" w:rsidR="006112A2" w:rsidRDefault="006112A2">
            <w:pPr>
              <w:tabs>
                <w:tab w:val="left" w:pos="567"/>
              </w:tabs>
              <w:autoSpaceDE w:val="0"/>
              <w:autoSpaceDN w:val="0"/>
              <w:adjustRightInd w:val="0"/>
              <w:ind w:left="14"/>
              <w:rPr>
                <w:rFonts w:eastAsiaTheme="minorEastAsia"/>
                <w:b/>
                <w:sz w:val="24"/>
                <w:szCs w:val="24"/>
                <w:lang w:eastAsia="da-DK"/>
              </w:rPr>
            </w:pPr>
          </w:p>
        </w:tc>
        <w:tc>
          <w:tcPr>
            <w:tcW w:w="1700" w:type="dxa"/>
            <w:tcBorders>
              <w:top w:val="single" w:sz="4" w:space="0" w:color="auto"/>
              <w:left w:val="single" w:sz="4" w:space="0" w:color="auto"/>
              <w:bottom w:val="single" w:sz="4" w:space="0" w:color="auto"/>
              <w:right w:val="single" w:sz="4" w:space="0" w:color="auto"/>
            </w:tcBorders>
          </w:tcPr>
          <w:p w14:paraId="563868EE" w14:textId="77777777" w:rsidR="006112A2" w:rsidRDefault="006112A2">
            <w:pPr>
              <w:tabs>
                <w:tab w:val="left" w:pos="567"/>
              </w:tabs>
              <w:autoSpaceDE w:val="0"/>
              <w:autoSpaceDN w:val="0"/>
              <w:adjustRightInd w:val="0"/>
              <w:rPr>
                <w:rFonts w:eastAsiaTheme="minorEastAsia"/>
                <w:b/>
                <w:sz w:val="24"/>
                <w:szCs w:val="24"/>
                <w:lang w:eastAsia="da-DK"/>
              </w:rPr>
            </w:pPr>
            <w:r>
              <w:rPr>
                <w:rFonts w:eastAsiaTheme="minorEastAsia"/>
                <w:b/>
                <w:sz w:val="24"/>
                <w:szCs w:val="24"/>
                <w:lang w:eastAsia="da-DK"/>
              </w:rPr>
              <w:t>Almindelig</w:t>
            </w:r>
          </w:p>
          <w:p w14:paraId="4D1E4D0C" w14:textId="77777777" w:rsidR="006112A2" w:rsidRDefault="006112A2">
            <w:pPr>
              <w:tabs>
                <w:tab w:val="left" w:pos="567"/>
              </w:tabs>
              <w:autoSpaceDE w:val="0"/>
              <w:autoSpaceDN w:val="0"/>
              <w:adjustRightInd w:val="0"/>
              <w:rPr>
                <w:rFonts w:eastAsiaTheme="minorEastAsia"/>
                <w:b/>
                <w:sz w:val="24"/>
                <w:szCs w:val="24"/>
                <w:lang w:eastAsia="da-DK"/>
              </w:rPr>
            </w:pPr>
          </w:p>
        </w:tc>
        <w:tc>
          <w:tcPr>
            <w:tcW w:w="1560" w:type="dxa"/>
            <w:tcBorders>
              <w:top w:val="single" w:sz="4" w:space="0" w:color="auto"/>
              <w:left w:val="single" w:sz="4" w:space="0" w:color="auto"/>
              <w:bottom w:val="single" w:sz="4" w:space="0" w:color="auto"/>
              <w:right w:val="single" w:sz="4" w:space="0" w:color="auto"/>
            </w:tcBorders>
          </w:tcPr>
          <w:p w14:paraId="1E7EB65B" w14:textId="77777777" w:rsidR="006112A2" w:rsidRDefault="006112A2">
            <w:pPr>
              <w:tabs>
                <w:tab w:val="left" w:pos="567"/>
              </w:tabs>
              <w:autoSpaceDE w:val="0"/>
              <w:autoSpaceDN w:val="0"/>
              <w:adjustRightInd w:val="0"/>
              <w:rPr>
                <w:rFonts w:eastAsiaTheme="minorEastAsia"/>
                <w:b/>
                <w:sz w:val="24"/>
                <w:szCs w:val="24"/>
                <w:lang w:eastAsia="da-DK"/>
              </w:rPr>
            </w:pPr>
            <w:r>
              <w:rPr>
                <w:rFonts w:eastAsiaTheme="minorEastAsia"/>
                <w:b/>
                <w:sz w:val="24"/>
                <w:szCs w:val="24"/>
                <w:lang w:eastAsia="da-DK"/>
              </w:rPr>
              <w:t>Ikke almindelig</w:t>
            </w:r>
          </w:p>
          <w:p w14:paraId="7E26713C" w14:textId="77777777" w:rsidR="006112A2" w:rsidRDefault="006112A2">
            <w:pPr>
              <w:tabs>
                <w:tab w:val="left" w:pos="567"/>
              </w:tabs>
              <w:autoSpaceDE w:val="0"/>
              <w:autoSpaceDN w:val="0"/>
              <w:adjustRightInd w:val="0"/>
              <w:rPr>
                <w:rFonts w:eastAsiaTheme="minorEastAsia"/>
                <w:b/>
                <w:sz w:val="24"/>
                <w:szCs w:val="24"/>
                <w:lang w:eastAsia="da-DK"/>
              </w:rPr>
            </w:pPr>
          </w:p>
        </w:tc>
        <w:tc>
          <w:tcPr>
            <w:tcW w:w="1559" w:type="dxa"/>
            <w:tcBorders>
              <w:top w:val="single" w:sz="4" w:space="0" w:color="auto"/>
              <w:left w:val="single" w:sz="4" w:space="0" w:color="auto"/>
              <w:bottom w:val="single" w:sz="4" w:space="0" w:color="auto"/>
              <w:right w:val="single" w:sz="4" w:space="0" w:color="auto"/>
            </w:tcBorders>
          </w:tcPr>
          <w:p w14:paraId="23D30322" w14:textId="77777777" w:rsidR="006112A2" w:rsidRDefault="006112A2">
            <w:pPr>
              <w:tabs>
                <w:tab w:val="left" w:pos="567"/>
              </w:tabs>
              <w:autoSpaceDE w:val="0"/>
              <w:autoSpaceDN w:val="0"/>
              <w:adjustRightInd w:val="0"/>
              <w:rPr>
                <w:rFonts w:eastAsiaTheme="minorEastAsia"/>
                <w:b/>
                <w:sz w:val="24"/>
                <w:szCs w:val="24"/>
                <w:lang w:eastAsia="da-DK"/>
              </w:rPr>
            </w:pPr>
            <w:r>
              <w:rPr>
                <w:rFonts w:eastAsiaTheme="minorEastAsia"/>
                <w:b/>
                <w:sz w:val="24"/>
                <w:szCs w:val="24"/>
                <w:lang w:eastAsia="da-DK"/>
              </w:rPr>
              <w:t>Sjælden</w:t>
            </w:r>
          </w:p>
          <w:p w14:paraId="712BFE66" w14:textId="77777777" w:rsidR="006112A2" w:rsidRDefault="006112A2">
            <w:pPr>
              <w:tabs>
                <w:tab w:val="left" w:pos="567"/>
              </w:tabs>
              <w:autoSpaceDE w:val="0"/>
              <w:autoSpaceDN w:val="0"/>
              <w:adjustRightInd w:val="0"/>
              <w:rPr>
                <w:rFonts w:eastAsiaTheme="minorEastAsia"/>
                <w:b/>
                <w:sz w:val="24"/>
                <w:szCs w:val="24"/>
                <w:lang w:eastAsia="da-DK"/>
              </w:rPr>
            </w:pPr>
          </w:p>
        </w:tc>
        <w:tc>
          <w:tcPr>
            <w:tcW w:w="1417" w:type="dxa"/>
            <w:tcBorders>
              <w:top w:val="single" w:sz="4" w:space="0" w:color="auto"/>
              <w:left w:val="single" w:sz="4" w:space="0" w:color="auto"/>
              <w:bottom w:val="single" w:sz="4" w:space="0" w:color="auto"/>
              <w:right w:val="single" w:sz="4" w:space="0" w:color="auto"/>
            </w:tcBorders>
            <w:hideMark/>
          </w:tcPr>
          <w:p w14:paraId="3FCB8119" w14:textId="77777777" w:rsidR="006112A2" w:rsidRDefault="006112A2">
            <w:pPr>
              <w:tabs>
                <w:tab w:val="left" w:pos="567"/>
              </w:tabs>
              <w:autoSpaceDE w:val="0"/>
              <w:autoSpaceDN w:val="0"/>
              <w:adjustRightInd w:val="0"/>
              <w:rPr>
                <w:rFonts w:eastAsiaTheme="minorEastAsia"/>
                <w:b/>
                <w:sz w:val="24"/>
                <w:szCs w:val="24"/>
                <w:lang w:eastAsia="da-DK"/>
              </w:rPr>
            </w:pPr>
            <w:r>
              <w:rPr>
                <w:rFonts w:eastAsiaTheme="minorEastAsia"/>
                <w:b/>
                <w:sz w:val="24"/>
                <w:szCs w:val="24"/>
                <w:lang w:eastAsia="da-DK"/>
              </w:rPr>
              <w:t xml:space="preserve">Ikke kendt </w:t>
            </w:r>
          </w:p>
        </w:tc>
      </w:tr>
      <w:tr w:rsidR="006112A2" w14:paraId="49C8F492" w14:textId="77777777" w:rsidTr="006112A2">
        <w:tc>
          <w:tcPr>
            <w:tcW w:w="1858" w:type="dxa"/>
            <w:tcBorders>
              <w:top w:val="single" w:sz="4" w:space="0" w:color="auto"/>
              <w:left w:val="single" w:sz="4" w:space="0" w:color="auto"/>
              <w:bottom w:val="single" w:sz="4" w:space="0" w:color="auto"/>
              <w:right w:val="single" w:sz="4" w:space="0" w:color="auto"/>
            </w:tcBorders>
          </w:tcPr>
          <w:p w14:paraId="77B35419" w14:textId="77777777" w:rsidR="006112A2" w:rsidRDefault="006112A2">
            <w:pPr>
              <w:tabs>
                <w:tab w:val="left" w:pos="567"/>
              </w:tabs>
              <w:autoSpaceDE w:val="0"/>
              <w:autoSpaceDN w:val="0"/>
              <w:adjustRightInd w:val="0"/>
              <w:rPr>
                <w:rFonts w:eastAsiaTheme="minorEastAsia"/>
                <w:b/>
                <w:sz w:val="24"/>
                <w:szCs w:val="24"/>
                <w:lang w:eastAsia="da-DK"/>
              </w:rPr>
            </w:pPr>
            <w:r>
              <w:rPr>
                <w:rFonts w:eastAsiaTheme="minorEastAsia"/>
                <w:b/>
                <w:sz w:val="24"/>
                <w:szCs w:val="24"/>
                <w:lang w:eastAsia="da-DK"/>
              </w:rPr>
              <w:t>Psykiske forstyrrelser</w:t>
            </w:r>
          </w:p>
          <w:p w14:paraId="35AE3580" w14:textId="77777777" w:rsidR="006112A2" w:rsidRDefault="006112A2">
            <w:pPr>
              <w:tabs>
                <w:tab w:val="left" w:pos="567"/>
              </w:tabs>
              <w:autoSpaceDE w:val="0"/>
              <w:autoSpaceDN w:val="0"/>
              <w:adjustRightInd w:val="0"/>
              <w:rPr>
                <w:rFonts w:eastAsiaTheme="minorEastAsia"/>
                <w:b/>
                <w:sz w:val="24"/>
                <w:szCs w:val="24"/>
                <w:lang w:eastAsia="da-DK"/>
              </w:rPr>
            </w:pPr>
          </w:p>
        </w:tc>
        <w:tc>
          <w:tcPr>
            <w:tcW w:w="1540" w:type="dxa"/>
            <w:tcBorders>
              <w:top w:val="single" w:sz="4" w:space="0" w:color="auto"/>
              <w:left w:val="single" w:sz="4" w:space="0" w:color="auto"/>
              <w:bottom w:val="single" w:sz="4" w:space="0" w:color="auto"/>
              <w:right w:val="single" w:sz="4" w:space="0" w:color="auto"/>
            </w:tcBorders>
          </w:tcPr>
          <w:p w14:paraId="7747310F" w14:textId="77777777" w:rsidR="006112A2" w:rsidRDefault="006112A2">
            <w:pPr>
              <w:tabs>
                <w:tab w:val="left" w:pos="567"/>
              </w:tabs>
              <w:autoSpaceDE w:val="0"/>
              <w:autoSpaceDN w:val="0"/>
              <w:adjustRightInd w:val="0"/>
              <w:ind w:left="14"/>
              <w:rPr>
                <w:rFonts w:eastAsiaTheme="minorEastAsia"/>
                <w:sz w:val="24"/>
                <w:szCs w:val="24"/>
                <w:lang w:eastAsia="da-DK"/>
              </w:rPr>
            </w:pPr>
          </w:p>
        </w:tc>
        <w:tc>
          <w:tcPr>
            <w:tcW w:w="1700" w:type="dxa"/>
            <w:tcBorders>
              <w:top w:val="single" w:sz="4" w:space="0" w:color="auto"/>
              <w:left w:val="single" w:sz="4" w:space="0" w:color="auto"/>
              <w:bottom w:val="single" w:sz="4" w:space="0" w:color="auto"/>
              <w:right w:val="single" w:sz="4" w:space="0" w:color="auto"/>
            </w:tcBorders>
          </w:tcPr>
          <w:p w14:paraId="01320A2F" w14:textId="77777777" w:rsidR="006112A2" w:rsidRDefault="006112A2">
            <w:pPr>
              <w:tabs>
                <w:tab w:val="left" w:pos="567"/>
              </w:tabs>
              <w:autoSpaceDE w:val="0"/>
              <w:autoSpaceDN w:val="0"/>
              <w:adjustRightInd w:val="0"/>
              <w:rPr>
                <w:rFonts w:eastAsiaTheme="minorEastAsia"/>
                <w:sz w:val="24"/>
                <w:szCs w:val="24"/>
                <w:lang w:eastAsia="da-DK"/>
              </w:rPr>
            </w:pPr>
          </w:p>
        </w:tc>
        <w:tc>
          <w:tcPr>
            <w:tcW w:w="1560" w:type="dxa"/>
            <w:tcBorders>
              <w:top w:val="single" w:sz="4" w:space="0" w:color="auto"/>
              <w:left w:val="single" w:sz="4" w:space="0" w:color="auto"/>
              <w:bottom w:val="single" w:sz="4" w:space="0" w:color="auto"/>
              <w:right w:val="single" w:sz="4" w:space="0" w:color="auto"/>
            </w:tcBorders>
            <w:hideMark/>
          </w:tcPr>
          <w:p w14:paraId="77BD58C1" w14:textId="77777777" w:rsidR="006112A2" w:rsidRDefault="006112A2">
            <w:pPr>
              <w:tabs>
                <w:tab w:val="left" w:pos="567"/>
              </w:tabs>
              <w:autoSpaceDE w:val="0"/>
              <w:autoSpaceDN w:val="0"/>
              <w:adjustRightInd w:val="0"/>
              <w:rPr>
                <w:rFonts w:eastAsiaTheme="minorEastAsia"/>
                <w:sz w:val="24"/>
                <w:szCs w:val="24"/>
                <w:lang w:eastAsia="da-DK"/>
              </w:rPr>
            </w:pPr>
            <w:r>
              <w:rPr>
                <w:rFonts w:eastAsiaTheme="minorEastAsia"/>
                <w:sz w:val="24"/>
                <w:szCs w:val="24"/>
                <w:lang w:eastAsia="da-DK"/>
              </w:rPr>
              <w:t>Søvnforstyr</w:t>
            </w:r>
            <w:r>
              <w:rPr>
                <w:rFonts w:eastAsiaTheme="minorEastAsia"/>
                <w:sz w:val="24"/>
                <w:szCs w:val="24"/>
                <w:lang w:eastAsia="da-DK"/>
              </w:rPr>
              <w:softHyphen/>
              <w:t>relser</w:t>
            </w:r>
          </w:p>
          <w:p w14:paraId="3602E059" w14:textId="77777777" w:rsidR="006112A2" w:rsidRDefault="006112A2">
            <w:pPr>
              <w:tabs>
                <w:tab w:val="left" w:pos="567"/>
              </w:tabs>
              <w:autoSpaceDE w:val="0"/>
              <w:autoSpaceDN w:val="0"/>
              <w:adjustRightInd w:val="0"/>
              <w:rPr>
                <w:rFonts w:eastAsiaTheme="minorEastAsia"/>
                <w:sz w:val="24"/>
                <w:szCs w:val="24"/>
                <w:lang w:eastAsia="da-DK"/>
              </w:rPr>
            </w:pPr>
            <w:r>
              <w:rPr>
                <w:rFonts w:eastAsiaTheme="minorEastAsia"/>
                <w:sz w:val="24"/>
                <w:szCs w:val="24"/>
                <w:lang w:eastAsia="da-DK"/>
              </w:rPr>
              <w:t>Søvnløshed</w:t>
            </w:r>
          </w:p>
        </w:tc>
        <w:tc>
          <w:tcPr>
            <w:tcW w:w="1559" w:type="dxa"/>
            <w:tcBorders>
              <w:top w:val="single" w:sz="4" w:space="0" w:color="auto"/>
              <w:left w:val="single" w:sz="4" w:space="0" w:color="auto"/>
              <w:bottom w:val="single" w:sz="4" w:space="0" w:color="auto"/>
              <w:right w:val="single" w:sz="4" w:space="0" w:color="auto"/>
            </w:tcBorders>
          </w:tcPr>
          <w:p w14:paraId="27657B7E" w14:textId="77777777" w:rsidR="006112A2" w:rsidRDefault="006112A2">
            <w:pPr>
              <w:tabs>
                <w:tab w:val="left" w:pos="567"/>
              </w:tabs>
              <w:autoSpaceDE w:val="0"/>
              <w:autoSpaceDN w:val="0"/>
              <w:adjustRightInd w:val="0"/>
              <w:rPr>
                <w:rFonts w:eastAsiaTheme="minorEastAsia"/>
                <w:sz w:val="24"/>
                <w:szCs w:val="24"/>
                <w:lang w:eastAsia="da-DK"/>
              </w:rPr>
            </w:pPr>
          </w:p>
        </w:tc>
        <w:tc>
          <w:tcPr>
            <w:tcW w:w="1417" w:type="dxa"/>
            <w:tcBorders>
              <w:top w:val="single" w:sz="4" w:space="0" w:color="auto"/>
              <w:left w:val="single" w:sz="4" w:space="0" w:color="auto"/>
              <w:bottom w:val="single" w:sz="4" w:space="0" w:color="auto"/>
              <w:right w:val="single" w:sz="4" w:space="0" w:color="auto"/>
            </w:tcBorders>
            <w:hideMark/>
          </w:tcPr>
          <w:p w14:paraId="7B3F5D59" w14:textId="77777777" w:rsidR="006112A2" w:rsidRDefault="006112A2">
            <w:pPr>
              <w:tabs>
                <w:tab w:val="left" w:pos="567"/>
              </w:tabs>
              <w:autoSpaceDE w:val="0"/>
              <w:autoSpaceDN w:val="0"/>
              <w:adjustRightInd w:val="0"/>
              <w:rPr>
                <w:rFonts w:eastAsiaTheme="minorEastAsia"/>
                <w:sz w:val="24"/>
                <w:szCs w:val="24"/>
                <w:lang w:eastAsia="da-DK"/>
              </w:rPr>
            </w:pPr>
            <w:r>
              <w:rPr>
                <w:rFonts w:eastAsiaTheme="minorEastAsia"/>
                <w:sz w:val="24"/>
                <w:szCs w:val="24"/>
                <w:lang w:eastAsia="da-DK"/>
              </w:rPr>
              <w:t>Angst</w:t>
            </w:r>
          </w:p>
          <w:p w14:paraId="48ED1199" w14:textId="77777777" w:rsidR="006112A2" w:rsidRDefault="006112A2">
            <w:pPr>
              <w:tabs>
                <w:tab w:val="left" w:pos="567"/>
              </w:tabs>
              <w:autoSpaceDE w:val="0"/>
              <w:autoSpaceDN w:val="0"/>
              <w:adjustRightInd w:val="0"/>
              <w:rPr>
                <w:rFonts w:eastAsiaTheme="minorEastAsia"/>
                <w:sz w:val="24"/>
                <w:szCs w:val="24"/>
                <w:lang w:eastAsia="da-DK"/>
              </w:rPr>
            </w:pPr>
            <w:r>
              <w:rPr>
                <w:rFonts w:eastAsiaTheme="minorEastAsia"/>
                <w:sz w:val="24"/>
                <w:szCs w:val="24"/>
                <w:lang w:eastAsia="da-DK"/>
              </w:rPr>
              <w:t>Konfusion</w:t>
            </w:r>
          </w:p>
        </w:tc>
      </w:tr>
      <w:tr w:rsidR="006112A2" w14:paraId="2D9CADE6" w14:textId="77777777" w:rsidTr="006112A2">
        <w:tc>
          <w:tcPr>
            <w:tcW w:w="1858" w:type="dxa"/>
            <w:tcBorders>
              <w:top w:val="single" w:sz="4" w:space="0" w:color="auto"/>
              <w:left w:val="single" w:sz="4" w:space="0" w:color="auto"/>
              <w:bottom w:val="single" w:sz="4" w:space="0" w:color="auto"/>
              <w:right w:val="single" w:sz="4" w:space="0" w:color="auto"/>
            </w:tcBorders>
          </w:tcPr>
          <w:p w14:paraId="3D5B64A6" w14:textId="77777777" w:rsidR="006112A2" w:rsidRDefault="006112A2">
            <w:pPr>
              <w:tabs>
                <w:tab w:val="left" w:pos="567"/>
              </w:tabs>
              <w:autoSpaceDE w:val="0"/>
              <w:autoSpaceDN w:val="0"/>
              <w:adjustRightInd w:val="0"/>
              <w:rPr>
                <w:rFonts w:eastAsiaTheme="minorEastAsia"/>
                <w:b/>
                <w:sz w:val="24"/>
                <w:szCs w:val="24"/>
                <w:lang w:eastAsia="da-DK"/>
              </w:rPr>
            </w:pPr>
            <w:r>
              <w:rPr>
                <w:rFonts w:eastAsiaTheme="minorEastAsia"/>
                <w:b/>
                <w:sz w:val="24"/>
                <w:szCs w:val="24"/>
                <w:lang w:eastAsia="da-DK"/>
              </w:rPr>
              <w:t>Nervesystemet</w:t>
            </w:r>
          </w:p>
          <w:p w14:paraId="76310573" w14:textId="77777777" w:rsidR="006112A2" w:rsidRDefault="006112A2">
            <w:pPr>
              <w:tabs>
                <w:tab w:val="left" w:pos="567"/>
              </w:tabs>
              <w:autoSpaceDE w:val="0"/>
              <w:autoSpaceDN w:val="0"/>
              <w:adjustRightInd w:val="0"/>
              <w:rPr>
                <w:rFonts w:eastAsiaTheme="minorEastAsia"/>
                <w:b/>
                <w:sz w:val="24"/>
                <w:szCs w:val="24"/>
                <w:lang w:eastAsia="da-DK"/>
              </w:rPr>
            </w:pPr>
          </w:p>
        </w:tc>
        <w:tc>
          <w:tcPr>
            <w:tcW w:w="1540" w:type="dxa"/>
            <w:tcBorders>
              <w:top w:val="single" w:sz="4" w:space="0" w:color="auto"/>
              <w:left w:val="single" w:sz="4" w:space="0" w:color="auto"/>
              <w:bottom w:val="single" w:sz="4" w:space="0" w:color="auto"/>
              <w:right w:val="single" w:sz="4" w:space="0" w:color="auto"/>
            </w:tcBorders>
          </w:tcPr>
          <w:p w14:paraId="51AB021D" w14:textId="77777777" w:rsidR="006112A2" w:rsidRDefault="006112A2">
            <w:pPr>
              <w:tabs>
                <w:tab w:val="left" w:pos="567"/>
              </w:tabs>
              <w:autoSpaceDE w:val="0"/>
              <w:autoSpaceDN w:val="0"/>
              <w:adjustRightInd w:val="0"/>
              <w:ind w:left="14"/>
              <w:rPr>
                <w:rFonts w:eastAsiaTheme="minorEastAsia"/>
                <w:sz w:val="24"/>
                <w:szCs w:val="24"/>
                <w:lang w:eastAsia="da-DK"/>
              </w:rPr>
            </w:pPr>
          </w:p>
        </w:tc>
        <w:tc>
          <w:tcPr>
            <w:tcW w:w="1700" w:type="dxa"/>
            <w:tcBorders>
              <w:top w:val="single" w:sz="4" w:space="0" w:color="auto"/>
              <w:left w:val="single" w:sz="4" w:space="0" w:color="auto"/>
              <w:bottom w:val="single" w:sz="4" w:space="0" w:color="auto"/>
              <w:right w:val="single" w:sz="4" w:space="0" w:color="auto"/>
            </w:tcBorders>
            <w:hideMark/>
          </w:tcPr>
          <w:p w14:paraId="287CFDC2" w14:textId="77777777" w:rsidR="006112A2" w:rsidRDefault="006112A2">
            <w:pPr>
              <w:tabs>
                <w:tab w:val="left" w:pos="567"/>
              </w:tabs>
              <w:autoSpaceDE w:val="0"/>
              <w:autoSpaceDN w:val="0"/>
              <w:adjustRightInd w:val="0"/>
              <w:rPr>
                <w:rFonts w:eastAsiaTheme="minorEastAsia"/>
                <w:sz w:val="24"/>
                <w:szCs w:val="24"/>
                <w:lang w:eastAsia="da-DK"/>
              </w:rPr>
            </w:pPr>
            <w:r>
              <w:rPr>
                <w:rFonts w:eastAsiaTheme="minorEastAsia"/>
                <w:sz w:val="24"/>
                <w:szCs w:val="24"/>
                <w:lang w:eastAsia="da-DK"/>
              </w:rPr>
              <w:t>Paræstesier</w:t>
            </w:r>
          </w:p>
          <w:p w14:paraId="5E1FD28B" w14:textId="77777777" w:rsidR="006112A2" w:rsidRDefault="006112A2">
            <w:pPr>
              <w:tabs>
                <w:tab w:val="left" w:pos="567"/>
              </w:tabs>
              <w:autoSpaceDE w:val="0"/>
              <w:autoSpaceDN w:val="0"/>
              <w:adjustRightInd w:val="0"/>
              <w:rPr>
                <w:rFonts w:eastAsiaTheme="minorEastAsia"/>
                <w:sz w:val="24"/>
                <w:szCs w:val="24"/>
                <w:lang w:eastAsia="da-DK"/>
              </w:rPr>
            </w:pPr>
            <w:r>
              <w:rPr>
                <w:rFonts w:eastAsiaTheme="minorEastAsia"/>
                <w:sz w:val="24"/>
                <w:szCs w:val="24"/>
                <w:lang w:eastAsia="da-DK"/>
              </w:rPr>
              <w:t>Paræstesier i hovedbunden</w:t>
            </w:r>
          </w:p>
          <w:p w14:paraId="05DCFAE3" w14:textId="77777777" w:rsidR="006112A2" w:rsidRDefault="006112A2">
            <w:pPr>
              <w:tabs>
                <w:tab w:val="left" w:pos="567"/>
              </w:tabs>
              <w:autoSpaceDE w:val="0"/>
              <w:autoSpaceDN w:val="0"/>
              <w:adjustRightInd w:val="0"/>
              <w:rPr>
                <w:rFonts w:eastAsiaTheme="minorEastAsia"/>
                <w:sz w:val="24"/>
                <w:szCs w:val="24"/>
                <w:lang w:eastAsia="da-DK"/>
              </w:rPr>
            </w:pPr>
            <w:r>
              <w:rPr>
                <w:rFonts w:eastAsiaTheme="minorEastAsia"/>
                <w:sz w:val="24"/>
                <w:szCs w:val="24"/>
                <w:lang w:eastAsia="da-DK"/>
              </w:rPr>
              <w:t>Hovedpine</w:t>
            </w:r>
          </w:p>
        </w:tc>
        <w:tc>
          <w:tcPr>
            <w:tcW w:w="1560" w:type="dxa"/>
            <w:tcBorders>
              <w:top w:val="single" w:sz="4" w:space="0" w:color="auto"/>
              <w:left w:val="single" w:sz="4" w:space="0" w:color="auto"/>
              <w:bottom w:val="single" w:sz="4" w:space="0" w:color="auto"/>
              <w:right w:val="single" w:sz="4" w:space="0" w:color="auto"/>
            </w:tcBorders>
            <w:hideMark/>
          </w:tcPr>
          <w:p w14:paraId="09918885" w14:textId="77777777" w:rsidR="006112A2" w:rsidRDefault="006112A2">
            <w:pPr>
              <w:tabs>
                <w:tab w:val="left" w:pos="567"/>
              </w:tabs>
              <w:autoSpaceDE w:val="0"/>
              <w:autoSpaceDN w:val="0"/>
              <w:adjustRightInd w:val="0"/>
              <w:rPr>
                <w:rFonts w:eastAsiaTheme="minorEastAsia"/>
                <w:sz w:val="24"/>
                <w:szCs w:val="24"/>
                <w:lang w:eastAsia="da-DK"/>
              </w:rPr>
            </w:pPr>
            <w:r>
              <w:rPr>
                <w:rFonts w:eastAsiaTheme="minorEastAsia"/>
                <w:sz w:val="24"/>
                <w:szCs w:val="24"/>
                <w:lang w:eastAsia="da-DK"/>
              </w:rPr>
              <w:t>Rastløshed</w:t>
            </w:r>
          </w:p>
          <w:p w14:paraId="2F2F16AE" w14:textId="77777777" w:rsidR="006112A2" w:rsidRDefault="006112A2">
            <w:pPr>
              <w:tabs>
                <w:tab w:val="left" w:pos="567"/>
              </w:tabs>
              <w:autoSpaceDE w:val="0"/>
              <w:autoSpaceDN w:val="0"/>
              <w:adjustRightInd w:val="0"/>
              <w:rPr>
                <w:rFonts w:eastAsiaTheme="minorEastAsia"/>
                <w:sz w:val="24"/>
                <w:szCs w:val="24"/>
                <w:lang w:eastAsia="da-DK"/>
              </w:rPr>
            </w:pPr>
            <w:r>
              <w:rPr>
                <w:rFonts w:eastAsiaTheme="minorEastAsia"/>
                <w:sz w:val="24"/>
                <w:szCs w:val="24"/>
                <w:lang w:eastAsia="da-DK"/>
              </w:rPr>
              <w:t>Ekscitation</w:t>
            </w:r>
          </w:p>
          <w:p w14:paraId="3C85EC2D" w14:textId="77777777" w:rsidR="006112A2" w:rsidRDefault="006112A2">
            <w:pPr>
              <w:tabs>
                <w:tab w:val="left" w:pos="567"/>
              </w:tabs>
              <w:autoSpaceDE w:val="0"/>
              <w:autoSpaceDN w:val="0"/>
              <w:adjustRightInd w:val="0"/>
              <w:rPr>
                <w:rFonts w:eastAsiaTheme="minorEastAsia"/>
                <w:sz w:val="24"/>
                <w:szCs w:val="24"/>
                <w:lang w:eastAsia="da-DK"/>
              </w:rPr>
            </w:pPr>
            <w:r>
              <w:rPr>
                <w:rFonts w:eastAsiaTheme="minorEastAsia"/>
                <w:sz w:val="24"/>
                <w:szCs w:val="24"/>
                <w:lang w:eastAsia="da-DK"/>
              </w:rPr>
              <w:t xml:space="preserve">Irritabilitet  </w:t>
            </w:r>
          </w:p>
        </w:tc>
        <w:tc>
          <w:tcPr>
            <w:tcW w:w="1559" w:type="dxa"/>
            <w:tcBorders>
              <w:top w:val="single" w:sz="4" w:space="0" w:color="auto"/>
              <w:left w:val="single" w:sz="4" w:space="0" w:color="auto"/>
              <w:bottom w:val="single" w:sz="4" w:space="0" w:color="auto"/>
              <w:right w:val="single" w:sz="4" w:space="0" w:color="auto"/>
            </w:tcBorders>
          </w:tcPr>
          <w:p w14:paraId="78C24174" w14:textId="77777777" w:rsidR="006112A2" w:rsidRDefault="006112A2">
            <w:pPr>
              <w:tabs>
                <w:tab w:val="left" w:pos="567"/>
              </w:tabs>
              <w:autoSpaceDE w:val="0"/>
              <w:autoSpaceDN w:val="0"/>
              <w:adjustRightInd w:val="0"/>
              <w:rPr>
                <w:rFonts w:eastAsiaTheme="minorEastAsia"/>
                <w:sz w:val="24"/>
                <w:szCs w:val="24"/>
                <w:lang w:eastAsia="da-DK"/>
              </w:rPr>
            </w:pPr>
          </w:p>
        </w:tc>
        <w:tc>
          <w:tcPr>
            <w:tcW w:w="1417" w:type="dxa"/>
            <w:tcBorders>
              <w:top w:val="single" w:sz="4" w:space="0" w:color="auto"/>
              <w:left w:val="single" w:sz="4" w:space="0" w:color="auto"/>
              <w:bottom w:val="single" w:sz="4" w:space="0" w:color="auto"/>
              <w:right w:val="single" w:sz="4" w:space="0" w:color="auto"/>
            </w:tcBorders>
          </w:tcPr>
          <w:p w14:paraId="4F55E771" w14:textId="77777777" w:rsidR="006112A2" w:rsidRDefault="006112A2">
            <w:pPr>
              <w:tabs>
                <w:tab w:val="left" w:pos="567"/>
              </w:tabs>
              <w:autoSpaceDE w:val="0"/>
              <w:autoSpaceDN w:val="0"/>
              <w:adjustRightInd w:val="0"/>
              <w:rPr>
                <w:rFonts w:eastAsiaTheme="minorEastAsia"/>
                <w:sz w:val="24"/>
                <w:szCs w:val="24"/>
                <w:lang w:eastAsia="da-DK"/>
              </w:rPr>
            </w:pPr>
          </w:p>
        </w:tc>
      </w:tr>
      <w:tr w:rsidR="006112A2" w14:paraId="2EA26520" w14:textId="77777777" w:rsidTr="006112A2">
        <w:tc>
          <w:tcPr>
            <w:tcW w:w="1858" w:type="dxa"/>
            <w:tcBorders>
              <w:top w:val="single" w:sz="4" w:space="0" w:color="auto"/>
              <w:left w:val="single" w:sz="4" w:space="0" w:color="auto"/>
              <w:bottom w:val="single" w:sz="4" w:space="0" w:color="auto"/>
              <w:right w:val="single" w:sz="4" w:space="0" w:color="auto"/>
            </w:tcBorders>
          </w:tcPr>
          <w:p w14:paraId="6EC80DD8" w14:textId="77777777" w:rsidR="006112A2" w:rsidRDefault="006112A2">
            <w:pPr>
              <w:tabs>
                <w:tab w:val="left" w:pos="567"/>
              </w:tabs>
              <w:autoSpaceDE w:val="0"/>
              <w:autoSpaceDN w:val="0"/>
              <w:adjustRightInd w:val="0"/>
              <w:rPr>
                <w:rFonts w:eastAsiaTheme="minorEastAsia"/>
                <w:b/>
                <w:sz w:val="24"/>
                <w:szCs w:val="24"/>
                <w:lang w:eastAsia="da-DK"/>
              </w:rPr>
            </w:pPr>
            <w:r>
              <w:rPr>
                <w:rFonts w:eastAsiaTheme="minorEastAsia"/>
                <w:b/>
                <w:sz w:val="24"/>
                <w:szCs w:val="24"/>
                <w:lang w:eastAsia="da-DK"/>
              </w:rPr>
              <w:t>Hjerte</w:t>
            </w:r>
          </w:p>
          <w:p w14:paraId="0BC807A4" w14:textId="77777777" w:rsidR="006112A2" w:rsidRDefault="006112A2">
            <w:pPr>
              <w:tabs>
                <w:tab w:val="left" w:pos="567"/>
              </w:tabs>
              <w:autoSpaceDE w:val="0"/>
              <w:autoSpaceDN w:val="0"/>
              <w:adjustRightInd w:val="0"/>
              <w:rPr>
                <w:rFonts w:eastAsiaTheme="minorEastAsia"/>
                <w:b/>
                <w:sz w:val="24"/>
                <w:szCs w:val="24"/>
                <w:lang w:eastAsia="da-DK"/>
              </w:rPr>
            </w:pPr>
          </w:p>
        </w:tc>
        <w:tc>
          <w:tcPr>
            <w:tcW w:w="1540" w:type="dxa"/>
            <w:tcBorders>
              <w:top w:val="single" w:sz="4" w:space="0" w:color="auto"/>
              <w:left w:val="single" w:sz="4" w:space="0" w:color="auto"/>
              <w:bottom w:val="single" w:sz="4" w:space="0" w:color="auto"/>
              <w:right w:val="single" w:sz="4" w:space="0" w:color="auto"/>
            </w:tcBorders>
          </w:tcPr>
          <w:p w14:paraId="13D9CEE9" w14:textId="77777777" w:rsidR="006112A2" w:rsidRDefault="006112A2">
            <w:pPr>
              <w:tabs>
                <w:tab w:val="left" w:pos="567"/>
              </w:tabs>
              <w:autoSpaceDE w:val="0"/>
              <w:autoSpaceDN w:val="0"/>
              <w:adjustRightInd w:val="0"/>
              <w:ind w:left="14"/>
              <w:rPr>
                <w:rFonts w:eastAsiaTheme="minorEastAsia"/>
                <w:sz w:val="24"/>
                <w:szCs w:val="24"/>
                <w:lang w:eastAsia="da-DK"/>
              </w:rPr>
            </w:pPr>
          </w:p>
        </w:tc>
        <w:tc>
          <w:tcPr>
            <w:tcW w:w="1700" w:type="dxa"/>
            <w:tcBorders>
              <w:top w:val="single" w:sz="4" w:space="0" w:color="auto"/>
              <w:left w:val="single" w:sz="4" w:space="0" w:color="auto"/>
              <w:bottom w:val="single" w:sz="4" w:space="0" w:color="auto"/>
              <w:right w:val="single" w:sz="4" w:space="0" w:color="auto"/>
            </w:tcBorders>
          </w:tcPr>
          <w:p w14:paraId="25E37A31" w14:textId="77777777" w:rsidR="006112A2" w:rsidRDefault="006112A2">
            <w:pPr>
              <w:tabs>
                <w:tab w:val="left" w:pos="567"/>
              </w:tabs>
              <w:autoSpaceDE w:val="0"/>
              <w:autoSpaceDN w:val="0"/>
              <w:adjustRightInd w:val="0"/>
              <w:rPr>
                <w:rFonts w:eastAsiaTheme="minorEastAsia"/>
                <w:sz w:val="24"/>
                <w:szCs w:val="24"/>
                <w:lang w:eastAsia="da-DK"/>
              </w:rPr>
            </w:pPr>
          </w:p>
        </w:tc>
        <w:tc>
          <w:tcPr>
            <w:tcW w:w="1560" w:type="dxa"/>
            <w:tcBorders>
              <w:top w:val="single" w:sz="4" w:space="0" w:color="auto"/>
              <w:left w:val="single" w:sz="4" w:space="0" w:color="auto"/>
              <w:bottom w:val="single" w:sz="4" w:space="0" w:color="auto"/>
              <w:right w:val="single" w:sz="4" w:space="0" w:color="auto"/>
            </w:tcBorders>
            <w:hideMark/>
          </w:tcPr>
          <w:p w14:paraId="22D37076" w14:textId="77777777" w:rsidR="006112A2" w:rsidRDefault="006112A2">
            <w:pPr>
              <w:tabs>
                <w:tab w:val="left" w:pos="567"/>
              </w:tabs>
              <w:autoSpaceDE w:val="0"/>
              <w:autoSpaceDN w:val="0"/>
              <w:adjustRightInd w:val="0"/>
              <w:rPr>
                <w:rFonts w:eastAsiaTheme="minorEastAsia"/>
                <w:sz w:val="24"/>
                <w:szCs w:val="24"/>
                <w:lang w:eastAsia="da-DK"/>
              </w:rPr>
            </w:pPr>
            <w:r>
              <w:rPr>
                <w:rFonts w:eastAsiaTheme="minorEastAsia"/>
                <w:sz w:val="24"/>
                <w:szCs w:val="24"/>
                <w:lang w:eastAsia="da-DK"/>
              </w:rPr>
              <w:t>Refleksbrady-</w:t>
            </w:r>
            <w:r>
              <w:rPr>
                <w:rFonts w:eastAsiaTheme="minorEastAsia"/>
                <w:sz w:val="24"/>
                <w:szCs w:val="24"/>
                <w:lang w:eastAsia="da-DK"/>
              </w:rPr>
              <w:softHyphen/>
              <w:t>kardi</w:t>
            </w:r>
          </w:p>
        </w:tc>
        <w:tc>
          <w:tcPr>
            <w:tcW w:w="1559" w:type="dxa"/>
            <w:tcBorders>
              <w:top w:val="single" w:sz="4" w:space="0" w:color="auto"/>
              <w:left w:val="single" w:sz="4" w:space="0" w:color="auto"/>
              <w:bottom w:val="single" w:sz="4" w:space="0" w:color="auto"/>
              <w:right w:val="single" w:sz="4" w:space="0" w:color="auto"/>
            </w:tcBorders>
            <w:hideMark/>
          </w:tcPr>
          <w:p w14:paraId="248E1D5C" w14:textId="77777777" w:rsidR="006112A2" w:rsidRDefault="006112A2">
            <w:pPr>
              <w:tabs>
                <w:tab w:val="left" w:pos="567"/>
              </w:tabs>
              <w:autoSpaceDE w:val="0"/>
              <w:autoSpaceDN w:val="0"/>
              <w:adjustRightInd w:val="0"/>
              <w:rPr>
                <w:rFonts w:eastAsiaTheme="minorEastAsia"/>
                <w:sz w:val="24"/>
                <w:szCs w:val="24"/>
                <w:lang w:eastAsia="da-DK"/>
              </w:rPr>
            </w:pPr>
            <w:r>
              <w:rPr>
                <w:rFonts w:eastAsiaTheme="minorEastAsia"/>
                <w:sz w:val="24"/>
                <w:szCs w:val="24"/>
                <w:lang w:eastAsia="da-DK"/>
              </w:rPr>
              <w:t>Takykardi</w:t>
            </w:r>
          </w:p>
          <w:p w14:paraId="7B0918A0" w14:textId="77777777" w:rsidR="006112A2" w:rsidRDefault="006112A2">
            <w:pPr>
              <w:tabs>
                <w:tab w:val="left" w:pos="567"/>
              </w:tabs>
              <w:autoSpaceDE w:val="0"/>
              <w:autoSpaceDN w:val="0"/>
              <w:adjustRightInd w:val="0"/>
              <w:rPr>
                <w:rFonts w:eastAsiaTheme="minorEastAsia"/>
                <w:sz w:val="24"/>
                <w:szCs w:val="24"/>
                <w:lang w:eastAsia="da-DK"/>
              </w:rPr>
            </w:pPr>
            <w:r>
              <w:rPr>
                <w:rFonts w:eastAsiaTheme="minorEastAsia"/>
                <w:sz w:val="24"/>
                <w:szCs w:val="24"/>
                <w:lang w:eastAsia="da-DK"/>
              </w:rPr>
              <w:t>Palpitationer</w:t>
            </w:r>
          </w:p>
        </w:tc>
        <w:tc>
          <w:tcPr>
            <w:tcW w:w="1417" w:type="dxa"/>
            <w:tcBorders>
              <w:top w:val="single" w:sz="4" w:space="0" w:color="auto"/>
              <w:left w:val="single" w:sz="4" w:space="0" w:color="auto"/>
              <w:bottom w:val="single" w:sz="4" w:space="0" w:color="auto"/>
              <w:right w:val="single" w:sz="4" w:space="0" w:color="auto"/>
            </w:tcBorders>
          </w:tcPr>
          <w:p w14:paraId="2702B9E6" w14:textId="77777777" w:rsidR="006112A2" w:rsidRDefault="006112A2">
            <w:pPr>
              <w:tabs>
                <w:tab w:val="left" w:pos="567"/>
              </w:tabs>
              <w:autoSpaceDE w:val="0"/>
              <w:autoSpaceDN w:val="0"/>
              <w:adjustRightInd w:val="0"/>
              <w:rPr>
                <w:rFonts w:eastAsiaTheme="minorEastAsia"/>
                <w:sz w:val="24"/>
                <w:szCs w:val="24"/>
                <w:lang w:eastAsia="da-DK"/>
              </w:rPr>
            </w:pPr>
          </w:p>
        </w:tc>
      </w:tr>
      <w:tr w:rsidR="006112A2" w14:paraId="35DEE1DC" w14:textId="77777777" w:rsidTr="006112A2">
        <w:tc>
          <w:tcPr>
            <w:tcW w:w="1858" w:type="dxa"/>
            <w:tcBorders>
              <w:top w:val="single" w:sz="4" w:space="0" w:color="auto"/>
              <w:left w:val="single" w:sz="4" w:space="0" w:color="auto"/>
              <w:bottom w:val="single" w:sz="4" w:space="0" w:color="auto"/>
              <w:right w:val="single" w:sz="4" w:space="0" w:color="auto"/>
            </w:tcBorders>
          </w:tcPr>
          <w:p w14:paraId="270E5BC9" w14:textId="77777777" w:rsidR="006112A2" w:rsidRDefault="006112A2">
            <w:pPr>
              <w:tabs>
                <w:tab w:val="left" w:pos="567"/>
              </w:tabs>
              <w:autoSpaceDE w:val="0"/>
              <w:autoSpaceDN w:val="0"/>
              <w:adjustRightInd w:val="0"/>
              <w:rPr>
                <w:rFonts w:eastAsiaTheme="minorEastAsia"/>
                <w:b/>
                <w:sz w:val="24"/>
                <w:szCs w:val="24"/>
                <w:lang w:eastAsia="da-DK"/>
              </w:rPr>
            </w:pPr>
            <w:r>
              <w:rPr>
                <w:rFonts w:eastAsiaTheme="minorEastAsia"/>
                <w:b/>
                <w:sz w:val="24"/>
                <w:szCs w:val="24"/>
                <w:lang w:eastAsia="da-DK"/>
              </w:rPr>
              <w:lastRenderedPageBreak/>
              <w:t>Vaskulære sygdomme</w:t>
            </w:r>
          </w:p>
          <w:p w14:paraId="6CE3FBB8" w14:textId="77777777" w:rsidR="006112A2" w:rsidRDefault="006112A2">
            <w:pPr>
              <w:tabs>
                <w:tab w:val="left" w:pos="567"/>
              </w:tabs>
              <w:autoSpaceDE w:val="0"/>
              <w:autoSpaceDN w:val="0"/>
              <w:adjustRightInd w:val="0"/>
              <w:rPr>
                <w:rFonts w:eastAsiaTheme="minorEastAsia"/>
                <w:b/>
                <w:sz w:val="24"/>
                <w:szCs w:val="24"/>
                <w:lang w:eastAsia="da-DK"/>
              </w:rPr>
            </w:pPr>
          </w:p>
        </w:tc>
        <w:tc>
          <w:tcPr>
            <w:tcW w:w="1540" w:type="dxa"/>
            <w:tcBorders>
              <w:top w:val="single" w:sz="4" w:space="0" w:color="auto"/>
              <w:left w:val="single" w:sz="4" w:space="0" w:color="auto"/>
              <w:bottom w:val="single" w:sz="4" w:space="0" w:color="auto"/>
              <w:right w:val="single" w:sz="4" w:space="0" w:color="auto"/>
            </w:tcBorders>
          </w:tcPr>
          <w:p w14:paraId="013CA98C" w14:textId="77777777" w:rsidR="006112A2" w:rsidRDefault="006112A2">
            <w:pPr>
              <w:tabs>
                <w:tab w:val="left" w:pos="567"/>
              </w:tabs>
              <w:autoSpaceDE w:val="0"/>
              <w:autoSpaceDN w:val="0"/>
              <w:adjustRightInd w:val="0"/>
              <w:ind w:left="14"/>
              <w:rPr>
                <w:rFonts w:eastAsiaTheme="minorEastAsia"/>
                <w:sz w:val="24"/>
                <w:szCs w:val="24"/>
                <w:lang w:eastAsia="da-DK"/>
              </w:rPr>
            </w:pPr>
          </w:p>
        </w:tc>
        <w:tc>
          <w:tcPr>
            <w:tcW w:w="1700" w:type="dxa"/>
            <w:tcBorders>
              <w:top w:val="single" w:sz="4" w:space="0" w:color="auto"/>
              <w:left w:val="single" w:sz="4" w:space="0" w:color="auto"/>
              <w:bottom w:val="single" w:sz="4" w:space="0" w:color="auto"/>
              <w:right w:val="single" w:sz="4" w:space="0" w:color="auto"/>
            </w:tcBorders>
            <w:hideMark/>
          </w:tcPr>
          <w:p w14:paraId="0F412253" w14:textId="77777777" w:rsidR="006112A2" w:rsidRDefault="006112A2">
            <w:pPr>
              <w:tabs>
                <w:tab w:val="left" w:pos="567"/>
              </w:tabs>
              <w:autoSpaceDE w:val="0"/>
              <w:autoSpaceDN w:val="0"/>
              <w:adjustRightInd w:val="0"/>
              <w:rPr>
                <w:rFonts w:eastAsiaTheme="minorEastAsia"/>
                <w:sz w:val="24"/>
                <w:szCs w:val="24"/>
                <w:lang w:eastAsia="da-DK"/>
              </w:rPr>
            </w:pPr>
            <w:r>
              <w:rPr>
                <w:rFonts w:eastAsiaTheme="minorEastAsia"/>
                <w:sz w:val="24"/>
                <w:szCs w:val="24"/>
                <w:lang w:eastAsia="da-DK"/>
              </w:rPr>
              <w:t>Hypertension i liggende stilling (dosisafhæn</w:t>
            </w:r>
            <w:r>
              <w:rPr>
                <w:rFonts w:eastAsiaTheme="minorEastAsia"/>
                <w:sz w:val="24"/>
                <w:szCs w:val="24"/>
                <w:lang w:eastAsia="da-DK"/>
              </w:rPr>
              <w:softHyphen/>
              <w:t>gig virkning)</w:t>
            </w:r>
          </w:p>
        </w:tc>
        <w:tc>
          <w:tcPr>
            <w:tcW w:w="1560" w:type="dxa"/>
            <w:tcBorders>
              <w:top w:val="single" w:sz="4" w:space="0" w:color="auto"/>
              <w:left w:val="single" w:sz="4" w:space="0" w:color="auto"/>
              <w:bottom w:val="single" w:sz="4" w:space="0" w:color="auto"/>
              <w:right w:val="single" w:sz="4" w:space="0" w:color="auto"/>
            </w:tcBorders>
          </w:tcPr>
          <w:p w14:paraId="50CE820D" w14:textId="77777777" w:rsidR="006112A2" w:rsidRDefault="006112A2">
            <w:pPr>
              <w:tabs>
                <w:tab w:val="left" w:pos="567"/>
              </w:tabs>
              <w:autoSpaceDE w:val="0"/>
              <w:autoSpaceDN w:val="0"/>
              <w:adjustRightInd w:val="0"/>
              <w:rPr>
                <w:rFonts w:eastAsiaTheme="minorEastAsia"/>
                <w:sz w:val="24"/>
                <w:szCs w:val="24"/>
                <w:lang w:eastAsia="da-DK"/>
              </w:rPr>
            </w:pPr>
          </w:p>
        </w:tc>
        <w:tc>
          <w:tcPr>
            <w:tcW w:w="1559" w:type="dxa"/>
            <w:tcBorders>
              <w:top w:val="single" w:sz="4" w:space="0" w:color="auto"/>
              <w:left w:val="single" w:sz="4" w:space="0" w:color="auto"/>
              <w:bottom w:val="single" w:sz="4" w:space="0" w:color="auto"/>
              <w:right w:val="single" w:sz="4" w:space="0" w:color="auto"/>
            </w:tcBorders>
          </w:tcPr>
          <w:p w14:paraId="1D5FFF09" w14:textId="77777777" w:rsidR="006112A2" w:rsidRDefault="006112A2">
            <w:pPr>
              <w:tabs>
                <w:tab w:val="left" w:pos="567"/>
              </w:tabs>
              <w:autoSpaceDE w:val="0"/>
              <w:autoSpaceDN w:val="0"/>
              <w:adjustRightInd w:val="0"/>
              <w:rPr>
                <w:rFonts w:eastAsiaTheme="minorEastAsia"/>
                <w:sz w:val="24"/>
                <w:szCs w:val="24"/>
                <w:lang w:eastAsia="da-DK"/>
              </w:rPr>
            </w:pPr>
          </w:p>
        </w:tc>
        <w:tc>
          <w:tcPr>
            <w:tcW w:w="1417" w:type="dxa"/>
            <w:tcBorders>
              <w:top w:val="single" w:sz="4" w:space="0" w:color="auto"/>
              <w:left w:val="single" w:sz="4" w:space="0" w:color="auto"/>
              <w:bottom w:val="single" w:sz="4" w:space="0" w:color="auto"/>
              <w:right w:val="single" w:sz="4" w:space="0" w:color="auto"/>
            </w:tcBorders>
          </w:tcPr>
          <w:p w14:paraId="06C7B106" w14:textId="77777777" w:rsidR="006112A2" w:rsidRDefault="006112A2">
            <w:pPr>
              <w:tabs>
                <w:tab w:val="left" w:pos="567"/>
              </w:tabs>
              <w:autoSpaceDE w:val="0"/>
              <w:autoSpaceDN w:val="0"/>
              <w:adjustRightInd w:val="0"/>
              <w:rPr>
                <w:rFonts w:eastAsiaTheme="minorEastAsia"/>
                <w:sz w:val="24"/>
                <w:szCs w:val="24"/>
                <w:lang w:eastAsia="da-DK"/>
              </w:rPr>
            </w:pPr>
          </w:p>
        </w:tc>
      </w:tr>
      <w:tr w:rsidR="006112A2" w14:paraId="51BEDBDE" w14:textId="77777777" w:rsidTr="006112A2">
        <w:tc>
          <w:tcPr>
            <w:tcW w:w="1858" w:type="dxa"/>
            <w:tcBorders>
              <w:top w:val="single" w:sz="4" w:space="0" w:color="auto"/>
              <w:left w:val="single" w:sz="4" w:space="0" w:color="auto"/>
              <w:bottom w:val="single" w:sz="4" w:space="0" w:color="auto"/>
              <w:right w:val="single" w:sz="4" w:space="0" w:color="auto"/>
            </w:tcBorders>
          </w:tcPr>
          <w:p w14:paraId="428B94FB" w14:textId="77777777" w:rsidR="006112A2" w:rsidRDefault="006112A2">
            <w:pPr>
              <w:tabs>
                <w:tab w:val="left" w:pos="567"/>
              </w:tabs>
              <w:autoSpaceDE w:val="0"/>
              <w:autoSpaceDN w:val="0"/>
              <w:adjustRightInd w:val="0"/>
              <w:rPr>
                <w:rFonts w:eastAsiaTheme="minorEastAsia"/>
                <w:b/>
                <w:sz w:val="24"/>
                <w:szCs w:val="24"/>
                <w:lang w:eastAsia="da-DK"/>
              </w:rPr>
            </w:pPr>
            <w:r>
              <w:rPr>
                <w:rFonts w:eastAsiaTheme="minorEastAsia"/>
                <w:b/>
                <w:sz w:val="24"/>
                <w:szCs w:val="24"/>
                <w:lang w:eastAsia="da-DK"/>
              </w:rPr>
              <w:t>Mave-tarm-kanalen</w:t>
            </w:r>
          </w:p>
          <w:p w14:paraId="7FDF35C6" w14:textId="77777777" w:rsidR="006112A2" w:rsidRDefault="006112A2">
            <w:pPr>
              <w:tabs>
                <w:tab w:val="left" w:pos="567"/>
              </w:tabs>
              <w:autoSpaceDE w:val="0"/>
              <w:autoSpaceDN w:val="0"/>
              <w:adjustRightInd w:val="0"/>
              <w:rPr>
                <w:rFonts w:eastAsiaTheme="minorEastAsia"/>
                <w:b/>
                <w:sz w:val="24"/>
                <w:szCs w:val="24"/>
                <w:lang w:eastAsia="da-DK"/>
              </w:rPr>
            </w:pPr>
          </w:p>
        </w:tc>
        <w:tc>
          <w:tcPr>
            <w:tcW w:w="1540" w:type="dxa"/>
            <w:tcBorders>
              <w:top w:val="single" w:sz="4" w:space="0" w:color="auto"/>
              <w:left w:val="single" w:sz="4" w:space="0" w:color="auto"/>
              <w:bottom w:val="single" w:sz="4" w:space="0" w:color="auto"/>
              <w:right w:val="single" w:sz="4" w:space="0" w:color="auto"/>
            </w:tcBorders>
          </w:tcPr>
          <w:p w14:paraId="311EEFE8" w14:textId="77777777" w:rsidR="006112A2" w:rsidRDefault="006112A2">
            <w:pPr>
              <w:tabs>
                <w:tab w:val="left" w:pos="567"/>
              </w:tabs>
              <w:autoSpaceDE w:val="0"/>
              <w:autoSpaceDN w:val="0"/>
              <w:adjustRightInd w:val="0"/>
              <w:ind w:left="14"/>
              <w:rPr>
                <w:rFonts w:eastAsiaTheme="minorEastAsia"/>
                <w:sz w:val="24"/>
                <w:szCs w:val="24"/>
                <w:lang w:eastAsia="da-DK"/>
              </w:rPr>
            </w:pPr>
          </w:p>
        </w:tc>
        <w:tc>
          <w:tcPr>
            <w:tcW w:w="1700" w:type="dxa"/>
            <w:tcBorders>
              <w:top w:val="single" w:sz="4" w:space="0" w:color="auto"/>
              <w:left w:val="single" w:sz="4" w:space="0" w:color="auto"/>
              <w:bottom w:val="single" w:sz="4" w:space="0" w:color="auto"/>
              <w:right w:val="single" w:sz="4" w:space="0" w:color="auto"/>
            </w:tcBorders>
            <w:hideMark/>
          </w:tcPr>
          <w:p w14:paraId="0AE65E3E" w14:textId="77777777" w:rsidR="006112A2" w:rsidRDefault="006112A2">
            <w:pPr>
              <w:tabs>
                <w:tab w:val="left" w:pos="567"/>
              </w:tabs>
              <w:autoSpaceDE w:val="0"/>
              <w:autoSpaceDN w:val="0"/>
              <w:adjustRightInd w:val="0"/>
              <w:rPr>
                <w:rFonts w:eastAsiaTheme="minorEastAsia"/>
                <w:sz w:val="24"/>
                <w:szCs w:val="24"/>
                <w:lang w:eastAsia="da-DK"/>
              </w:rPr>
            </w:pPr>
            <w:r>
              <w:rPr>
                <w:rFonts w:eastAsiaTheme="minorEastAsia"/>
                <w:sz w:val="24"/>
                <w:szCs w:val="24"/>
                <w:lang w:eastAsia="da-DK"/>
              </w:rPr>
              <w:t>Kvalme</w:t>
            </w:r>
          </w:p>
          <w:p w14:paraId="42BA2486" w14:textId="77777777" w:rsidR="006112A2" w:rsidRDefault="006112A2">
            <w:pPr>
              <w:tabs>
                <w:tab w:val="left" w:pos="567"/>
              </w:tabs>
              <w:autoSpaceDE w:val="0"/>
              <w:autoSpaceDN w:val="0"/>
              <w:adjustRightInd w:val="0"/>
              <w:rPr>
                <w:rFonts w:eastAsiaTheme="minorEastAsia"/>
                <w:sz w:val="24"/>
                <w:szCs w:val="24"/>
                <w:lang w:eastAsia="da-DK"/>
              </w:rPr>
            </w:pPr>
            <w:r>
              <w:rPr>
                <w:rFonts w:eastAsiaTheme="minorEastAsia"/>
                <w:sz w:val="24"/>
                <w:szCs w:val="24"/>
                <w:lang w:eastAsia="da-DK"/>
              </w:rPr>
              <w:t>Dyspepsi</w:t>
            </w:r>
          </w:p>
          <w:p w14:paraId="7A1804C3" w14:textId="77777777" w:rsidR="006112A2" w:rsidRDefault="006112A2">
            <w:pPr>
              <w:tabs>
                <w:tab w:val="left" w:pos="567"/>
              </w:tabs>
              <w:autoSpaceDE w:val="0"/>
              <w:autoSpaceDN w:val="0"/>
              <w:adjustRightInd w:val="0"/>
              <w:rPr>
                <w:rFonts w:eastAsiaTheme="minorEastAsia"/>
                <w:sz w:val="24"/>
                <w:szCs w:val="24"/>
                <w:lang w:eastAsia="da-DK"/>
              </w:rPr>
            </w:pPr>
            <w:r>
              <w:rPr>
                <w:rFonts w:eastAsiaTheme="minorEastAsia"/>
                <w:sz w:val="24"/>
                <w:szCs w:val="24"/>
                <w:lang w:eastAsia="da-DK"/>
              </w:rPr>
              <w:t>Stomatitis</w:t>
            </w:r>
          </w:p>
        </w:tc>
        <w:tc>
          <w:tcPr>
            <w:tcW w:w="1560" w:type="dxa"/>
            <w:tcBorders>
              <w:top w:val="single" w:sz="4" w:space="0" w:color="auto"/>
              <w:left w:val="single" w:sz="4" w:space="0" w:color="auto"/>
              <w:bottom w:val="single" w:sz="4" w:space="0" w:color="auto"/>
              <w:right w:val="single" w:sz="4" w:space="0" w:color="auto"/>
            </w:tcBorders>
          </w:tcPr>
          <w:p w14:paraId="067BB61D" w14:textId="77777777" w:rsidR="006112A2" w:rsidRDefault="006112A2">
            <w:pPr>
              <w:tabs>
                <w:tab w:val="left" w:pos="567"/>
              </w:tabs>
              <w:autoSpaceDE w:val="0"/>
              <w:autoSpaceDN w:val="0"/>
              <w:adjustRightInd w:val="0"/>
              <w:rPr>
                <w:rFonts w:eastAsiaTheme="minorEastAsia"/>
                <w:sz w:val="24"/>
                <w:szCs w:val="24"/>
                <w:lang w:eastAsia="da-DK"/>
              </w:rPr>
            </w:pPr>
          </w:p>
        </w:tc>
        <w:tc>
          <w:tcPr>
            <w:tcW w:w="1559" w:type="dxa"/>
            <w:tcBorders>
              <w:top w:val="single" w:sz="4" w:space="0" w:color="auto"/>
              <w:left w:val="single" w:sz="4" w:space="0" w:color="auto"/>
              <w:bottom w:val="single" w:sz="4" w:space="0" w:color="auto"/>
              <w:right w:val="single" w:sz="4" w:space="0" w:color="auto"/>
            </w:tcBorders>
          </w:tcPr>
          <w:p w14:paraId="53062105" w14:textId="77777777" w:rsidR="006112A2" w:rsidRDefault="006112A2">
            <w:pPr>
              <w:tabs>
                <w:tab w:val="left" w:pos="567"/>
              </w:tabs>
              <w:autoSpaceDE w:val="0"/>
              <w:autoSpaceDN w:val="0"/>
              <w:adjustRightInd w:val="0"/>
              <w:rPr>
                <w:rFonts w:eastAsiaTheme="minorEastAsia"/>
                <w:sz w:val="24"/>
                <w:szCs w:val="24"/>
                <w:lang w:eastAsia="da-DK"/>
              </w:rPr>
            </w:pPr>
          </w:p>
        </w:tc>
        <w:tc>
          <w:tcPr>
            <w:tcW w:w="1417" w:type="dxa"/>
            <w:tcBorders>
              <w:top w:val="single" w:sz="4" w:space="0" w:color="auto"/>
              <w:left w:val="single" w:sz="4" w:space="0" w:color="auto"/>
              <w:bottom w:val="single" w:sz="4" w:space="0" w:color="auto"/>
              <w:right w:val="single" w:sz="4" w:space="0" w:color="auto"/>
            </w:tcBorders>
            <w:hideMark/>
          </w:tcPr>
          <w:p w14:paraId="2D2D9648" w14:textId="77777777" w:rsidR="006112A2" w:rsidRDefault="006112A2">
            <w:pPr>
              <w:tabs>
                <w:tab w:val="left" w:pos="567"/>
              </w:tabs>
              <w:autoSpaceDE w:val="0"/>
              <w:autoSpaceDN w:val="0"/>
              <w:adjustRightInd w:val="0"/>
              <w:rPr>
                <w:rFonts w:eastAsiaTheme="minorEastAsia"/>
                <w:sz w:val="24"/>
                <w:szCs w:val="24"/>
                <w:lang w:eastAsia="da-DK"/>
              </w:rPr>
            </w:pPr>
            <w:r>
              <w:rPr>
                <w:rFonts w:eastAsiaTheme="minorEastAsia"/>
                <w:sz w:val="24"/>
                <w:szCs w:val="24"/>
                <w:lang w:eastAsia="da-DK"/>
              </w:rPr>
              <w:t>Abdominal</w:t>
            </w:r>
            <w:r>
              <w:rPr>
                <w:rFonts w:eastAsiaTheme="minorEastAsia"/>
                <w:sz w:val="24"/>
                <w:szCs w:val="24"/>
                <w:lang w:eastAsia="da-DK"/>
              </w:rPr>
              <w:softHyphen/>
              <w:t>smerter</w:t>
            </w:r>
          </w:p>
          <w:p w14:paraId="48EB1D59" w14:textId="77777777" w:rsidR="006112A2" w:rsidRDefault="006112A2">
            <w:pPr>
              <w:tabs>
                <w:tab w:val="left" w:pos="567"/>
              </w:tabs>
              <w:autoSpaceDE w:val="0"/>
              <w:autoSpaceDN w:val="0"/>
              <w:adjustRightInd w:val="0"/>
              <w:rPr>
                <w:rFonts w:eastAsiaTheme="minorEastAsia"/>
                <w:sz w:val="24"/>
                <w:szCs w:val="24"/>
                <w:lang w:eastAsia="da-DK"/>
              </w:rPr>
            </w:pPr>
            <w:r>
              <w:rPr>
                <w:rFonts w:eastAsiaTheme="minorEastAsia"/>
                <w:sz w:val="24"/>
                <w:szCs w:val="24"/>
                <w:lang w:eastAsia="da-DK"/>
              </w:rPr>
              <w:t>Opkastning</w:t>
            </w:r>
          </w:p>
          <w:p w14:paraId="7ED1CD53" w14:textId="77777777" w:rsidR="006112A2" w:rsidRDefault="006112A2">
            <w:pPr>
              <w:tabs>
                <w:tab w:val="left" w:pos="567"/>
              </w:tabs>
              <w:autoSpaceDE w:val="0"/>
              <w:autoSpaceDN w:val="0"/>
              <w:adjustRightInd w:val="0"/>
              <w:rPr>
                <w:rFonts w:eastAsiaTheme="minorEastAsia"/>
                <w:sz w:val="24"/>
                <w:szCs w:val="24"/>
                <w:lang w:eastAsia="da-DK"/>
              </w:rPr>
            </w:pPr>
            <w:r>
              <w:rPr>
                <w:rFonts w:eastAsiaTheme="minorEastAsia"/>
                <w:sz w:val="24"/>
                <w:szCs w:val="24"/>
                <w:lang w:eastAsia="da-DK"/>
              </w:rPr>
              <w:t>Diarré</w:t>
            </w:r>
          </w:p>
        </w:tc>
      </w:tr>
      <w:tr w:rsidR="006112A2" w14:paraId="22DE6E56" w14:textId="77777777" w:rsidTr="006112A2">
        <w:tc>
          <w:tcPr>
            <w:tcW w:w="1858" w:type="dxa"/>
            <w:tcBorders>
              <w:top w:val="single" w:sz="4" w:space="0" w:color="auto"/>
              <w:left w:val="single" w:sz="4" w:space="0" w:color="auto"/>
              <w:bottom w:val="single" w:sz="4" w:space="0" w:color="auto"/>
              <w:right w:val="single" w:sz="4" w:space="0" w:color="auto"/>
            </w:tcBorders>
          </w:tcPr>
          <w:p w14:paraId="2205B116" w14:textId="77777777" w:rsidR="006112A2" w:rsidRDefault="006112A2">
            <w:pPr>
              <w:tabs>
                <w:tab w:val="left" w:pos="567"/>
              </w:tabs>
              <w:autoSpaceDE w:val="0"/>
              <w:autoSpaceDN w:val="0"/>
              <w:adjustRightInd w:val="0"/>
              <w:rPr>
                <w:rFonts w:eastAsiaTheme="minorEastAsia"/>
                <w:b/>
                <w:sz w:val="24"/>
                <w:szCs w:val="24"/>
                <w:lang w:eastAsia="da-DK"/>
              </w:rPr>
            </w:pPr>
            <w:r>
              <w:rPr>
                <w:rFonts w:eastAsiaTheme="minorEastAsia"/>
                <w:b/>
                <w:sz w:val="24"/>
                <w:szCs w:val="24"/>
                <w:lang w:eastAsia="da-DK"/>
              </w:rPr>
              <w:t>Lever og galdeveje</w:t>
            </w:r>
          </w:p>
          <w:p w14:paraId="4F675FE0" w14:textId="77777777" w:rsidR="006112A2" w:rsidRDefault="006112A2">
            <w:pPr>
              <w:tabs>
                <w:tab w:val="left" w:pos="567"/>
              </w:tabs>
              <w:autoSpaceDE w:val="0"/>
              <w:autoSpaceDN w:val="0"/>
              <w:adjustRightInd w:val="0"/>
              <w:rPr>
                <w:rFonts w:eastAsiaTheme="minorEastAsia"/>
                <w:b/>
                <w:sz w:val="24"/>
                <w:szCs w:val="24"/>
                <w:lang w:eastAsia="da-DK"/>
              </w:rPr>
            </w:pPr>
          </w:p>
        </w:tc>
        <w:tc>
          <w:tcPr>
            <w:tcW w:w="1540" w:type="dxa"/>
            <w:tcBorders>
              <w:top w:val="single" w:sz="4" w:space="0" w:color="auto"/>
              <w:left w:val="single" w:sz="4" w:space="0" w:color="auto"/>
              <w:bottom w:val="single" w:sz="4" w:space="0" w:color="auto"/>
              <w:right w:val="single" w:sz="4" w:space="0" w:color="auto"/>
            </w:tcBorders>
          </w:tcPr>
          <w:p w14:paraId="4BD5E7C5" w14:textId="77777777" w:rsidR="006112A2" w:rsidRDefault="006112A2">
            <w:pPr>
              <w:tabs>
                <w:tab w:val="left" w:pos="567"/>
              </w:tabs>
              <w:autoSpaceDE w:val="0"/>
              <w:autoSpaceDN w:val="0"/>
              <w:adjustRightInd w:val="0"/>
              <w:ind w:left="14"/>
              <w:rPr>
                <w:rFonts w:eastAsiaTheme="minorEastAsia"/>
                <w:sz w:val="24"/>
                <w:szCs w:val="24"/>
                <w:lang w:eastAsia="da-DK"/>
              </w:rPr>
            </w:pPr>
          </w:p>
        </w:tc>
        <w:tc>
          <w:tcPr>
            <w:tcW w:w="1700" w:type="dxa"/>
            <w:tcBorders>
              <w:top w:val="single" w:sz="4" w:space="0" w:color="auto"/>
              <w:left w:val="single" w:sz="4" w:space="0" w:color="auto"/>
              <w:bottom w:val="single" w:sz="4" w:space="0" w:color="auto"/>
              <w:right w:val="single" w:sz="4" w:space="0" w:color="auto"/>
            </w:tcBorders>
          </w:tcPr>
          <w:p w14:paraId="682950C6" w14:textId="77777777" w:rsidR="006112A2" w:rsidRDefault="006112A2">
            <w:pPr>
              <w:tabs>
                <w:tab w:val="left" w:pos="567"/>
              </w:tabs>
              <w:autoSpaceDE w:val="0"/>
              <w:autoSpaceDN w:val="0"/>
              <w:adjustRightInd w:val="0"/>
              <w:rPr>
                <w:rFonts w:eastAsiaTheme="minorEastAsia"/>
                <w:sz w:val="24"/>
                <w:szCs w:val="24"/>
                <w:lang w:eastAsia="da-DK"/>
              </w:rPr>
            </w:pPr>
          </w:p>
        </w:tc>
        <w:tc>
          <w:tcPr>
            <w:tcW w:w="1560" w:type="dxa"/>
            <w:tcBorders>
              <w:top w:val="single" w:sz="4" w:space="0" w:color="auto"/>
              <w:left w:val="single" w:sz="4" w:space="0" w:color="auto"/>
              <w:bottom w:val="single" w:sz="4" w:space="0" w:color="auto"/>
              <w:right w:val="single" w:sz="4" w:space="0" w:color="auto"/>
            </w:tcBorders>
          </w:tcPr>
          <w:p w14:paraId="140C9E77" w14:textId="77777777" w:rsidR="006112A2" w:rsidRDefault="006112A2">
            <w:pPr>
              <w:tabs>
                <w:tab w:val="left" w:pos="567"/>
              </w:tabs>
              <w:autoSpaceDE w:val="0"/>
              <w:autoSpaceDN w:val="0"/>
              <w:adjustRightInd w:val="0"/>
              <w:rPr>
                <w:rFonts w:eastAsiaTheme="minorEastAsia"/>
                <w:sz w:val="24"/>
                <w:szCs w:val="24"/>
                <w:lang w:eastAsia="da-DK"/>
              </w:rPr>
            </w:pPr>
          </w:p>
        </w:tc>
        <w:tc>
          <w:tcPr>
            <w:tcW w:w="1559" w:type="dxa"/>
            <w:tcBorders>
              <w:top w:val="single" w:sz="4" w:space="0" w:color="auto"/>
              <w:left w:val="single" w:sz="4" w:space="0" w:color="auto"/>
              <w:bottom w:val="single" w:sz="4" w:space="0" w:color="auto"/>
              <w:right w:val="single" w:sz="4" w:space="0" w:color="auto"/>
            </w:tcBorders>
            <w:hideMark/>
          </w:tcPr>
          <w:p w14:paraId="4327E93D" w14:textId="77777777" w:rsidR="006112A2" w:rsidRDefault="006112A2">
            <w:pPr>
              <w:tabs>
                <w:tab w:val="left" w:pos="567"/>
              </w:tabs>
              <w:autoSpaceDE w:val="0"/>
              <w:autoSpaceDN w:val="0"/>
              <w:adjustRightInd w:val="0"/>
              <w:rPr>
                <w:rFonts w:eastAsiaTheme="minorEastAsia"/>
                <w:sz w:val="24"/>
                <w:szCs w:val="24"/>
                <w:lang w:eastAsia="da-DK"/>
              </w:rPr>
            </w:pPr>
            <w:r>
              <w:rPr>
                <w:rFonts w:eastAsiaTheme="minorEastAsia"/>
                <w:sz w:val="24"/>
                <w:szCs w:val="24"/>
                <w:lang w:eastAsia="da-DK"/>
              </w:rPr>
              <w:t>Unormal leverfunktion</w:t>
            </w:r>
          </w:p>
          <w:p w14:paraId="6D2B90DD" w14:textId="77777777" w:rsidR="006112A2" w:rsidRDefault="006112A2">
            <w:pPr>
              <w:tabs>
                <w:tab w:val="left" w:pos="567"/>
              </w:tabs>
              <w:autoSpaceDE w:val="0"/>
              <w:autoSpaceDN w:val="0"/>
              <w:adjustRightInd w:val="0"/>
              <w:rPr>
                <w:rFonts w:eastAsiaTheme="minorEastAsia"/>
                <w:sz w:val="24"/>
                <w:szCs w:val="24"/>
                <w:lang w:eastAsia="da-DK"/>
              </w:rPr>
            </w:pPr>
            <w:r>
              <w:rPr>
                <w:rFonts w:eastAsiaTheme="minorEastAsia"/>
                <w:sz w:val="24"/>
                <w:szCs w:val="24"/>
                <w:lang w:eastAsia="da-DK"/>
              </w:rPr>
              <w:t>Forhøjede leverenzymer</w:t>
            </w:r>
          </w:p>
        </w:tc>
        <w:tc>
          <w:tcPr>
            <w:tcW w:w="1417" w:type="dxa"/>
            <w:tcBorders>
              <w:top w:val="single" w:sz="4" w:space="0" w:color="auto"/>
              <w:left w:val="single" w:sz="4" w:space="0" w:color="auto"/>
              <w:bottom w:val="single" w:sz="4" w:space="0" w:color="auto"/>
              <w:right w:val="single" w:sz="4" w:space="0" w:color="auto"/>
            </w:tcBorders>
          </w:tcPr>
          <w:p w14:paraId="3B6167F8" w14:textId="77777777" w:rsidR="006112A2" w:rsidRDefault="006112A2">
            <w:pPr>
              <w:tabs>
                <w:tab w:val="left" w:pos="567"/>
              </w:tabs>
              <w:autoSpaceDE w:val="0"/>
              <w:autoSpaceDN w:val="0"/>
              <w:adjustRightInd w:val="0"/>
              <w:rPr>
                <w:rFonts w:eastAsiaTheme="minorEastAsia"/>
                <w:sz w:val="24"/>
                <w:szCs w:val="24"/>
                <w:lang w:eastAsia="da-DK"/>
              </w:rPr>
            </w:pPr>
          </w:p>
        </w:tc>
      </w:tr>
      <w:tr w:rsidR="006112A2" w14:paraId="1A2F1E5C" w14:textId="77777777" w:rsidTr="006112A2">
        <w:tc>
          <w:tcPr>
            <w:tcW w:w="1858" w:type="dxa"/>
            <w:tcBorders>
              <w:top w:val="single" w:sz="4" w:space="0" w:color="auto"/>
              <w:left w:val="single" w:sz="4" w:space="0" w:color="auto"/>
              <w:bottom w:val="single" w:sz="4" w:space="0" w:color="auto"/>
              <w:right w:val="single" w:sz="4" w:space="0" w:color="auto"/>
            </w:tcBorders>
            <w:hideMark/>
          </w:tcPr>
          <w:p w14:paraId="4A3B9988" w14:textId="77777777" w:rsidR="006112A2" w:rsidRDefault="006112A2">
            <w:pPr>
              <w:tabs>
                <w:tab w:val="left" w:pos="567"/>
              </w:tabs>
              <w:autoSpaceDE w:val="0"/>
              <w:autoSpaceDN w:val="0"/>
              <w:adjustRightInd w:val="0"/>
              <w:rPr>
                <w:rFonts w:eastAsiaTheme="minorEastAsia"/>
                <w:b/>
                <w:sz w:val="24"/>
                <w:szCs w:val="24"/>
                <w:lang w:eastAsia="da-DK"/>
              </w:rPr>
            </w:pPr>
            <w:r>
              <w:rPr>
                <w:rFonts w:eastAsiaTheme="minorEastAsia"/>
                <w:b/>
                <w:sz w:val="24"/>
                <w:szCs w:val="24"/>
                <w:lang w:eastAsia="da-DK"/>
              </w:rPr>
              <w:t>Hud og subkutane væv</w:t>
            </w:r>
          </w:p>
        </w:tc>
        <w:tc>
          <w:tcPr>
            <w:tcW w:w="1540" w:type="dxa"/>
            <w:tcBorders>
              <w:top w:val="single" w:sz="4" w:space="0" w:color="auto"/>
              <w:left w:val="single" w:sz="4" w:space="0" w:color="auto"/>
              <w:bottom w:val="single" w:sz="4" w:space="0" w:color="auto"/>
              <w:right w:val="single" w:sz="4" w:space="0" w:color="auto"/>
            </w:tcBorders>
            <w:hideMark/>
          </w:tcPr>
          <w:p w14:paraId="6B7DCA66" w14:textId="77777777" w:rsidR="006112A2" w:rsidRDefault="006112A2">
            <w:pPr>
              <w:tabs>
                <w:tab w:val="left" w:pos="567"/>
              </w:tabs>
              <w:autoSpaceDE w:val="0"/>
              <w:autoSpaceDN w:val="0"/>
              <w:adjustRightInd w:val="0"/>
              <w:ind w:left="14"/>
              <w:rPr>
                <w:rFonts w:eastAsiaTheme="minorEastAsia"/>
                <w:sz w:val="24"/>
                <w:szCs w:val="24"/>
                <w:lang w:eastAsia="da-DK"/>
              </w:rPr>
            </w:pPr>
            <w:r>
              <w:rPr>
                <w:rFonts w:eastAsiaTheme="minorEastAsia"/>
                <w:sz w:val="24"/>
                <w:szCs w:val="24"/>
                <w:lang w:eastAsia="da-DK"/>
              </w:rPr>
              <w:t>Piloerektion (gåsehud)</w:t>
            </w:r>
          </w:p>
          <w:p w14:paraId="53CA9CA5" w14:textId="77777777" w:rsidR="006112A2" w:rsidRDefault="006112A2">
            <w:pPr>
              <w:tabs>
                <w:tab w:val="left" w:pos="567"/>
              </w:tabs>
              <w:autoSpaceDE w:val="0"/>
              <w:autoSpaceDN w:val="0"/>
              <w:adjustRightInd w:val="0"/>
              <w:ind w:left="14"/>
              <w:rPr>
                <w:rFonts w:eastAsiaTheme="minorEastAsia"/>
                <w:sz w:val="24"/>
                <w:szCs w:val="24"/>
                <w:lang w:eastAsia="da-DK"/>
              </w:rPr>
            </w:pPr>
            <w:r>
              <w:rPr>
                <w:rFonts w:eastAsiaTheme="minorEastAsia"/>
                <w:sz w:val="24"/>
                <w:szCs w:val="24"/>
                <w:lang w:eastAsia="da-DK"/>
              </w:rPr>
              <w:t>Pruritus i hovedbunden</w:t>
            </w:r>
          </w:p>
        </w:tc>
        <w:tc>
          <w:tcPr>
            <w:tcW w:w="1700" w:type="dxa"/>
            <w:tcBorders>
              <w:top w:val="single" w:sz="4" w:space="0" w:color="auto"/>
              <w:left w:val="single" w:sz="4" w:space="0" w:color="auto"/>
              <w:bottom w:val="single" w:sz="4" w:space="0" w:color="auto"/>
              <w:right w:val="single" w:sz="4" w:space="0" w:color="auto"/>
            </w:tcBorders>
            <w:hideMark/>
          </w:tcPr>
          <w:p w14:paraId="1EE84DDF" w14:textId="77777777" w:rsidR="006112A2" w:rsidRDefault="006112A2">
            <w:pPr>
              <w:tabs>
                <w:tab w:val="left" w:pos="567"/>
              </w:tabs>
              <w:autoSpaceDE w:val="0"/>
              <w:autoSpaceDN w:val="0"/>
              <w:adjustRightInd w:val="0"/>
              <w:rPr>
                <w:rFonts w:eastAsiaTheme="minorEastAsia"/>
                <w:sz w:val="24"/>
                <w:szCs w:val="24"/>
                <w:lang w:eastAsia="da-DK"/>
              </w:rPr>
            </w:pPr>
            <w:r>
              <w:rPr>
                <w:rFonts w:eastAsiaTheme="minorEastAsia"/>
                <w:sz w:val="24"/>
                <w:szCs w:val="24"/>
                <w:lang w:eastAsia="da-DK"/>
              </w:rPr>
              <w:t>Pruritus</w:t>
            </w:r>
          </w:p>
          <w:p w14:paraId="51001504" w14:textId="77777777" w:rsidR="006112A2" w:rsidRDefault="006112A2">
            <w:pPr>
              <w:tabs>
                <w:tab w:val="left" w:pos="567"/>
              </w:tabs>
              <w:autoSpaceDE w:val="0"/>
              <w:autoSpaceDN w:val="0"/>
              <w:adjustRightInd w:val="0"/>
              <w:rPr>
                <w:rFonts w:eastAsiaTheme="minorEastAsia"/>
                <w:sz w:val="24"/>
                <w:szCs w:val="24"/>
                <w:lang w:eastAsia="da-DK"/>
              </w:rPr>
            </w:pPr>
            <w:r>
              <w:rPr>
                <w:rFonts w:eastAsiaTheme="minorEastAsia"/>
                <w:sz w:val="24"/>
                <w:szCs w:val="24"/>
                <w:lang w:eastAsia="da-DK"/>
              </w:rPr>
              <w:t>Kulderystelser</w:t>
            </w:r>
          </w:p>
          <w:p w14:paraId="0B330C5A" w14:textId="77777777" w:rsidR="006112A2" w:rsidRDefault="006112A2">
            <w:pPr>
              <w:tabs>
                <w:tab w:val="left" w:pos="567"/>
              </w:tabs>
              <w:autoSpaceDE w:val="0"/>
              <w:autoSpaceDN w:val="0"/>
              <w:adjustRightInd w:val="0"/>
              <w:rPr>
                <w:rFonts w:eastAsiaTheme="minorEastAsia"/>
                <w:sz w:val="24"/>
                <w:szCs w:val="24"/>
                <w:lang w:eastAsia="da-DK"/>
              </w:rPr>
            </w:pPr>
            <w:r>
              <w:rPr>
                <w:rFonts w:eastAsiaTheme="minorEastAsia"/>
                <w:sz w:val="24"/>
                <w:szCs w:val="24"/>
                <w:lang w:eastAsia="da-DK"/>
              </w:rPr>
              <w:t>Rødmen</w:t>
            </w:r>
          </w:p>
          <w:p w14:paraId="406DA0A0" w14:textId="77777777" w:rsidR="006112A2" w:rsidRDefault="006112A2">
            <w:pPr>
              <w:tabs>
                <w:tab w:val="left" w:pos="567"/>
              </w:tabs>
              <w:autoSpaceDE w:val="0"/>
              <w:autoSpaceDN w:val="0"/>
              <w:adjustRightInd w:val="0"/>
              <w:rPr>
                <w:rFonts w:eastAsiaTheme="minorEastAsia"/>
                <w:sz w:val="24"/>
                <w:szCs w:val="24"/>
                <w:lang w:eastAsia="da-DK"/>
              </w:rPr>
            </w:pPr>
            <w:r>
              <w:rPr>
                <w:rFonts w:eastAsiaTheme="minorEastAsia"/>
                <w:sz w:val="24"/>
                <w:szCs w:val="24"/>
                <w:lang w:eastAsia="da-DK"/>
              </w:rPr>
              <w:t>Udslæt</w:t>
            </w:r>
          </w:p>
        </w:tc>
        <w:tc>
          <w:tcPr>
            <w:tcW w:w="1560" w:type="dxa"/>
            <w:tcBorders>
              <w:top w:val="single" w:sz="4" w:space="0" w:color="auto"/>
              <w:left w:val="single" w:sz="4" w:space="0" w:color="auto"/>
              <w:bottom w:val="single" w:sz="4" w:space="0" w:color="auto"/>
              <w:right w:val="single" w:sz="4" w:space="0" w:color="auto"/>
            </w:tcBorders>
          </w:tcPr>
          <w:p w14:paraId="48B8025A" w14:textId="77777777" w:rsidR="006112A2" w:rsidRDefault="006112A2">
            <w:pPr>
              <w:tabs>
                <w:tab w:val="left" w:pos="567"/>
              </w:tabs>
              <w:autoSpaceDE w:val="0"/>
              <w:autoSpaceDN w:val="0"/>
              <w:adjustRightInd w:val="0"/>
              <w:rPr>
                <w:rFonts w:eastAsiaTheme="minorEastAsia"/>
                <w:sz w:val="24"/>
                <w:szCs w:val="24"/>
                <w:lang w:eastAsia="da-DK"/>
              </w:rPr>
            </w:pPr>
          </w:p>
        </w:tc>
        <w:tc>
          <w:tcPr>
            <w:tcW w:w="1559" w:type="dxa"/>
            <w:tcBorders>
              <w:top w:val="single" w:sz="4" w:space="0" w:color="auto"/>
              <w:left w:val="single" w:sz="4" w:space="0" w:color="auto"/>
              <w:bottom w:val="single" w:sz="4" w:space="0" w:color="auto"/>
              <w:right w:val="single" w:sz="4" w:space="0" w:color="auto"/>
            </w:tcBorders>
          </w:tcPr>
          <w:p w14:paraId="563F0392" w14:textId="77777777" w:rsidR="006112A2" w:rsidRDefault="006112A2">
            <w:pPr>
              <w:tabs>
                <w:tab w:val="left" w:pos="567"/>
              </w:tabs>
              <w:autoSpaceDE w:val="0"/>
              <w:autoSpaceDN w:val="0"/>
              <w:adjustRightInd w:val="0"/>
              <w:rPr>
                <w:rFonts w:eastAsiaTheme="minorEastAsia"/>
                <w:sz w:val="24"/>
                <w:szCs w:val="24"/>
                <w:lang w:eastAsia="da-DK"/>
              </w:rPr>
            </w:pPr>
          </w:p>
        </w:tc>
        <w:tc>
          <w:tcPr>
            <w:tcW w:w="1417" w:type="dxa"/>
            <w:tcBorders>
              <w:top w:val="single" w:sz="4" w:space="0" w:color="auto"/>
              <w:left w:val="single" w:sz="4" w:space="0" w:color="auto"/>
              <w:bottom w:val="single" w:sz="4" w:space="0" w:color="auto"/>
              <w:right w:val="single" w:sz="4" w:space="0" w:color="auto"/>
            </w:tcBorders>
          </w:tcPr>
          <w:p w14:paraId="4A78DFD0" w14:textId="77777777" w:rsidR="006112A2" w:rsidRDefault="006112A2">
            <w:pPr>
              <w:tabs>
                <w:tab w:val="left" w:pos="567"/>
              </w:tabs>
              <w:autoSpaceDE w:val="0"/>
              <w:autoSpaceDN w:val="0"/>
              <w:adjustRightInd w:val="0"/>
              <w:rPr>
                <w:rFonts w:eastAsiaTheme="minorEastAsia"/>
                <w:sz w:val="24"/>
                <w:szCs w:val="24"/>
                <w:lang w:eastAsia="da-DK"/>
              </w:rPr>
            </w:pPr>
          </w:p>
        </w:tc>
      </w:tr>
      <w:tr w:rsidR="006112A2" w14:paraId="4A1E61DB" w14:textId="77777777" w:rsidTr="006112A2">
        <w:tc>
          <w:tcPr>
            <w:tcW w:w="1858" w:type="dxa"/>
            <w:tcBorders>
              <w:top w:val="single" w:sz="4" w:space="0" w:color="auto"/>
              <w:left w:val="single" w:sz="4" w:space="0" w:color="auto"/>
              <w:bottom w:val="single" w:sz="4" w:space="0" w:color="auto"/>
              <w:right w:val="single" w:sz="4" w:space="0" w:color="auto"/>
            </w:tcBorders>
          </w:tcPr>
          <w:p w14:paraId="1CAC6333" w14:textId="77777777" w:rsidR="006112A2" w:rsidRDefault="006112A2">
            <w:pPr>
              <w:tabs>
                <w:tab w:val="left" w:pos="567"/>
              </w:tabs>
              <w:autoSpaceDE w:val="0"/>
              <w:autoSpaceDN w:val="0"/>
              <w:adjustRightInd w:val="0"/>
              <w:rPr>
                <w:rFonts w:eastAsiaTheme="minorEastAsia"/>
                <w:b/>
                <w:sz w:val="24"/>
                <w:szCs w:val="24"/>
                <w:lang w:eastAsia="da-DK"/>
              </w:rPr>
            </w:pPr>
            <w:r>
              <w:rPr>
                <w:rFonts w:eastAsiaTheme="minorEastAsia"/>
                <w:b/>
                <w:sz w:val="24"/>
                <w:szCs w:val="24"/>
                <w:lang w:eastAsia="da-DK"/>
              </w:rPr>
              <w:t>Nyrer og urinveje</w:t>
            </w:r>
          </w:p>
          <w:p w14:paraId="1C6662B6" w14:textId="77777777" w:rsidR="006112A2" w:rsidRDefault="006112A2">
            <w:pPr>
              <w:tabs>
                <w:tab w:val="left" w:pos="567"/>
              </w:tabs>
              <w:autoSpaceDE w:val="0"/>
              <w:autoSpaceDN w:val="0"/>
              <w:adjustRightInd w:val="0"/>
              <w:rPr>
                <w:rFonts w:eastAsiaTheme="minorEastAsia"/>
                <w:b/>
                <w:sz w:val="24"/>
                <w:szCs w:val="24"/>
                <w:lang w:eastAsia="da-DK"/>
              </w:rPr>
            </w:pPr>
          </w:p>
        </w:tc>
        <w:tc>
          <w:tcPr>
            <w:tcW w:w="1540" w:type="dxa"/>
            <w:tcBorders>
              <w:top w:val="single" w:sz="4" w:space="0" w:color="auto"/>
              <w:left w:val="single" w:sz="4" w:space="0" w:color="auto"/>
              <w:bottom w:val="single" w:sz="4" w:space="0" w:color="auto"/>
              <w:right w:val="single" w:sz="4" w:space="0" w:color="auto"/>
            </w:tcBorders>
            <w:hideMark/>
          </w:tcPr>
          <w:p w14:paraId="1EE5A906" w14:textId="77777777" w:rsidR="006112A2" w:rsidRDefault="006112A2">
            <w:pPr>
              <w:tabs>
                <w:tab w:val="left" w:pos="567"/>
              </w:tabs>
              <w:autoSpaceDE w:val="0"/>
              <w:autoSpaceDN w:val="0"/>
              <w:adjustRightInd w:val="0"/>
              <w:ind w:left="14"/>
              <w:rPr>
                <w:rFonts w:eastAsiaTheme="minorEastAsia"/>
                <w:sz w:val="24"/>
                <w:szCs w:val="24"/>
                <w:lang w:eastAsia="da-DK"/>
              </w:rPr>
            </w:pPr>
            <w:r>
              <w:rPr>
                <w:rFonts w:eastAsiaTheme="minorEastAsia"/>
                <w:sz w:val="24"/>
                <w:szCs w:val="24"/>
                <w:lang w:eastAsia="da-DK"/>
              </w:rPr>
              <w:t>Dysuri</w:t>
            </w:r>
          </w:p>
        </w:tc>
        <w:tc>
          <w:tcPr>
            <w:tcW w:w="1700" w:type="dxa"/>
            <w:tcBorders>
              <w:top w:val="single" w:sz="4" w:space="0" w:color="auto"/>
              <w:left w:val="single" w:sz="4" w:space="0" w:color="auto"/>
              <w:bottom w:val="single" w:sz="4" w:space="0" w:color="auto"/>
              <w:right w:val="single" w:sz="4" w:space="0" w:color="auto"/>
            </w:tcBorders>
            <w:hideMark/>
          </w:tcPr>
          <w:p w14:paraId="6B921AE7" w14:textId="77777777" w:rsidR="006112A2" w:rsidRDefault="006112A2">
            <w:pPr>
              <w:tabs>
                <w:tab w:val="left" w:pos="567"/>
              </w:tabs>
              <w:autoSpaceDE w:val="0"/>
              <w:autoSpaceDN w:val="0"/>
              <w:adjustRightInd w:val="0"/>
              <w:rPr>
                <w:rFonts w:eastAsiaTheme="minorEastAsia"/>
                <w:sz w:val="24"/>
                <w:szCs w:val="24"/>
                <w:lang w:eastAsia="da-DK"/>
              </w:rPr>
            </w:pPr>
            <w:r>
              <w:rPr>
                <w:rFonts w:eastAsiaTheme="minorEastAsia"/>
                <w:sz w:val="24"/>
                <w:szCs w:val="24"/>
                <w:lang w:eastAsia="da-DK"/>
              </w:rPr>
              <w:t>Urinretention</w:t>
            </w:r>
          </w:p>
        </w:tc>
        <w:tc>
          <w:tcPr>
            <w:tcW w:w="1560" w:type="dxa"/>
            <w:tcBorders>
              <w:top w:val="single" w:sz="4" w:space="0" w:color="auto"/>
              <w:left w:val="single" w:sz="4" w:space="0" w:color="auto"/>
              <w:bottom w:val="single" w:sz="4" w:space="0" w:color="auto"/>
              <w:right w:val="single" w:sz="4" w:space="0" w:color="auto"/>
            </w:tcBorders>
            <w:hideMark/>
          </w:tcPr>
          <w:p w14:paraId="5F1EF3F2" w14:textId="77777777" w:rsidR="006112A2" w:rsidRDefault="006112A2">
            <w:pPr>
              <w:tabs>
                <w:tab w:val="left" w:pos="567"/>
              </w:tabs>
              <w:autoSpaceDE w:val="0"/>
              <w:autoSpaceDN w:val="0"/>
              <w:adjustRightInd w:val="0"/>
              <w:rPr>
                <w:rFonts w:eastAsiaTheme="minorEastAsia"/>
                <w:sz w:val="24"/>
                <w:szCs w:val="24"/>
                <w:lang w:eastAsia="da-DK"/>
              </w:rPr>
            </w:pPr>
            <w:r>
              <w:rPr>
                <w:rFonts w:eastAsiaTheme="minorEastAsia"/>
                <w:sz w:val="24"/>
                <w:szCs w:val="24"/>
                <w:lang w:eastAsia="da-DK"/>
              </w:rPr>
              <w:t>Stærk vandladnings</w:t>
            </w:r>
            <w:r>
              <w:rPr>
                <w:rFonts w:eastAsiaTheme="minorEastAsia"/>
                <w:sz w:val="24"/>
                <w:szCs w:val="24"/>
                <w:lang w:eastAsia="da-DK"/>
              </w:rPr>
              <w:softHyphen/>
              <w:t>trang</w:t>
            </w:r>
          </w:p>
        </w:tc>
        <w:tc>
          <w:tcPr>
            <w:tcW w:w="1559" w:type="dxa"/>
            <w:tcBorders>
              <w:top w:val="single" w:sz="4" w:space="0" w:color="auto"/>
              <w:left w:val="single" w:sz="4" w:space="0" w:color="auto"/>
              <w:bottom w:val="single" w:sz="4" w:space="0" w:color="auto"/>
              <w:right w:val="single" w:sz="4" w:space="0" w:color="auto"/>
            </w:tcBorders>
          </w:tcPr>
          <w:p w14:paraId="418177A3" w14:textId="77777777" w:rsidR="006112A2" w:rsidRDefault="006112A2">
            <w:pPr>
              <w:tabs>
                <w:tab w:val="left" w:pos="567"/>
              </w:tabs>
              <w:autoSpaceDE w:val="0"/>
              <w:autoSpaceDN w:val="0"/>
              <w:adjustRightInd w:val="0"/>
              <w:rPr>
                <w:rFonts w:eastAsiaTheme="minorEastAsia"/>
                <w:sz w:val="24"/>
                <w:szCs w:val="24"/>
                <w:lang w:eastAsia="da-DK"/>
              </w:rPr>
            </w:pPr>
          </w:p>
        </w:tc>
        <w:tc>
          <w:tcPr>
            <w:tcW w:w="1417" w:type="dxa"/>
            <w:tcBorders>
              <w:top w:val="single" w:sz="4" w:space="0" w:color="auto"/>
              <w:left w:val="single" w:sz="4" w:space="0" w:color="auto"/>
              <w:bottom w:val="single" w:sz="4" w:space="0" w:color="auto"/>
              <w:right w:val="single" w:sz="4" w:space="0" w:color="auto"/>
            </w:tcBorders>
          </w:tcPr>
          <w:p w14:paraId="1ED77133" w14:textId="77777777" w:rsidR="006112A2" w:rsidRDefault="006112A2">
            <w:pPr>
              <w:tabs>
                <w:tab w:val="left" w:pos="567"/>
              </w:tabs>
              <w:autoSpaceDE w:val="0"/>
              <w:autoSpaceDN w:val="0"/>
              <w:adjustRightInd w:val="0"/>
              <w:rPr>
                <w:rFonts w:eastAsiaTheme="minorEastAsia"/>
                <w:sz w:val="24"/>
                <w:szCs w:val="24"/>
                <w:lang w:eastAsia="da-DK"/>
              </w:rPr>
            </w:pPr>
          </w:p>
        </w:tc>
      </w:tr>
    </w:tbl>
    <w:p w14:paraId="1A77A8BE" w14:textId="0A9CEE78" w:rsidR="006112A2" w:rsidRDefault="006112A2" w:rsidP="00A10294">
      <w:pPr>
        <w:tabs>
          <w:tab w:val="left" w:pos="851"/>
        </w:tabs>
        <w:ind w:left="851"/>
        <w:rPr>
          <w:sz w:val="24"/>
          <w:szCs w:val="24"/>
        </w:rPr>
      </w:pPr>
    </w:p>
    <w:p w14:paraId="401F3048" w14:textId="77777777" w:rsidR="006112A2" w:rsidRPr="006112A2" w:rsidRDefault="006112A2" w:rsidP="006112A2">
      <w:pPr>
        <w:tabs>
          <w:tab w:val="left" w:pos="851"/>
        </w:tabs>
        <w:ind w:left="851"/>
        <w:rPr>
          <w:sz w:val="24"/>
          <w:szCs w:val="24"/>
          <w:u w:val="single"/>
        </w:rPr>
      </w:pPr>
      <w:r w:rsidRPr="006112A2">
        <w:rPr>
          <w:sz w:val="24"/>
          <w:szCs w:val="24"/>
          <w:u w:val="single"/>
        </w:rPr>
        <w:t>Indberetning af formodede bivirkninger</w:t>
      </w:r>
    </w:p>
    <w:p w14:paraId="078C1E30" w14:textId="77777777" w:rsidR="006112A2" w:rsidRPr="006112A2" w:rsidRDefault="006112A2" w:rsidP="006112A2">
      <w:pPr>
        <w:tabs>
          <w:tab w:val="left" w:pos="851"/>
        </w:tabs>
        <w:ind w:left="851"/>
        <w:rPr>
          <w:sz w:val="24"/>
          <w:szCs w:val="24"/>
        </w:rPr>
      </w:pPr>
      <w:r w:rsidRPr="006112A2">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256EDDB9" w14:textId="77777777" w:rsidR="006112A2" w:rsidRPr="006112A2" w:rsidRDefault="006112A2" w:rsidP="006112A2">
      <w:pPr>
        <w:tabs>
          <w:tab w:val="left" w:pos="851"/>
        </w:tabs>
        <w:ind w:left="851"/>
        <w:rPr>
          <w:sz w:val="24"/>
          <w:szCs w:val="24"/>
        </w:rPr>
      </w:pPr>
    </w:p>
    <w:p w14:paraId="293CC438" w14:textId="77777777" w:rsidR="006112A2" w:rsidRPr="006112A2" w:rsidRDefault="006112A2" w:rsidP="006112A2">
      <w:pPr>
        <w:tabs>
          <w:tab w:val="left" w:pos="851"/>
        </w:tabs>
        <w:ind w:left="851"/>
        <w:rPr>
          <w:sz w:val="24"/>
          <w:szCs w:val="24"/>
        </w:rPr>
      </w:pPr>
      <w:r w:rsidRPr="006112A2">
        <w:rPr>
          <w:sz w:val="24"/>
          <w:szCs w:val="24"/>
        </w:rPr>
        <w:t>Lægemiddelstyrelsen</w:t>
      </w:r>
    </w:p>
    <w:p w14:paraId="1B407329" w14:textId="77777777" w:rsidR="006112A2" w:rsidRPr="006112A2" w:rsidRDefault="006112A2" w:rsidP="006112A2">
      <w:pPr>
        <w:tabs>
          <w:tab w:val="left" w:pos="851"/>
        </w:tabs>
        <w:ind w:left="851"/>
        <w:rPr>
          <w:sz w:val="24"/>
          <w:szCs w:val="24"/>
        </w:rPr>
      </w:pPr>
      <w:r w:rsidRPr="006112A2">
        <w:rPr>
          <w:sz w:val="24"/>
          <w:szCs w:val="24"/>
        </w:rPr>
        <w:t>Axel Heides Gade 1</w:t>
      </w:r>
    </w:p>
    <w:p w14:paraId="128EA511" w14:textId="77777777" w:rsidR="006112A2" w:rsidRPr="006112A2" w:rsidRDefault="006112A2" w:rsidP="006112A2">
      <w:pPr>
        <w:tabs>
          <w:tab w:val="left" w:pos="851"/>
        </w:tabs>
        <w:ind w:left="851"/>
        <w:rPr>
          <w:sz w:val="24"/>
          <w:szCs w:val="24"/>
        </w:rPr>
      </w:pPr>
      <w:r w:rsidRPr="006112A2">
        <w:rPr>
          <w:sz w:val="24"/>
          <w:szCs w:val="24"/>
        </w:rPr>
        <w:t>DK-2300 København S</w:t>
      </w:r>
    </w:p>
    <w:p w14:paraId="055F475C" w14:textId="07104246" w:rsidR="006112A2" w:rsidRPr="006112A2" w:rsidRDefault="006112A2" w:rsidP="006112A2">
      <w:pPr>
        <w:tabs>
          <w:tab w:val="left" w:pos="851"/>
        </w:tabs>
        <w:ind w:left="851"/>
        <w:rPr>
          <w:sz w:val="24"/>
          <w:szCs w:val="24"/>
        </w:rPr>
      </w:pPr>
      <w:r w:rsidRPr="006112A2">
        <w:rPr>
          <w:sz w:val="24"/>
          <w:szCs w:val="24"/>
        </w:rPr>
        <w:t>Websted: www.meldenbivirkning.dk</w:t>
      </w:r>
    </w:p>
    <w:p w14:paraId="7363E371" w14:textId="77777777" w:rsidR="006112A2" w:rsidRPr="00A10294" w:rsidRDefault="006112A2" w:rsidP="00A10294">
      <w:pPr>
        <w:tabs>
          <w:tab w:val="left" w:pos="851"/>
        </w:tabs>
        <w:ind w:left="851"/>
        <w:rPr>
          <w:sz w:val="24"/>
          <w:szCs w:val="24"/>
        </w:rPr>
      </w:pPr>
    </w:p>
    <w:p w14:paraId="09472FAD"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5E8226F3" w14:textId="2233E619" w:rsidR="006112A2" w:rsidRPr="006112A2" w:rsidRDefault="006112A2" w:rsidP="006112A2">
      <w:pPr>
        <w:tabs>
          <w:tab w:val="left" w:pos="851"/>
        </w:tabs>
        <w:ind w:left="851"/>
        <w:rPr>
          <w:sz w:val="24"/>
          <w:szCs w:val="24"/>
        </w:rPr>
      </w:pPr>
      <w:r w:rsidRPr="006112A2">
        <w:rPr>
          <w:sz w:val="24"/>
          <w:szCs w:val="24"/>
        </w:rPr>
        <w:t xml:space="preserve">Symptomer på overdosering er de samme, som opleves ved bivirkninger. Der kan især forekomme: </w:t>
      </w:r>
      <w:r>
        <w:rPr>
          <w:sz w:val="24"/>
          <w:szCs w:val="24"/>
        </w:rPr>
        <w:t>H</w:t>
      </w:r>
      <w:r w:rsidRPr="006112A2">
        <w:rPr>
          <w:sz w:val="24"/>
          <w:szCs w:val="24"/>
        </w:rPr>
        <w:t>ypertension, piloerektion (gåsehud) og kuldefornemmelse, bradykardi (refleksbradykardi) og urinretention.</w:t>
      </w:r>
    </w:p>
    <w:p w14:paraId="421D144A" w14:textId="77777777" w:rsidR="006112A2" w:rsidRPr="006112A2" w:rsidRDefault="006112A2" w:rsidP="006112A2">
      <w:pPr>
        <w:tabs>
          <w:tab w:val="left" w:pos="851"/>
        </w:tabs>
        <w:ind w:left="851"/>
        <w:rPr>
          <w:sz w:val="24"/>
          <w:szCs w:val="24"/>
        </w:rPr>
      </w:pPr>
    </w:p>
    <w:p w14:paraId="70A036D1" w14:textId="77777777" w:rsidR="006112A2" w:rsidRPr="006112A2" w:rsidRDefault="006112A2" w:rsidP="006112A2">
      <w:pPr>
        <w:tabs>
          <w:tab w:val="left" w:pos="851"/>
        </w:tabs>
        <w:ind w:left="851"/>
        <w:rPr>
          <w:sz w:val="24"/>
          <w:szCs w:val="24"/>
        </w:rPr>
      </w:pPr>
      <w:r w:rsidRPr="006112A2">
        <w:rPr>
          <w:sz w:val="24"/>
          <w:szCs w:val="24"/>
        </w:rPr>
        <w:t>Behandling: Udover de vigtigste generelle "livreddende" foranstaltninger anbefales induktion af opkastning samt administration af et alpha-sympatolytisk middel (f.eks.nitroprussid, phentolamin, nitrogylcerin) baseret på lægemidlets farmakologi.</w:t>
      </w:r>
    </w:p>
    <w:p w14:paraId="4D63EB42" w14:textId="77777777" w:rsidR="006112A2" w:rsidRPr="006112A2" w:rsidRDefault="006112A2" w:rsidP="006112A2">
      <w:pPr>
        <w:tabs>
          <w:tab w:val="left" w:pos="851"/>
        </w:tabs>
        <w:ind w:left="851"/>
        <w:rPr>
          <w:sz w:val="24"/>
          <w:szCs w:val="24"/>
        </w:rPr>
      </w:pPr>
    </w:p>
    <w:p w14:paraId="0D451C38" w14:textId="77777777" w:rsidR="006112A2" w:rsidRPr="006112A2" w:rsidRDefault="006112A2" w:rsidP="006112A2">
      <w:pPr>
        <w:tabs>
          <w:tab w:val="left" w:pos="851"/>
        </w:tabs>
        <w:ind w:left="851"/>
        <w:rPr>
          <w:sz w:val="24"/>
          <w:szCs w:val="24"/>
        </w:rPr>
      </w:pPr>
      <w:r w:rsidRPr="006112A2">
        <w:rPr>
          <w:sz w:val="24"/>
          <w:szCs w:val="24"/>
        </w:rPr>
        <w:t>Bradykardi og bradykardielle ledningsforstyrrelser kan blokeres med atropin.</w:t>
      </w:r>
    </w:p>
    <w:p w14:paraId="2F5850A2" w14:textId="77777777" w:rsidR="006112A2" w:rsidRPr="006112A2" w:rsidRDefault="006112A2" w:rsidP="006112A2">
      <w:pPr>
        <w:tabs>
          <w:tab w:val="left" w:pos="851"/>
        </w:tabs>
        <w:ind w:left="851"/>
        <w:rPr>
          <w:sz w:val="24"/>
          <w:szCs w:val="24"/>
        </w:rPr>
      </w:pPr>
    </w:p>
    <w:p w14:paraId="6A1A2AD8" w14:textId="77777777" w:rsidR="006112A2" w:rsidRPr="006112A2" w:rsidRDefault="006112A2" w:rsidP="006112A2">
      <w:pPr>
        <w:tabs>
          <w:tab w:val="left" w:pos="851"/>
        </w:tabs>
        <w:ind w:left="851"/>
        <w:rPr>
          <w:sz w:val="24"/>
          <w:szCs w:val="24"/>
        </w:rPr>
      </w:pPr>
      <w:r w:rsidRPr="006112A2">
        <w:rPr>
          <w:sz w:val="24"/>
          <w:szCs w:val="24"/>
        </w:rPr>
        <w:t>Den aktive metabolit, desglymidodrin, er dialyserbar.</w:t>
      </w:r>
    </w:p>
    <w:p w14:paraId="1D49F3E0" w14:textId="77777777" w:rsidR="009260DE" w:rsidRPr="00C84483" w:rsidRDefault="009260DE" w:rsidP="009260DE">
      <w:pPr>
        <w:tabs>
          <w:tab w:val="left" w:pos="851"/>
        </w:tabs>
        <w:ind w:left="851"/>
        <w:rPr>
          <w:sz w:val="24"/>
          <w:szCs w:val="24"/>
        </w:rPr>
      </w:pPr>
    </w:p>
    <w:p w14:paraId="391DA254"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40E95512" w14:textId="1A99D752" w:rsidR="009260DE" w:rsidRPr="00C84483" w:rsidRDefault="006424AF" w:rsidP="009260DE">
      <w:pPr>
        <w:tabs>
          <w:tab w:val="left" w:pos="851"/>
        </w:tabs>
        <w:ind w:left="851"/>
        <w:rPr>
          <w:sz w:val="24"/>
          <w:szCs w:val="24"/>
        </w:rPr>
      </w:pPr>
      <w:r>
        <w:rPr>
          <w:sz w:val="24"/>
          <w:szCs w:val="24"/>
        </w:rPr>
        <w:t>B</w:t>
      </w:r>
    </w:p>
    <w:p w14:paraId="5271643C" w14:textId="77777777" w:rsidR="009260DE" w:rsidRPr="00C84483" w:rsidRDefault="009260DE" w:rsidP="009260DE">
      <w:pPr>
        <w:tabs>
          <w:tab w:val="left" w:pos="851"/>
        </w:tabs>
        <w:ind w:left="851"/>
        <w:rPr>
          <w:sz w:val="24"/>
          <w:szCs w:val="24"/>
        </w:rPr>
      </w:pPr>
    </w:p>
    <w:p w14:paraId="631F43B0" w14:textId="71957A34" w:rsidR="006424AF" w:rsidRDefault="006424AF">
      <w:pPr>
        <w:rPr>
          <w:sz w:val="24"/>
          <w:szCs w:val="24"/>
        </w:rPr>
      </w:pPr>
      <w:r>
        <w:rPr>
          <w:sz w:val="24"/>
          <w:szCs w:val="24"/>
        </w:rPr>
        <w:br w:type="page"/>
      </w:r>
    </w:p>
    <w:p w14:paraId="0E7E1049" w14:textId="77777777" w:rsidR="009260DE" w:rsidRPr="00C84483" w:rsidRDefault="009260DE" w:rsidP="009260DE">
      <w:pPr>
        <w:tabs>
          <w:tab w:val="left" w:pos="851"/>
        </w:tabs>
        <w:ind w:left="851"/>
        <w:rPr>
          <w:sz w:val="24"/>
          <w:szCs w:val="24"/>
        </w:rPr>
      </w:pPr>
    </w:p>
    <w:p w14:paraId="41749460"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306CEDC2" w14:textId="77777777" w:rsidR="009260DE" w:rsidRPr="00C84483" w:rsidRDefault="009260DE" w:rsidP="009260DE">
      <w:pPr>
        <w:tabs>
          <w:tab w:val="left" w:pos="851"/>
        </w:tabs>
        <w:ind w:left="851"/>
        <w:rPr>
          <w:sz w:val="24"/>
          <w:szCs w:val="24"/>
        </w:rPr>
      </w:pPr>
    </w:p>
    <w:p w14:paraId="5DE9FEDF"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0C786545" w14:textId="677BD338" w:rsidR="006424AF" w:rsidRPr="006424AF" w:rsidRDefault="006424AF" w:rsidP="006424AF">
      <w:pPr>
        <w:tabs>
          <w:tab w:val="left" w:pos="851"/>
        </w:tabs>
        <w:ind w:left="851"/>
        <w:rPr>
          <w:sz w:val="24"/>
          <w:szCs w:val="24"/>
        </w:rPr>
      </w:pPr>
      <w:r w:rsidRPr="006424AF">
        <w:rPr>
          <w:bCs/>
          <w:sz w:val="24"/>
          <w:szCs w:val="24"/>
        </w:rPr>
        <w:t xml:space="preserve">Terapeutisk klassifikation: </w:t>
      </w:r>
      <w:r w:rsidRPr="006424AF">
        <w:rPr>
          <w:sz w:val="24"/>
          <w:szCs w:val="24"/>
        </w:rPr>
        <w:t>Hjerteterapi, adrenerge og dopaminerge midler</w:t>
      </w:r>
      <w:r>
        <w:rPr>
          <w:sz w:val="24"/>
          <w:szCs w:val="24"/>
        </w:rPr>
        <w:t xml:space="preserve">, </w:t>
      </w:r>
      <w:r w:rsidRPr="006424AF">
        <w:rPr>
          <w:sz w:val="24"/>
          <w:szCs w:val="24"/>
        </w:rPr>
        <w:t xml:space="preserve">ATC-kode: C01CA17. </w:t>
      </w:r>
    </w:p>
    <w:p w14:paraId="01D1C4EA" w14:textId="77777777" w:rsidR="006424AF" w:rsidRPr="006424AF" w:rsidRDefault="006424AF" w:rsidP="006424AF">
      <w:pPr>
        <w:tabs>
          <w:tab w:val="left" w:pos="851"/>
        </w:tabs>
        <w:ind w:left="851"/>
        <w:rPr>
          <w:bCs/>
          <w:sz w:val="24"/>
          <w:szCs w:val="24"/>
        </w:rPr>
      </w:pPr>
    </w:p>
    <w:p w14:paraId="677BE500" w14:textId="77777777" w:rsidR="006424AF" w:rsidRPr="006424AF" w:rsidRDefault="006424AF" w:rsidP="006424AF">
      <w:pPr>
        <w:tabs>
          <w:tab w:val="left" w:pos="851"/>
        </w:tabs>
        <w:ind w:left="851"/>
        <w:rPr>
          <w:sz w:val="24"/>
          <w:szCs w:val="24"/>
        </w:rPr>
      </w:pPr>
      <w:r w:rsidRPr="006424AF">
        <w:rPr>
          <w:sz w:val="24"/>
          <w:szCs w:val="24"/>
        </w:rPr>
        <w:t>Midodrin er et pro-drug af det farmakologisk aktive stof desglymidodrin og absorberes hurtigt. Desglymidodrin er et sympatomimetisk aktivt stof med en direkte og selektiv virkning på de perifere alpha-1-adrenerge receptorer. Den alpha-1-stimulerende virkning inducerer vasokonstriktion i det venøse system (og forårsager en reduktion i venøs pooling). Desglymidodrins alpha-1-adrenerge virkninger kan næsten fuldstændigt tilskrives desglymidodrins (-)enantiomer. Efter at have taget midodrin, som er en racemisk blanding, er (+) desglymidodrin også til stede, om end dette næsten ikke bidrager til den ønskede virkning.</w:t>
      </w:r>
    </w:p>
    <w:p w14:paraId="170D2059" w14:textId="77777777" w:rsidR="006424AF" w:rsidRPr="006424AF" w:rsidRDefault="006424AF" w:rsidP="006424AF">
      <w:pPr>
        <w:tabs>
          <w:tab w:val="left" w:pos="851"/>
        </w:tabs>
        <w:ind w:left="851"/>
        <w:rPr>
          <w:sz w:val="24"/>
          <w:szCs w:val="24"/>
        </w:rPr>
      </w:pPr>
    </w:p>
    <w:p w14:paraId="6D9EBDA9" w14:textId="77777777" w:rsidR="006424AF" w:rsidRPr="006424AF" w:rsidRDefault="006424AF" w:rsidP="006424AF">
      <w:pPr>
        <w:tabs>
          <w:tab w:val="left" w:pos="851"/>
        </w:tabs>
        <w:ind w:left="851"/>
        <w:rPr>
          <w:sz w:val="24"/>
          <w:szCs w:val="24"/>
        </w:rPr>
      </w:pPr>
      <w:r w:rsidRPr="006424AF">
        <w:rPr>
          <w:sz w:val="24"/>
          <w:szCs w:val="24"/>
        </w:rPr>
        <w:t>Desglymidodrin øger den perifere arterielle modstand, hvilket resulterer i en stigning i arterielt blodtryk.</w:t>
      </w:r>
    </w:p>
    <w:p w14:paraId="7DDEF999" w14:textId="77777777" w:rsidR="006424AF" w:rsidRPr="006424AF" w:rsidRDefault="006424AF" w:rsidP="006424AF">
      <w:pPr>
        <w:tabs>
          <w:tab w:val="left" w:pos="851"/>
        </w:tabs>
        <w:ind w:left="851"/>
        <w:rPr>
          <w:sz w:val="24"/>
          <w:szCs w:val="24"/>
        </w:rPr>
      </w:pPr>
    </w:p>
    <w:p w14:paraId="6E1A5080" w14:textId="77777777" w:rsidR="006424AF" w:rsidRPr="006424AF" w:rsidRDefault="006424AF" w:rsidP="006424AF">
      <w:pPr>
        <w:tabs>
          <w:tab w:val="left" w:pos="851"/>
        </w:tabs>
        <w:ind w:left="851"/>
        <w:rPr>
          <w:sz w:val="24"/>
          <w:szCs w:val="24"/>
        </w:rPr>
      </w:pPr>
      <w:r w:rsidRPr="006424AF">
        <w:rPr>
          <w:sz w:val="24"/>
          <w:szCs w:val="24"/>
        </w:rPr>
        <w:t>Der er kun utilstrækkelige data tilgængelige omhandlende de langsigtede virkninger ved brug af midodrin.</w:t>
      </w:r>
    </w:p>
    <w:p w14:paraId="028F2A53" w14:textId="77777777" w:rsidR="006424AF" w:rsidRPr="006424AF" w:rsidRDefault="006424AF" w:rsidP="006424AF">
      <w:pPr>
        <w:tabs>
          <w:tab w:val="left" w:pos="851"/>
        </w:tabs>
        <w:ind w:left="851"/>
        <w:rPr>
          <w:sz w:val="24"/>
          <w:szCs w:val="24"/>
        </w:rPr>
      </w:pPr>
    </w:p>
    <w:p w14:paraId="49577450" w14:textId="77777777" w:rsidR="006424AF" w:rsidRPr="006424AF" w:rsidRDefault="006424AF" w:rsidP="006424AF">
      <w:pPr>
        <w:tabs>
          <w:tab w:val="left" w:pos="851"/>
        </w:tabs>
        <w:ind w:left="851"/>
        <w:rPr>
          <w:sz w:val="24"/>
          <w:szCs w:val="24"/>
        </w:rPr>
      </w:pPr>
      <w:r w:rsidRPr="006424AF">
        <w:rPr>
          <w:sz w:val="24"/>
          <w:szCs w:val="24"/>
        </w:rPr>
        <w:t>Stimulation af de alpha-adrenerge receptorer i blæren og ureter øger tonus i lukkemusklen.</w:t>
      </w:r>
    </w:p>
    <w:p w14:paraId="3B1609D1" w14:textId="77777777" w:rsidR="006424AF" w:rsidRPr="006424AF" w:rsidRDefault="006424AF" w:rsidP="006424AF">
      <w:pPr>
        <w:tabs>
          <w:tab w:val="left" w:pos="851"/>
        </w:tabs>
        <w:ind w:left="851"/>
        <w:rPr>
          <w:sz w:val="24"/>
          <w:szCs w:val="24"/>
        </w:rPr>
      </w:pPr>
    </w:p>
    <w:p w14:paraId="57835EDB" w14:textId="77777777" w:rsidR="006424AF" w:rsidRPr="006424AF" w:rsidRDefault="006424AF" w:rsidP="006424AF">
      <w:pPr>
        <w:tabs>
          <w:tab w:val="left" w:pos="851"/>
        </w:tabs>
        <w:ind w:left="851"/>
        <w:rPr>
          <w:sz w:val="24"/>
          <w:szCs w:val="24"/>
        </w:rPr>
      </w:pPr>
      <w:r w:rsidRPr="006424AF">
        <w:rPr>
          <w:sz w:val="24"/>
          <w:szCs w:val="24"/>
        </w:rPr>
        <w:t>Desglymidodrin har ingen beta-adrenerge virkninger.</w:t>
      </w:r>
    </w:p>
    <w:p w14:paraId="5946F3E0" w14:textId="77777777" w:rsidR="009260DE" w:rsidRPr="00C84483" w:rsidRDefault="009260DE" w:rsidP="009260DE">
      <w:pPr>
        <w:tabs>
          <w:tab w:val="left" w:pos="851"/>
        </w:tabs>
        <w:ind w:left="851"/>
        <w:rPr>
          <w:sz w:val="24"/>
          <w:szCs w:val="24"/>
        </w:rPr>
      </w:pPr>
    </w:p>
    <w:p w14:paraId="1206ACD3"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6E70172B" w14:textId="77777777" w:rsidR="005736E2" w:rsidRPr="005736E2" w:rsidRDefault="005736E2" w:rsidP="005736E2">
      <w:pPr>
        <w:tabs>
          <w:tab w:val="left" w:pos="851"/>
        </w:tabs>
        <w:ind w:left="851"/>
        <w:rPr>
          <w:sz w:val="24"/>
          <w:szCs w:val="24"/>
          <w:u w:val="single"/>
        </w:rPr>
      </w:pPr>
    </w:p>
    <w:p w14:paraId="5D35C2DB" w14:textId="77777777" w:rsidR="005736E2" w:rsidRPr="005736E2" w:rsidRDefault="005736E2" w:rsidP="005736E2">
      <w:pPr>
        <w:tabs>
          <w:tab w:val="left" w:pos="851"/>
        </w:tabs>
        <w:ind w:left="851"/>
        <w:rPr>
          <w:sz w:val="24"/>
          <w:szCs w:val="24"/>
          <w:u w:val="single"/>
        </w:rPr>
      </w:pPr>
      <w:r w:rsidRPr="005736E2">
        <w:rPr>
          <w:sz w:val="24"/>
          <w:szCs w:val="24"/>
          <w:u w:val="single"/>
        </w:rPr>
        <w:t>Absorption</w:t>
      </w:r>
    </w:p>
    <w:p w14:paraId="72813DAC" w14:textId="77777777" w:rsidR="005736E2" w:rsidRPr="005736E2" w:rsidRDefault="005736E2" w:rsidP="005736E2">
      <w:pPr>
        <w:tabs>
          <w:tab w:val="left" w:pos="851"/>
        </w:tabs>
        <w:ind w:left="851"/>
        <w:rPr>
          <w:sz w:val="24"/>
          <w:szCs w:val="24"/>
        </w:rPr>
      </w:pPr>
      <w:r w:rsidRPr="005736E2">
        <w:rPr>
          <w:sz w:val="24"/>
          <w:szCs w:val="24"/>
        </w:rPr>
        <w:t>Efter oral administration absorberes midodrin hurtigt. Maksimale plasmakoncentrationer opnås efter ca. 30 minutter, og maksimal plasmakoncentration af den aktive metabolit, desglymidodrin, opnås efter ca. 1 time.</w:t>
      </w:r>
    </w:p>
    <w:p w14:paraId="6327E1D3" w14:textId="77777777" w:rsidR="005736E2" w:rsidRPr="005736E2" w:rsidRDefault="005736E2" w:rsidP="005736E2">
      <w:pPr>
        <w:tabs>
          <w:tab w:val="left" w:pos="851"/>
        </w:tabs>
        <w:ind w:left="851"/>
        <w:rPr>
          <w:sz w:val="24"/>
          <w:szCs w:val="24"/>
        </w:rPr>
      </w:pPr>
    </w:p>
    <w:p w14:paraId="0C0F3CB0" w14:textId="77777777" w:rsidR="005736E2" w:rsidRPr="005736E2" w:rsidRDefault="005736E2" w:rsidP="005736E2">
      <w:pPr>
        <w:tabs>
          <w:tab w:val="left" w:pos="851"/>
        </w:tabs>
        <w:ind w:left="851"/>
        <w:rPr>
          <w:sz w:val="24"/>
          <w:szCs w:val="24"/>
        </w:rPr>
      </w:pPr>
      <w:r w:rsidRPr="005736E2">
        <w:rPr>
          <w:sz w:val="24"/>
          <w:szCs w:val="24"/>
        </w:rPr>
        <w:t>AUC og C</w:t>
      </w:r>
      <w:r w:rsidRPr="005736E2">
        <w:rPr>
          <w:sz w:val="24"/>
          <w:szCs w:val="24"/>
          <w:vertAlign w:val="subscript"/>
        </w:rPr>
        <w:t>max</w:t>
      </w:r>
      <w:r w:rsidRPr="005736E2">
        <w:rPr>
          <w:sz w:val="24"/>
          <w:szCs w:val="24"/>
        </w:rPr>
        <w:t xml:space="preserve"> stiger proportionalt med dosis inden for dosisområdet 2,5-22,5 mg. Administration sammen med mad øger AUC med ca. 25 %, og C</w:t>
      </w:r>
      <w:r w:rsidRPr="005736E2">
        <w:rPr>
          <w:sz w:val="24"/>
          <w:szCs w:val="24"/>
          <w:vertAlign w:val="subscript"/>
        </w:rPr>
        <w:t>max</w:t>
      </w:r>
      <w:r w:rsidRPr="005736E2">
        <w:rPr>
          <w:sz w:val="24"/>
          <w:szCs w:val="24"/>
        </w:rPr>
        <w:t xml:space="preserve"> falder med ca. 30 %. Desglymidodrins farmakokinetik påvirkes ikke.</w:t>
      </w:r>
    </w:p>
    <w:p w14:paraId="3F97E808" w14:textId="77777777" w:rsidR="005736E2" w:rsidRPr="005736E2" w:rsidRDefault="005736E2" w:rsidP="005736E2">
      <w:pPr>
        <w:tabs>
          <w:tab w:val="left" w:pos="851"/>
        </w:tabs>
        <w:ind w:left="851"/>
        <w:rPr>
          <w:sz w:val="24"/>
          <w:szCs w:val="24"/>
        </w:rPr>
      </w:pPr>
    </w:p>
    <w:p w14:paraId="41AD484F" w14:textId="77777777" w:rsidR="005736E2" w:rsidRPr="005736E2" w:rsidRDefault="005736E2" w:rsidP="005736E2">
      <w:pPr>
        <w:tabs>
          <w:tab w:val="left" w:pos="851"/>
        </w:tabs>
        <w:ind w:left="851"/>
        <w:rPr>
          <w:sz w:val="24"/>
          <w:szCs w:val="24"/>
          <w:u w:val="single"/>
        </w:rPr>
      </w:pPr>
      <w:r w:rsidRPr="005736E2">
        <w:rPr>
          <w:sz w:val="24"/>
          <w:szCs w:val="24"/>
          <w:u w:val="single"/>
        </w:rPr>
        <w:t>Fordeling</w:t>
      </w:r>
    </w:p>
    <w:p w14:paraId="2FBBCA87" w14:textId="77777777" w:rsidR="005736E2" w:rsidRPr="005736E2" w:rsidRDefault="005736E2" w:rsidP="005736E2">
      <w:pPr>
        <w:tabs>
          <w:tab w:val="left" w:pos="851"/>
        </w:tabs>
        <w:ind w:left="851"/>
        <w:rPr>
          <w:sz w:val="24"/>
          <w:szCs w:val="24"/>
        </w:rPr>
      </w:pPr>
      <w:r w:rsidRPr="005736E2">
        <w:rPr>
          <w:sz w:val="24"/>
          <w:szCs w:val="24"/>
        </w:rPr>
        <w:t>Hverken midodrin eller desglymidodrin er bundet til plasmaproteiner i nogen betydelig grad (mindre end 30 %). Desglymidodrin diffunderer dårligt gennem blodhjernebarrieren. Diffusion gennem placenta har været rapporteret. Det vides ikke, om dette lægemiddel udskilles i human mælk.</w:t>
      </w:r>
    </w:p>
    <w:p w14:paraId="52556FFD" w14:textId="77777777" w:rsidR="005736E2" w:rsidRPr="005736E2" w:rsidRDefault="005736E2" w:rsidP="005736E2">
      <w:pPr>
        <w:tabs>
          <w:tab w:val="left" w:pos="851"/>
        </w:tabs>
        <w:ind w:left="851"/>
        <w:rPr>
          <w:sz w:val="24"/>
          <w:szCs w:val="24"/>
        </w:rPr>
      </w:pPr>
    </w:p>
    <w:p w14:paraId="32B619AC" w14:textId="77777777" w:rsidR="005736E2" w:rsidRPr="005736E2" w:rsidRDefault="005736E2" w:rsidP="005736E2">
      <w:pPr>
        <w:tabs>
          <w:tab w:val="left" w:pos="851"/>
        </w:tabs>
        <w:ind w:left="851"/>
        <w:rPr>
          <w:sz w:val="24"/>
          <w:szCs w:val="24"/>
          <w:u w:val="single"/>
        </w:rPr>
      </w:pPr>
      <w:r w:rsidRPr="005736E2">
        <w:rPr>
          <w:sz w:val="24"/>
          <w:szCs w:val="24"/>
          <w:u w:val="single"/>
        </w:rPr>
        <w:t>Biotransformation</w:t>
      </w:r>
    </w:p>
    <w:p w14:paraId="0F03B062" w14:textId="77777777" w:rsidR="005736E2" w:rsidRPr="005736E2" w:rsidRDefault="005736E2" w:rsidP="005736E2">
      <w:pPr>
        <w:tabs>
          <w:tab w:val="left" w:pos="851"/>
        </w:tabs>
        <w:ind w:left="851"/>
        <w:rPr>
          <w:sz w:val="24"/>
          <w:szCs w:val="24"/>
        </w:rPr>
      </w:pPr>
      <w:r w:rsidRPr="005736E2">
        <w:rPr>
          <w:sz w:val="24"/>
          <w:szCs w:val="24"/>
        </w:rPr>
        <w:t>Midodrin hydrolyseres delvist før absorption (i tarmene) og delvist efter absorption (i plasma) ved adskillelse af glycin og danner herved den aktive metabolit, desglymidodrin. Udskillelsen af desglymidodrin er primært forårsaget af en oxiderende metabolisme, efterfulgt af (delvis) konjugering.</w:t>
      </w:r>
    </w:p>
    <w:p w14:paraId="1B924B5D" w14:textId="1C987397" w:rsidR="005736E2" w:rsidRDefault="005736E2">
      <w:pPr>
        <w:rPr>
          <w:sz w:val="24"/>
          <w:szCs w:val="24"/>
        </w:rPr>
      </w:pPr>
      <w:r>
        <w:rPr>
          <w:sz w:val="24"/>
          <w:szCs w:val="24"/>
        </w:rPr>
        <w:br w:type="page"/>
      </w:r>
    </w:p>
    <w:p w14:paraId="1F971AA9" w14:textId="77777777" w:rsidR="005736E2" w:rsidRPr="005736E2" w:rsidRDefault="005736E2" w:rsidP="005736E2">
      <w:pPr>
        <w:tabs>
          <w:tab w:val="left" w:pos="851"/>
        </w:tabs>
        <w:ind w:left="851"/>
        <w:rPr>
          <w:sz w:val="24"/>
          <w:szCs w:val="24"/>
        </w:rPr>
      </w:pPr>
    </w:p>
    <w:p w14:paraId="5661E542" w14:textId="77777777" w:rsidR="005736E2" w:rsidRPr="005736E2" w:rsidRDefault="005736E2" w:rsidP="005736E2">
      <w:pPr>
        <w:tabs>
          <w:tab w:val="left" w:pos="851"/>
        </w:tabs>
        <w:ind w:left="851"/>
        <w:rPr>
          <w:sz w:val="24"/>
          <w:szCs w:val="24"/>
          <w:u w:val="single"/>
        </w:rPr>
      </w:pPr>
      <w:r w:rsidRPr="005736E2">
        <w:rPr>
          <w:sz w:val="24"/>
          <w:szCs w:val="24"/>
          <w:u w:val="single"/>
        </w:rPr>
        <w:t>Elimination</w:t>
      </w:r>
    </w:p>
    <w:p w14:paraId="04A4F0D8" w14:textId="77777777" w:rsidR="005736E2" w:rsidRPr="005736E2" w:rsidRDefault="005736E2" w:rsidP="005736E2">
      <w:pPr>
        <w:tabs>
          <w:tab w:val="left" w:pos="851"/>
        </w:tabs>
        <w:ind w:left="851"/>
        <w:rPr>
          <w:sz w:val="24"/>
          <w:szCs w:val="24"/>
        </w:rPr>
      </w:pPr>
      <w:r w:rsidRPr="005736E2">
        <w:rPr>
          <w:sz w:val="24"/>
          <w:szCs w:val="24"/>
        </w:rPr>
        <w:t>Midodrin (8 %), desglymidodrin (40 %) og deres nedbrydningsprodukter (55 %) udskilles i urinen med mere end 90 % inden for 24 timer i konjugeret eller ikke-konjugeret form. Midodrins eliminationshalveringstid i plasma er ca. 30 minutter, og den er ca. 3 timer for desglymidodrin. Elimination af desglymidodrins aktive (-) enantiomer er langsommere end eliminationen af de inaktive (+) enantiomer.</w:t>
      </w:r>
    </w:p>
    <w:p w14:paraId="74E44CED" w14:textId="77777777" w:rsidR="009260DE" w:rsidRPr="00C84483" w:rsidRDefault="009260DE" w:rsidP="009260DE">
      <w:pPr>
        <w:tabs>
          <w:tab w:val="left" w:pos="851"/>
        </w:tabs>
        <w:ind w:left="851"/>
        <w:rPr>
          <w:sz w:val="24"/>
          <w:szCs w:val="24"/>
        </w:rPr>
      </w:pPr>
    </w:p>
    <w:p w14:paraId="75682012"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20454510" w14:textId="77777777" w:rsidR="00DA0829" w:rsidRPr="00DA0829" w:rsidRDefault="00DA0829" w:rsidP="00DA0829">
      <w:pPr>
        <w:tabs>
          <w:tab w:val="left" w:pos="851"/>
        </w:tabs>
        <w:ind w:left="851"/>
        <w:rPr>
          <w:sz w:val="24"/>
          <w:szCs w:val="24"/>
        </w:rPr>
      </w:pPr>
      <w:r w:rsidRPr="00DA0829">
        <w:rPr>
          <w:sz w:val="24"/>
          <w:szCs w:val="24"/>
        </w:rPr>
        <w:t>Studier af sikkerhedsfarmakologi og af toksicitet efter gentagne doser hos dyr indikerede ingen sikkerhedsrisiko for mennesker ved terapeutiske doser. Studier med rotter og kaniner viser, at midodrin er embryotoksisk ved maternelt toksiske doser. Der er ikke set teratogenicitet.</w:t>
      </w:r>
    </w:p>
    <w:p w14:paraId="1C772D4A" w14:textId="77777777" w:rsidR="00DA0829" w:rsidRPr="00DA0829" w:rsidRDefault="00DA0829" w:rsidP="00DA0829">
      <w:pPr>
        <w:tabs>
          <w:tab w:val="left" w:pos="851"/>
        </w:tabs>
        <w:ind w:left="851"/>
        <w:rPr>
          <w:sz w:val="24"/>
          <w:szCs w:val="24"/>
        </w:rPr>
      </w:pPr>
    </w:p>
    <w:p w14:paraId="23112562" w14:textId="77777777" w:rsidR="00DA0829" w:rsidRPr="00DA0829" w:rsidRDefault="00DA0829" w:rsidP="00DA0829">
      <w:pPr>
        <w:tabs>
          <w:tab w:val="left" w:pos="851"/>
        </w:tabs>
        <w:ind w:left="851"/>
        <w:rPr>
          <w:sz w:val="24"/>
          <w:szCs w:val="24"/>
        </w:rPr>
      </w:pPr>
      <w:r w:rsidRPr="00DA0829">
        <w:rPr>
          <w:sz w:val="24"/>
          <w:szCs w:val="24"/>
        </w:rPr>
        <w:t>Midodrin er ikke genotoksisk, og efter langtidsstudier med rotter (104 uger) og mus (78 uger) var der ingen evidens for, at midodrin var karcinogent ved doser på op til hhv. 10 mg/kg/dag og 15 mg/kg/dag, sammenlignet med en maksimal daglig dosis til patienter på 30 mg (~0,5 mg/kg/dag).</w:t>
      </w:r>
    </w:p>
    <w:p w14:paraId="63D3EE9A" w14:textId="77777777" w:rsidR="00DA0829" w:rsidRPr="00DA0829" w:rsidRDefault="00DA0829" w:rsidP="00DA0829">
      <w:pPr>
        <w:tabs>
          <w:tab w:val="left" w:pos="851"/>
        </w:tabs>
        <w:ind w:left="851"/>
        <w:rPr>
          <w:sz w:val="24"/>
          <w:szCs w:val="24"/>
        </w:rPr>
      </w:pPr>
    </w:p>
    <w:p w14:paraId="2C06F45E" w14:textId="77777777" w:rsidR="009260DE" w:rsidRPr="00C84483" w:rsidRDefault="009260DE" w:rsidP="009260DE">
      <w:pPr>
        <w:tabs>
          <w:tab w:val="left" w:pos="851"/>
        </w:tabs>
        <w:ind w:left="851"/>
        <w:rPr>
          <w:sz w:val="24"/>
          <w:szCs w:val="24"/>
        </w:rPr>
      </w:pPr>
    </w:p>
    <w:p w14:paraId="21D98C59"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31E9EFC6" w14:textId="77777777" w:rsidR="009260DE" w:rsidRPr="00BA09F1" w:rsidRDefault="009260DE" w:rsidP="009260DE">
      <w:pPr>
        <w:tabs>
          <w:tab w:val="left" w:pos="851"/>
        </w:tabs>
        <w:ind w:left="851"/>
        <w:rPr>
          <w:sz w:val="24"/>
          <w:szCs w:val="24"/>
        </w:rPr>
      </w:pPr>
    </w:p>
    <w:p w14:paraId="76A056AB"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5F199A1B" w14:textId="77777777" w:rsidR="006E489D" w:rsidRDefault="006E489D" w:rsidP="006E489D">
      <w:pPr>
        <w:tabs>
          <w:tab w:val="left" w:pos="567"/>
        </w:tabs>
        <w:ind w:left="851"/>
        <w:rPr>
          <w:rFonts w:eastAsiaTheme="minorEastAsia"/>
          <w:sz w:val="24"/>
          <w:szCs w:val="24"/>
          <w:lang w:eastAsia="da-DK"/>
        </w:rPr>
      </w:pPr>
      <w:r>
        <w:rPr>
          <w:rFonts w:eastAsiaTheme="minorEastAsia"/>
          <w:sz w:val="24"/>
          <w:szCs w:val="24"/>
          <w:lang w:eastAsia="da-DK"/>
        </w:rPr>
        <w:t>Majsstivelse, prægelatineret</w:t>
      </w:r>
    </w:p>
    <w:p w14:paraId="7439F1A5" w14:textId="77777777" w:rsidR="006E489D" w:rsidRDefault="006E489D" w:rsidP="006E489D">
      <w:pPr>
        <w:tabs>
          <w:tab w:val="left" w:pos="567"/>
        </w:tabs>
        <w:ind w:left="851"/>
        <w:rPr>
          <w:rFonts w:eastAsiaTheme="minorEastAsia"/>
          <w:iCs/>
          <w:sz w:val="24"/>
          <w:szCs w:val="24"/>
          <w:lang w:eastAsia="da-DK"/>
        </w:rPr>
      </w:pPr>
      <w:r>
        <w:rPr>
          <w:rFonts w:eastAsiaTheme="minorEastAsia"/>
          <w:sz w:val="24"/>
          <w:szCs w:val="24"/>
          <w:lang w:eastAsia="da-DK"/>
        </w:rPr>
        <w:t>Mikrokrystallinsk cellulose</w:t>
      </w:r>
    </w:p>
    <w:p w14:paraId="6DF84019" w14:textId="77777777" w:rsidR="006E489D" w:rsidRDefault="006E489D" w:rsidP="006E489D">
      <w:pPr>
        <w:tabs>
          <w:tab w:val="left" w:pos="567"/>
        </w:tabs>
        <w:ind w:left="851"/>
        <w:rPr>
          <w:rFonts w:eastAsiaTheme="minorEastAsia"/>
          <w:sz w:val="24"/>
          <w:szCs w:val="24"/>
          <w:lang w:eastAsia="da-DK"/>
        </w:rPr>
      </w:pPr>
      <w:r>
        <w:rPr>
          <w:rFonts w:eastAsiaTheme="minorEastAsia"/>
          <w:sz w:val="24"/>
          <w:szCs w:val="24"/>
          <w:lang w:eastAsia="da-DK"/>
        </w:rPr>
        <w:t>Kolloid, vandfri silica</w:t>
      </w:r>
    </w:p>
    <w:p w14:paraId="67BFF458" w14:textId="77777777" w:rsidR="006E489D" w:rsidRDefault="006E489D" w:rsidP="006E489D">
      <w:pPr>
        <w:tabs>
          <w:tab w:val="left" w:pos="567"/>
        </w:tabs>
        <w:ind w:left="851"/>
        <w:rPr>
          <w:rFonts w:eastAsiaTheme="minorEastAsia"/>
          <w:sz w:val="24"/>
          <w:szCs w:val="24"/>
          <w:lang w:eastAsia="da-DK"/>
        </w:rPr>
      </w:pPr>
      <w:r>
        <w:rPr>
          <w:rFonts w:eastAsiaTheme="minorEastAsia"/>
          <w:sz w:val="24"/>
          <w:szCs w:val="24"/>
          <w:lang w:eastAsia="da-DK"/>
        </w:rPr>
        <w:t>Talkum (E553b)</w:t>
      </w:r>
    </w:p>
    <w:p w14:paraId="4A0DB826" w14:textId="77777777" w:rsidR="006E489D" w:rsidRDefault="006E489D" w:rsidP="006E489D">
      <w:pPr>
        <w:tabs>
          <w:tab w:val="left" w:pos="567"/>
        </w:tabs>
        <w:ind w:left="851"/>
        <w:rPr>
          <w:rFonts w:eastAsiaTheme="minorEastAsia"/>
          <w:sz w:val="24"/>
          <w:szCs w:val="24"/>
          <w:lang w:eastAsia="da-DK"/>
        </w:rPr>
      </w:pPr>
      <w:r>
        <w:rPr>
          <w:rFonts w:eastAsiaTheme="minorEastAsia"/>
          <w:sz w:val="24"/>
          <w:szCs w:val="24"/>
          <w:lang w:eastAsia="da-DK"/>
        </w:rPr>
        <w:t>Magnesiumstearat (E572)</w:t>
      </w:r>
    </w:p>
    <w:p w14:paraId="0B5E5E07" w14:textId="77777777" w:rsidR="006E489D" w:rsidRDefault="006E489D" w:rsidP="006E489D">
      <w:pPr>
        <w:tabs>
          <w:tab w:val="left" w:pos="567"/>
        </w:tabs>
        <w:ind w:left="851"/>
        <w:rPr>
          <w:rFonts w:eastAsiaTheme="minorEastAsia"/>
          <w:sz w:val="24"/>
          <w:szCs w:val="24"/>
          <w:lang w:eastAsia="da-DK"/>
        </w:rPr>
      </w:pPr>
    </w:p>
    <w:p w14:paraId="3E49EC50" w14:textId="77777777" w:rsidR="006E489D" w:rsidRPr="006E489D" w:rsidRDefault="006E489D" w:rsidP="006E489D">
      <w:pPr>
        <w:tabs>
          <w:tab w:val="left" w:pos="851"/>
        </w:tabs>
        <w:ind w:left="851"/>
        <w:rPr>
          <w:iCs/>
          <w:sz w:val="24"/>
          <w:szCs w:val="24"/>
          <w:u w:val="single"/>
        </w:rPr>
      </w:pPr>
      <w:r w:rsidRPr="006E489D">
        <w:rPr>
          <w:iCs/>
          <w:sz w:val="24"/>
          <w:szCs w:val="24"/>
          <w:u w:val="single"/>
        </w:rPr>
        <w:t>Midodrin "Zentiva"</w:t>
      </w:r>
      <w:r w:rsidRPr="006E489D">
        <w:rPr>
          <w:rFonts w:eastAsiaTheme="minorEastAsia"/>
          <w:iCs/>
          <w:sz w:val="24"/>
          <w:szCs w:val="24"/>
          <w:u w:val="single"/>
          <w:lang w:eastAsia="da-DK"/>
        </w:rPr>
        <w:t xml:space="preserve"> 5 mg tabletter yderligere</w:t>
      </w:r>
    </w:p>
    <w:p w14:paraId="34FB94A0" w14:textId="77777777" w:rsidR="006E489D" w:rsidRDefault="006E489D" w:rsidP="006E489D">
      <w:pPr>
        <w:tabs>
          <w:tab w:val="left" w:pos="567"/>
        </w:tabs>
        <w:ind w:left="851"/>
        <w:rPr>
          <w:rFonts w:eastAsiaTheme="minorEastAsia"/>
          <w:sz w:val="24"/>
          <w:szCs w:val="24"/>
          <w:lang w:eastAsia="da-DK"/>
        </w:rPr>
      </w:pPr>
      <w:r>
        <w:rPr>
          <w:rFonts w:eastAsiaTheme="minorEastAsia"/>
          <w:sz w:val="24"/>
          <w:szCs w:val="24"/>
          <w:lang w:eastAsia="da-DK"/>
        </w:rPr>
        <w:t>Rød jernoxid (E172)</w:t>
      </w:r>
    </w:p>
    <w:p w14:paraId="3281969E" w14:textId="77777777" w:rsidR="006E489D" w:rsidRDefault="006E489D" w:rsidP="006E489D">
      <w:pPr>
        <w:tabs>
          <w:tab w:val="left" w:pos="567"/>
        </w:tabs>
        <w:ind w:left="851"/>
        <w:rPr>
          <w:rFonts w:eastAsiaTheme="minorEastAsia"/>
          <w:sz w:val="24"/>
          <w:szCs w:val="24"/>
          <w:lang w:eastAsia="da-DK"/>
        </w:rPr>
      </w:pPr>
      <w:r>
        <w:rPr>
          <w:rFonts w:eastAsiaTheme="minorEastAsia"/>
          <w:sz w:val="24"/>
          <w:szCs w:val="24"/>
          <w:lang w:eastAsia="da-DK"/>
        </w:rPr>
        <w:t>Gul jernoxid (E172)</w:t>
      </w:r>
    </w:p>
    <w:p w14:paraId="5F8B1BC2" w14:textId="77777777" w:rsidR="009260DE" w:rsidRPr="00C84483" w:rsidRDefault="009260DE" w:rsidP="009260DE">
      <w:pPr>
        <w:tabs>
          <w:tab w:val="left" w:pos="851"/>
        </w:tabs>
        <w:ind w:left="851"/>
        <w:rPr>
          <w:sz w:val="24"/>
          <w:szCs w:val="24"/>
        </w:rPr>
      </w:pPr>
    </w:p>
    <w:p w14:paraId="76B4D983"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13095E5E" w14:textId="6406EF25" w:rsidR="009260DE" w:rsidRPr="00C84483" w:rsidRDefault="006E489D" w:rsidP="009260DE">
      <w:pPr>
        <w:tabs>
          <w:tab w:val="left" w:pos="851"/>
        </w:tabs>
        <w:ind w:left="851"/>
        <w:rPr>
          <w:sz w:val="24"/>
          <w:szCs w:val="24"/>
        </w:rPr>
      </w:pPr>
      <w:r>
        <w:rPr>
          <w:sz w:val="24"/>
          <w:szCs w:val="24"/>
        </w:rPr>
        <w:t>Ikke relevant.</w:t>
      </w:r>
    </w:p>
    <w:p w14:paraId="697605A7" w14:textId="77777777" w:rsidR="009260DE" w:rsidRPr="00C84483" w:rsidRDefault="009260DE" w:rsidP="009260DE">
      <w:pPr>
        <w:tabs>
          <w:tab w:val="left" w:pos="851"/>
        </w:tabs>
        <w:ind w:left="851"/>
        <w:rPr>
          <w:sz w:val="24"/>
          <w:szCs w:val="24"/>
        </w:rPr>
      </w:pPr>
    </w:p>
    <w:p w14:paraId="6FC3B8C6"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42946D5B" w14:textId="272A9BAF" w:rsidR="009260DE" w:rsidRPr="0089346F" w:rsidRDefault="006E489D" w:rsidP="0089346F">
      <w:pPr>
        <w:tabs>
          <w:tab w:val="left" w:pos="851"/>
        </w:tabs>
        <w:ind w:left="851"/>
        <w:rPr>
          <w:rFonts w:eastAsia="MS Mincho" w:hAnsi="MS Mincho"/>
          <w:noProof/>
          <w:sz w:val="24"/>
          <w:szCs w:val="24"/>
        </w:rPr>
      </w:pPr>
      <w:r>
        <w:rPr>
          <w:sz w:val="24"/>
          <w:szCs w:val="24"/>
        </w:rPr>
        <w:t>3 år.</w:t>
      </w:r>
    </w:p>
    <w:p w14:paraId="5334056A" w14:textId="77777777" w:rsidR="009260DE" w:rsidRPr="00C84483" w:rsidRDefault="009260DE" w:rsidP="009260DE">
      <w:pPr>
        <w:tabs>
          <w:tab w:val="left" w:pos="851"/>
        </w:tabs>
        <w:ind w:left="851"/>
        <w:rPr>
          <w:sz w:val="24"/>
          <w:szCs w:val="24"/>
        </w:rPr>
      </w:pPr>
    </w:p>
    <w:p w14:paraId="0DC086AE"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654BA149" w14:textId="77777777" w:rsidR="006E489D" w:rsidRPr="006E489D" w:rsidRDefault="006E489D" w:rsidP="006E489D">
      <w:pPr>
        <w:tabs>
          <w:tab w:val="left" w:pos="851"/>
        </w:tabs>
        <w:ind w:left="851"/>
        <w:rPr>
          <w:sz w:val="24"/>
          <w:szCs w:val="24"/>
        </w:rPr>
      </w:pPr>
      <w:r w:rsidRPr="006E489D">
        <w:rPr>
          <w:sz w:val="24"/>
          <w:szCs w:val="24"/>
        </w:rPr>
        <w:t>Dette lægemiddel kræver ingen særlige forholdsregler vedrørende opbevaringen.</w:t>
      </w:r>
    </w:p>
    <w:p w14:paraId="264A6C7C" w14:textId="77777777" w:rsidR="009260DE" w:rsidRPr="00C84483" w:rsidRDefault="009260DE" w:rsidP="009260DE">
      <w:pPr>
        <w:tabs>
          <w:tab w:val="left" w:pos="851"/>
        </w:tabs>
        <w:ind w:left="851"/>
        <w:rPr>
          <w:sz w:val="24"/>
          <w:szCs w:val="24"/>
        </w:rPr>
      </w:pPr>
    </w:p>
    <w:p w14:paraId="1030A44C"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1E8872D8" w14:textId="2E18CA45" w:rsidR="006E489D" w:rsidRDefault="006E489D" w:rsidP="006E489D">
      <w:pPr>
        <w:tabs>
          <w:tab w:val="left" w:pos="567"/>
        </w:tabs>
        <w:ind w:left="851"/>
        <w:rPr>
          <w:rFonts w:eastAsiaTheme="minorEastAsia"/>
          <w:sz w:val="24"/>
          <w:szCs w:val="24"/>
          <w:lang w:eastAsia="da-DK"/>
        </w:rPr>
      </w:pPr>
      <w:r>
        <w:rPr>
          <w:rFonts w:eastAsiaTheme="minorEastAsia"/>
          <w:sz w:val="24"/>
          <w:szCs w:val="24"/>
          <w:lang w:eastAsia="da-DK"/>
        </w:rPr>
        <w:t>Alu/Alu (OPA/Alu/PVC) blister.</w:t>
      </w:r>
    </w:p>
    <w:p w14:paraId="73AA78A5" w14:textId="08148B1E" w:rsidR="006E489D" w:rsidRDefault="006E489D" w:rsidP="006E489D">
      <w:pPr>
        <w:tabs>
          <w:tab w:val="left" w:pos="567"/>
        </w:tabs>
        <w:ind w:left="851"/>
        <w:rPr>
          <w:rFonts w:eastAsiaTheme="minorEastAsia"/>
          <w:sz w:val="24"/>
          <w:szCs w:val="24"/>
          <w:lang w:eastAsia="da-DK"/>
        </w:rPr>
      </w:pPr>
    </w:p>
    <w:p w14:paraId="1729AD68" w14:textId="6AB5587A" w:rsidR="006E489D" w:rsidRPr="006E489D" w:rsidRDefault="006E489D" w:rsidP="006E489D">
      <w:pPr>
        <w:tabs>
          <w:tab w:val="left" w:pos="567"/>
        </w:tabs>
        <w:ind w:left="851"/>
        <w:rPr>
          <w:rFonts w:eastAsiaTheme="minorEastAsia"/>
          <w:sz w:val="24"/>
          <w:szCs w:val="24"/>
          <w:u w:val="single"/>
          <w:lang w:eastAsia="da-DK"/>
        </w:rPr>
      </w:pPr>
      <w:r w:rsidRPr="006E489D">
        <w:rPr>
          <w:rFonts w:eastAsiaTheme="minorEastAsia"/>
          <w:sz w:val="24"/>
          <w:szCs w:val="24"/>
          <w:u w:val="single"/>
          <w:lang w:eastAsia="da-DK"/>
        </w:rPr>
        <w:t>Pakningsstørrelser</w:t>
      </w:r>
    </w:p>
    <w:p w14:paraId="6CA7C4ED" w14:textId="77777777" w:rsidR="006E489D" w:rsidRDefault="006E489D" w:rsidP="006E489D">
      <w:pPr>
        <w:tabs>
          <w:tab w:val="left" w:pos="567"/>
        </w:tabs>
        <w:ind w:left="851"/>
        <w:rPr>
          <w:rFonts w:eastAsiaTheme="minorEastAsia"/>
          <w:i/>
          <w:iCs/>
          <w:sz w:val="24"/>
          <w:szCs w:val="24"/>
          <w:lang w:eastAsia="da-DK"/>
        </w:rPr>
      </w:pPr>
    </w:p>
    <w:p w14:paraId="43A554D8" w14:textId="377D3ACA" w:rsidR="006E489D" w:rsidRDefault="006E489D" w:rsidP="006E489D">
      <w:pPr>
        <w:tabs>
          <w:tab w:val="left" w:pos="567"/>
        </w:tabs>
        <w:ind w:left="851"/>
        <w:rPr>
          <w:rFonts w:eastAsiaTheme="minorEastAsia"/>
          <w:sz w:val="24"/>
          <w:szCs w:val="24"/>
          <w:lang w:eastAsia="da-DK"/>
        </w:rPr>
      </w:pPr>
      <w:r>
        <w:rPr>
          <w:rFonts w:eastAsiaTheme="minorEastAsia"/>
          <w:i/>
          <w:iCs/>
          <w:sz w:val="24"/>
          <w:szCs w:val="24"/>
          <w:lang w:eastAsia="da-DK"/>
        </w:rPr>
        <w:t xml:space="preserve">Midodrin "Zentiva" 2,5 mg: </w:t>
      </w:r>
      <w:r>
        <w:rPr>
          <w:rFonts w:eastAsiaTheme="minorEastAsia"/>
          <w:sz w:val="24"/>
          <w:szCs w:val="24"/>
          <w:lang w:eastAsia="da-DK"/>
        </w:rPr>
        <w:t>30, 90, 100, 30×1, 90×1 og 100×1 tabletter.</w:t>
      </w:r>
    </w:p>
    <w:p w14:paraId="58FDF675" w14:textId="25421EDB" w:rsidR="006E489D" w:rsidRDefault="006E489D" w:rsidP="006E489D">
      <w:pPr>
        <w:tabs>
          <w:tab w:val="left" w:pos="567"/>
        </w:tabs>
        <w:ind w:left="851"/>
        <w:rPr>
          <w:rFonts w:eastAsiaTheme="minorEastAsia"/>
          <w:sz w:val="24"/>
          <w:szCs w:val="24"/>
          <w:lang w:eastAsia="da-DK"/>
        </w:rPr>
      </w:pPr>
      <w:r>
        <w:rPr>
          <w:rFonts w:eastAsiaTheme="minorEastAsia"/>
          <w:i/>
          <w:iCs/>
          <w:sz w:val="24"/>
          <w:szCs w:val="24"/>
          <w:lang w:eastAsia="da-DK"/>
        </w:rPr>
        <w:t xml:space="preserve">Midodrin "Zentiva" 5 mg: </w:t>
      </w:r>
      <w:r>
        <w:rPr>
          <w:rFonts w:eastAsiaTheme="minorEastAsia"/>
          <w:sz w:val="24"/>
          <w:szCs w:val="24"/>
          <w:lang w:eastAsia="da-DK"/>
        </w:rPr>
        <w:t>100 og 100×1 tabletter.</w:t>
      </w:r>
    </w:p>
    <w:p w14:paraId="21E4BB06" w14:textId="77777777" w:rsidR="006E489D" w:rsidRDefault="006E489D" w:rsidP="006E489D">
      <w:pPr>
        <w:tabs>
          <w:tab w:val="left" w:pos="567"/>
        </w:tabs>
        <w:ind w:left="851"/>
        <w:rPr>
          <w:rFonts w:eastAsiaTheme="minorEastAsia"/>
          <w:sz w:val="24"/>
          <w:szCs w:val="24"/>
          <w:lang w:eastAsia="da-DK"/>
        </w:rPr>
      </w:pPr>
    </w:p>
    <w:p w14:paraId="5EE7AAD2" w14:textId="77777777" w:rsidR="006E489D" w:rsidRDefault="006E489D" w:rsidP="006E489D">
      <w:pPr>
        <w:suppressAutoHyphens/>
        <w:ind w:left="851"/>
        <w:rPr>
          <w:sz w:val="24"/>
          <w:szCs w:val="24"/>
        </w:rPr>
      </w:pPr>
      <w:r>
        <w:rPr>
          <w:sz w:val="24"/>
          <w:szCs w:val="24"/>
        </w:rPr>
        <w:t>Ikke alle pakningsstørrelser er nødvendigvis markedsført.</w:t>
      </w:r>
    </w:p>
    <w:p w14:paraId="78912BBA" w14:textId="77777777" w:rsidR="006E489D" w:rsidRDefault="006E489D" w:rsidP="006E489D">
      <w:pPr>
        <w:tabs>
          <w:tab w:val="left" w:pos="567"/>
        </w:tabs>
        <w:ind w:left="851"/>
        <w:rPr>
          <w:rFonts w:eastAsiaTheme="minorEastAsia"/>
          <w:iCs/>
          <w:sz w:val="24"/>
          <w:szCs w:val="24"/>
          <w:lang w:eastAsia="da-DK"/>
        </w:rPr>
      </w:pPr>
    </w:p>
    <w:p w14:paraId="077F5832"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2CDA4283" w14:textId="77777777" w:rsidR="006E489D" w:rsidRDefault="006E489D" w:rsidP="006E489D">
      <w:pPr>
        <w:tabs>
          <w:tab w:val="left" w:pos="851"/>
        </w:tabs>
        <w:ind w:left="851"/>
        <w:jc w:val="both"/>
        <w:rPr>
          <w:sz w:val="24"/>
          <w:szCs w:val="24"/>
        </w:rPr>
      </w:pPr>
      <w:r>
        <w:rPr>
          <w:sz w:val="24"/>
          <w:szCs w:val="24"/>
        </w:rPr>
        <w:t>Ingen særlige forholdsregler.</w:t>
      </w:r>
    </w:p>
    <w:p w14:paraId="7E0BEBC3" w14:textId="77777777" w:rsidR="009260DE" w:rsidRPr="00C84483" w:rsidRDefault="009260DE" w:rsidP="000730CA">
      <w:pPr>
        <w:tabs>
          <w:tab w:val="left" w:pos="851"/>
        </w:tabs>
        <w:ind w:left="851"/>
        <w:rPr>
          <w:sz w:val="24"/>
          <w:szCs w:val="24"/>
        </w:rPr>
      </w:pPr>
    </w:p>
    <w:p w14:paraId="2A60A5FB"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27C5F95F" w14:textId="77777777" w:rsidR="006E489D" w:rsidRPr="006E489D" w:rsidRDefault="006E489D" w:rsidP="006E489D">
      <w:pPr>
        <w:tabs>
          <w:tab w:val="left" w:pos="851"/>
        </w:tabs>
        <w:ind w:left="851"/>
        <w:rPr>
          <w:sz w:val="24"/>
          <w:szCs w:val="24"/>
        </w:rPr>
      </w:pPr>
      <w:r w:rsidRPr="006E489D">
        <w:rPr>
          <w:sz w:val="24"/>
          <w:szCs w:val="24"/>
        </w:rPr>
        <w:t>Zentiva k.s.</w:t>
      </w:r>
    </w:p>
    <w:p w14:paraId="70FC8248" w14:textId="77777777" w:rsidR="006E489D" w:rsidRPr="006E489D" w:rsidRDefault="006E489D" w:rsidP="006E489D">
      <w:pPr>
        <w:tabs>
          <w:tab w:val="left" w:pos="851"/>
        </w:tabs>
        <w:ind w:left="851"/>
        <w:rPr>
          <w:sz w:val="24"/>
          <w:szCs w:val="24"/>
        </w:rPr>
      </w:pPr>
      <w:r w:rsidRPr="006E489D">
        <w:rPr>
          <w:sz w:val="24"/>
          <w:szCs w:val="24"/>
        </w:rPr>
        <w:t>U kabelovny 130</w:t>
      </w:r>
    </w:p>
    <w:p w14:paraId="221EFD05" w14:textId="77777777" w:rsidR="006E489D" w:rsidRPr="006E489D" w:rsidRDefault="006E489D" w:rsidP="006E489D">
      <w:pPr>
        <w:tabs>
          <w:tab w:val="left" w:pos="851"/>
        </w:tabs>
        <w:ind w:left="851"/>
        <w:rPr>
          <w:sz w:val="24"/>
          <w:szCs w:val="24"/>
        </w:rPr>
      </w:pPr>
      <w:r w:rsidRPr="006E489D">
        <w:rPr>
          <w:sz w:val="24"/>
          <w:szCs w:val="24"/>
        </w:rPr>
        <w:t>102 37 Prag 10</w:t>
      </w:r>
    </w:p>
    <w:p w14:paraId="19DD5BD8" w14:textId="77777777" w:rsidR="006E489D" w:rsidRPr="006E489D" w:rsidRDefault="006E489D" w:rsidP="006E489D">
      <w:pPr>
        <w:tabs>
          <w:tab w:val="left" w:pos="851"/>
        </w:tabs>
        <w:ind w:left="851"/>
        <w:rPr>
          <w:sz w:val="24"/>
          <w:szCs w:val="24"/>
        </w:rPr>
      </w:pPr>
      <w:r w:rsidRPr="006E489D">
        <w:rPr>
          <w:sz w:val="24"/>
          <w:szCs w:val="24"/>
        </w:rPr>
        <w:t>Tjekkiet</w:t>
      </w:r>
    </w:p>
    <w:p w14:paraId="5C193BB1" w14:textId="77777777" w:rsidR="006E489D" w:rsidRPr="006E489D" w:rsidRDefault="006E489D" w:rsidP="006E489D">
      <w:pPr>
        <w:tabs>
          <w:tab w:val="left" w:pos="851"/>
        </w:tabs>
        <w:ind w:left="851"/>
        <w:rPr>
          <w:sz w:val="24"/>
          <w:szCs w:val="24"/>
        </w:rPr>
      </w:pPr>
    </w:p>
    <w:p w14:paraId="4F13E76A" w14:textId="77777777" w:rsidR="006E489D" w:rsidRPr="006E489D" w:rsidRDefault="006E489D" w:rsidP="006E489D">
      <w:pPr>
        <w:tabs>
          <w:tab w:val="left" w:pos="851"/>
        </w:tabs>
        <w:ind w:left="851"/>
        <w:rPr>
          <w:sz w:val="24"/>
          <w:szCs w:val="24"/>
        </w:rPr>
      </w:pPr>
      <w:r w:rsidRPr="006E489D">
        <w:rPr>
          <w:b/>
          <w:sz w:val="24"/>
          <w:szCs w:val="24"/>
        </w:rPr>
        <w:t>Repræsentant</w:t>
      </w:r>
    </w:p>
    <w:p w14:paraId="49A1BFD9" w14:textId="77777777" w:rsidR="006E489D" w:rsidRPr="006E489D" w:rsidRDefault="006E489D" w:rsidP="006E489D">
      <w:pPr>
        <w:tabs>
          <w:tab w:val="left" w:pos="851"/>
        </w:tabs>
        <w:ind w:left="851"/>
        <w:rPr>
          <w:sz w:val="24"/>
          <w:szCs w:val="24"/>
        </w:rPr>
      </w:pPr>
      <w:r w:rsidRPr="006E489D">
        <w:rPr>
          <w:sz w:val="24"/>
          <w:szCs w:val="24"/>
        </w:rPr>
        <w:t>Zentiva Denmark ApS</w:t>
      </w:r>
    </w:p>
    <w:p w14:paraId="5D49C8B6" w14:textId="77777777" w:rsidR="006E489D" w:rsidRPr="006E489D" w:rsidRDefault="006E489D" w:rsidP="006E489D">
      <w:pPr>
        <w:tabs>
          <w:tab w:val="left" w:pos="851"/>
        </w:tabs>
        <w:ind w:left="851"/>
        <w:rPr>
          <w:sz w:val="24"/>
          <w:szCs w:val="24"/>
        </w:rPr>
      </w:pPr>
      <w:r w:rsidRPr="006E489D">
        <w:rPr>
          <w:sz w:val="24"/>
          <w:szCs w:val="24"/>
        </w:rPr>
        <w:t>Høffdingsvej 34</w:t>
      </w:r>
    </w:p>
    <w:p w14:paraId="72A5E8FF" w14:textId="77777777" w:rsidR="006E489D" w:rsidRPr="006E489D" w:rsidRDefault="006E489D" w:rsidP="006E489D">
      <w:pPr>
        <w:tabs>
          <w:tab w:val="left" w:pos="851"/>
        </w:tabs>
        <w:ind w:left="851"/>
        <w:rPr>
          <w:sz w:val="24"/>
          <w:szCs w:val="24"/>
        </w:rPr>
      </w:pPr>
      <w:r w:rsidRPr="006E489D">
        <w:rPr>
          <w:sz w:val="24"/>
          <w:szCs w:val="24"/>
        </w:rPr>
        <w:t>2500 Valby</w:t>
      </w:r>
    </w:p>
    <w:p w14:paraId="4BD83F28" w14:textId="77777777" w:rsidR="00641C65" w:rsidRPr="00641C65" w:rsidRDefault="00641C65" w:rsidP="009260DE">
      <w:pPr>
        <w:tabs>
          <w:tab w:val="left" w:pos="851"/>
        </w:tabs>
        <w:ind w:left="851"/>
        <w:rPr>
          <w:sz w:val="24"/>
          <w:szCs w:val="24"/>
        </w:rPr>
      </w:pPr>
    </w:p>
    <w:p w14:paraId="41FBB108"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6FC34F07" w14:textId="4F284745" w:rsidR="009260DE" w:rsidRDefault="005120B7" w:rsidP="005120B7">
      <w:pPr>
        <w:tabs>
          <w:tab w:val="left" w:pos="851"/>
          <w:tab w:val="left" w:pos="1701"/>
        </w:tabs>
        <w:ind w:left="851"/>
        <w:rPr>
          <w:sz w:val="24"/>
          <w:szCs w:val="24"/>
        </w:rPr>
      </w:pPr>
      <w:r>
        <w:rPr>
          <w:sz w:val="24"/>
          <w:szCs w:val="24"/>
        </w:rPr>
        <w:t>2,5 mg:</w:t>
      </w:r>
      <w:r>
        <w:rPr>
          <w:sz w:val="24"/>
          <w:szCs w:val="24"/>
        </w:rPr>
        <w:tab/>
        <w:t>68908</w:t>
      </w:r>
    </w:p>
    <w:p w14:paraId="109208EE" w14:textId="1850D934" w:rsidR="005120B7" w:rsidRPr="00C84483" w:rsidRDefault="005120B7" w:rsidP="005120B7">
      <w:pPr>
        <w:tabs>
          <w:tab w:val="left" w:pos="851"/>
          <w:tab w:val="left" w:pos="1701"/>
        </w:tabs>
        <w:ind w:left="851"/>
        <w:rPr>
          <w:sz w:val="24"/>
          <w:szCs w:val="24"/>
        </w:rPr>
      </w:pPr>
      <w:r>
        <w:rPr>
          <w:sz w:val="24"/>
          <w:szCs w:val="24"/>
        </w:rPr>
        <w:t>5 mg:</w:t>
      </w:r>
      <w:r>
        <w:rPr>
          <w:sz w:val="24"/>
          <w:szCs w:val="24"/>
        </w:rPr>
        <w:tab/>
        <w:t>68909</w:t>
      </w:r>
    </w:p>
    <w:p w14:paraId="32BBB88E" w14:textId="77777777" w:rsidR="009260DE" w:rsidRPr="00C84483" w:rsidRDefault="009260DE" w:rsidP="009260DE">
      <w:pPr>
        <w:tabs>
          <w:tab w:val="left" w:pos="851"/>
        </w:tabs>
        <w:ind w:left="851"/>
        <w:jc w:val="both"/>
        <w:rPr>
          <w:sz w:val="24"/>
          <w:szCs w:val="24"/>
        </w:rPr>
      </w:pPr>
    </w:p>
    <w:p w14:paraId="66A3E08C"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37EA4735" w14:textId="1C7BE31C" w:rsidR="009260DE" w:rsidRPr="00C84483" w:rsidRDefault="006A57EB" w:rsidP="009260DE">
      <w:pPr>
        <w:tabs>
          <w:tab w:val="left" w:pos="851"/>
        </w:tabs>
        <w:ind w:left="851"/>
        <w:rPr>
          <w:sz w:val="24"/>
          <w:szCs w:val="24"/>
        </w:rPr>
      </w:pPr>
      <w:r>
        <w:rPr>
          <w:sz w:val="24"/>
          <w:szCs w:val="24"/>
        </w:rPr>
        <w:t>22. november 2024</w:t>
      </w:r>
      <w:bookmarkStart w:id="0" w:name="_GoBack"/>
      <w:bookmarkEnd w:id="0"/>
    </w:p>
    <w:p w14:paraId="31BA88C2" w14:textId="77777777" w:rsidR="009260DE" w:rsidRPr="00C84483" w:rsidRDefault="009260DE" w:rsidP="009260DE">
      <w:pPr>
        <w:tabs>
          <w:tab w:val="left" w:pos="851"/>
        </w:tabs>
        <w:ind w:left="851"/>
        <w:rPr>
          <w:sz w:val="24"/>
          <w:szCs w:val="24"/>
        </w:rPr>
      </w:pPr>
    </w:p>
    <w:p w14:paraId="5C1D3F69"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69167D2D" w14:textId="2918BFF4" w:rsidR="009260DE" w:rsidRPr="00C84483" w:rsidRDefault="005120B7"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785F2" w14:textId="77777777" w:rsidR="00CF6064" w:rsidRDefault="00CF6064">
      <w:r>
        <w:separator/>
      </w:r>
    </w:p>
  </w:endnote>
  <w:endnote w:type="continuationSeparator" w:id="0">
    <w:p w14:paraId="6D8BBE12" w14:textId="77777777" w:rsidR="00CF6064" w:rsidRDefault="00CF6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0BB37" w14:textId="77777777" w:rsidR="000259B9" w:rsidRDefault="000259B9">
    <w:pPr>
      <w:pStyle w:val="Sidefod"/>
      <w:pBdr>
        <w:bottom w:val="single" w:sz="6" w:space="1" w:color="auto"/>
      </w:pBdr>
    </w:pPr>
  </w:p>
  <w:p w14:paraId="124B0759" w14:textId="77777777" w:rsidR="000259B9" w:rsidRDefault="000259B9" w:rsidP="00C42586">
    <w:pPr>
      <w:pStyle w:val="Sidefod"/>
      <w:tabs>
        <w:tab w:val="clear" w:pos="4819"/>
        <w:tab w:val="left" w:pos="8505"/>
      </w:tabs>
      <w:rPr>
        <w:i/>
        <w:sz w:val="18"/>
        <w:szCs w:val="18"/>
      </w:rPr>
    </w:pPr>
  </w:p>
  <w:p w14:paraId="6365970E" w14:textId="73751416"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C0865">
      <w:rPr>
        <w:i/>
        <w:noProof/>
        <w:sz w:val="18"/>
        <w:szCs w:val="18"/>
      </w:rPr>
      <w:t>Midodrin Zentiva, tabletter 2,5 mg og 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D968A" w14:textId="77777777" w:rsidR="00CF6064" w:rsidRDefault="00CF6064">
      <w:r>
        <w:separator/>
      </w:r>
    </w:p>
  </w:footnote>
  <w:footnote w:type="continuationSeparator" w:id="0">
    <w:p w14:paraId="6A754611" w14:textId="77777777" w:rsidR="00CF6064" w:rsidRDefault="00CF60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4C71045"/>
    <w:multiLevelType w:val="hybridMultilevel"/>
    <w:tmpl w:val="2E12DEF4"/>
    <w:lvl w:ilvl="0" w:tplc="FFFFFFFF">
      <w:start w:val="1"/>
      <w:numFmt w:val="bullet"/>
      <w:lvlText w:val="-"/>
      <w:lvlJc w:val="left"/>
      <w:pPr>
        <w:ind w:left="1494" w:hanging="360"/>
      </w:pPr>
    </w:lvl>
    <w:lvl w:ilvl="1" w:tplc="08090003">
      <w:start w:val="1"/>
      <w:numFmt w:val="bullet"/>
      <w:lvlText w:val="o"/>
      <w:lvlJc w:val="left"/>
      <w:pPr>
        <w:ind w:left="2214" w:hanging="360"/>
      </w:pPr>
      <w:rPr>
        <w:rFonts w:ascii="Courier New" w:hAnsi="Courier New" w:cs="Times New Roman" w:hint="default"/>
      </w:rPr>
    </w:lvl>
    <w:lvl w:ilvl="2" w:tplc="08090005">
      <w:start w:val="1"/>
      <w:numFmt w:val="bullet"/>
      <w:lvlText w:val=""/>
      <w:lvlJc w:val="left"/>
      <w:pPr>
        <w:ind w:left="2934" w:hanging="360"/>
      </w:pPr>
      <w:rPr>
        <w:rFonts w:ascii="Wingdings" w:hAnsi="Wingdings" w:hint="default"/>
      </w:rPr>
    </w:lvl>
    <w:lvl w:ilvl="3" w:tplc="08090001">
      <w:start w:val="1"/>
      <w:numFmt w:val="bullet"/>
      <w:lvlText w:val=""/>
      <w:lvlJc w:val="left"/>
      <w:pPr>
        <w:ind w:left="3654" w:hanging="360"/>
      </w:pPr>
      <w:rPr>
        <w:rFonts w:ascii="Symbol" w:hAnsi="Symbol" w:hint="default"/>
      </w:rPr>
    </w:lvl>
    <w:lvl w:ilvl="4" w:tplc="08090003">
      <w:start w:val="1"/>
      <w:numFmt w:val="bullet"/>
      <w:lvlText w:val="o"/>
      <w:lvlJc w:val="left"/>
      <w:pPr>
        <w:ind w:left="4374" w:hanging="360"/>
      </w:pPr>
      <w:rPr>
        <w:rFonts w:ascii="Courier New" w:hAnsi="Courier New" w:cs="Times New Roman" w:hint="default"/>
      </w:rPr>
    </w:lvl>
    <w:lvl w:ilvl="5" w:tplc="08090005">
      <w:start w:val="1"/>
      <w:numFmt w:val="bullet"/>
      <w:lvlText w:val=""/>
      <w:lvlJc w:val="left"/>
      <w:pPr>
        <w:ind w:left="5094" w:hanging="360"/>
      </w:pPr>
      <w:rPr>
        <w:rFonts w:ascii="Wingdings" w:hAnsi="Wingdings" w:hint="default"/>
      </w:rPr>
    </w:lvl>
    <w:lvl w:ilvl="6" w:tplc="08090001">
      <w:start w:val="1"/>
      <w:numFmt w:val="bullet"/>
      <w:lvlText w:val=""/>
      <w:lvlJc w:val="left"/>
      <w:pPr>
        <w:ind w:left="5814" w:hanging="360"/>
      </w:pPr>
      <w:rPr>
        <w:rFonts w:ascii="Symbol" w:hAnsi="Symbol" w:hint="default"/>
      </w:rPr>
    </w:lvl>
    <w:lvl w:ilvl="7" w:tplc="08090003">
      <w:start w:val="1"/>
      <w:numFmt w:val="bullet"/>
      <w:lvlText w:val="o"/>
      <w:lvlJc w:val="left"/>
      <w:pPr>
        <w:ind w:left="6534" w:hanging="360"/>
      </w:pPr>
      <w:rPr>
        <w:rFonts w:ascii="Courier New" w:hAnsi="Courier New" w:cs="Times New Roman" w:hint="default"/>
      </w:rPr>
    </w:lvl>
    <w:lvl w:ilvl="8" w:tplc="08090005">
      <w:start w:val="1"/>
      <w:numFmt w:val="bullet"/>
      <w:lvlText w:val=""/>
      <w:lvlJc w:val="left"/>
      <w:pPr>
        <w:ind w:left="7254"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064"/>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120B7"/>
    <w:rsid w:val="00532310"/>
    <w:rsid w:val="00565F0F"/>
    <w:rsid w:val="005736E2"/>
    <w:rsid w:val="00594A86"/>
    <w:rsid w:val="00596D86"/>
    <w:rsid w:val="006112A2"/>
    <w:rsid w:val="00637F5A"/>
    <w:rsid w:val="00641C65"/>
    <w:rsid w:val="006424AF"/>
    <w:rsid w:val="006560B1"/>
    <w:rsid w:val="006756DD"/>
    <w:rsid w:val="006A57EB"/>
    <w:rsid w:val="006E489D"/>
    <w:rsid w:val="0071241E"/>
    <w:rsid w:val="00737275"/>
    <w:rsid w:val="00740EEC"/>
    <w:rsid w:val="0078011A"/>
    <w:rsid w:val="00782AF4"/>
    <w:rsid w:val="00790EE7"/>
    <w:rsid w:val="007B6649"/>
    <w:rsid w:val="0082576E"/>
    <w:rsid w:val="0089346F"/>
    <w:rsid w:val="00907F75"/>
    <w:rsid w:val="009260DE"/>
    <w:rsid w:val="0093258A"/>
    <w:rsid w:val="009945A6"/>
    <w:rsid w:val="009C7BA3"/>
    <w:rsid w:val="009D1F5A"/>
    <w:rsid w:val="00A10294"/>
    <w:rsid w:val="00B003BF"/>
    <w:rsid w:val="00B373D7"/>
    <w:rsid w:val="00B55271"/>
    <w:rsid w:val="00BD53B5"/>
    <w:rsid w:val="00BD7931"/>
    <w:rsid w:val="00BF6243"/>
    <w:rsid w:val="00C36276"/>
    <w:rsid w:val="00C42586"/>
    <w:rsid w:val="00C45F6B"/>
    <w:rsid w:val="00C60CCD"/>
    <w:rsid w:val="00C84483"/>
    <w:rsid w:val="00C95551"/>
    <w:rsid w:val="00CB20D7"/>
    <w:rsid w:val="00CC0865"/>
    <w:rsid w:val="00CF6064"/>
    <w:rsid w:val="00D020B0"/>
    <w:rsid w:val="00D11748"/>
    <w:rsid w:val="00D237F6"/>
    <w:rsid w:val="00D34D98"/>
    <w:rsid w:val="00D366CF"/>
    <w:rsid w:val="00D93992"/>
    <w:rsid w:val="00DA0829"/>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5F08B"/>
  <w15:chartTrackingRefBased/>
  <w15:docId w15:val="{E812547F-29EA-406F-8B6F-876AD1088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6112A2"/>
    <w:rPr>
      <w:color w:val="0563C1" w:themeColor="hyperlink"/>
      <w:u w:val="single"/>
    </w:rPr>
  </w:style>
  <w:style w:type="character" w:styleId="Ulstomtale">
    <w:name w:val="Unresolved Mention"/>
    <w:basedOn w:val="Standardskrifttypeiafsnit"/>
    <w:uiPriority w:val="99"/>
    <w:semiHidden/>
    <w:unhideWhenUsed/>
    <w:rsid w:val="00611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30740">
      <w:bodyDiv w:val="1"/>
      <w:marLeft w:val="0"/>
      <w:marRight w:val="0"/>
      <w:marTop w:val="0"/>
      <w:marBottom w:val="0"/>
      <w:divBdr>
        <w:top w:val="none" w:sz="0" w:space="0" w:color="auto"/>
        <w:left w:val="none" w:sz="0" w:space="0" w:color="auto"/>
        <w:bottom w:val="none" w:sz="0" w:space="0" w:color="auto"/>
        <w:right w:val="none" w:sz="0" w:space="0" w:color="auto"/>
      </w:divBdr>
    </w:div>
    <w:div w:id="13653088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0583350">
      <w:bodyDiv w:val="1"/>
      <w:marLeft w:val="0"/>
      <w:marRight w:val="0"/>
      <w:marTop w:val="0"/>
      <w:marBottom w:val="0"/>
      <w:divBdr>
        <w:top w:val="none" w:sz="0" w:space="0" w:color="auto"/>
        <w:left w:val="none" w:sz="0" w:space="0" w:color="auto"/>
        <w:bottom w:val="none" w:sz="0" w:space="0" w:color="auto"/>
        <w:right w:val="none" w:sz="0" w:space="0" w:color="auto"/>
      </w:divBdr>
    </w:div>
    <w:div w:id="218632409">
      <w:bodyDiv w:val="1"/>
      <w:marLeft w:val="0"/>
      <w:marRight w:val="0"/>
      <w:marTop w:val="0"/>
      <w:marBottom w:val="0"/>
      <w:divBdr>
        <w:top w:val="none" w:sz="0" w:space="0" w:color="auto"/>
        <w:left w:val="none" w:sz="0" w:space="0" w:color="auto"/>
        <w:bottom w:val="none" w:sz="0" w:space="0" w:color="auto"/>
        <w:right w:val="none" w:sz="0" w:space="0" w:color="auto"/>
      </w:divBdr>
    </w:div>
    <w:div w:id="278953266">
      <w:bodyDiv w:val="1"/>
      <w:marLeft w:val="0"/>
      <w:marRight w:val="0"/>
      <w:marTop w:val="0"/>
      <w:marBottom w:val="0"/>
      <w:divBdr>
        <w:top w:val="none" w:sz="0" w:space="0" w:color="auto"/>
        <w:left w:val="none" w:sz="0" w:space="0" w:color="auto"/>
        <w:bottom w:val="none" w:sz="0" w:space="0" w:color="auto"/>
        <w:right w:val="none" w:sz="0" w:space="0" w:color="auto"/>
      </w:divBdr>
    </w:div>
    <w:div w:id="414863233">
      <w:bodyDiv w:val="1"/>
      <w:marLeft w:val="0"/>
      <w:marRight w:val="0"/>
      <w:marTop w:val="0"/>
      <w:marBottom w:val="0"/>
      <w:divBdr>
        <w:top w:val="none" w:sz="0" w:space="0" w:color="auto"/>
        <w:left w:val="none" w:sz="0" w:space="0" w:color="auto"/>
        <w:bottom w:val="none" w:sz="0" w:space="0" w:color="auto"/>
        <w:right w:val="none" w:sz="0" w:space="0" w:color="auto"/>
      </w:divBdr>
    </w:div>
    <w:div w:id="416446054">
      <w:bodyDiv w:val="1"/>
      <w:marLeft w:val="0"/>
      <w:marRight w:val="0"/>
      <w:marTop w:val="0"/>
      <w:marBottom w:val="0"/>
      <w:divBdr>
        <w:top w:val="none" w:sz="0" w:space="0" w:color="auto"/>
        <w:left w:val="none" w:sz="0" w:space="0" w:color="auto"/>
        <w:bottom w:val="none" w:sz="0" w:space="0" w:color="auto"/>
        <w:right w:val="none" w:sz="0" w:space="0" w:color="auto"/>
      </w:divBdr>
    </w:div>
    <w:div w:id="419176091">
      <w:bodyDiv w:val="1"/>
      <w:marLeft w:val="0"/>
      <w:marRight w:val="0"/>
      <w:marTop w:val="0"/>
      <w:marBottom w:val="0"/>
      <w:divBdr>
        <w:top w:val="none" w:sz="0" w:space="0" w:color="auto"/>
        <w:left w:val="none" w:sz="0" w:space="0" w:color="auto"/>
        <w:bottom w:val="none" w:sz="0" w:space="0" w:color="auto"/>
        <w:right w:val="none" w:sz="0" w:space="0" w:color="auto"/>
      </w:divBdr>
    </w:div>
    <w:div w:id="462845785">
      <w:bodyDiv w:val="1"/>
      <w:marLeft w:val="0"/>
      <w:marRight w:val="0"/>
      <w:marTop w:val="0"/>
      <w:marBottom w:val="0"/>
      <w:divBdr>
        <w:top w:val="none" w:sz="0" w:space="0" w:color="auto"/>
        <w:left w:val="none" w:sz="0" w:space="0" w:color="auto"/>
        <w:bottom w:val="none" w:sz="0" w:space="0" w:color="auto"/>
        <w:right w:val="none" w:sz="0" w:space="0" w:color="auto"/>
      </w:divBdr>
    </w:div>
    <w:div w:id="525682621">
      <w:bodyDiv w:val="1"/>
      <w:marLeft w:val="0"/>
      <w:marRight w:val="0"/>
      <w:marTop w:val="0"/>
      <w:marBottom w:val="0"/>
      <w:divBdr>
        <w:top w:val="none" w:sz="0" w:space="0" w:color="auto"/>
        <w:left w:val="none" w:sz="0" w:space="0" w:color="auto"/>
        <w:bottom w:val="none" w:sz="0" w:space="0" w:color="auto"/>
        <w:right w:val="none" w:sz="0" w:space="0" w:color="auto"/>
      </w:divBdr>
    </w:div>
    <w:div w:id="656998670">
      <w:bodyDiv w:val="1"/>
      <w:marLeft w:val="0"/>
      <w:marRight w:val="0"/>
      <w:marTop w:val="0"/>
      <w:marBottom w:val="0"/>
      <w:divBdr>
        <w:top w:val="none" w:sz="0" w:space="0" w:color="auto"/>
        <w:left w:val="none" w:sz="0" w:space="0" w:color="auto"/>
        <w:bottom w:val="none" w:sz="0" w:space="0" w:color="auto"/>
        <w:right w:val="none" w:sz="0" w:space="0" w:color="auto"/>
      </w:divBdr>
    </w:div>
    <w:div w:id="667442773">
      <w:bodyDiv w:val="1"/>
      <w:marLeft w:val="0"/>
      <w:marRight w:val="0"/>
      <w:marTop w:val="0"/>
      <w:marBottom w:val="0"/>
      <w:divBdr>
        <w:top w:val="none" w:sz="0" w:space="0" w:color="auto"/>
        <w:left w:val="none" w:sz="0" w:space="0" w:color="auto"/>
        <w:bottom w:val="none" w:sz="0" w:space="0" w:color="auto"/>
        <w:right w:val="none" w:sz="0" w:space="0" w:color="auto"/>
      </w:divBdr>
    </w:div>
    <w:div w:id="699285155">
      <w:bodyDiv w:val="1"/>
      <w:marLeft w:val="0"/>
      <w:marRight w:val="0"/>
      <w:marTop w:val="0"/>
      <w:marBottom w:val="0"/>
      <w:divBdr>
        <w:top w:val="none" w:sz="0" w:space="0" w:color="auto"/>
        <w:left w:val="none" w:sz="0" w:space="0" w:color="auto"/>
        <w:bottom w:val="none" w:sz="0" w:space="0" w:color="auto"/>
        <w:right w:val="none" w:sz="0" w:space="0" w:color="auto"/>
      </w:divBdr>
    </w:div>
    <w:div w:id="725298766">
      <w:bodyDiv w:val="1"/>
      <w:marLeft w:val="0"/>
      <w:marRight w:val="0"/>
      <w:marTop w:val="0"/>
      <w:marBottom w:val="0"/>
      <w:divBdr>
        <w:top w:val="none" w:sz="0" w:space="0" w:color="auto"/>
        <w:left w:val="none" w:sz="0" w:space="0" w:color="auto"/>
        <w:bottom w:val="none" w:sz="0" w:space="0" w:color="auto"/>
        <w:right w:val="none" w:sz="0" w:space="0" w:color="auto"/>
      </w:divBdr>
    </w:div>
    <w:div w:id="790979230">
      <w:bodyDiv w:val="1"/>
      <w:marLeft w:val="0"/>
      <w:marRight w:val="0"/>
      <w:marTop w:val="0"/>
      <w:marBottom w:val="0"/>
      <w:divBdr>
        <w:top w:val="none" w:sz="0" w:space="0" w:color="auto"/>
        <w:left w:val="none" w:sz="0" w:space="0" w:color="auto"/>
        <w:bottom w:val="none" w:sz="0" w:space="0" w:color="auto"/>
        <w:right w:val="none" w:sz="0" w:space="0" w:color="auto"/>
      </w:divBdr>
    </w:div>
    <w:div w:id="848641538">
      <w:bodyDiv w:val="1"/>
      <w:marLeft w:val="0"/>
      <w:marRight w:val="0"/>
      <w:marTop w:val="0"/>
      <w:marBottom w:val="0"/>
      <w:divBdr>
        <w:top w:val="none" w:sz="0" w:space="0" w:color="auto"/>
        <w:left w:val="none" w:sz="0" w:space="0" w:color="auto"/>
        <w:bottom w:val="none" w:sz="0" w:space="0" w:color="auto"/>
        <w:right w:val="none" w:sz="0" w:space="0" w:color="auto"/>
      </w:divBdr>
    </w:div>
    <w:div w:id="897591183">
      <w:bodyDiv w:val="1"/>
      <w:marLeft w:val="0"/>
      <w:marRight w:val="0"/>
      <w:marTop w:val="0"/>
      <w:marBottom w:val="0"/>
      <w:divBdr>
        <w:top w:val="none" w:sz="0" w:space="0" w:color="auto"/>
        <w:left w:val="none" w:sz="0" w:space="0" w:color="auto"/>
        <w:bottom w:val="none" w:sz="0" w:space="0" w:color="auto"/>
        <w:right w:val="none" w:sz="0" w:space="0" w:color="auto"/>
      </w:divBdr>
    </w:div>
    <w:div w:id="1056322786">
      <w:bodyDiv w:val="1"/>
      <w:marLeft w:val="0"/>
      <w:marRight w:val="0"/>
      <w:marTop w:val="0"/>
      <w:marBottom w:val="0"/>
      <w:divBdr>
        <w:top w:val="none" w:sz="0" w:space="0" w:color="auto"/>
        <w:left w:val="none" w:sz="0" w:space="0" w:color="auto"/>
        <w:bottom w:val="none" w:sz="0" w:space="0" w:color="auto"/>
        <w:right w:val="none" w:sz="0" w:space="0" w:color="auto"/>
      </w:divBdr>
    </w:div>
    <w:div w:id="1131754759">
      <w:bodyDiv w:val="1"/>
      <w:marLeft w:val="0"/>
      <w:marRight w:val="0"/>
      <w:marTop w:val="0"/>
      <w:marBottom w:val="0"/>
      <w:divBdr>
        <w:top w:val="none" w:sz="0" w:space="0" w:color="auto"/>
        <w:left w:val="none" w:sz="0" w:space="0" w:color="auto"/>
        <w:bottom w:val="none" w:sz="0" w:space="0" w:color="auto"/>
        <w:right w:val="none" w:sz="0" w:space="0" w:color="auto"/>
      </w:divBdr>
    </w:div>
    <w:div w:id="1132018936">
      <w:bodyDiv w:val="1"/>
      <w:marLeft w:val="0"/>
      <w:marRight w:val="0"/>
      <w:marTop w:val="0"/>
      <w:marBottom w:val="0"/>
      <w:divBdr>
        <w:top w:val="none" w:sz="0" w:space="0" w:color="auto"/>
        <w:left w:val="none" w:sz="0" w:space="0" w:color="auto"/>
        <w:bottom w:val="none" w:sz="0" w:space="0" w:color="auto"/>
        <w:right w:val="none" w:sz="0" w:space="0" w:color="auto"/>
      </w:divBdr>
    </w:div>
    <w:div w:id="1146169209">
      <w:bodyDiv w:val="1"/>
      <w:marLeft w:val="0"/>
      <w:marRight w:val="0"/>
      <w:marTop w:val="0"/>
      <w:marBottom w:val="0"/>
      <w:divBdr>
        <w:top w:val="none" w:sz="0" w:space="0" w:color="auto"/>
        <w:left w:val="none" w:sz="0" w:space="0" w:color="auto"/>
        <w:bottom w:val="none" w:sz="0" w:space="0" w:color="auto"/>
        <w:right w:val="none" w:sz="0" w:space="0" w:color="auto"/>
      </w:divBdr>
    </w:div>
    <w:div w:id="1151671920">
      <w:bodyDiv w:val="1"/>
      <w:marLeft w:val="0"/>
      <w:marRight w:val="0"/>
      <w:marTop w:val="0"/>
      <w:marBottom w:val="0"/>
      <w:divBdr>
        <w:top w:val="none" w:sz="0" w:space="0" w:color="auto"/>
        <w:left w:val="none" w:sz="0" w:space="0" w:color="auto"/>
        <w:bottom w:val="none" w:sz="0" w:space="0" w:color="auto"/>
        <w:right w:val="none" w:sz="0" w:space="0" w:color="auto"/>
      </w:divBdr>
    </w:div>
    <w:div w:id="1195388026">
      <w:bodyDiv w:val="1"/>
      <w:marLeft w:val="0"/>
      <w:marRight w:val="0"/>
      <w:marTop w:val="0"/>
      <w:marBottom w:val="0"/>
      <w:divBdr>
        <w:top w:val="none" w:sz="0" w:space="0" w:color="auto"/>
        <w:left w:val="none" w:sz="0" w:space="0" w:color="auto"/>
        <w:bottom w:val="none" w:sz="0" w:space="0" w:color="auto"/>
        <w:right w:val="none" w:sz="0" w:space="0" w:color="auto"/>
      </w:divBdr>
    </w:div>
    <w:div w:id="1218006090">
      <w:bodyDiv w:val="1"/>
      <w:marLeft w:val="0"/>
      <w:marRight w:val="0"/>
      <w:marTop w:val="0"/>
      <w:marBottom w:val="0"/>
      <w:divBdr>
        <w:top w:val="none" w:sz="0" w:space="0" w:color="auto"/>
        <w:left w:val="none" w:sz="0" w:space="0" w:color="auto"/>
        <w:bottom w:val="none" w:sz="0" w:space="0" w:color="auto"/>
        <w:right w:val="none" w:sz="0" w:space="0" w:color="auto"/>
      </w:divBdr>
    </w:div>
    <w:div w:id="1228105388">
      <w:bodyDiv w:val="1"/>
      <w:marLeft w:val="0"/>
      <w:marRight w:val="0"/>
      <w:marTop w:val="0"/>
      <w:marBottom w:val="0"/>
      <w:divBdr>
        <w:top w:val="none" w:sz="0" w:space="0" w:color="auto"/>
        <w:left w:val="none" w:sz="0" w:space="0" w:color="auto"/>
        <w:bottom w:val="none" w:sz="0" w:space="0" w:color="auto"/>
        <w:right w:val="none" w:sz="0" w:space="0" w:color="auto"/>
      </w:divBdr>
    </w:div>
    <w:div w:id="1418866425">
      <w:bodyDiv w:val="1"/>
      <w:marLeft w:val="0"/>
      <w:marRight w:val="0"/>
      <w:marTop w:val="0"/>
      <w:marBottom w:val="0"/>
      <w:divBdr>
        <w:top w:val="none" w:sz="0" w:space="0" w:color="auto"/>
        <w:left w:val="none" w:sz="0" w:space="0" w:color="auto"/>
        <w:bottom w:val="none" w:sz="0" w:space="0" w:color="auto"/>
        <w:right w:val="none" w:sz="0" w:space="0" w:color="auto"/>
      </w:divBdr>
    </w:div>
    <w:div w:id="1452937488">
      <w:bodyDiv w:val="1"/>
      <w:marLeft w:val="0"/>
      <w:marRight w:val="0"/>
      <w:marTop w:val="0"/>
      <w:marBottom w:val="0"/>
      <w:divBdr>
        <w:top w:val="none" w:sz="0" w:space="0" w:color="auto"/>
        <w:left w:val="none" w:sz="0" w:space="0" w:color="auto"/>
        <w:bottom w:val="none" w:sz="0" w:space="0" w:color="auto"/>
        <w:right w:val="none" w:sz="0" w:space="0" w:color="auto"/>
      </w:divBdr>
    </w:div>
    <w:div w:id="1471896117">
      <w:bodyDiv w:val="1"/>
      <w:marLeft w:val="0"/>
      <w:marRight w:val="0"/>
      <w:marTop w:val="0"/>
      <w:marBottom w:val="0"/>
      <w:divBdr>
        <w:top w:val="none" w:sz="0" w:space="0" w:color="auto"/>
        <w:left w:val="none" w:sz="0" w:space="0" w:color="auto"/>
        <w:bottom w:val="none" w:sz="0" w:space="0" w:color="auto"/>
        <w:right w:val="none" w:sz="0" w:space="0" w:color="auto"/>
      </w:divBdr>
    </w:div>
    <w:div w:id="1472284555">
      <w:bodyDiv w:val="1"/>
      <w:marLeft w:val="0"/>
      <w:marRight w:val="0"/>
      <w:marTop w:val="0"/>
      <w:marBottom w:val="0"/>
      <w:divBdr>
        <w:top w:val="none" w:sz="0" w:space="0" w:color="auto"/>
        <w:left w:val="none" w:sz="0" w:space="0" w:color="auto"/>
        <w:bottom w:val="none" w:sz="0" w:space="0" w:color="auto"/>
        <w:right w:val="none" w:sz="0" w:space="0" w:color="auto"/>
      </w:divBdr>
    </w:div>
    <w:div w:id="1542936303">
      <w:bodyDiv w:val="1"/>
      <w:marLeft w:val="0"/>
      <w:marRight w:val="0"/>
      <w:marTop w:val="0"/>
      <w:marBottom w:val="0"/>
      <w:divBdr>
        <w:top w:val="none" w:sz="0" w:space="0" w:color="auto"/>
        <w:left w:val="none" w:sz="0" w:space="0" w:color="auto"/>
        <w:bottom w:val="none" w:sz="0" w:space="0" w:color="auto"/>
        <w:right w:val="none" w:sz="0" w:space="0" w:color="auto"/>
      </w:divBdr>
    </w:div>
    <w:div w:id="1594364799">
      <w:bodyDiv w:val="1"/>
      <w:marLeft w:val="0"/>
      <w:marRight w:val="0"/>
      <w:marTop w:val="0"/>
      <w:marBottom w:val="0"/>
      <w:divBdr>
        <w:top w:val="none" w:sz="0" w:space="0" w:color="auto"/>
        <w:left w:val="none" w:sz="0" w:space="0" w:color="auto"/>
        <w:bottom w:val="none" w:sz="0" w:space="0" w:color="auto"/>
        <w:right w:val="none" w:sz="0" w:space="0" w:color="auto"/>
      </w:divBdr>
    </w:div>
    <w:div w:id="1634753800">
      <w:bodyDiv w:val="1"/>
      <w:marLeft w:val="0"/>
      <w:marRight w:val="0"/>
      <w:marTop w:val="0"/>
      <w:marBottom w:val="0"/>
      <w:divBdr>
        <w:top w:val="none" w:sz="0" w:space="0" w:color="auto"/>
        <w:left w:val="none" w:sz="0" w:space="0" w:color="auto"/>
        <w:bottom w:val="none" w:sz="0" w:space="0" w:color="auto"/>
        <w:right w:val="none" w:sz="0" w:space="0" w:color="auto"/>
      </w:divBdr>
    </w:div>
    <w:div w:id="1641567474">
      <w:bodyDiv w:val="1"/>
      <w:marLeft w:val="0"/>
      <w:marRight w:val="0"/>
      <w:marTop w:val="0"/>
      <w:marBottom w:val="0"/>
      <w:divBdr>
        <w:top w:val="none" w:sz="0" w:space="0" w:color="auto"/>
        <w:left w:val="none" w:sz="0" w:space="0" w:color="auto"/>
        <w:bottom w:val="none" w:sz="0" w:space="0" w:color="auto"/>
        <w:right w:val="none" w:sz="0" w:space="0" w:color="auto"/>
      </w:divBdr>
    </w:div>
    <w:div w:id="1828814069">
      <w:bodyDiv w:val="1"/>
      <w:marLeft w:val="0"/>
      <w:marRight w:val="0"/>
      <w:marTop w:val="0"/>
      <w:marBottom w:val="0"/>
      <w:divBdr>
        <w:top w:val="none" w:sz="0" w:space="0" w:color="auto"/>
        <w:left w:val="none" w:sz="0" w:space="0" w:color="auto"/>
        <w:bottom w:val="none" w:sz="0" w:space="0" w:color="auto"/>
        <w:right w:val="none" w:sz="0" w:space="0" w:color="auto"/>
      </w:divBdr>
    </w:div>
    <w:div w:id="1965455101">
      <w:bodyDiv w:val="1"/>
      <w:marLeft w:val="0"/>
      <w:marRight w:val="0"/>
      <w:marTop w:val="0"/>
      <w:marBottom w:val="0"/>
      <w:divBdr>
        <w:top w:val="none" w:sz="0" w:space="0" w:color="auto"/>
        <w:left w:val="none" w:sz="0" w:space="0" w:color="auto"/>
        <w:bottom w:val="none" w:sz="0" w:space="0" w:color="auto"/>
        <w:right w:val="none" w:sz="0" w:space="0" w:color="auto"/>
      </w:divBdr>
    </w:div>
    <w:div w:id="1997490578">
      <w:bodyDiv w:val="1"/>
      <w:marLeft w:val="0"/>
      <w:marRight w:val="0"/>
      <w:marTop w:val="0"/>
      <w:marBottom w:val="0"/>
      <w:divBdr>
        <w:top w:val="none" w:sz="0" w:space="0" w:color="auto"/>
        <w:left w:val="none" w:sz="0" w:space="0" w:color="auto"/>
        <w:bottom w:val="none" w:sz="0" w:space="0" w:color="auto"/>
        <w:right w:val="none" w:sz="0" w:space="0" w:color="auto"/>
      </w:divBdr>
    </w:div>
    <w:div w:id="2047489924">
      <w:bodyDiv w:val="1"/>
      <w:marLeft w:val="0"/>
      <w:marRight w:val="0"/>
      <w:marTop w:val="0"/>
      <w:marBottom w:val="0"/>
      <w:divBdr>
        <w:top w:val="none" w:sz="0" w:space="0" w:color="auto"/>
        <w:left w:val="none" w:sz="0" w:space="0" w:color="auto"/>
        <w:bottom w:val="none" w:sz="0" w:space="0" w:color="auto"/>
        <w:right w:val="none" w:sz="0" w:space="0" w:color="auto"/>
      </w:divBdr>
    </w:div>
    <w:div w:id="2077239709">
      <w:bodyDiv w:val="1"/>
      <w:marLeft w:val="0"/>
      <w:marRight w:val="0"/>
      <w:marTop w:val="0"/>
      <w:marBottom w:val="0"/>
      <w:divBdr>
        <w:top w:val="none" w:sz="0" w:space="0" w:color="auto"/>
        <w:left w:val="none" w:sz="0" w:space="0" w:color="auto"/>
        <w:bottom w:val="none" w:sz="0" w:space="0" w:color="auto"/>
        <w:right w:val="none" w:sz="0" w:space="0" w:color="auto"/>
      </w:divBdr>
    </w:div>
    <w:div w:id="209427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15</TotalTime>
  <Pages>9</Pages>
  <Words>2066</Words>
  <Characters>13880</Characters>
  <Application>Microsoft Office Word</Application>
  <DocSecurity>0</DocSecurity>
  <Lines>115</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2022123079 mt</dc:description>
  <cp:lastModifiedBy>Hanne Thy Iversen</cp:lastModifiedBy>
  <cp:revision>10</cp:revision>
  <cp:lastPrinted>2012-08-22T08:53:00Z</cp:lastPrinted>
  <dcterms:created xsi:type="dcterms:W3CDTF">2024-11-20T14:09:00Z</dcterms:created>
  <dcterms:modified xsi:type="dcterms:W3CDTF">2024-11-22T10:27:00Z</dcterms:modified>
</cp:coreProperties>
</file>