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1DAD0" w14:textId="036BA41F" w:rsidR="009260DE" w:rsidRPr="005F25C3" w:rsidRDefault="0021526C" w:rsidP="000376C5">
      <w:pPr>
        <w:rPr>
          <w:sz w:val="24"/>
          <w:szCs w:val="24"/>
        </w:rPr>
      </w:pPr>
      <w:bookmarkStart w:id="0" w:name="_GoBack"/>
      <w:bookmarkEnd w:id="0"/>
      <w:r w:rsidRPr="005F25C3">
        <w:rPr>
          <w:noProof/>
          <w:sz w:val="24"/>
          <w:szCs w:val="24"/>
          <w:lang w:eastAsia="da-DK"/>
        </w:rPr>
        <w:drawing>
          <wp:anchor distT="0" distB="0" distL="114300" distR="114300" simplePos="0" relativeHeight="251658240" behindDoc="0" locked="0" layoutInCell="1" allowOverlap="1" wp14:anchorId="01663A8C" wp14:editId="49E0B6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F25C3">
        <w:rPr>
          <w:sz w:val="24"/>
          <w:szCs w:val="24"/>
        </w:rPr>
        <w:br w:type="textWrapping" w:clear="all"/>
      </w:r>
    </w:p>
    <w:p w14:paraId="5494499C" w14:textId="09D7CF35" w:rsidR="009260DE" w:rsidRPr="005F25C3" w:rsidRDefault="009260DE" w:rsidP="009260DE">
      <w:pPr>
        <w:pStyle w:val="Titel"/>
        <w:tabs>
          <w:tab w:val="right" w:pos="9356"/>
        </w:tabs>
        <w:jc w:val="left"/>
        <w:rPr>
          <w:b w:val="0"/>
          <w:szCs w:val="24"/>
          <w:lang w:eastAsia="en-US"/>
        </w:rPr>
      </w:pPr>
      <w:r w:rsidRPr="005F25C3">
        <w:rPr>
          <w:b w:val="0"/>
          <w:szCs w:val="24"/>
          <w:lang w:eastAsia="en-US"/>
        </w:rPr>
        <w:tab/>
      </w:r>
      <w:r w:rsidR="00BB69A7">
        <w:rPr>
          <w:szCs w:val="24"/>
        </w:rPr>
        <w:t>22. april 2025</w:t>
      </w:r>
    </w:p>
    <w:p w14:paraId="57D8BCAA" w14:textId="77777777" w:rsidR="009260DE" w:rsidRPr="005F25C3" w:rsidRDefault="009260DE" w:rsidP="009260DE">
      <w:pPr>
        <w:pStyle w:val="Titel"/>
        <w:tabs>
          <w:tab w:val="left" w:pos="8222"/>
        </w:tabs>
        <w:jc w:val="left"/>
        <w:rPr>
          <w:b w:val="0"/>
          <w:szCs w:val="24"/>
        </w:rPr>
      </w:pPr>
    </w:p>
    <w:p w14:paraId="30CA9B2D" w14:textId="77777777" w:rsidR="009260DE" w:rsidRPr="005F25C3" w:rsidRDefault="009260DE" w:rsidP="009260DE">
      <w:pPr>
        <w:pStyle w:val="Titel"/>
        <w:jc w:val="left"/>
        <w:rPr>
          <w:b w:val="0"/>
          <w:szCs w:val="24"/>
        </w:rPr>
      </w:pPr>
    </w:p>
    <w:p w14:paraId="67AFE9E2" w14:textId="77777777" w:rsidR="009260DE" w:rsidRPr="005F25C3" w:rsidRDefault="009260DE" w:rsidP="009260DE">
      <w:pPr>
        <w:pStyle w:val="Titel"/>
        <w:jc w:val="left"/>
        <w:rPr>
          <w:b w:val="0"/>
          <w:szCs w:val="24"/>
        </w:rPr>
      </w:pPr>
    </w:p>
    <w:p w14:paraId="62AC6974" w14:textId="77777777" w:rsidR="009260DE" w:rsidRPr="005F25C3" w:rsidRDefault="009260DE" w:rsidP="009260DE">
      <w:pPr>
        <w:jc w:val="center"/>
        <w:rPr>
          <w:b/>
          <w:sz w:val="24"/>
          <w:szCs w:val="24"/>
        </w:rPr>
      </w:pPr>
      <w:r w:rsidRPr="005F25C3">
        <w:rPr>
          <w:b/>
          <w:sz w:val="24"/>
          <w:szCs w:val="24"/>
        </w:rPr>
        <w:t>PRODUKTRESUMÉ</w:t>
      </w:r>
    </w:p>
    <w:p w14:paraId="0B5665A1" w14:textId="77777777" w:rsidR="009260DE" w:rsidRPr="005F25C3" w:rsidRDefault="009260DE" w:rsidP="009260DE">
      <w:pPr>
        <w:jc w:val="center"/>
        <w:rPr>
          <w:b/>
          <w:sz w:val="24"/>
          <w:szCs w:val="24"/>
        </w:rPr>
      </w:pPr>
    </w:p>
    <w:p w14:paraId="0C8586D7" w14:textId="77777777" w:rsidR="009260DE" w:rsidRPr="005F25C3" w:rsidRDefault="009260DE" w:rsidP="009260DE">
      <w:pPr>
        <w:jc w:val="center"/>
        <w:rPr>
          <w:b/>
          <w:sz w:val="24"/>
          <w:szCs w:val="24"/>
        </w:rPr>
      </w:pPr>
      <w:r w:rsidRPr="005F25C3">
        <w:rPr>
          <w:b/>
          <w:sz w:val="24"/>
          <w:szCs w:val="24"/>
        </w:rPr>
        <w:t>for</w:t>
      </w:r>
    </w:p>
    <w:p w14:paraId="7992A62A" w14:textId="77777777" w:rsidR="000B058C" w:rsidRPr="005F25C3" w:rsidRDefault="000B058C" w:rsidP="009260DE">
      <w:pPr>
        <w:jc w:val="center"/>
        <w:rPr>
          <w:b/>
          <w:sz w:val="24"/>
          <w:szCs w:val="24"/>
        </w:rPr>
      </w:pPr>
    </w:p>
    <w:p w14:paraId="09FDA514" w14:textId="6E3AAAA9" w:rsidR="009260DE" w:rsidRPr="005F25C3" w:rsidRDefault="001A6F3D" w:rsidP="009260DE">
      <w:pPr>
        <w:jc w:val="center"/>
        <w:rPr>
          <w:b/>
          <w:sz w:val="24"/>
          <w:szCs w:val="24"/>
        </w:rPr>
      </w:pPr>
      <w:proofErr w:type="spellStart"/>
      <w:r w:rsidRPr="005F25C3">
        <w:rPr>
          <w:b/>
          <w:sz w:val="24"/>
          <w:szCs w:val="24"/>
        </w:rPr>
        <w:t>Midodrine</w:t>
      </w:r>
      <w:proofErr w:type="spellEnd"/>
      <w:r w:rsidRPr="005F25C3">
        <w:rPr>
          <w:b/>
          <w:sz w:val="24"/>
          <w:szCs w:val="24"/>
        </w:rPr>
        <w:t xml:space="preserve"> "Medical Valley", tabletter</w:t>
      </w:r>
    </w:p>
    <w:p w14:paraId="62B2A1A4" w14:textId="77777777" w:rsidR="009260DE" w:rsidRPr="005F25C3" w:rsidRDefault="009260DE" w:rsidP="009260DE">
      <w:pPr>
        <w:jc w:val="both"/>
        <w:rPr>
          <w:sz w:val="24"/>
          <w:szCs w:val="24"/>
        </w:rPr>
      </w:pPr>
    </w:p>
    <w:p w14:paraId="79F00550" w14:textId="77777777" w:rsidR="009260DE" w:rsidRPr="005F25C3" w:rsidRDefault="009260DE" w:rsidP="009260DE">
      <w:pPr>
        <w:jc w:val="both"/>
        <w:rPr>
          <w:sz w:val="24"/>
          <w:szCs w:val="24"/>
        </w:rPr>
      </w:pPr>
    </w:p>
    <w:p w14:paraId="0808CE1E" w14:textId="77777777" w:rsidR="009260DE" w:rsidRPr="005F25C3" w:rsidRDefault="009260DE" w:rsidP="009260DE">
      <w:pPr>
        <w:tabs>
          <w:tab w:val="left" w:pos="851"/>
        </w:tabs>
        <w:ind w:left="851" w:hanging="851"/>
        <w:rPr>
          <w:b/>
          <w:sz w:val="24"/>
          <w:szCs w:val="24"/>
        </w:rPr>
      </w:pPr>
      <w:r w:rsidRPr="005F25C3">
        <w:rPr>
          <w:b/>
          <w:sz w:val="24"/>
          <w:szCs w:val="24"/>
        </w:rPr>
        <w:t>0.</w:t>
      </w:r>
      <w:r w:rsidRPr="005F25C3">
        <w:rPr>
          <w:b/>
          <w:sz w:val="24"/>
          <w:szCs w:val="24"/>
        </w:rPr>
        <w:tab/>
        <w:t>D.SP.NR.</w:t>
      </w:r>
    </w:p>
    <w:p w14:paraId="54D818B5" w14:textId="7053D669" w:rsidR="009260DE" w:rsidRPr="005F25C3" w:rsidRDefault="001A6F3D" w:rsidP="009260DE">
      <w:pPr>
        <w:tabs>
          <w:tab w:val="left" w:pos="851"/>
        </w:tabs>
        <w:ind w:left="851"/>
        <w:rPr>
          <w:sz w:val="24"/>
          <w:szCs w:val="24"/>
        </w:rPr>
      </w:pPr>
      <w:r w:rsidRPr="005F25C3">
        <w:rPr>
          <w:sz w:val="24"/>
          <w:szCs w:val="24"/>
        </w:rPr>
        <w:t>33554</w:t>
      </w:r>
    </w:p>
    <w:p w14:paraId="0138C05C" w14:textId="77777777" w:rsidR="009260DE" w:rsidRPr="005F25C3" w:rsidRDefault="009260DE" w:rsidP="009260DE">
      <w:pPr>
        <w:tabs>
          <w:tab w:val="left" w:pos="851"/>
        </w:tabs>
        <w:ind w:left="851"/>
        <w:rPr>
          <w:sz w:val="24"/>
          <w:szCs w:val="24"/>
        </w:rPr>
      </w:pPr>
    </w:p>
    <w:p w14:paraId="79382C69" w14:textId="77777777" w:rsidR="009260DE" w:rsidRPr="005F25C3" w:rsidRDefault="009260DE" w:rsidP="009260DE">
      <w:pPr>
        <w:tabs>
          <w:tab w:val="left" w:pos="851"/>
        </w:tabs>
        <w:ind w:left="851" w:hanging="851"/>
        <w:rPr>
          <w:b/>
          <w:sz w:val="24"/>
          <w:szCs w:val="24"/>
        </w:rPr>
      </w:pPr>
      <w:r w:rsidRPr="005F25C3">
        <w:rPr>
          <w:b/>
          <w:sz w:val="24"/>
          <w:szCs w:val="24"/>
        </w:rPr>
        <w:t>1.</w:t>
      </w:r>
      <w:r w:rsidRPr="005F25C3">
        <w:rPr>
          <w:b/>
          <w:sz w:val="24"/>
          <w:szCs w:val="24"/>
        </w:rPr>
        <w:tab/>
        <w:t>LÆGEMIDLETS NAVN</w:t>
      </w:r>
    </w:p>
    <w:p w14:paraId="7B0CB1AD" w14:textId="57EC1A05" w:rsidR="009260DE" w:rsidRPr="005F25C3" w:rsidRDefault="001A6F3D" w:rsidP="009260DE">
      <w:pPr>
        <w:tabs>
          <w:tab w:val="left" w:pos="851"/>
        </w:tabs>
        <w:ind w:left="851"/>
        <w:rPr>
          <w:sz w:val="24"/>
          <w:szCs w:val="24"/>
        </w:rPr>
      </w:pPr>
      <w:proofErr w:type="spellStart"/>
      <w:r w:rsidRPr="005F25C3">
        <w:rPr>
          <w:sz w:val="24"/>
          <w:szCs w:val="24"/>
        </w:rPr>
        <w:t>Midodrine</w:t>
      </w:r>
      <w:proofErr w:type="spellEnd"/>
      <w:r w:rsidRPr="005F25C3">
        <w:rPr>
          <w:sz w:val="24"/>
          <w:szCs w:val="24"/>
        </w:rPr>
        <w:t xml:space="preserve"> "Medical Valley"</w:t>
      </w:r>
    </w:p>
    <w:p w14:paraId="3109370E" w14:textId="77777777" w:rsidR="009260DE" w:rsidRPr="005F25C3" w:rsidRDefault="009260DE" w:rsidP="009260DE">
      <w:pPr>
        <w:tabs>
          <w:tab w:val="left" w:pos="851"/>
        </w:tabs>
        <w:ind w:left="851"/>
        <w:rPr>
          <w:sz w:val="24"/>
          <w:szCs w:val="24"/>
        </w:rPr>
      </w:pPr>
    </w:p>
    <w:p w14:paraId="4991DBA4" w14:textId="77777777" w:rsidR="009260DE" w:rsidRPr="005F25C3" w:rsidRDefault="009260DE" w:rsidP="009260DE">
      <w:pPr>
        <w:tabs>
          <w:tab w:val="left" w:pos="851"/>
        </w:tabs>
        <w:ind w:left="851" w:hanging="851"/>
        <w:rPr>
          <w:b/>
          <w:sz w:val="24"/>
          <w:szCs w:val="24"/>
        </w:rPr>
      </w:pPr>
      <w:r w:rsidRPr="005F25C3">
        <w:rPr>
          <w:b/>
          <w:sz w:val="24"/>
          <w:szCs w:val="24"/>
        </w:rPr>
        <w:t>2.</w:t>
      </w:r>
      <w:r w:rsidRPr="005F25C3">
        <w:rPr>
          <w:b/>
          <w:sz w:val="24"/>
          <w:szCs w:val="24"/>
        </w:rPr>
        <w:tab/>
        <w:t>KVALITATIV OG KVANTITATIV SAMMENSÆTNING</w:t>
      </w:r>
    </w:p>
    <w:p w14:paraId="61D1A76E" w14:textId="77777777" w:rsidR="005F25C3" w:rsidRDefault="005F25C3" w:rsidP="000376C5">
      <w:pPr>
        <w:ind w:left="851"/>
        <w:rPr>
          <w:noProof/>
          <w:sz w:val="24"/>
          <w:szCs w:val="24"/>
        </w:rPr>
      </w:pPr>
    </w:p>
    <w:p w14:paraId="715F1534" w14:textId="028FCDAA" w:rsidR="001A6F3D" w:rsidRPr="005F25C3" w:rsidRDefault="001A6F3D" w:rsidP="000376C5">
      <w:pPr>
        <w:ind w:left="851"/>
        <w:rPr>
          <w:noProof/>
          <w:sz w:val="24"/>
          <w:szCs w:val="24"/>
          <w:u w:val="single"/>
        </w:rPr>
      </w:pPr>
      <w:r w:rsidRPr="005F25C3">
        <w:rPr>
          <w:noProof/>
          <w:sz w:val="24"/>
          <w:szCs w:val="24"/>
          <w:u w:val="single"/>
        </w:rPr>
        <w:t>2,5 mg</w:t>
      </w:r>
    </w:p>
    <w:p w14:paraId="6581AD93" w14:textId="77777777" w:rsidR="001A6F3D" w:rsidRPr="005F25C3" w:rsidRDefault="001A6F3D" w:rsidP="000376C5">
      <w:pPr>
        <w:ind w:left="851"/>
        <w:rPr>
          <w:noProof/>
          <w:sz w:val="24"/>
          <w:szCs w:val="24"/>
        </w:rPr>
      </w:pPr>
      <w:r w:rsidRPr="005F25C3">
        <w:rPr>
          <w:noProof/>
          <w:sz w:val="24"/>
          <w:szCs w:val="24"/>
        </w:rPr>
        <w:t>Hver tablet indeholder 2,5 mg midodrinhydrochlorid.</w:t>
      </w:r>
    </w:p>
    <w:p w14:paraId="3AECCED9" w14:textId="77777777" w:rsidR="001A6F3D" w:rsidRPr="005F25C3" w:rsidRDefault="001A6F3D" w:rsidP="000376C5">
      <w:pPr>
        <w:ind w:left="851"/>
        <w:rPr>
          <w:noProof/>
          <w:sz w:val="24"/>
          <w:szCs w:val="24"/>
        </w:rPr>
      </w:pPr>
    </w:p>
    <w:p w14:paraId="29C82AA2" w14:textId="77777777" w:rsidR="001A6F3D" w:rsidRPr="005F25C3" w:rsidRDefault="001A6F3D" w:rsidP="000376C5">
      <w:pPr>
        <w:ind w:left="851"/>
        <w:rPr>
          <w:noProof/>
          <w:sz w:val="24"/>
          <w:szCs w:val="24"/>
          <w:u w:val="single"/>
        </w:rPr>
      </w:pPr>
      <w:r w:rsidRPr="005F25C3">
        <w:rPr>
          <w:noProof/>
          <w:sz w:val="24"/>
          <w:szCs w:val="24"/>
          <w:u w:val="single"/>
        </w:rPr>
        <w:t>5 mg</w:t>
      </w:r>
    </w:p>
    <w:p w14:paraId="62617692" w14:textId="77777777" w:rsidR="001A6F3D" w:rsidRPr="005F25C3" w:rsidRDefault="001A6F3D" w:rsidP="000376C5">
      <w:pPr>
        <w:ind w:left="851"/>
        <w:rPr>
          <w:noProof/>
          <w:sz w:val="24"/>
          <w:szCs w:val="24"/>
        </w:rPr>
      </w:pPr>
      <w:r w:rsidRPr="005F25C3">
        <w:rPr>
          <w:noProof/>
          <w:sz w:val="24"/>
          <w:szCs w:val="24"/>
        </w:rPr>
        <w:t>Hver tablet indeholder 5 mg midodrinhydrochlorid.</w:t>
      </w:r>
    </w:p>
    <w:p w14:paraId="500EA7DD" w14:textId="77777777" w:rsidR="001A6F3D" w:rsidRPr="005F25C3" w:rsidRDefault="001A6F3D" w:rsidP="000376C5">
      <w:pPr>
        <w:ind w:left="851"/>
        <w:rPr>
          <w:noProof/>
          <w:sz w:val="24"/>
          <w:szCs w:val="24"/>
        </w:rPr>
      </w:pPr>
    </w:p>
    <w:p w14:paraId="5D4AA78B" w14:textId="77777777" w:rsidR="001A6F3D" w:rsidRPr="005F25C3" w:rsidRDefault="001A6F3D" w:rsidP="000376C5">
      <w:pPr>
        <w:ind w:left="851"/>
        <w:rPr>
          <w:noProof/>
          <w:sz w:val="24"/>
          <w:szCs w:val="24"/>
        </w:rPr>
      </w:pPr>
      <w:r w:rsidRPr="005F25C3">
        <w:rPr>
          <w:noProof/>
          <w:sz w:val="24"/>
          <w:szCs w:val="24"/>
        </w:rPr>
        <w:t>Alle hjælpestoffer er anført under pkt. 6.1.</w:t>
      </w:r>
    </w:p>
    <w:p w14:paraId="5FC667A2" w14:textId="77777777" w:rsidR="009260DE" w:rsidRPr="005F25C3" w:rsidRDefault="009260DE" w:rsidP="009260DE">
      <w:pPr>
        <w:tabs>
          <w:tab w:val="left" w:pos="851"/>
        </w:tabs>
        <w:ind w:left="851"/>
        <w:rPr>
          <w:sz w:val="24"/>
          <w:szCs w:val="24"/>
        </w:rPr>
      </w:pPr>
    </w:p>
    <w:p w14:paraId="598297D4" w14:textId="77777777" w:rsidR="009260DE" w:rsidRPr="005F25C3" w:rsidRDefault="009260DE" w:rsidP="009260DE">
      <w:pPr>
        <w:tabs>
          <w:tab w:val="left" w:pos="851"/>
        </w:tabs>
        <w:ind w:left="851" w:hanging="851"/>
        <w:rPr>
          <w:b/>
          <w:sz w:val="24"/>
          <w:szCs w:val="24"/>
        </w:rPr>
      </w:pPr>
      <w:r w:rsidRPr="005F25C3">
        <w:rPr>
          <w:b/>
          <w:sz w:val="24"/>
          <w:szCs w:val="24"/>
        </w:rPr>
        <w:t>3.</w:t>
      </w:r>
      <w:r w:rsidRPr="005F25C3">
        <w:rPr>
          <w:b/>
          <w:sz w:val="24"/>
          <w:szCs w:val="24"/>
        </w:rPr>
        <w:tab/>
        <w:t>LÆGEMIDDELFORM</w:t>
      </w:r>
    </w:p>
    <w:p w14:paraId="00437C2B" w14:textId="77777777" w:rsidR="001A6F3D" w:rsidRPr="005F25C3" w:rsidRDefault="001A6F3D" w:rsidP="000376C5">
      <w:pPr>
        <w:ind w:left="851"/>
        <w:rPr>
          <w:noProof/>
          <w:sz w:val="24"/>
          <w:szCs w:val="24"/>
        </w:rPr>
      </w:pPr>
      <w:r w:rsidRPr="005F25C3">
        <w:rPr>
          <w:noProof/>
          <w:sz w:val="24"/>
          <w:szCs w:val="24"/>
        </w:rPr>
        <w:t>Tabletter</w:t>
      </w:r>
    </w:p>
    <w:p w14:paraId="37FF203D" w14:textId="77777777" w:rsidR="001A6F3D" w:rsidRPr="005F25C3" w:rsidRDefault="001A6F3D" w:rsidP="000376C5">
      <w:pPr>
        <w:ind w:left="851"/>
        <w:rPr>
          <w:noProof/>
          <w:sz w:val="24"/>
          <w:szCs w:val="24"/>
        </w:rPr>
      </w:pPr>
    </w:p>
    <w:p w14:paraId="51849ADA" w14:textId="77777777" w:rsidR="001A6F3D" w:rsidRPr="005F25C3" w:rsidRDefault="001A6F3D" w:rsidP="000376C5">
      <w:pPr>
        <w:ind w:left="851"/>
        <w:rPr>
          <w:noProof/>
          <w:sz w:val="24"/>
          <w:szCs w:val="24"/>
          <w:u w:val="single"/>
        </w:rPr>
      </w:pPr>
      <w:r w:rsidRPr="005F25C3">
        <w:rPr>
          <w:noProof/>
          <w:sz w:val="24"/>
          <w:szCs w:val="24"/>
          <w:u w:val="single"/>
        </w:rPr>
        <w:t>2,5 mg</w:t>
      </w:r>
    </w:p>
    <w:p w14:paraId="67358B7D" w14:textId="77777777" w:rsidR="001A6F3D" w:rsidRPr="005F25C3" w:rsidRDefault="001A6F3D" w:rsidP="000376C5">
      <w:pPr>
        <w:ind w:left="851"/>
        <w:rPr>
          <w:noProof/>
          <w:sz w:val="24"/>
          <w:szCs w:val="24"/>
        </w:rPr>
      </w:pPr>
    </w:p>
    <w:p w14:paraId="0C3522A4" w14:textId="6E1CF7E3" w:rsidR="001A6F3D" w:rsidRPr="005F25C3" w:rsidRDefault="001A6F3D" w:rsidP="000376C5">
      <w:pPr>
        <w:ind w:left="851"/>
        <w:rPr>
          <w:noProof/>
          <w:color w:val="000000" w:themeColor="text1"/>
          <w:sz w:val="24"/>
          <w:szCs w:val="24"/>
        </w:rPr>
      </w:pPr>
      <w:r w:rsidRPr="005F25C3">
        <w:rPr>
          <w:noProof/>
          <w:color w:val="000000" w:themeColor="text1"/>
          <w:sz w:val="24"/>
          <w:szCs w:val="24"/>
        </w:rPr>
        <w:t xml:space="preserve">Hvide til </w:t>
      </w:r>
      <w:r w:rsidRPr="005F25C3">
        <w:rPr>
          <w:i/>
          <w:iCs/>
          <w:noProof/>
          <w:color w:val="000000" w:themeColor="text1"/>
          <w:sz w:val="24"/>
          <w:szCs w:val="24"/>
        </w:rPr>
        <w:t>off-white</w:t>
      </w:r>
      <w:r w:rsidRPr="005F25C3">
        <w:rPr>
          <w:noProof/>
          <w:color w:val="000000" w:themeColor="text1"/>
          <w:sz w:val="24"/>
          <w:szCs w:val="24"/>
        </w:rPr>
        <w:t xml:space="preserve">, runde tabletter uden overtræk, med en diameter på cirka 6,00 mm og tykkelse på cirka 2,60 mm præget med </w:t>
      </w:r>
      <w:r w:rsidR="005F25C3">
        <w:rPr>
          <w:noProof/>
          <w:color w:val="000000" w:themeColor="text1"/>
          <w:sz w:val="24"/>
          <w:szCs w:val="24"/>
        </w:rPr>
        <w:t>"</w:t>
      </w:r>
      <w:r w:rsidRPr="005F25C3">
        <w:rPr>
          <w:noProof/>
          <w:color w:val="000000" w:themeColor="text1"/>
          <w:sz w:val="24"/>
          <w:szCs w:val="24"/>
        </w:rPr>
        <w:t>F</w:t>
      </w:r>
      <w:r w:rsidR="005F25C3">
        <w:rPr>
          <w:noProof/>
          <w:color w:val="000000" w:themeColor="text1"/>
          <w:sz w:val="24"/>
          <w:szCs w:val="24"/>
        </w:rPr>
        <w:t>"</w:t>
      </w:r>
      <w:r w:rsidRPr="005F25C3">
        <w:rPr>
          <w:noProof/>
          <w:color w:val="000000" w:themeColor="text1"/>
          <w:sz w:val="24"/>
          <w:szCs w:val="24"/>
        </w:rPr>
        <w:t xml:space="preserve"> og </w:t>
      </w:r>
      <w:r w:rsidR="005F25C3">
        <w:rPr>
          <w:noProof/>
          <w:color w:val="000000" w:themeColor="text1"/>
          <w:sz w:val="24"/>
          <w:szCs w:val="24"/>
        </w:rPr>
        <w:t>"</w:t>
      </w:r>
      <w:r w:rsidRPr="005F25C3">
        <w:rPr>
          <w:noProof/>
          <w:color w:val="000000" w:themeColor="text1"/>
          <w:sz w:val="24"/>
          <w:szCs w:val="24"/>
        </w:rPr>
        <w:t>7</w:t>
      </w:r>
      <w:r w:rsidR="005F25C3">
        <w:rPr>
          <w:noProof/>
          <w:color w:val="000000" w:themeColor="text1"/>
          <w:sz w:val="24"/>
          <w:szCs w:val="24"/>
        </w:rPr>
        <w:t>"</w:t>
      </w:r>
      <w:r w:rsidRPr="005F25C3">
        <w:rPr>
          <w:noProof/>
          <w:color w:val="000000" w:themeColor="text1"/>
          <w:sz w:val="24"/>
          <w:szCs w:val="24"/>
        </w:rPr>
        <w:t xml:space="preserve"> på hver side af delekærven på den ene side og glat på den anden side.</w:t>
      </w:r>
    </w:p>
    <w:p w14:paraId="6D7E9417" w14:textId="77777777" w:rsidR="001A6F3D" w:rsidRPr="005F25C3" w:rsidRDefault="001A6F3D" w:rsidP="000376C5">
      <w:pPr>
        <w:ind w:left="851"/>
        <w:rPr>
          <w:noProof/>
          <w:color w:val="000000" w:themeColor="text1"/>
          <w:sz w:val="24"/>
          <w:szCs w:val="24"/>
        </w:rPr>
      </w:pPr>
      <w:r w:rsidRPr="005F25C3">
        <w:rPr>
          <w:noProof/>
          <w:color w:val="000000" w:themeColor="text1"/>
          <w:sz w:val="24"/>
          <w:szCs w:val="24"/>
        </w:rPr>
        <w:t>Tabletten har kun delekærv for at muliggøre deling af tabletten, så den er nemmere at sluge. Tabletten kan ikke deles i to lige store doser.</w:t>
      </w:r>
    </w:p>
    <w:p w14:paraId="2C041E22" w14:textId="77777777" w:rsidR="001A6F3D" w:rsidRPr="005F25C3" w:rsidRDefault="001A6F3D" w:rsidP="000376C5">
      <w:pPr>
        <w:ind w:left="851"/>
        <w:rPr>
          <w:noProof/>
          <w:color w:val="000000" w:themeColor="text1"/>
          <w:sz w:val="24"/>
          <w:szCs w:val="24"/>
          <w:u w:val="single"/>
        </w:rPr>
      </w:pPr>
    </w:p>
    <w:p w14:paraId="3504C7DB" w14:textId="77777777" w:rsidR="001A6F3D" w:rsidRPr="005F25C3" w:rsidRDefault="001A6F3D" w:rsidP="000376C5">
      <w:pPr>
        <w:ind w:left="851"/>
        <w:rPr>
          <w:noProof/>
          <w:color w:val="000000" w:themeColor="text1"/>
          <w:sz w:val="24"/>
          <w:szCs w:val="24"/>
          <w:u w:val="single"/>
        </w:rPr>
      </w:pPr>
      <w:r w:rsidRPr="005F25C3">
        <w:rPr>
          <w:noProof/>
          <w:color w:val="000000" w:themeColor="text1"/>
          <w:sz w:val="24"/>
          <w:szCs w:val="24"/>
          <w:u w:val="single"/>
        </w:rPr>
        <w:t>5 mg</w:t>
      </w:r>
    </w:p>
    <w:p w14:paraId="1373FDAB" w14:textId="77777777" w:rsidR="001A6F3D" w:rsidRPr="005F25C3" w:rsidRDefault="001A6F3D" w:rsidP="000376C5">
      <w:pPr>
        <w:ind w:left="851"/>
        <w:rPr>
          <w:noProof/>
          <w:color w:val="000000" w:themeColor="text1"/>
          <w:sz w:val="24"/>
          <w:szCs w:val="24"/>
        </w:rPr>
      </w:pPr>
    </w:p>
    <w:p w14:paraId="63D74C2E" w14:textId="72FE1CE2" w:rsidR="001A6F3D" w:rsidRPr="005F25C3" w:rsidRDefault="001A6F3D" w:rsidP="000376C5">
      <w:pPr>
        <w:ind w:left="851"/>
        <w:rPr>
          <w:noProof/>
          <w:color w:val="000000" w:themeColor="text1"/>
          <w:sz w:val="24"/>
          <w:szCs w:val="24"/>
        </w:rPr>
      </w:pPr>
      <w:r w:rsidRPr="005F25C3">
        <w:rPr>
          <w:noProof/>
          <w:color w:val="000000" w:themeColor="text1"/>
          <w:sz w:val="24"/>
          <w:szCs w:val="24"/>
        </w:rPr>
        <w:t xml:space="preserve">Hvide til </w:t>
      </w:r>
      <w:r w:rsidRPr="005F25C3">
        <w:rPr>
          <w:i/>
          <w:iCs/>
          <w:noProof/>
          <w:color w:val="000000" w:themeColor="text1"/>
          <w:sz w:val="24"/>
          <w:szCs w:val="24"/>
        </w:rPr>
        <w:t>off-white</w:t>
      </w:r>
      <w:r w:rsidRPr="005F25C3">
        <w:rPr>
          <w:noProof/>
          <w:color w:val="000000" w:themeColor="text1"/>
          <w:sz w:val="24"/>
          <w:szCs w:val="24"/>
        </w:rPr>
        <w:t xml:space="preserve">, runde tabletter uden overtræk, med en diameter på cirka 7,50 mm og tykkelse på cirka 3,10 mm præget med </w:t>
      </w:r>
      <w:r w:rsidR="005F25C3">
        <w:rPr>
          <w:noProof/>
          <w:color w:val="000000" w:themeColor="text1"/>
          <w:sz w:val="24"/>
          <w:szCs w:val="24"/>
        </w:rPr>
        <w:t>"</w:t>
      </w:r>
      <w:r w:rsidRPr="005F25C3">
        <w:rPr>
          <w:noProof/>
          <w:color w:val="000000" w:themeColor="text1"/>
          <w:sz w:val="24"/>
          <w:szCs w:val="24"/>
        </w:rPr>
        <w:t>I</w:t>
      </w:r>
      <w:r w:rsidR="005F25C3">
        <w:rPr>
          <w:noProof/>
          <w:color w:val="000000" w:themeColor="text1"/>
          <w:sz w:val="24"/>
          <w:szCs w:val="24"/>
        </w:rPr>
        <w:t>"</w:t>
      </w:r>
      <w:r w:rsidRPr="005F25C3">
        <w:rPr>
          <w:noProof/>
          <w:color w:val="000000" w:themeColor="text1"/>
          <w:sz w:val="24"/>
          <w:szCs w:val="24"/>
        </w:rPr>
        <w:t xml:space="preserve"> og </w:t>
      </w:r>
      <w:r w:rsidR="005F25C3">
        <w:rPr>
          <w:noProof/>
          <w:color w:val="000000" w:themeColor="text1"/>
          <w:sz w:val="24"/>
          <w:szCs w:val="24"/>
        </w:rPr>
        <w:t>"</w:t>
      </w:r>
      <w:r w:rsidRPr="005F25C3">
        <w:rPr>
          <w:noProof/>
          <w:color w:val="000000" w:themeColor="text1"/>
          <w:sz w:val="24"/>
          <w:szCs w:val="24"/>
        </w:rPr>
        <w:t>29</w:t>
      </w:r>
      <w:r w:rsidR="005F25C3">
        <w:rPr>
          <w:noProof/>
          <w:color w:val="000000" w:themeColor="text1"/>
          <w:sz w:val="24"/>
          <w:szCs w:val="24"/>
        </w:rPr>
        <w:t>"</w:t>
      </w:r>
      <w:r w:rsidRPr="005F25C3">
        <w:rPr>
          <w:noProof/>
          <w:color w:val="000000" w:themeColor="text1"/>
          <w:sz w:val="24"/>
          <w:szCs w:val="24"/>
        </w:rPr>
        <w:t xml:space="preserve"> på hver side af delekærven på den ene side og delekærv på den anden side.</w:t>
      </w:r>
    </w:p>
    <w:p w14:paraId="5592705A" w14:textId="77777777" w:rsidR="001A6F3D" w:rsidRPr="005F25C3" w:rsidRDefault="001A6F3D" w:rsidP="000376C5">
      <w:pPr>
        <w:ind w:left="851"/>
        <w:rPr>
          <w:noProof/>
          <w:sz w:val="24"/>
          <w:szCs w:val="24"/>
        </w:rPr>
      </w:pPr>
      <w:r w:rsidRPr="005F25C3">
        <w:rPr>
          <w:noProof/>
          <w:sz w:val="24"/>
          <w:szCs w:val="24"/>
        </w:rPr>
        <w:t>Tabletten kan deles i to lige store doser.</w:t>
      </w:r>
    </w:p>
    <w:p w14:paraId="7513EA22" w14:textId="77777777" w:rsidR="009260DE" w:rsidRPr="005F25C3" w:rsidRDefault="009260DE" w:rsidP="009260DE">
      <w:pPr>
        <w:tabs>
          <w:tab w:val="left" w:pos="851"/>
        </w:tabs>
        <w:ind w:left="851"/>
        <w:rPr>
          <w:sz w:val="24"/>
          <w:szCs w:val="24"/>
        </w:rPr>
      </w:pPr>
    </w:p>
    <w:p w14:paraId="1809FEE9" w14:textId="77777777" w:rsidR="009260DE" w:rsidRPr="005F25C3" w:rsidRDefault="009260DE" w:rsidP="009260DE">
      <w:pPr>
        <w:tabs>
          <w:tab w:val="left" w:pos="851"/>
        </w:tabs>
        <w:ind w:left="851"/>
        <w:rPr>
          <w:sz w:val="24"/>
          <w:szCs w:val="24"/>
        </w:rPr>
      </w:pPr>
    </w:p>
    <w:p w14:paraId="5284F20E" w14:textId="77777777" w:rsidR="009260DE" w:rsidRPr="005F25C3" w:rsidRDefault="009260DE" w:rsidP="009260DE">
      <w:pPr>
        <w:tabs>
          <w:tab w:val="left" w:pos="851"/>
        </w:tabs>
        <w:ind w:left="851" w:hanging="851"/>
        <w:rPr>
          <w:b/>
          <w:sz w:val="24"/>
          <w:szCs w:val="24"/>
        </w:rPr>
      </w:pPr>
      <w:r w:rsidRPr="005F25C3">
        <w:rPr>
          <w:b/>
          <w:sz w:val="24"/>
          <w:szCs w:val="24"/>
        </w:rPr>
        <w:lastRenderedPageBreak/>
        <w:t>4.</w:t>
      </w:r>
      <w:r w:rsidRPr="005F25C3">
        <w:rPr>
          <w:b/>
          <w:sz w:val="24"/>
          <w:szCs w:val="24"/>
        </w:rPr>
        <w:tab/>
        <w:t>KLINISKE OPLYSNINGER</w:t>
      </w:r>
    </w:p>
    <w:p w14:paraId="5146F2E1" w14:textId="77777777" w:rsidR="009260DE" w:rsidRPr="005F25C3" w:rsidRDefault="009260DE" w:rsidP="009260DE">
      <w:pPr>
        <w:tabs>
          <w:tab w:val="left" w:pos="851"/>
        </w:tabs>
        <w:ind w:left="851"/>
        <w:rPr>
          <w:b/>
          <w:sz w:val="24"/>
          <w:szCs w:val="24"/>
        </w:rPr>
      </w:pPr>
    </w:p>
    <w:p w14:paraId="29E07BE1" w14:textId="77777777" w:rsidR="009260DE" w:rsidRPr="005F25C3" w:rsidRDefault="009260DE" w:rsidP="009260DE">
      <w:pPr>
        <w:tabs>
          <w:tab w:val="left" w:pos="851"/>
        </w:tabs>
        <w:ind w:left="851" w:hanging="851"/>
        <w:rPr>
          <w:b/>
          <w:sz w:val="24"/>
          <w:szCs w:val="24"/>
          <w:u w:val="single"/>
        </w:rPr>
      </w:pPr>
      <w:r w:rsidRPr="005F25C3">
        <w:rPr>
          <w:b/>
          <w:sz w:val="24"/>
          <w:szCs w:val="24"/>
        </w:rPr>
        <w:t>4.1</w:t>
      </w:r>
      <w:r w:rsidRPr="005F25C3">
        <w:rPr>
          <w:b/>
          <w:sz w:val="24"/>
          <w:szCs w:val="24"/>
        </w:rPr>
        <w:tab/>
        <w:t>Terapeutiske indikationer</w:t>
      </w:r>
    </w:p>
    <w:p w14:paraId="7B1AE644" w14:textId="77777777" w:rsidR="001A6F3D" w:rsidRPr="005F25C3" w:rsidRDefault="001A6F3D" w:rsidP="000376C5">
      <w:pPr>
        <w:ind w:left="851"/>
        <w:rPr>
          <w:noProof/>
          <w:sz w:val="24"/>
          <w:szCs w:val="24"/>
        </w:rPr>
      </w:pPr>
      <w:r w:rsidRPr="005F25C3">
        <w:rPr>
          <w:noProof/>
          <w:sz w:val="24"/>
          <w:szCs w:val="24"/>
        </w:rPr>
        <w:t>Til brug hos voksne til behandling af svær ortostatisk hypotension på grund af dysfunktion i det autonome nervesystem, når korrigerbare faktorer er blevet udelukket.</w:t>
      </w:r>
    </w:p>
    <w:p w14:paraId="42D77FA4" w14:textId="77777777" w:rsidR="009260DE" w:rsidRPr="005F25C3" w:rsidRDefault="009260DE" w:rsidP="009260DE">
      <w:pPr>
        <w:tabs>
          <w:tab w:val="left" w:pos="851"/>
        </w:tabs>
        <w:ind w:left="851"/>
        <w:rPr>
          <w:sz w:val="24"/>
          <w:szCs w:val="24"/>
        </w:rPr>
      </w:pPr>
    </w:p>
    <w:p w14:paraId="6048864D" w14:textId="77777777" w:rsidR="009260DE" w:rsidRPr="005F25C3" w:rsidRDefault="009260DE" w:rsidP="009260DE">
      <w:pPr>
        <w:tabs>
          <w:tab w:val="left" w:pos="851"/>
        </w:tabs>
        <w:ind w:left="851" w:hanging="851"/>
        <w:rPr>
          <w:b/>
          <w:sz w:val="24"/>
          <w:szCs w:val="24"/>
        </w:rPr>
      </w:pPr>
      <w:r w:rsidRPr="005F25C3">
        <w:rPr>
          <w:b/>
          <w:sz w:val="24"/>
          <w:szCs w:val="24"/>
        </w:rPr>
        <w:t>4.2</w:t>
      </w:r>
      <w:r w:rsidRPr="005F25C3">
        <w:rPr>
          <w:b/>
          <w:sz w:val="24"/>
          <w:szCs w:val="24"/>
        </w:rPr>
        <w:tab/>
        <w:t xml:space="preserve">Dosering og </w:t>
      </w:r>
      <w:r w:rsidR="002C1EC0" w:rsidRPr="005F25C3">
        <w:rPr>
          <w:b/>
          <w:sz w:val="24"/>
          <w:szCs w:val="24"/>
        </w:rPr>
        <w:t>administration</w:t>
      </w:r>
    </w:p>
    <w:p w14:paraId="36409B28" w14:textId="77777777" w:rsidR="005F25C3" w:rsidRDefault="005F25C3" w:rsidP="000376C5">
      <w:pPr>
        <w:ind w:left="851"/>
        <w:rPr>
          <w:noProof/>
          <w:sz w:val="24"/>
          <w:szCs w:val="24"/>
        </w:rPr>
      </w:pPr>
    </w:p>
    <w:p w14:paraId="0DE8BBE9" w14:textId="19A6FCE5" w:rsidR="001A6F3D" w:rsidRPr="005F25C3" w:rsidRDefault="001A6F3D" w:rsidP="000376C5">
      <w:pPr>
        <w:ind w:left="851"/>
        <w:rPr>
          <w:noProof/>
          <w:sz w:val="24"/>
          <w:szCs w:val="24"/>
          <w:u w:val="single"/>
        </w:rPr>
      </w:pPr>
      <w:r w:rsidRPr="005F25C3">
        <w:rPr>
          <w:noProof/>
          <w:sz w:val="24"/>
          <w:szCs w:val="24"/>
          <w:u w:val="single"/>
        </w:rPr>
        <w:t>Dosering</w:t>
      </w:r>
    </w:p>
    <w:p w14:paraId="347D8D45" w14:textId="77777777" w:rsidR="001A6F3D" w:rsidRPr="005F25C3" w:rsidRDefault="001A6F3D" w:rsidP="000376C5">
      <w:pPr>
        <w:ind w:left="851"/>
        <w:rPr>
          <w:noProof/>
          <w:sz w:val="24"/>
          <w:szCs w:val="24"/>
        </w:rPr>
      </w:pPr>
    </w:p>
    <w:p w14:paraId="4FA16FAD" w14:textId="77777777" w:rsidR="001A6F3D" w:rsidRPr="005F25C3" w:rsidRDefault="001A6F3D" w:rsidP="000376C5">
      <w:pPr>
        <w:ind w:left="851"/>
        <w:rPr>
          <w:noProof/>
          <w:sz w:val="24"/>
          <w:szCs w:val="24"/>
        </w:rPr>
      </w:pPr>
      <w:r w:rsidRPr="005F25C3">
        <w:rPr>
          <w:i/>
          <w:noProof/>
          <w:sz w:val="24"/>
          <w:szCs w:val="24"/>
        </w:rPr>
        <w:t>Voksne:</w:t>
      </w:r>
    </w:p>
    <w:p w14:paraId="7F4610FE" w14:textId="77777777" w:rsidR="001A6F3D" w:rsidRPr="005F25C3" w:rsidRDefault="001A6F3D" w:rsidP="000376C5">
      <w:pPr>
        <w:ind w:left="851"/>
        <w:rPr>
          <w:noProof/>
          <w:sz w:val="24"/>
          <w:szCs w:val="24"/>
        </w:rPr>
      </w:pPr>
      <w:r w:rsidRPr="005F25C3">
        <w:rPr>
          <w:noProof/>
          <w:sz w:val="24"/>
          <w:szCs w:val="24"/>
        </w:rPr>
        <w:t>Den normale initialdosis er 2,5 mg 3 gange dagligt. Der foreslås en doseringsplan med 3-4 timers intervaller. Den sidste daglige dosis skal tages mindst fire timer før sengetid for at reducere risikoen for hypertension i liggende stilling. Denne dosis bør øges ugentligt i små trin, indtil der opnås et optimalt respons. De fleste patienter kontrolleres ved, eller under 30 mg dagligt opdelt i 3 enkeltdoser. Den maksimale daglige dosis er 30 mg opdelt i 3 enkeltdoser.</w:t>
      </w:r>
    </w:p>
    <w:p w14:paraId="3E06D59D" w14:textId="77777777" w:rsidR="001A6F3D" w:rsidRPr="005F25C3" w:rsidRDefault="001A6F3D" w:rsidP="000376C5">
      <w:pPr>
        <w:ind w:left="851"/>
        <w:rPr>
          <w:noProof/>
          <w:sz w:val="24"/>
          <w:szCs w:val="24"/>
        </w:rPr>
      </w:pPr>
      <w:r w:rsidRPr="005F25C3">
        <w:rPr>
          <w:noProof/>
          <w:sz w:val="24"/>
          <w:szCs w:val="24"/>
        </w:rPr>
        <w:t>Doser, over 30 mg, frarådes. Blodtrykket i liggende og siddende stilling skal overvåges regelmæssigt ved begyndelsen af behandlingen (mindst to gange om ugen). Behandlingen med midodrin skal afbrydes, hvis hypertension i liggende stilling stiger for meget. Midodrin skal tages om dagen, når patienten er i opretstående stilling.</w:t>
      </w:r>
    </w:p>
    <w:p w14:paraId="273DACE5" w14:textId="77777777" w:rsidR="001A6F3D" w:rsidRPr="005F25C3" w:rsidRDefault="001A6F3D" w:rsidP="000376C5">
      <w:pPr>
        <w:ind w:left="851"/>
        <w:rPr>
          <w:noProof/>
          <w:sz w:val="24"/>
          <w:szCs w:val="24"/>
        </w:rPr>
      </w:pPr>
    </w:p>
    <w:p w14:paraId="041EA443" w14:textId="77777777" w:rsidR="001A6F3D" w:rsidRPr="005F25C3" w:rsidRDefault="001A6F3D" w:rsidP="000376C5">
      <w:pPr>
        <w:ind w:left="851"/>
        <w:rPr>
          <w:i/>
          <w:iCs/>
          <w:noProof/>
          <w:sz w:val="24"/>
          <w:szCs w:val="24"/>
        </w:rPr>
      </w:pPr>
      <w:r w:rsidRPr="005F25C3">
        <w:rPr>
          <w:i/>
          <w:iCs/>
          <w:noProof/>
          <w:sz w:val="24"/>
          <w:szCs w:val="24"/>
        </w:rPr>
        <w:t>Ældre:</w:t>
      </w:r>
    </w:p>
    <w:p w14:paraId="2690545D" w14:textId="77777777" w:rsidR="001A6F3D" w:rsidRPr="005F25C3" w:rsidRDefault="001A6F3D" w:rsidP="000376C5">
      <w:pPr>
        <w:ind w:left="851"/>
        <w:rPr>
          <w:noProof/>
          <w:sz w:val="24"/>
          <w:szCs w:val="24"/>
        </w:rPr>
      </w:pPr>
      <w:r w:rsidRPr="005F25C3">
        <w:rPr>
          <w:noProof/>
          <w:sz w:val="24"/>
          <w:szCs w:val="24"/>
        </w:rPr>
        <w:t>Selv om der ikke er noget, der tyder på at doseringskravene er forskellige hos ældre, anbefales det, at behandlingen indledes med en lav dosis, og at dosis øges ved forsigtig titrering i forhold til patientens kliniske tilstand.</w:t>
      </w:r>
    </w:p>
    <w:p w14:paraId="0A014C34" w14:textId="77777777" w:rsidR="001A6F3D" w:rsidRPr="005F25C3" w:rsidRDefault="001A6F3D" w:rsidP="000376C5">
      <w:pPr>
        <w:ind w:left="851"/>
        <w:rPr>
          <w:noProof/>
          <w:sz w:val="24"/>
          <w:szCs w:val="24"/>
        </w:rPr>
      </w:pPr>
    </w:p>
    <w:p w14:paraId="6ED52740" w14:textId="77777777" w:rsidR="001A6F3D" w:rsidRPr="005F25C3" w:rsidRDefault="001A6F3D" w:rsidP="000376C5">
      <w:pPr>
        <w:ind w:left="851"/>
        <w:rPr>
          <w:noProof/>
          <w:sz w:val="24"/>
          <w:szCs w:val="24"/>
        </w:rPr>
      </w:pPr>
      <w:r w:rsidRPr="005F25C3">
        <w:rPr>
          <w:noProof/>
          <w:sz w:val="24"/>
          <w:szCs w:val="24"/>
        </w:rPr>
        <w:t>Administration af midodrin skal øjeblikkeligt afbrydes og den behandlende læge adviseres, hvis blodtrykket i en af de to stillinger stiger til over 180/100 mm Hg eller betragtes som klinisk signifikant.</w:t>
      </w:r>
    </w:p>
    <w:p w14:paraId="024FC395" w14:textId="77777777" w:rsidR="001A6F3D" w:rsidRPr="005F25C3" w:rsidRDefault="001A6F3D" w:rsidP="000376C5">
      <w:pPr>
        <w:ind w:left="851"/>
        <w:rPr>
          <w:noProof/>
          <w:sz w:val="24"/>
          <w:szCs w:val="24"/>
        </w:rPr>
      </w:pPr>
    </w:p>
    <w:p w14:paraId="490ECC06" w14:textId="77777777" w:rsidR="001A6F3D" w:rsidRPr="005F25C3" w:rsidRDefault="001A6F3D" w:rsidP="000376C5">
      <w:pPr>
        <w:ind w:left="851"/>
        <w:rPr>
          <w:i/>
          <w:iCs/>
          <w:noProof/>
          <w:sz w:val="24"/>
          <w:szCs w:val="24"/>
        </w:rPr>
      </w:pPr>
      <w:r w:rsidRPr="005F25C3">
        <w:rPr>
          <w:i/>
          <w:iCs/>
          <w:noProof/>
          <w:sz w:val="24"/>
          <w:szCs w:val="24"/>
        </w:rPr>
        <w:t>Pædiatrisk population:</w:t>
      </w:r>
    </w:p>
    <w:p w14:paraId="57B5D20E" w14:textId="77777777" w:rsidR="001A6F3D" w:rsidRPr="005F25C3" w:rsidRDefault="001A6F3D" w:rsidP="000376C5">
      <w:pPr>
        <w:ind w:left="851"/>
        <w:rPr>
          <w:noProof/>
          <w:sz w:val="24"/>
          <w:szCs w:val="24"/>
        </w:rPr>
      </w:pPr>
      <w:r w:rsidRPr="005F25C3">
        <w:rPr>
          <w:noProof/>
          <w:sz w:val="24"/>
          <w:szCs w:val="24"/>
        </w:rPr>
        <w:t>Bør ikke anvendes til børn.</w:t>
      </w:r>
    </w:p>
    <w:p w14:paraId="754845B0" w14:textId="77777777" w:rsidR="001A6F3D" w:rsidRPr="005F25C3" w:rsidRDefault="001A6F3D" w:rsidP="000376C5">
      <w:pPr>
        <w:ind w:left="851"/>
        <w:rPr>
          <w:noProof/>
          <w:sz w:val="24"/>
          <w:szCs w:val="24"/>
        </w:rPr>
      </w:pPr>
    </w:p>
    <w:p w14:paraId="70A672A3" w14:textId="77777777" w:rsidR="001A6F3D" w:rsidRPr="005F25C3" w:rsidRDefault="001A6F3D" w:rsidP="000376C5">
      <w:pPr>
        <w:ind w:left="851"/>
        <w:rPr>
          <w:i/>
          <w:iCs/>
          <w:noProof/>
          <w:sz w:val="24"/>
          <w:szCs w:val="24"/>
        </w:rPr>
      </w:pPr>
      <w:r w:rsidRPr="005F25C3">
        <w:rPr>
          <w:i/>
          <w:iCs/>
          <w:noProof/>
          <w:sz w:val="24"/>
          <w:szCs w:val="24"/>
        </w:rPr>
        <w:t>Patienter med nedsat nyrefunktion:</w:t>
      </w:r>
    </w:p>
    <w:p w14:paraId="3C88C13D" w14:textId="77777777" w:rsidR="001A6F3D" w:rsidRPr="005F25C3" w:rsidRDefault="001A6F3D" w:rsidP="000376C5">
      <w:pPr>
        <w:ind w:left="851"/>
        <w:rPr>
          <w:noProof/>
          <w:sz w:val="24"/>
          <w:szCs w:val="24"/>
        </w:rPr>
      </w:pPr>
      <w:r w:rsidRPr="005F25C3">
        <w:rPr>
          <w:noProof/>
          <w:sz w:val="24"/>
          <w:szCs w:val="24"/>
        </w:rPr>
        <w:t>Der er ikke udført specifikke studier, der omhandler en mulig dosisreduktion til patienter med nedsat nyrefunktion. Midodrin er kontraindiceret hos patienter med akut nyresygdom og svært nedsat nyrefunktion (se pkt. 4.3).</w:t>
      </w:r>
    </w:p>
    <w:p w14:paraId="656A1BE5" w14:textId="77777777" w:rsidR="001A6F3D" w:rsidRPr="005F25C3" w:rsidRDefault="001A6F3D" w:rsidP="000376C5">
      <w:pPr>
        <w:ind w:left="851"/>
        <w:rPr>
          <w:i/>
          <w:iCs/>
          <w:noProof/>
          <w:sz w:val="24"/>
          <w:szCs w:val="24"/>
        </w:rPr>
      </w:pPr>
    </w:p>
    <w:p w14:paraId="32BD1F1F" w14:textId="77777777" w:rsidR="001A6F3D" w:rsidRPr="005F25C3" w:rsidRDefault="001A6F3D" w:rsidP="000376C5">
      <w:pPr>
        <w:ind w:left="851"/>
        <w:rPr>
          <w:i/>
          <w:iCs/>
          <w:noProof/>
          <w:sz w:val="24"/>
          <w:szCs w:val="24"/>
        </w:rPr>
      </w:pPr>
      <w:r w:rsidRPr="005F25C3">
        <w:rPr>
          <w:i/>
          <w:iCs/>
          <w:noProof/>
          <w:sz w:val="24"/>
          <w:szCs w:val="24"/>
        </w:rPr>
        <w:t>Patienter med nedsat leverfunktion:</w:t>
      </w:r>
    </w:p>
    <w:p w14:paraId="1C5FB690" w14:textId="77777777" w:rsidR="001A6F3D" w:rsidRPr="005F25C3" w:rsidRDefault="001A6F3D" w:rsidP="000376C5">
      <w:pPr>
        <w:ind w:left="851"/>
        <w:rPr>
          <w:noProof/>
          <w:sz w:val="24"/>
          <w:szCs w:val="24"/>
        </w:rPr>
      </w:pPr>
      <w:r w:rsidRPr="005F25C3">
        <w:rPr>
          <w:noProof/>
          <w:sz w:val="24"/>
          <w:szCs w:val="24"/>
        </w:rPr>
        <w:t>Der er ikke udført specifikke studier med denne patientpopulation.</w:t>
      </w:r>
    </w:p>
    <w:p w14:paraId="1EEB8509" w14:textId="77777777" w:rsidR="001A6F3D" w:rsidRPr="005F25C3" w:rsidRDefault="001A6F3D" w:rsidP="000376C5">
      <w:pPr>
        <w:ind w:left="851"/>
        <w:rPr>
          <w:noProof/>
          <w:sz w:val="24"/>
          <w:szCs w:val="24"/>
        </w:rPr>
      </w:pPr>
    </w:p>
    <w:p w14:paraId="4C5B7220" w14:textId="77777777" w:rsidR="001A6F3D" w:rsidRPr="005F25C3" w:rsidRDefault="001A6F3D" w:rsidP="000376C5">
      <w:pPr>
        <w:ind w:left="851"/>
        <w:rPr>
          <w:noProof/>
          <w:sz w:val="24"/>
          <w:szCs w:val="24"/>
          <w:u w:val="single"/>
        </w:rPr>
      </w:pPr>
      <w:r w:rsidRPr="005F25C3">
        <w:rPr>
          <w:noProof/>
          <w:sz w:val="24"/>
          <w:szCs w:val="24"/>
          <w:u w:val="single"/>
        </w:rPr>
        <w:t>Administration</w:t>
      </w:r>
    </w:p>
    <w:p w14:paraId="6B3616E1" w14:textId="77777777" w:rsidR="001A6F3D" w:rsidRPr="005F25C3" w:rsidRDefault="001A6F3D" w:rsidP="000376C5">
      <w:pPr>
        <w:ind w:left="851"/>
        <w:rPr>
          <w:noProof/>
          <w:sz w:val="24"/>
          <w:szCs w:val="24"/>
        </w:rPr>
      </w:pPr>
      <w:r w:rsidRPr="005F25C3">
        <w:rPr>
          <w:noProof/>
          <w:sz w:val="24"/>
          <w:szCs w:val="24"/>
        </w:rPr>
        <w:t>Oral anvendelse.</w:t>
      </w:r>
    </w:p>
    <w:p w14:paraId="312018A6" w14:textId="77777777" w:rsidR="009260DE" w:rsidRPr="005F25C3" w:rsidRDefault="009260DE" w:rsidP="009260DE">
      <w:pPr>
        <w:tabs>
          <w:tab w:val="left" w:pos="851"/>
        </w:tabs>
        <w:ind w:left="851"/>
        <w:rPr>
          <w:sz w:val="24"/>
          <w:szCs w:val="24"/>
        </w:rPr>
      </w:pPr>
    </w:p>
    <w:p w14:paraId="375E5A51" w14:textId="77777777" w:rsidR="009260DE" w:rsidRPr="005F25C3" w:rsidRDefault="009260DE" w:rsidP="009260DE">
      <w:pPr>
        <w:tabs>
          <w:tab w:val="left" w:pos="851"/>
        </w:tabs>
        <w:ind w:left="851" w:hanging="851"/>
        <w:rPr>
          <w:b/>
          <w:sz w:val="24"/>
          <w:szCs w:val="24"/>
        </w:rPr>
      </w:pPr>
      <w:r w:rsidRPr="005F25C3">
        <w:rPr>
          <w:b/>
          <w:sz w:val="24"/>
          <w:szCs w:val="24"/>
        </w:rPr>
        <w:t>4.3</w:t>
      </w:r>
      <w:r w:rsidRPr="005F25C3">
        <w:rPr>
          <w:b/>
          <w:sz w:val="24"/>
          <w:szCs w:val="24"/>
        </w:rPr>
        <w:tab/>
        <w:t>Kontraindikationer</w:t>
      </w:r>
    </w:p>
    <w:p w14:paraId="01FA4C79" w14:textId="195C47CA" w:rsidR="001A6F3D" w:rsidRPr="005F25C3" w:rsidRDefault="001A6F3D" w:rsidP="000376C5">
      <w:pPr>
        <w:ind w:left="851"/>
        <w:rPr>
          <w:noProof/>
          <w:sz w:val="24"/>
          <w:szCs w:val="24"/>
        </w:rPr>
      </w:pPr>
      <w:r w:rsidRPr="005F25C3">
        <w:rPr>
          <w:noProof/>
          <w:sz w:val="24"/>
          <w:szCs w:val="24"/>
        </w:rPr>
        <w:t xml:space="preserve">Midodrine </w:t>
      </w:r>
      <w:r w:rsidR="005F25C3">
        <w:rPr>
          <w:noProof/>
          <w:sz w:val="24"/>
          <w:szCs w:val="24"/>
        </w:rPr>
        <w:t>"</w:t>
      </w:r>
      <w:r w:rsidRPr="005F25C3">
        <w:rPr>
          <w:noProof/>
          <w:sz w:val="24"/>
          <w:szCs w:val="24"/>
        </w:rPr>
        <w:t>Medical Valley</w:t>
      </w:r>
      <w:r w:rsidR="005F25C3">
        <w:rPr>
          <w:noProof/>
          <w:sz w:val="24"/>
          <w:szCs w:val="24"/>
        </w:rPr>
        <w:t>"</w:t>
      </w:r>
      <w:r w:rsidRPr="005F25C3">
        <w:rPr>
          <w:noProof/>
          <w:sz w:val="24"/>
          <w:szCs w:val="24"/>
        </w:rPr>
        <w:t xml:space="preserve"> er kontraindiceret hos patienter med:</w:t>
      </w:r>
    </w:p>
    <w:p w14:paraId="7A546823"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Overfølsomhed over for det aktive stof eller over for et eller flere af hjælpestofferne anført i pkt. 6.1.</w:t>
      </w:r>
    </w:p>
    <w:p w14:paraId="132C110A"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Hypertension.</w:t>
      </w:r>
    </w:p>
    <w:p w14:paraId="1C965CAA"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Alvorlig organisk hjertesygdom eller kongestiv hjerteinsufficiens.</w:t>
      </w:r>
    </w:p>
    <w:p w14:paraId="4F6DA9CB"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lastRenderedPageBreak/>
        <w:t>Thyreotoksikose.</w:t>
      </w:r>
    </w:p>
    <w:p w14:paraId="3D17A7E3"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Fæochromocytom.</w:t>
      </w:r>
    </w:p>
    <w:p w14:paraId="4F9092D2"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Akut nefritis.</w:t>
      </w:r>
    </w:p>
    <w:p w14:paraId="785D5695"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Akut nyresygdom.</w:t>
      </w:r>
    </w:p>
    <w:p w14:paraId="2FCF793B"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Svært nedsat nyrefunktion (kreatininclearance &lt; 30 ml/min).</w:t>
      </w:r>
    </w:p>
    <w:p w14:paraId="456AA3E0"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Prostatahypertrofi med øget residualurinvolumen.</w:t>
      </w:r>
    </w:p>
    <w:p w14:paraId="271DA13E"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Proliferativ diabetisk retinopati.</w:t>
      </w:r>
    </w:p>
    <w:p w14:paraId="36BF8B56"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Urinretention.</w:t>
      </w:r>
    </w:p>
    <w:p w14:paraId="6D51247A"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Hyperthyroidisme.</w:t>
      </w:r>
    </w:p>
    <w:p w14:paraId="5CF14C09"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Snævervinklet glaukom.</w:t>
      </w:r>
    </w:p>
    <w:p w14:paraId="2FFEEEE1"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Oblitererende eller spastisk karsygdom (f.eks. cerebrovaskulære okklusioner og -spasmer).</w:t>
      </w:r>
    </w:p>
    <w:p w14:paraId="621F0002" w14:textId="77777777" w:rsidR="001A6F3D" w:rsidRPr="005F25C3" w:rsidRDefault="001A6F3D" w:rsidP="005F25C3">
      <w:pPr>
        <w:pStyle w:val="Listeafsnit"/>
        <w:numPr>
          <w:ilvl w:val="0"/>
          <w:numId w:val="7"/>
        </w:numPr>
        <w:ind w:left="1276" w:hanging="425"/>
        <w:rPr>
          <w:noProof/>
          <w:sz w:val="24"/>
          <w:szCs w:val="24"/>
        </w:rPr>
      </w:pPr>
      <w:r w:rsidRPr="005F25C3">
        <w:rPr>
          <w:noProof/>
          <w:sz w:val="24"/>
          <w:szCs w:val="24"/>
        </w:rPr>
        <w:t>Vasovagal hypotension.</w:t>
      </w:r>
    </w:p>
    <w:p w14:paraId="7064F3B1" w14:textId="77777777" w:rsidR="009260DE" w:rsidRPr="005F25C3" w:rsidRDefault="009260DE" w:rsidP="009260DE">
      <w:pPr>
        <w:tabs>
          <w:tab w:val="left" w:pos="851"/>
        </w:tabs>
        <w:ind w:left="851"/>
        <w:rPr>
          <w:sz w:val="24"/>
          <w:szCs w:val="24"/>
        </w:rPr>
      </w:pPr>
    </w:p>
    <w:p w14:paraId="6BE5BDD7" w14:textId="77777777" w:rsidR="009260DE" w:rsidRPr="005F25C3" w:rsidRDefault="009260DE" w:rsidP="009260DE">
      <w:pPr>
        <w:tabs>
          <w:tab w:val="left" w:pos="851"/>
        </w:tabs>
        <w:ind w:left="851" w:hanging="851"/>
        <w:rPr>
          <w:b/>
          <w:sz w:val="24"/>
          <w:szCs w:val="24"/>
        </w:rPr>
      </w:pPr>
      <w:r w:rsidRPr="005F25C3">
        <w:rPr>
          <w:b/>
          <w:sz w:val="24"/>
          <w:szCs w:val="24"/>
        </w:rPr>
        <w:t>4.4</w:t>
      </w:r>
      <w:r w:rsidRPr="005F25C3">
        <w:rPr>
          <w:b/>
          <w:sz w:val="24"/>
          <w:szCs w:val="24"/>
        </w:rPr>
        <w:tab/>
        <w:t>Særlige advarsler og forsigtighedsregler vedrørende brugen</w:t>
      </w:r>
    </w:p>
    <w:p w14:paraId="44684402" w14:textId="77777777" w:rsidR="001A6F3D" w:rsidRPr="005F25C3" w:rsidRDefault="001A6F3D" w:rsidP="000376C5">
      <w:pPr>
        <w:ind w:left="851"/>
        <w:rPr>
          <w:noProof/>
          <w:sz w:val="24"/>
          <w:szCs w:val="24"/>
        </w:rPr>
      </w:pPr>
      <w:r w:rsidRPr="005F25C3">
        <w:rPr>
          <w:noProof/>
          <w:sz w:val="24"/>
          <w:szCs w:val="24"/>
        </w:rPr>
        <w:t>Regelmæssig overvågning af blodtryk i liggende og siddende stilling er nødvendig under behandlingen med dette lægemiddel. Ved behandlingsstart med midodrin, bør potentialet for hypertension i liggende og siddende stilling vurderes. Patienterne skal informeres om straks at indberette symptomer på hypertension i liggende stilling, såsom hjertebanken (palpitation, brystsmerter og vejtrækningsbesvær), hovedpine, sløret syn og så videre, til den behandlende læge, og patienten skal rådes til øjeblikkeligt at seponere lægemidlet.</w:t>
      </w:r>
    </w:p>
    <w:p w14:paraId="6F05E9C6" w14:textId="77777777" w:rsidR="001A6F3D" w:rsidRPr="005F25C3" w:rsidRDefault="001A6F3D" w:rsidP="000376C5">
      <w:pPr>
        <w:ind w:left="851"/>
        <w:rPr>
          <w:noProof/>
          <w:sz w:val="24"/>
          <w:szCs w:val="24"/>
        </w:rPr>
      </w:pPr>
    </w:p>
    <w:p w14:paraId="50E64418" w14:textId="77777777" w:rsidR="001A6F3D" w:rsidRPr="005F25C3" w:rsidRDefault="001A6F3D" w:rsidP="000376C5">
      <w:pPr>
        <w:ind w:left="851"/>
        <w:rPr>
          <w:noProof/>
          <w:sz w:val="24"/>
          <w:szCs w:val="24"/>
        </w:rPr>
      </w:pPr>
      <w:r w:rsidRPr="005F25C3">
        <w:rPr>
          <w:noProof/>
          <w:sz w:val="24"/>
          <w:szCs w:val="24"/>
        </w:rPr>
        <w:t>Patienter med en anamnese med cerebravaskulære hændelser (CVA) eller kendte risikofaktorer for CVA bør overvåges tæt. Hypertension i liggende stilling kan ofte kontrolleres ved en justering i dosis af midodrin. Hypertension i liggende stilling kan også kontrolleres ved at hæve hovedenden.</w:t>
      </w:r>
    </w:p>
    <w:p w14:paraId="2CCF2D9A" w14:textId="77777777" w:rsidR="001A6F3D" w:rsidRPr="005F25C3" w:rsidRDefault="001A6F3D" w:rsidP="000376C5">
      <w:pPr>
        <w:ind w:left="851"/>
        <w:rPr>
          <w:noProof/>
          <w:sz w:val="24"/>
          <w:szCs w:val="24"/>
        </w:rPr>
      </w:pPr>
    </w:p>
    <w:p w14:paraId="23154177" w14:textId="77777777" w:rsidR="001A6F3D" w:rsidRPr="005F25C3" w:rsidRDefault="001A6F3D" w:rsidP="000376C5">
      <w:pPr>
        <w:ind w:left="851"/>
        <w:rPr>
          <w:noProof/>
          <w:sz w:val="24"/>
          <w:szCs w:val="24"/>
        </w:rPr>
      </w:pPr>
      <w:r w:rsidRPr="005F25C3">
        <w:rPr>
          <w:noProof/>
          <w:sz w:val="24"/>
          <w:szCs w:val="24"/>
        </w:rPr>
        <w:t>Patienter, som tager midodrin, skal undgå samtidig brug af andre adrenerge sympatomimetika herunder midler købt i håndkøb (se pkt. 4.5).</w:t>
      </w:r>
    </w:p>
    <w:p w14:paraId="017D47E1" w14:textId="77777777" w:rsidR="001A6F3D" w:rsidRPr="005F25C3" w:rsidRDefault="001A6F3D" w:rsidP="000376C5">
      <w:pPr>
        <w:ind w:left="851"/>
        <w:rPr>
          <w:noProof/>
          <w:sz w:val="24"/>
          <w:szCs w:val="24"/>
        </w:rPr>
      </w:pPr>
    </w:p>
    <w:p w14:paraId="3E3B2774" w14:textId="77777777" w:rsidR="001A6F3D" w:rsidRPr="005F25C3" w:rsidRDefault="001A6F3D" w:rsidP="000376C5">
      <w:pPr>
        <w:ind w:left="851"/>
        <w:rPr>
          <w:noProof/>
          <w:sz w:val="24"/>
          <w:szCs w:val="24"/>
        </w:rPr>
      </w:pPr>
      <w:r w:rsidRPr="005F25C3">
        <w:rPr>
          <w:noProof/>
          <w:sz w:val="24"/>
          <w:szCs w:val="24"/>
        </w:rPr>
        <w:t>Der bør udvises stor forsigtighed hos patienter med mild til moderat nyreinsufficiens (kreatinin clearance &gt; 30 ml/min og &lt; 90ml/min).</w:t>
      </w:r>
    </w:p>
    <w:p w14:paraId="7E656721" w14:textId="77777777" w:rsidR="001A6F3D" w:rsidRPr="005F25C3" w:rsidRDefault="001A6F3D" w:rsidP="000376C5">
      <w:pPr>
        <w:ind w:left="851"/>
        <w:rPr>
          <w:noProof/>
          <w:sz w:val="24"/>
          <w:szCs w:val="24"/>
        </w:rPr>
      </w:pPr>
    </w:p>
    <w:p w14:paraId="13324810" w14:textId="77777777" w:rsidR="001A6F3D" w:rsidRPr="005F25C3" w:rsidRDefault="001A6F3D" w:rsidP="000376C5">
      <w:pPr>
        <w:ind w:left="851"/>
        <w:rPr>
          <w:noProof/>
          <w:sz w:val="24"/>
          <w:szCs w:val="24"/>
        </w:rPr>
      </w:pPr>
      <w:r w:rsidRPr="005F25C3">
        <w:rPr>
          <w:noProof/>
          <w:sz w:val="24"/>
          <w:szCs w:val="24"/>
        </w:rPr>
        <w:t>Patienter med persistent labilt blodtryk efter stabilisering med midodrin, skal afbryde behandlingen.</w:t>
      </w:r>
    </w:p>
    <w:p w14:paraId="0B035705" w14:textId="77777777" w:rsidR="001A6F3D" w:rsidRPr="005F25C3" w:rsidRDefault="001A6F3D" w:rsidP="000376C5">
      <w:pPr>
        <w:ind w:left="851"/>
        <w:rPr>
          <w:noProof/>
          <w:sz w:val="24"/>
          <w:szCs w:val="24"/>
        </w:rPr>
      </w:pPr>
    </w:p>
    <w:p w14:paraId="1A2E200E" w14:textId="77777777" w:rsidR="001A6F3D" w:rsidRPr="005F25C3" w:rsidRDefault="001A6F3D" w:rsidP="000376C5">
      <w:pPr>
        <w:ind w:left="851"/>
        <w:rPr>
          <w:noProof/>
          <w:sz w:val="24"/>
          <w:szCs w:val="24"/>
        </w:rPr>
      </w:pPr>
      <w:r w:rsidRPr="005F25C3">
        <w:rPr>
          <w:noProof/>
          <w:sz w:val="24"/>
          <w:szCs w:val="24"/>
        </w:rPr>
        <w:t>Hjertefrekvensen kan blive langsommere efter administration af midodrin primært på grund af vagusrefleks. Der skal derfor udvises stor forsigtighed, når det tages sammen med andre midler, der direkte eller indirekte reducerer hjertefrekvensen (se også pkt. 4.5) f.eks. digitalis, betablokkere, psykofarmaka (specifikt tricykliske antidepressiva, phenothiaziner og atypiske antipsykotika). Patienter, der oplever tegn eller symptomer, der tyder på bradykardi (langsom puls, øget svimmelhed, synkope, opmærksomhed om hjertets aktivitet) skal rådes til at seponere midodrin.</w:t>
      </w:r>
    </w:p>
    <w:p w14:paraId="76906644" w14:textId="77777777" w:rsidR="001A6F3D" w:rsidRPr="005F25C3" w:rsidRDefault="001A6F3D" w:rsidP="000376C5">
      <w:pPr>
        <w:ind w:left="851"/>
        <w:rPr>
          <w:noProof/>
          <w:sz w:val="24"/>
          <w:szCs w:val="24"/>
        </w:rPr>
      </w:pPr>
    </w:p>
    <w:p w14:paraId="1CB02CDA" w14:textId="77777777" w:rsidR="001A6F3D" w:rsidRPr="005F25C3" w:rsidRDefault="001A6F3D" w:rsidP="000376C5">
      <w:pPr>
        <w:ind w:left="851"/>
        <w:rPr>
          <w:noProof/>
          <w:sz w:val="24"/>
          <w:szCs w:val="24"/>
        </w:rPr>
      </w:pPr>
      <w:r w:rsidRPr="005F25C3">
        <w:rPr>
          <w:noProof/>
          <w:sz w:val="24"/>
          <w:szCs w:val="24"/>
        </w:rPr>
        <w:t>Brugen af midodrin hos patienter, der har øget risiko for eller lider af glaukom/forhøjet intraokulært tryk, eller som er i behandling med mineralkortikoider/fludrocortisonacetat (som kan øge det intraokulære tryk) skal undgås eller overvåges meget nøje.</w:t>
      </w:r>
    </w:p>
    <w:p w14:paraId="2DB55B46" w14:textId="77777777" w:rsidR="001A6F3D" w:rsidRPr="005F25C3" w:rsidRDefault="001A6F3D" w:rsidP="000376C5">
      <w:pPr>
        <w:ind w:left="851"/>
        <w:rPr>
          <w:noProof/>
          <w:sz w:val="24"/>
          <w:szCs w:val="24"/>
        </w:rPr>
      </w:pPr>
    </w:p>
    <w:p w14:paraId="217B4920" w14:textId="77777777" w:rsidR="001A6F3D" w:rsidRPr="005F25C3" w:rsidRDefault="001A6F3D" w:rsidP="000376C5">
      <w:pPr>
        <w:ind w:left="851"/>
        <w:rPr>
          <w:noProof/>
          <w:sz w:val="24"/>
          <w:szCs w:val="24"/>
        </w:rPr>
      </w:pPr>
      <w:r w:rsidRPr="005F25C3">
        <w:rPr>
          <w:noProof/>
          <w:sz w:val="24"/>
          <w:szCs w:val="24"/>
        </w:rPr>
        <w:t>Det tilrådes at overvåge blodtrykket og nyrefunktionen hos patienter i langtidsbehandling med midodrin.</w:t>
      </w:r>
    </w:p>
    <w:p w14:paraId="11B1090D" w14:textId="77777777" w:rsidR="001A6F3D" w:rsidRPr="005F25C3" w:rsidRDefault="001A6F3D" w:rsidP="000376C5">
      <w:pPr>
        <w:ind w:left="851"/>
        <w:rPr>
          <w:noProof/>
          <w:sz w:val="24"/>
          <w:szCs w:val="24"/>
        </w:rPr>
      </w:pPr>
    </w:p>
    <w:p w14:paraId="4FB4E295" w14:textId="77777777" w:rsidR="001A6F3D" w:rsidRPr="005F25C3" w:rsidRDefault="001A6F3D" w:rsidP="000376C5">
      <w:pPr>
        <w:ind w:left="851"/>
        <w:rPr>
          <w:noProof/>
          <w:sz w:val="24"/>
          <w:szCs w:val="24"/>
        </w:rPr>
      </w:pPr>
      <w:r w:rsidRPr="005F25C3">
        <w:rPr>
          <w:noProof/>
          <w:sz w:val="24"/>
          <w:szCs w:val="24"/>
        </w:rPr>
        <w:lastRenderedPageBreak/>
        <w:t>Behandling med midodrine hos patienter med nedsat leverfunktion er ikke undersøgt. Det anbefales derfor at overvåge leverfunktionen før og under behandlingen med midodrin.</w:t>
      </w:r>
    </w:p>
    <w:p w14:paraId="06C370D5" w14:textId="77777777" w:rsidR="009260DE" w:rsidRPr="005F25C3" w:rsidRDefault="009260DE" w:rsidP="009260DE">
      <w:pPr>
        <w:tabs>
          <w:tab w:val="left" w:pos="851"/>
        </w:tabs>
        <w:ind w:left="851"/>
        <w:rPr>
          <w:sz w:val="24"/>
          <w:szCs w:val="24"/>
        </w:rPr>
      </w:pPr>
    </w:p>
    <w:p w14:paraId="12CC4066" w14:textId="77777777" w:rsidR="009260DE" w:rsidRPr="005F25C3" w:rsidRDefault="009260DE" w:rsidP="009260DE">
      <w:pPr>
        <w:tabs>
          <w:tab w:val="left" w:pos="851"/>
        </w:tabs>
        <w:ind w:left="851" w:hanging="851"/>
        <w:rPr>
          <w:b/>
          <w:sz w:val="24"/>
          <w:szCs w:val="24"/>
        </w:rPr>
      </w:pPr>
      <w:r w:rsidRPr="005F25C3">
        <w:rPr>
          <w:b/>
          <w:sz w:val="24"/>
          <w:szCs w:val="24"/>
        </w:rPr>
        <w:t>4.5</w:t>
      </w:r>
      <w:r w:rsidRPr="005F25C3">
        <w:rPr>
          <w:b/>
          <w:sz w:val="24"/>
          <w:szCs w:val="24"/>
        </w:rPr>
        <w:tab/>
        <w:t>Interaktion med andre lægemidler og andre former for interaktion</w:t>
      </w:r>
    </w:p>
    <w:p w14:paraId="51F95268" w14:textId="77777777" w:rsidR="001A6F3D" w:rsidRPr="005F25C3" w:rsidRDefault="001A6F3D" w:rsidP="000376C5">
      <w:pPr>
        <w:ind w:left="851"/>
        <w:rPr>
          <w:noProof/>
          <w:sz w:val="24"/>
          <w:szCs w:val="24"/>
        </w:rPr>
      </w:pPr>
      <w:r w:rsidRPr="005F25C3">
        <w:rPr>
          <w:noProof/>
          <w:sz w:val="24"/>
          <w:szCs w:val="24"/>
        </w:rPr>
        <w:t>Midodrinhydrochlorid er en cytokrom P450 CYP2D6-hæmmer og kan derfor påvirke metaboliseringen af andre lægemidler (f.eks. perphenazin, amiodaron, metoclopramid), som metaboliseres via dette isoenzym. Dette kan føre til forhøjet systemisk eksponering og en kraftigere virkning af disse lægemidler.</w:t>
      </w:r>
    </w:p>
    <w:p w14:paraId="64DB4336" w14:textId="77777777" w:rsidR="001A6F3D" w:rsidRPr="005F25C3" w:rsidRDefault="001A6F3D" w:rsidP="000376C5">
      <w:pPr>
        <w:ind w:left="851"/>
        <w:rPr>
          <w:noProof/>
          <w:sz w:val="24"/>
          <w:szCs w:val="24"/>
        </w:rPr>
      </w:pPr>
    </w:p>
    <w:p w14:paraId="4AAE49E1" w14:textId="77777777" w:rsidR="001A6F3D" w:rsidRPr="005F25C3" w:rsidRDefault="001A6F3D" w:rsidP="000376C5">
      <w:pPr>
        <w:ind w:left="851"/>
        <w:rPr>
          <w:noProof/>
          <w:sz w:val="24"/>
          <w:szCs w:val="24"/>
          <w:u w:val="single"/>
        </w:rPr>
      </w:pPr>
      <w:r w:rsidRPr="005F25C3">
        <w:rPr>
          <w:noProof/>
          <w:sz w:val="24"/>
          <w:szCs w:val="24"/>
          <w:u w:val="single"/>
        </w:rPr>
        <w:t>Sympatomimetika og andre vasopressormidler</w:t>
      </w:r>
    </w:p>
    <w:p w14:paraId="1B551FB9" w14:textId="77777777" w:rsidR="001A6F3D" w:rsidRPr="005F25C3" w:rsidRDefault="001A6F3D" w:rsidP="000376C5">
      <w:pPr>
        <w:ind w:left="851"/>
        <w:rPr>
          <w:noProof/>
          <w:sz w:val="24"/>
          <w:szCs w:val="24"/>
        </w:rPr>
      </w:pPr>
      <w:r w:rsidRPr="005F25C3">
        <w:rPr>
          <w:noProof/>
          <w:sz w:val="24"/>
          <w:szCs w:val="24"/>
        </w:rPr>
        <w:t>Samtidig behandling af midodrin med vasokonstriktorer, sympatomimetika for eksempel dekongestanter, appetitdæmpende midler og andre lægemidler der forårsager hypertension som methyldopa, tricykliske antidepressiva, antihistaminer, thyreoideahormoner og MAO-hæmmere, herunder midler, der fås uden recept, bør undgås, da der kan opstå en markant stigning i blodtrykket</w:t>
      </w:r>
    </w:p>
    <w:p w14:paraId="2BAEADA9" w14:textId="77777777" w:rsidR="001A6F3D" w:rsidRPr="005F25C3" w:rsidRDefault="001A6F3D" w:rsidP="000376C5">
      <w:pPr>
        <w:ind w:left="851"/>
        <w:rPr>
          <w:noProof/>
          <w:sz w:val="24"/>
          <w:szCs w:val="24"/>
        </w:rPr>
      </w:pPr>
    </w:p>
    <w:p w14:paraId="674901BC" w14:textId="77777777" w:rsidR="001A6F3D" w:rsidRPr="005F25C3" w:rsidRDefault="001A6F3D" w:rsidP="000376C5">
      <w:pPr>
        <w:ind w:left="851"/>
        <w:rPr>
          <w:noProof/>
          <w:sz w:val="24"/>
          <w:szCs w:val="24"/>
        </w:rPr>
      </w:pPr>
      <w:r w:rsidRPr="005F25C3">
        <w:rPr>
          <w:noProof/>
          <w:sz w:val="24"/>
          <w:szCs w:val="24"/>
        </w:rPr>
        <w:t>Midodrins virkningen kan blokeres af α-adrenerge antagonister, såsom prazosin og phentolamin. Der kræves omhyggelig ovevågning ved samtidig behandling af alpha- og beta-receptorer blokerende midler (som reducerer hjertefrekvensen) og midodrin.</w:t>
      </w:r>
    </w:p>
    <w:p w14:paraId="76D4853A" w14:textId="77777777" w:rsidR="001A6F3D" w:rsidRPr="005F25C3" w:rsidRDefault="001A6F3D" w:rsidP="000376C5">
      <w:pPr>
        <w:ind w:left="851"/>
        <w:rPr>
          <w:noProof/>
          <w:sz w:val="24"/>
          <w:szCs w:val="24"/>
        </w:rPr>
      </w:pPr>
    </w:p>
    <w:p w14:paraId="5207EC8B" w14:textId="77777777" w:rsidR="001A6F3D" w:rsidRPr="005F25C3" w:rsidRDefault="001A6F3D" w:rsidP="000376C5">
      <w:pPr>
        <w:ind w:left="851"/>
        <w:rPr>
          <w:noProof/>
          <w:sz w:val="24"/>
          <w:szCs w:val="24"/>
          <w:u w:val="single"/>
        </w:rPr>
      </w:pPr>
      <w:r w:rsidRPr="005F25C3">
        <w:rPr>
          <w:noProof/>
          <w:sz w:val="24"/>
          <w:szCs w:val="24"/>
          <w:u w:val="single"/>
        </w:rPr>
        <w:t>Glykosider</w:t>
      </w:r>
    </w:p>
    <w:p w14:paraId="150A6EAF" w14:textId="5127BEB1" w:rsidR="001A6F3D" w:rsidRPr="005F25C3" w:rsidRDefault="001A6F3D" w:rsidP="000376C5">
      <w:pPr>
        <w:ind w:left="851"/>
        <w:rPr>
          <w:noProof/>
          <w:sz w:val="24"/>
          <w:szCs w:val="24"/>
        </w:rPr>
      </w:pPr>
      <w:r w:rsidRPr="005F25C3">
        <w:rPr>
          <w:noProof/>
          <w:sz w:val="24"/>
          <w:szCs w:val="24"/>
        </w:rPr>
        <w:t xml:space="preserve">Der bør udvises stor forsigtighed ved administration af Midodrine </w:t>
      </w:r>
      <w:r w:rsidR="005F25C3">
        <w:rPr>
          <w:noProof/>
          <w:sz w:val="24"/>
          <w:szCs w:val="24"/>
        </w:rPr>
        <w:t>"</w:t>
      </w:r>
      <w:r w:rsidRPr="005F25C3">
        <w:rPr>
          <w:noProof/>
          <w:sz w:val="24"/>
          <w:szCs w:val="24"/>
        </w:rPr>
        <w:t>Medical Valley</w:t>
      </w:r>
      <w:r w:rsidR="005F25C3">
        <w:rPr>
          <w:noProof/>
          <w:sz w:val="24"/>
          <w:szCs w:val="24"/>
        </w:rPr>
        <w:t>"</w:t>
      </w:r>
      <w:r w:rsidRPr="005F25C3">
        <w:rPr>
          <w:noProof/>
          <w:sz w:val="24"/>
          <w:szCs w:val="24"/>
        </w:rPr>
        <w:t xml:space="preserve"> til patienter med bradykardi forårsaget af digitalis (eller andre glykosider) eller psykofarmaka, da midodrin kan potentiere refleksbradykardi og andre former for ledningsforstyrrelser eller arytmier.</w:t>
      </w:r>
    </w:p>
    <w:p w14:paraId="4C44EF6A" w14:textId="77777777" w:rsidR="001A6F3D" w:rsidRPr="005F25C3" w:rsidRDefault="001A6F3D" w:rsidP="000376C5">
      <w:pPr>
        <w:ind w:left="851"/>
        <w:rPr>
          <w:noProof/>
          <w:sz w:val="24"/>
          <w:szCs w:val="24"/>
        </w:rPr>
      </w:pPr>
    </w:p>
    <w:p w14:paraId="0BA1860F" w14:textId="77777777" w:rsidR="001A6F3D" w:rsidRPr="005F25C3" w:rsidRDefault="001A6F3D" w:rsidP="000376C5">
      <w:pPr>
        <w:ind w:left="851"/>
        <w:rPr>
          <w:noProof/>
          <w:sz w:val="24"/>
          <w:szCs w:val="24"/>
          <w:u w:val="single"/>
        </w:rPr>
      </w:pPr>
      <w:r w:rsidRPr="005F25C3">
        <w:rPr>
          <w:noProof/>
          <w:sz w:val="24"/>
          <w:szCs w:val="24"/>
          <w:u w:val="single"/>
        </w:rPr>
        <w:t>Kortikosteroid præparater</w:t>
      </w:r>
    </w:p>
    <w:p w14:paraId="4EA0AB0A" w14:textId="77777777" w:rsidR="001A6F3D" w:rsidRPr="005F25C3" w:rsidRDefault="001A6F3D" w:rsidP="000376C5">
      <w:pPr>
        <w:ind w:left="851"/>
        <w:rPr>
          <w:noProof/>
          <w:sz w:val="24"/>
          <w:szCs w:val="24"/>
        </w:rPr>
      </w:pPr>
      <w:r w:rsidRPr="005F25C3">
        <w:rPr>
          <w:noProof/>
          <w:sz w:val="24"/>
          <w:szCs w:val="24"/>
        </w:rPr>
        <w:t>Patienter, som behandles med midodrin i kombination med mineralkortikoider eller glukokortikoider (f.eks. fludrocortison), kan have øget risiko for glaukom/forhøjet intraokulært tryk og skal overvåges nøje. Midodrin kan forstærke eller øge den mulige hypertensive virkning af kortikosteroidpræparater.</w:t>
      </w:r>
    </w:p>
    <w:p w14:paraId="04CE8450" w14:textId="77777777" w:rsidR="001A6F3D" w:rsidRPr="005F25C3" w:rsidRDefault="001A6F3D" w:rsidP="000376C5">
      <w:pPr>
        <w:ind w:left="851"/>
        <w:rPr>
          <w:noProof/>
          <w:sz w:val="24"/>
          <w:szCs w:val="24"/>
        </w:rPr>
      </w:pPr>
    </w:p>
    <w:p w14:paraId="01B6B733" w14:textId="77777777" w:rsidR="001A6F3D" w:rsidRPr="005F25C3" w:rsidRDefault="001A6F3D" w:rsidP="000376C5">
      <w:pPr>
        <w:ind w:left="851"/>
        <w:rPr>
          <w:noProof/>
          <w:sz w:val="24"/>
          <w:szCs w:val="24"/>
          <w:u w:val="single"/>
        </w:rPr>
      </w:pPr>
      <w:r w:rsidRPr="005F25C3">
        <w:rPr>
          <w:noProof/>
          <w:sz w:val="24"/>
          <w:szCs w:val="24"/>
          <w:u w:val="single"/>
        </w:rPr>
        <w:t>Potentielle farmakokinetiske interaktioner</w:t>
      </w:r>
    </w:p>
    <w:p w14:paraId="599ED39A" w14:textId="77777777" w:rsidR="001A6F3D" w:rsidRPr="005F25C3" w:rsidRDefault="001A6F3D" w:rsidP="000376C5">
      <w:pPr>
        <w:ind w:left="851"/>
        <w:rPr>
          <w:noProof/>
          <w:sz w:val="24"/>
          <w:szCs w:val="24"/>
        </w:rPr>
      </w:pPr>
      <w:r w:rsidRPr="005F25C3">
        <w:rPr>
          <w:noProof/>
          <w:sz w:val="24"/>
          <w:szCs w:val="24"/>
        </w:rPr>
        <w:t>Potentialet for farmakokinetisk interaktion er begrænset, da de metaboliske omsætningsveje ikke involverer cytokrom P450-enzymer. Der har dog været rapporteret om nedsat clearance af lægemidler, som metaboliseres af CYP2D6 (f.eks. promethazin).</w:t>
      </w:r>
    </w:p>
    <w:p w14:paraId="3D289E01" w14:textId="77777777" w:rsidR="001A6F3D" w:rsidRPr="005F25C3" w:rsidRDefault="001A6F3D" w:rsidP="000376C5">
      <w:pPr>
        <w:ind w:left="851"/>
        <w:rPr>
          <w:noProof/>
          <w:sz w:val="24"/>
          <w:szCs w:val="24"/>
        </w:rPr>
      </w:pPr>
    </w:p>
    <w:p w14:paraId="5A425BC9" w14:textId="77777777" w:rsidR="001A6F3D" w:rsidRPr="005F25C3" w:rsidRDefault="001A6F3D" w:rsidP="000376C5">
      <w:pPr>
        <w:ind w:left="851"/>
        <w:rPr>
          <w:noProof/>
          <w:sz w:val="24"/>
          <w:szCs w:val="24"/>
          <w:u w:val="single"/>
        </w:rPr>
      </w:pPr>
      <w:r w:rsidRPr="005F25C3">
        <w:rPr>
          <w:noProof/>
          <w:sz w:val="24"/>
          <w:szCs w:val="24"/>
          <w:u w:val="single"/>
        </w:rPr>
        <w:t>Potentiel virkning af andre lægemidler på midodrin</w:t>
      </w:r>
    </w:p>
    <w:p w14:paraId="3EC81C8A" w14:textId="77777777" w:rsidR="001A6F3D" w:rsidRPr="005F25C3" w:rsidRDefault="001A6F3D" w:rsidP="000376C5">
      <w:pPr>
        <w:ind w:left="851"/>
        <w:rPr>
          <w:noProof/>
          <w:sz w:val="24"/>
          <w:szCs w:val="24"/>
        </w:rPr>
      </w:pPr>
      <w:r w:rsidRPr="005F25C3">
        <w:rPr>
          <w:noProof/>
          <w:sz w:val="24"/>
          <w:szCs w:val="24"/>
        </w:rPr>
        <w:t xml:space="preserve">Der er ikke udført studier til vurdering af virkningen af andre lægemidler på midodrins eller den aktive metabolit desglymidodrins farmakokinetik. </w:t>
      </w:r>
      <w:r w:rsidRPr="005F25C3">
        <w:rPr>
          <w:i/>
          <w:iCs/>
          <w:noProof/>
          <w:sz w:val="24"/>
          <w:szCs w:val="24"/>
        </w:rPr>
        <w:t>In vitro</w:t>
      </w:r>
      <w:r w:rsidRPr="005F25C3">
        <w:rPr>
          <w:noProof/>
          <w:sz w:val="24"/>
          <w:szCs w:val="24"/>
        </w:rPr>
        <w:t xml:space="preserve"> data indikerer, at desglymidodrin er et substrat for CYP2D6. Samtidig administration af lægemidler, der hæmmer dette enzym (f.eks. quinidin, paroxetin, fluoxetin og bupropion), kan forårsage forhøjede plasmaniveauer af desglymidodrin, hvilket medfører en potentielt øget risiko for bivirkninger.</w:t>
      </w:r>
    </w:p>
    <w:p w14:paraId="1DFBB0E7" w14:textId="77777777" w:rsidR="001A6F3D" w:rsidRPr="005F25C3" w:rsidRDefault="001A6F3D" w:rsidP="000376C5">
      <w:pPr>
        <w:ind w:left="851"/>
        <w:rPr>
          <w:noProof/>
          <w:sz w:val="24"/>
          <w:szCs w:val="24"/>
        </w:rPr>
      </w:pPr>
    </w:p>
    <w:p w14:paraId="5BBE4E6E" w14:textId="77777777" w:rsidR="001A6F3D" w:rsidRPr="005F25C3" w:rsidRDefault="001A6F3D" w:rsidP="000376C5">
      <w:pPr>
        <w:ind w:left="851"/>
        <w:rPr>
          <w:noProof/>
          <w:sz w:val="24"/>
          <w:szCs w:val="24"/>
          <w:u w:val="single"/>
        </w:rPr>
      </w:pPr>
      <w:r w:rsidRPr="005F25C3">
        <w:rPr>
          <w:noProof/>
          <w:sz w:val="24"/>
          <w:szCs w:val="24"/>
          <w:u w:val="single"/>
        </w:rPr>
        <w:t>Potentiel virkning af midodrin på andre lægemidler</w:t>
      </w:r>
    </w:p>
    <w:p w14:paraId="2ED3BADD" w14:textId="77777777" w:rsidR="001A6F3D" w:rsidRPr="005F25C3" w:rsidRDefault="001A6F3D" w:rsidP="000376C5">
      <w:pPr>
        <w:ind w:left="851"/>
        <w:rPr>
          <w:noProof/>
          <w:sz w:val="24"/>
          <w:szCs w:val="24"/>
        </w:rPr>
      </w:pPr>
      <w:r w:rsidRPr="005F25C3">
        <w:rPr>
          <w:noProof/>
          <w:sz w:val="24"/>
          <w:szCs w:val="24"/>
        </w:rPr>
        <w:t xml:space="preserve">Midodrin er en hæmmer af CYP2D6 og kan derfor påvirke metabolismen af andre lægemidler. Dette kan være af klinisk relevans for aktive stoffer, som hovedsageligt metaboliseres af CYP2D6, f.eks. tricykliske antidepressiva, betablokkere, selektive serotiningenoptagshæmmere (SSRI), antiarytmika (inklusive klasse 1A, 1B og 1C) og </w:t>
      </w:r>
      <w:r w:rsidRPr="005F25C3">
        <w:rPr>
          <w:noProof/>
          <w:sz w:val="24"/>
          <w:szCs w:val="24"/>
        </w:rPr>
        <w:lastRenderedPageBreak/>
        <w:t>monoaminooxidasehæmmere (MAO-hæmmere) type B, især hvis det aktive stof også har et smalt terapeutisk indeks.</w:t>
      </w:r>
    </w:p>
    <w:p w14:paraId="0BB46F27" w14:textId="77777777" w:rsidR="001A6F3D" w:rsidRPr="005F25C3" w:rsidRDefault="001A6F3D" w:rsidP="000376C5">
      <w:pPr>
        <w:ind w:left="851"/>
        <w:rPr>
          <w:i/>
          <w:noProof/>
          <w:sz w:val="24"/>
          <w:szCs w:val="24"/>
        </w:rPr>
      </w:pPr>
    </w:p>
    <w:p w14:paraId="2418EDDB" w14:textId="77777777" w:rsidR="001A6F3D" w:rsidRPr="005F25C3" w:rsidRDefault="001A6F3D" w:rsidP="000376C5">
      <w:pPr>
        <w:ind w:left="851"/>
        <w:rPr>
          <w:iCs/>
          <w:noProof/>
          <w:sz w:val="24"/>
          <w:szCs w:val="24"/>
          <w:u w:val="single"/>
        </w:rPr>
      </w:pPr>
      <w:r w:rsidRPr="005F25C3">
        <w:rPr>
          <w:iCs/>
          <w:noProof/>
          <w:sz w:val="24"/>
          <w:szCs w:val="24"/>
          <w:u w:val="single"/>
        </w:rPr>
        <w:t>Falsk forhøjet plasma-metanefrin</w:t>
      </w:r>
    </w:p>
    <w:p w14:paraId="6B69B75C" w14:textId="77777777" w:rsidR="001A6F3D" w:rsidRPr="005F25C3" w:rsidRDefault="001A6F3D" w:rsidP="000376C5">
      <w:pPr>
        <w:ind w:left="851"/>
        <w:rPr>
          <w:iCs/>
          <w:noProof/>
          <w:sz w:val="24"/>
          <w:szCs w:val="24"/>
        </w:rPr>
      </w:pPr>
      <w:r w:rsidRPr="005F25C3">
        <w:rPr>
          <w:iCs/>
          <w:noProof/>
          <w:sz w:val="24"/>
          <w:szCs w:val="24"/>
        </w:rPr>
        <w:t>Patienter, der tager midodrin, kan have falsk forhøjet plasma-metanefrin som følge af analytisk interferens målt ved HILIC-baseret HPLC-MS/MS. Potentialet for interferens bør overvejes i tilfælde, hvor biokemisk undersøgelse for mulig fæokromocytom og paragangliom er påkrævet hos patienter, der tager midodrin.</w:t>
      </w:r>
    </w:p>
    <w:p w14:paraId="67C550EC" w14:textId="77777777" w:rsidR="009260DE" w:rsidRPr="005F25C3" w:rsidRDefault="009260DE" w:rsidP="009260DE">
      <w:pPr>
        <w:tabs>
          <w:tab w:val="left" w:pos="851"/>
        </w:tabs>
        <w:ind w:left="851"/>
        <w:rPr>
          <w:sz w:val="24"/>
          <w:szCs w:val="24"/>
        </w:rPr>
      </w:pPr>
    </w:p>
    <w:p w14:paraId="17BE66BF" w14:textId="77777777" w:rsidR="009260DE" w:rsidRPr="005F25C3" w:rsidRDefault="009260DE" w:rsidP="009260DE">
      <w:pPr>
        <w:tabs>
          <w:tab w:val="left" w:pos="851"/>
        </w:tabs>
        <w:ind w:left="851" w:hanging="851"/>
        <w:rPr>
          <w:b/>
          <w:sz w:val="24"/>
          <w:szCs w:val="24"/>
        </w:rPr>
      </w:pPr>
      <w:r w:rsidRPr="005F25C3">
        <w:rPr>
          <w:b/>
          <w:sz w:val="24"/>
          <w:szCs w:val="24"/>
        </w:rPr>
        <w:t>4.6</w:t>
      </w:r>
      <w:r w:rsidRPr="005F25C3">
        <w:rPr>
          <w:b/>
          <w:sz w:val="24"/>
          <w:szCs w:val="24"/>
        </w:rPr>
        <w:tab/>
      </w:r>
      <w:r w:rsidR="0071241E" w:rsidRPr="005F25C3">
        <w:rPr>
          <w:b/>
          <w:sz w:val="24"/>
          <w:szCs w:val="24"/>
        </w:rPr>
        <w:t>Fertilitet, g</w:t>
      </w:r>
      <w:r w:rsidRPr="005F25C3">
        <w:rPr>
          <w:b/>
          <w:sz w:val="24"/>
          <w:szCs w:val="24"/>
        </w:rPr>
        <w:t>raviditet og amning</w:t>
      </w:r>
    </w:p>
    <w:p w14:paraId="5E6FD578" w14:textId="77777777" w:rsidR="005F25C3" w:rsidRDefault="005F25C3" w:rsidP="000376C5">
      <w:pPr>
        <w:ind w:left="851"/>
        <w:rPr>
          <w:noProof/>
          <w:sz w:val="24"/>
          <w:szCs w:val="24"/>
        </w:rPr>
      </w:pPr>
    </w:p>
    <w:p w14:paraId="15D9738B" w14:textId="043ACA4E" w:rsidR="001A6F3D" w:rsidRPr="005F25C3" w:rsidRDefault="001A6F3D" w:rsidP="000376C5">
      <w:pPr>
        <w:ind w:left="851"/>
        <w:rPr>
          <w:noProof/>
          <w:sz w:val="24"/>
          <w:szCs w:val="24"/>
          <w:u w:val="single"/>
        </w:rPr>
      </w:pPr>
      <w:r w:rsidRPr="005F25C3">
        <w:rPr>
          <w:noProof/>
          <w:sz w:val="24"/>
          <w:szCs w:val="24"/>
          <w:u w:val="single"/>
        </w:rPr>
        <w:t>Graviditet</w:t>
      </w:r>
    </w:p>
    <w:p w14:paraId="5232471B" w14:textId="0DA1E4B0" w:rsidR="001A6F3D" w:rsidRPr="005F25C3" w:rsidRDefault="001A6F3D" w:rsidP="000376C5">
      <w:pPr>
        <w:ind w:left="851"/>
        <w:rPr>
          <w:noProof/>
          <w:sz w:val="24"/>
          <w:szCs w:val="24"/>
        </w:rPr>
      </w:pPr>
      <w:r w:rsidRPr="005F25C3">
        <w:rPr>
          <w:noProof/>
          <w:sz w:val="24"/>
          <w:szCs w:val="24"/>
        </w:rPr>
        <w:t xml:space="preserve">Der er ingen data fra anvendelse af midodrin til gravide kvinder. Dyrestudier om reproduktionstoksicitet er utilstrækkelige (se pkt. 5.3). Midodrine </w:t>
      </w:r>
      <w:r w:rsidR="005F25C3">
        <w:rPr>
          <w:noProof/>
          <w:sz w:val="24"/>
          <w:szCs w:val="24"/>
        </w:rPr>
        <w:t>"</w:t>
      </w:r>
      <w:r w:rsidRPr="005F25C3">
        <w:rPr>
          <w:noProof/>
          <w:sz w:val="24"/>
          <w:szCs w:val="24"/>
        </w:rPr>
        <w:t>Medical Valley</w:t>
      </w:r>
      <w:r w:rsidR="005F25C3">
        <w:rPr>
          <w:noProof/>
          <w:sz w:val="24"/>
          <w:szCs w:val="24"/>
        </w:rPr>
        <w:t>"</w:t>
      </w:r>
      <w:r w:rsidRPr="005F25C3">
        <w:rPr>
          <w:noProof/>
          <w:sz w:val="24"/>
          <w:szCs w:val="24"/>
        </w:rPr>
        <w:t xml:space="preserve"> bør ikke anvendes under graviditeten og til kvinder i den fertile alder, som ikke anvender sikker kontraception. En kvinde, som bliver gravid under behandlingen, skal øjeblikkeligt have behandlingen afbrudt, så snart graviditeten er bekræftet.</w:t>
      </w:r>
    </w:p>
    <w:p w14:paraId="6DDEA5B5" w14:textId="77777777" w:rsidR="001A6F3D" w:rsidRPr="005F25C3" w:rsidRDefault="001A6F3D" w:rsidP="000376C5">
      <w:pPr>
        <w:ind w:left="851"/>
        <w:rPr>
          <w:noProof/>
          <w:sz w:val="24"/>
          <w:szCs w:val="24"/>
        </w:rPr>
      </w:pPr>
    </w:p>
    <w:p w14:paraId="1187F4DC" w14:textId="77777777" w:rsidR="001A6F3D" w:rsidRPr="005F25C3" w:rsidRDefault="001A6F3D" w:rsidP="000376C5">
      <w:pPr>
        <w:ind w:left="851"/>
        <w:rPr>
          <w:noProof/>
          <w:sz w:val="24"/>
          <w:szCs w:val="24"/>
          <w:u w:val="single"/>
        </w:rPr>
      </w:pPr>
      <w:r w:rsidRPr="005F25C3">
        <w:rPr>
          <w:noProof/>
          <w:sz w:val="24"/>
          <w:szCs w:val="24"/>
          <w:u w:val="single"/>
        </w:rPr>
        <w:t>Amning</w:t>
      </w:r>
    </w:p>
    <w:p w14:paraId="27C9692D" w14:textId="77777777" w:rsidR="001A6F3D" w:rsidRPr="005F25C3" w:rsidRDefault="001A6F3D" w:rsidP="000376C5">
      <w:pPr>
        <w:ind w:left="851"/>
        <w:rPr>
          <w:noProof/>
          <w:sz w:val="24"/>
          <w:szCs w:val="24"/>
        </w:rPr>
      </w:pPr>
      <w:r w:rsidRPr="005F25C3">
        <w:rPr>
          <w:noProof/>
          <w:sz w:val="24"/>
          <w:szCs w:val="24"/>
        </w:rPr>
        <w:t>Det er ukendt, om midodrin udskilles i human mælk. Midodrin må ikke anvendes under amning.</w:t>
      </w:r>
    </w:p>
    <w:p w14:paraId="6D2B58CE" w14:textId="77777777" w:rsidR="009260DE" w:rsidRPr="005F25C3" w:rsidRDefault="009260DE" w:rsidP="009260DE">
      <w:pPr>
        <w:tabs>
          <w:tab w:val="left" w:pos="851"/>
        </w:tabs>
        <w:ind w:left="851"/>
        <w:rPr>
          <w:sz w:val="24"/>
          <w:szCs w:val="24"/>
        </w:rPr>
      </w:pPr>
    </w:p>
    <w:p w14:paraId="32FACDE6" w14:textId="77777777" w:rsidR="009260DE" w:rsidRPr="005F25C3" w:rsidRDefault="009260DE" w:rsidP="009260DE">
      <w:pPr>
        <w:tabs>
          <w:tab w:val="left" w:pos="851"/>
        </w:tabs>
        <w:ind w:left="851" w:hanging="851"/>
        <w:rPr>
          <w:b/>
          <w:sz w:val="24"/>
          <w:szCs w:val="24"/>
        </w:rPr>
      </w:pPr>
      <w:r w:rsidRPr="005F25C3">
        <w:rPr>
          <w:b/>
          <w:sz w:val="24"/>
          <w:szCs w:val="24"/>
        </w:rPr>
        <w:t>4.7</w:t>
      </w:r>
      <w:r w:rsidRPr="005F25C3">
        <w:rPr>
          <w:b/>
          <w:sz w:val="24"/>
          <w:szCs w:val="24"/>
        </w:rPr>
        <w:tab/>
        <w:t xml:space="preserve">Virkning på evnen til at føre motorkøretøj </w:t>
      </w:r>
      <w:r w:rsidR="0071241E" w:rsidRPr="005F25C3">
        <w:rPr>
          <w:b/>
          <w:sz w:val="24"/>
          <w:szCs w:val="24"/>
        </w:rPr>
        <w:t>og</w:t>
      </w:r>
      <w:r w:rsidRPr="005F25C3">
        <w:rPr>
          <w:b/>
          <w:sz w:val="24"/>
          <w:szCs w:val="24"/>
        </w:rPr>
        <w:t xml:space="preserve"> betjene maskiner</w:t>
      </w:r>
    </w:p>
    <w:p w14:paraId="78E02D2C" w14:textId="77777777" w:rsidR="001A6F3D" w:rsidRPr="005F25C3" w:rsidRDefault="001A6F3D" w:rsidP="000376C5">
      <w:pPr>
        <w:ind w:left="851"/>
        <w:rPr>
          <w:noProof/>
          <w:sz w:val="24"/>
          <w:szCs w:val="24"/>
        </w:rPr>
      </w:pPr>
      <w:r w:rsidRPr="005F25C3">
        <w:rPr>
          <w:noProof/>
          <w:sz w:val="24"/>
          <w:szCs w:val="24"/>
        </w:rPr>
        <w:t>Ikke mærkning.</w:t>
      </w:r>
    </w:p>
    <w:p w14:paraId="4B31F4B5" w14:textId="77777777" w:rsidR="001A6F3D" w:rsidRPr="005F25C3" w:rsidRDefault="001A6F3D" w:rsidP="000376C5">
      <w:pPr>
        <w:ind w:left="851"/>
        <w:rPr>
          <w:noProof/>
          <w:sz w:val="24"/>
          <w:szCs w:val="24"/>
        </w:rPr>
      </w:pPr>
      <w:r w:rsidRPr="005F25C3">
        <w:rPr>
          <w:noProof/>
          <w:sz w:val="24"/>
          <w:szCs w:val="24"/>
        </w:rPr>
        <w:t>Patienter, som oplever svimmelhed eller ørhed, mens de får Midodrine "Medical Valley" skal afholde sig fra at betjene maskiner.</w:t>
      </w:r>
    </w:p>
    <w:p w14:paraId="22742EF0" w14:textId="77777777" w:rsidR="009260DE" w:rsidRPr="005F25C3" w:rsidRDefault="009260DE" w:rsidP="009260DE">
      <w:pPr>
        <w:tabs>
          <w:tab w:val="left" w:pos="851"/>
        </w:tabs>
        <w:ind w:left="851"/>
        <w:rPr>
          <w:sz w:val="24"/>
          <w:szCs w:val="24"/>
        </w:rPr>
      </w:pPr>
    </w:p>
    <w:p w14:paraId="5E396FF2" w14:textId="77777777" w:rsidR="009260DE" w:rsidRPr="005F25C3" w:rsidRDefault="009260DE" w:rsidP="009260DE">
      <w:pPr>
        <w:tabs>
          <w:tab w:val="left" w:pos="851"/>
        </w:tabs>
        <w:ind w:left="851" w:hanging="851"/>
        <w:rPr>
          <w:b/>
          <w:sz w:val="24"/>
          <w:szCs w:val="24"/>
        </w:rPr>
      </w:pPr>
      <w:r w:rsidRPr="005F25C3">
        <w:rPr>
          <w:b/>
          <w:sz w:val="24"/>
          <w:szCs w:val="24"/>
        </w:rPr>
        <w:t>4.8</w:t>
      </w:r>
      <w:r w:rsidRPr="005F25C3">
        <w:rPr>
          <w:b/>
          <w:sz w:val="24"/>
          <w:szCs w:val="24"/>
        </w:rPr>
        <w:tab/>
        <w:t>Bivirkninger</w:t>
      </w:r>
    </w:p>
    <w:p w14:paraId="0AAE7E6E" w14:textId="77777777" w:rsidR="001A6F3D" w:rsidRPr="005F25C3" w:rsidRDefault="001A6F3D" w:rsidP="000376C5">
      <w:pPr>
        <w:ind w:left="851"/>
        <w:rPr>
          <w:noProof/>
          <w:sz w:val="24"/>
          <w:szCs w:val="24"/>
        </w:rPr>
      </w:pPr>
      <w:r w:rsidRPr="005F25C3">
        <w:rPr>
          <w:noProof/>
          <w:sz w:val="24"/>
          <w:szCs w:val="24"/>
        </w:rPr>
        <w:t>Meget almindelig (≥ 1 /10), almindelig (≥ 1 /100 til &lt; 1 /10), ikke almindelig (≥ 1 /1.000 til &lt; 1 /100), sjælden (≥ 1 /10.000 til &lt; 1 /1.000), meget sjælden (&lt; 1 /10.000), ikke kendt (kan ikke estimeres ud fra forhåndenværende data).</w:t>
      </w:r>
    </w:p>
    <w:p w14:paraId="6334FC2E" w14:textId="77777777" w:rsidR="001A6F3D" w:rsidRPr="005F25C3" w:rsidRDefault="001A6F3D" w:rsidP="000376C5">
      <w:pPr>
        <w:ind w:left="851"/>
        <w:rPr>
          <w:noProof/>
          <w:sz w:val="24"/>
          <w:szCs w:val="24"/>
          <w:u w:val="single"/>
        </w:rPr>
      </w:pPr>
    </w:p>
    <w:p w14:paraId="02BB5E1A" w14:textId="77777777" w:rsidR="001A6F3D" w:rsidRPr="005F25C3" w:rsidRDefault="001A6F3D" w:rsidP="000376C5">
      <w:pPr>
        <w:ind w:left="851"/>
        <w:rPr>
          <w:i/>
          <w:iCs/>
          <w:noProof/>
          <w:sz w:val="24"/>
          <w:szCs w:val="24"/>
        </w:rPr>
      </w:pPr>
      <w:r w:rsidRPr="005F25C3">
        <w:rPr>
          <w:i/>
          <w:iCs/>
          <w:noProof/>
          <w:sz w:val="24"/>
          <w:szCs w:val="24"/>
        </w:rPr>
        <w:t>Psykiske forstyrrelser</w:t>
      </w:r>
    </w:p>
    <w:p w14:paraId="6915B720" w14:textId="77777777" w:rsidR="001A6F3D" w:rsidRPr="005F25C3" w:rsidRDefault="001A6F3D" w:rsidP="000376C5">
      <w:pPr>
        <w:ind w:left="851"/>
        <w:rPr>
          <w:noProof/>
          <w:sz w:val="24"/>
          <w:szCs w:val="24"/>
        </w:rPr>
      </w:pPr>
      <w:r w:rsidRPr="005F25C3">
        <w:rPr>
          <w:noProof/>
          <w:sz w:val="24"/>
          <w:szCs w:val="24"/>
        </w:rPr>
        <w:t>Ikke almindelig: søvnforstyrrelser, søvnløshed.</w:t>
      </w:r>
    </w:p>
    <w:p w14:paraId="011F42DD" w14:textId="77777777" w:rsidR="001A6F3D" w:rsidRPr="005F25C3" w:rsidRDefault="001A6F3D" w:rsidP="000376C5">
      <w:pPr>
        <w:ind w:left="851"/>
        <w:rPr>
          <w:noProof/>
          <w:sz w:val="24"/>
          <w:szCs w:val="24"/>
        </w:rPr>
      </w:pPr>
      <w:r w:rsidRPr="005F25C3">
        <w:rPr>
          <w:noProof/>
          <w:sz w:val="24"/>
          <w:szCs w:val="24"/>
        </w:rPr>
        <w:t>Ikke kendt: angst, konfusion.</w:t>
      </w:r>
    </w:p>
    <w:p w14:paraId="2754C28C" w14:textId="77777777" w:rsidR="001A6F3D" w:rsidRPr="005F25C3" w:rsidRDefault="001A6F3D" w:rsidP="000376C5">
      <w:pPr>
        <w:ind w:left="851"/>
        <w:rPr>
          <w:i/>
          <w:iCs/>
          <w:noProof/>
          <w:sz w:val="24"/>
          <w:szCs w:val="24"/>
        </w:rPr>
      </w:pPr>
    </w:p>
    <w:p w14:paraId="79B8396B" w14:textId="77777777" w:rsidR="001A6F3D" w:rsidRPr="005F25C3" w:rsidRDefault="001A6F3D" w:rsidP="000376C5">
      <w:pPr>
        <w:ind w:left="851"/>
        <w:rPr>
          <w:i/>
          <w:iCs/>
          <w:noProof/>
          <w:sz w:val="24"/>
          <w:szCs w:val="24"/>
        </w:rPr>
      </w:pPr>
      <w:r w:rsidRPr="005F25C3">
        <w:rPr>
          <w:i/>
          <w:iCs/>
          <w:noProof/>
          <w:sz w:val="24"/>
          <w:szCs w:val="24"/>
        </w:rPr>
        <w:t>Nervesystemet</w:t>
      </w:r>
    </w:p>
    <w:p w14:paraId="2B7FAAEE" w14:textId="77777777" w:rsidR="001A6F3D" w:rsidRPr="005F25C3" w:rsidRDefault="001A6F3D" w:rsidP="000376C5">
      <w:pPr>
        <w:ind w:left="851"/>
        <w:rPr>
          <w:noProof/>
          <w:sz w:val="24"/>
          <w:szCs w:val="24"/>
        </w:rPr>
      </w:pPr>
      <w:r w:rsidRPr="005F25C3">
        <w:rPr>
          <w:noProof/>
          <w:sz w:val="24"/>
          <w:szCs w:val="24"/>
        </w:rPr>
        <w:t>Almindelig: paræstesier.</w:t>
      </w:r>
    </w:p>
    <w:p w14:paraId="5BCD41A7" w14:textId="77777777" w:rsidR="001A6F3D" w:rsidRPr="005F25C3" w:rsidRDefault="001A6F3D" w:rsidP="000376C5">
      <w:pPr>
        <w:ind w:left="851"/>
        <w:rPr>
          <w:noProof/>
          <w:sz w:val="24"/>
          <w:szCs w:val="24"/>
        </w:rPr>
      </w:pPr>
      <w:r w:rsidRPr="005F25C3">
        <w:rPr>
          <w:noProof/>
          <w:sz w:val="24"/>
          <w:szCs w:val="24"/>
        </w:rPr>
        <w:t>Ikke almindelig: hovedpine, rastløshed, ekscitation, irritabilitet.</w:t>
      </w:r>
    </w:p>
    <w:p w14:paraId="6C5C91A9" w14:textId="77777777" w:rsidR="001A6F3D" w:rsidRPr="005F25C3" w:rsidRDefault="001A6F3D" w:rsidP="000376C5">
      <w:pPr>
        <w:ind w:left="851"/>
        <w:rPr>
          <w:noProof/>
          <w:sz w:val="24"/>
          <w:szCs w:val="24"/>
        </w:rPr>
      </w:pPr>
      <w:r w:rsidRPr="005F25C3">
        <w:rPr>
          <w:noProof/>
          <w:sz w:val="24"/>
          <w:szCs w:val="24"/>
        </w:rPr>
        <w:t>Sjælden: Svimmelhed eller ørhed.</w:t>
      </w:r>
    </w:p>
    <w:p w14:paraId="364CF31C" w14:textId="77777777" w:rsidR="001A6F3D" w:rsidRPr="005F25C3" w:rsidRDefault="001A6F3D" w:rsidP="000376C5">
      <w:pPr>
        <w:ind w:left="851"/>
        <w:rPr>
          <w:i/>
          <w:iCs/>
          <w:noProof/>
          <w:sz w:val="24"/>
          <w:szCs w:val="24"/>
        </w:rPr>
      </w:pPr>
    </w:p>
    <w:p w14:paraId="4117569C" w14:textId="77777777" w:rsidR="001A6F3D" w:rsidRPr="005F25C3" w:rsidRDefault="001A6F3D" w:rsidP="000376C5">
      <w:pPr>
        <w:ind w:left="851"/>
        <w:rPr>
          <w:i/>
          <w:iCs/>
          <w:noProof/>
          <w:sz w:val="24"/>
          <w:szCs w:val="24"/>
        </w:rPr>
      </w:pPr>
      <w:r w:rsidRPr="005F25C3">
        <w:rPr>
          <w:i/>
          <w:iCs/>
          <w:noProof/>
          <w:sz w:val="24"/>
          <w:szCs w:val="24"/>
        </w:rPr>
        <w:t>Øjne:</w:t>
      </w:r>
    </w:p>
    <w:p w14:paraId="3762658E" w14:textId="77777777" w:rsidR="001A6F3D" w:rsidRPr="005F25C3" w:rsidRDefault="001A6F3D" w:rsidP="000376C5">
      <w:pPr>
        <w:ind w:left="851"/>
        <w:rPr>
          <w:noProof/>
          <w:sz w:val="24"/>
          <w:szCs w:val="24"/>
        </w:rPr>
      </w:pPr>
      <w:r w:rsidRPr="005F25C3">
        <w:rPr>
          <w:noProof/>
          <w:sz w:val="24"/>
          <w:szCs w:val="24"/>
        </w:rPr>
        <w:t>Almindelig: synsforstyrrelse.</w:t>
      </w:r>
    </w:p>
    <w:p w14:paraId="54DECBFB" w14:textId="77777777" w:rsidR="001A6F3D" w:rsidRPr="005F25C3" w:rsidRDefault="001A6F3D" w:rsidP="000376C5">
      <w:pPr>
        <w:ind w:left="851"/>
        <w:rPr>
          <w:noProof/>
          <w:sz w:val="24"/>
          <w:szCs w:val="24"/>
        </w:rPr>
      </w:pPr>
      <w:r w:rsidRPr="005F25C3">
        <w:rPr>
          <w:noProof/>
          <w:sz w:val="24"/>
          <w:szCs w:val="24"/>
        </w:rPr>
        <w:t>Ikke kendt: øget tåreproduktion.</w:t>
      </w:r>
    </w:p>
    <w:p w14:paraId="02443C65" w14:textId="77777777" w:rsidR="001A6F3D" w:rsidRPr="005F25C3" w:rsidRDefault="001A6F3D" w:rsidP="000376C5">
      <w:pPr>
        <w:ind w:left="851"/>
        <w:rPr>
          <w:noProof/>
          <w:sz w:val="24"/>
          <w:szCs w:val="24"/>
          <w:u w:val="single"/>
        </w:rPr>
      </w:pPr>
    </w:p>
    <w:p w14:paraId="0ECDAADD" w14:textId="77777777" w:rsidR="001A6F3D" w:rsidRPr="005F25C3" w:rsidRDefault="001A6F3D" w:rsidP="000376C5">
      <w:pPr>
        <w:ind w:left="851"/>
        <w:rPr>
          <w:i/>
          <w:noProof/>
          <w:sz w:val="24"/>
          <w:szCs w:val="24"/>
        </w:rPr>
      </w:pPr>
      <w:r w:rsidRPr="005F25C3">
        <w:rPr>
          <w:i/>
          <w:noProof/>
          <w:sz w:val="24"/>
          <w:szCs w:val="24"/>
        </w:rPr>
        <w:t>Hjerte:</w:t>
      </w:r>
    </w:p>
    <w:p w14:paraId="03208E4C" w14:textId="77777777" w:rsidR="001A6F3D" w:rsidRPr="005F25C3" w:rsidRDefault="001A6F3D" w:rsidP="000376C5">
      <w:pPr>
        <w:ind w:left="851"/>
        <w:rPr>
          <w:iCs/>
          <w:noProof/>
          <w:sz w:val="24"/>
          <w:szCs w:val="24"/>
        </w:rPr>
      </w:pPr>
      <w:r w:rsidRPr="005F25C3">
        <w:rPr>
          <w:iCs/>
          <w:noProof/>
          <w:sz w:val="24"/>
          <w:szCs w:val="24"/>
        </w:rPr>
        <w:t>Ikke almindelig: refleksbradykardi.</w:t>
      </w:r>
    </w:p>
    <w:p w14:paraId="12FFB1F5" w14:textId="77777777" w:rsidR="001A6F3D" w:rsidRPr="005F25C3" w:rsidRDefault="001A6F3D" w:rsidP="000376C5">
      <w:pPr>
        <w:ind w:left="851"/>
        <w:rPr>
          <w:iCs/>
          <w:noProof/>
          <w:sz w:val="24"/>
          <w:szCs w:val="24"/>
        </w:rPr>
      </w:pPr>
      <w:r w:rsidRPr="005F25C3">
        <w:rPr>
          <w:iCs/>
          <w:noProof/>
          <w:sz w:val="24"/>
          <w:szCs w:val="24"/>
        </w:rPr>
        <w:t>Sjælden: takykardi, palpitationer, arytmier, brystsmerter.</w:t>
      </w:r>
    </w:p>
    <w:p w14:paraId="765ACE42" w14:textId="1A875A9A" w:rsidR="00F27A64" w:rsidRDefault="00F27A64">
      <w:pPr>
        <w:rPr>
          <w:i/>
          <w:noProof/>
          <w:sz w:val="24"/>
          <w:szCs w:val="24"/>
        </w:rPr>
      </w:pPr>
      <w:r>
        <w:rPr>
          <w:i/>
          <w:noProof/>
          <w:sz w:val="24"/>
          <w:szCs w:val="24"/>
        </w:rPr>
        <w:br w:type="page"/>
      </w:r>
    </w:p>
    <w:p w14:paraId="55AB8782" w14:textId="77777777" w:rsidR="001A6F3D" w:rsidRPr="005F25C3" w:rsidRDefault="001A6F3D" w:rsidP="000376C5">
      <w:pPr>
        <w:ind w:left="851"/>
        <w:rPr>
          <w:i/>
          <w:noProof/>
          <w:sz w:val="24"/>
          <w:szCs w:val="24"/>
        </w:rPr>
      </w:pPr>
    </w:p>
    <w:p w14:paraId="14A7AB0C" w14:textId="77777777" w:rsidR="001A6F3D" w:rsidRPr="005F25C3" w:rsidRDefault="001A6F3D" w:rsidP="000376C5">
      <w:pPr>
        <w:ind w:left="851"/>
        <w:rPr>
          <w:i/>
          <w:noProof/>
          <w:sz w:val="24"/>
          <w:szCs w:val="24"/>
        </w:rPr>
      </w:pPr>
      <w:r w:rsidRPr="005F25C3">
        <w:rPr>
          <w:i/>
          <w:noProof/>
          <w:sz w:val="24"/>
          <w:szCs w:val="24"/>
        </w:rPr>
        <w:t>Vaskulære sygdomme:</w:t>
      </w:r>
    </w:p>
    <w:p w14:paraId="7F59A294" w14:textId="77777777" w:rsidR="001A6F3D" w:rsidRPr="005F25C3" w:rsidRDefault="001A6F3D" w:rsidP="000376C5">
      <w:pPr>
        <w:ind w:left="851"/>
        <w:rPr>
          <w:iCs/>
          <w:noProof/>
          <w:sz w:val="24"/>
          <w:szCs w:val="24"/>
        </w:rPr>
      </w:pPr>
      <w:r w:rsidRPr="005F25C3">
        <w:rPr>
          <w:iCs/>
          <w:noProof/>
          <w:sz w:val="24"/>
          <w:szCs w:val="24"/>
        </w:rPr>
        <w:t>Almindelig: hypertension i liggende stilling (blodtryk over eller lig med 180/110 mmHg) med daglig dosis over 30 mg.</w:t>
      </w:r>
    </w:p>
    <w:p w14:paraId="2CBF02F3" w14:textId="77777777" w:rsidR="001A6F3D" w:rsidRPr="005F25C3" w:rsidRDefault="001A6F3D" w:rsidP="000376C5">
      <w:pPr>
        <w:ind w:left="851"/>
        <w:rPr>
          <w:iCs/>
          <w:noProof/>
          <w:sz w:val="24"/>
          <w:szCs w:val="24"/>
        </w:rPr>
      </w:pPr>
      <w:r w:rsidRPr="005F25C3">
        <w:rPr>
          <w:iCs/>
          <w:noProof/>
          <w:sz w:val="24"/>
          <w:szCs w:val="24"/>
        </w:rPr>
        <w:t>Ikke almindelig: hypertension i liggende stilling (blodtryk over eller lig med 180/110 mmHg) med daglig dosis over 7,5 mg.</w:t>
      </w:r>
    </w:p>
    <w:p w14:paraId="36E0EF6E" w14:textId="77777777" w:rsidR="001A6F3D" w:rsidRPr="005F25C3" w:rsidRDefault="001A6F3D" w:rsidP="000376C5">
      <w:pPr>
        <w:ind w:left="851"/>
        <w:rPr>
          <w:iCs/>
          <w:noProof/>
          <w:sz w:val="24"/>
          <w:szCs w:val="24"/>
        </w:rPr>
      </w:pPr>
      <w:r w:rsidRPr="005F25C3">
        <w:rPr>
          <w:iCs/>
          <w:noProof/>
          <w:sz w:val="24"/>
          <w:szCs w:val="24"/>
        </w:rPr>
        <w:t>Sjælden: Cerebrovaskulære hændelser.</w:t>
      </w:r>
    </w:p>
    <w:p w14:paraId="6E4E2FEA" w14:textId="77777777" w:rsidR="001A6F3D" w:rsidRPr="005F25C3" w:rsidRDefault="001A6F3D" w:rsidP="000376C5">
      <w:pPr>
        <w:ind w:left="851"/>
        <w:rPr>
          <w:i/>
          <w:noProof/>
          <w:sz w:val="24"/>
          <w:szCs w:val="24"/>
        </w:rPr>
      </w:pPr>
    </w:p>
    <w:p w14:paraId="489125DC" w14:textId="77777777" w:rsidR="001A6F3D" w:rsidRPr="005F25C3" w:rsidRDefault="001A6F3D" w:rsidP="000376C5">
      <w:pPr>
        <w:ind w:left="851"/>
        <w:rPr>
          <w:i/>
          <w:noProof/>
          <w:sz w:val="24"/>
          <w:szCs w:val="24"/>
        </w:rPr>
      </w:pPr>
      <w:r w:rsidRPr="005F25C3">
        <w:rPr>
          <w:i/>
          <w:noProof/>
          <w:sz w:val="24"/>
          <w:szCs w:val="24"/>
        </w:rPr>
        <w:t>Mave-tarm-kanalen:</w:t>
      </w:r>
    </w:p>
    <w:p w14:paraId="03663A86" w14:textId="77777777" w:rsidR="001A6F3D" w:rsidRPr="005F25C3" w:rsidRDefault="001A6F3D" w:rsidP="000376C5">
      <w:pPr>
        <w:ind w:left="851"/>
        <w:rPr>
          <w:iCs/>
          <w:noProof/>
          <w:sz w:val="24"/>
          <w:szCs w:val="24"/>
        </w:rPr>
      </w:pPr>
      <w:r w:rsidRPr="005F25C3">
        <w:rPr>
          <w:iCs/>
          <w:noProof/>
          <w:sz w:val="24"/>
          <w:szCs w:val="24"/>
        </w:rPr>
        <w:t>Almindelig: kvalme, dyspepsi, opkastning, stomatitis.</w:t>
      </w:r>
    </w:p>
    <w:p w14:paraId="03DFD2BE" w14:textId="77777777" w:rsidR="001A6F3D" w:rsidRPr="005F25C3" w:rsidRDefault="001A6F3D" w:rsidP="000376C5">
      <w:pPr>
        <w:ind w:left="851"/>
        <w:rPr>
          <w:iCs/>
          <w:noProof/>
          <w:sz w:val="24"/>
          <w:szCs w:val="24"/>
        </w:rPr>
      </w:pPr>
      <w:r w:rsidRPr="005F25C3">
        <w:rPr>
          <w:iCs/>
          <w:noProof/>
          <w:sz w:val="24"/>
          <w:szCs w:val="24"/>
        </w:rPr>
        <w:t>Ikke almindelig: abdominalsmerter.</w:t>
      </w:r>
    </w:p>
    <w:p w14:paraId="3CA46F02" w14:textId="77777777" w:rsidR="001A6F3D" w:rsidRPr="005F25C3" w:rsidRDefault="001A6F3D" w:rsidP="000376C5">
      <w:pPr>
        <w:ind w:left="851"/>
        <w:rPr>
          <w:iCs/>
          <w:noProof/>
          <w:sz w:val="24"/>
          <w:szCs w:val="24"/>
        </w:rPr>
      </w:pPr>
      <w:r w:rsidRPr="005F25C3">
        <w:rPr>
          <w:iCs/>
          <w:noProof/>
          <w:sz w:val="24"/>
          <w:szCs w:val="24"/>
        </w:rPr>
        <w:t>Ikke kendt: diarré.</w:t>
      </w:r>
    </w:p>
    <w:p w14:paraId="0B436B1C" w14:textId="77777777" w:rsidR="001A6F3D" w:rsidRPr="005F25C3" w:rsidRDefault="001A6F3D" w:rsidP="000376C5">
      <w:pPr>
        <w:ind w:left="851"/>
        <w:rPr>
          <w:i/>
          <w:noProof/>
          <w:sz w:val="24"/>
          <w:szCs w:val="24"/>
        </w:rPr>
      </w:pPr>
    </w:p>
    <w:p w14:paraId="3470BA4F" w14:textId="77777777" w:rsidR="001A6F3D" w:rsidRPr="005F25C3" w:rsidRDefault="001A6F3D" w:rsidP="000376C5">
      <w:pPr>
        <w:ind w:left="851"/>
        <w:rPr>
          <w:i/>
          <w:noProof/>
          <w:sz w:val="24"/>
          <w:szCs w:val="24"/>
        </w:rPr>
      </w:pPr>
      <w:r w:rsidRPr="005F25C3">
        <w:rPr>
          <w:i/>
          <w:noProof/>
          <w:sz w:val="24"/>
          <w:szCs w:val="24"/>
        </w:rPr>
        <w:t>Lever og galdeveje:</w:t>
      </w:r>
    </w:p>
    <w:p w14:paraId="63A837D2" w14:textId="77777777" w:rsidR="001A6F3D" w:rsidRPr="005F25C3" w:rsidRDefault="001A6F3D" w:rsidP="000376C5">
      <w:pPr>
        <w:ind w:left="851"/>
        <w:rPr>
          <w:sz w:val="24"/>
          <w:szCs w:val="24"/>
        </w:rPr>
      </w:pPr>
      <w:r w:rsidRPr="005F25C3">
        <w:rPr>
          <w:iCs/>
          <w:noProof/>
          <w:sz w:val="24"/>
          <w:szCs w:val="24"/>
        </w:rPr>
        <w:t xml:space="preserve">Sjælden: </w:t>
      </w:r>
      <w:r w:rsidRPr="005F25C3">
        <w:rPr>
          <w:sz w:val="24"/>
          <w:szCs w:val="24"/>
        </w:rPr>
        <w:t>Unormal leverfunktion, forhøjede leverenzymer</w:t>
      </w:r>
    </w:p>
    <w:p w14:paraId="47726C4C" w14:textId="77777777" w:rsidR="001A6F3D" w:rsidRPr="005F25C3" w:rsidRDefault="001A6F3D" w:rsidP="000376C5">
      <w:pPr>
        <w:ind w:left="851"/>
        <w:rPr>
          <w:iCs/>
          <w:noProof/>
          <w:sz w:val="24"/>
          <w:szCs w:val="24"/>
        </w:rPr>
      </w:pPr>
    </w:p>
    <w:p w14:paraId="0BB186DD" w14:textId="77777777" w:rsidR="001A6F3D" w:rsidRPr="005F25C3" w:rsidRDefault="001A6F3D" w:rsidP="000376C5">
      <w:pPr>
        <w:ind w:left="851"/>
        <w:rPr>
          <w:i/>
          <w:noProof/>
          <w:sz w:val="24"/>
          <w:szCs w:val="24"/>
        </w:rPr>
      </w:pPr>
      <w:r w:rsidRPr="005F25C3">
        <w:rPr>
          <w:i/>
          <w:noProof/>
          <w:sz w:val="24"/>
          <w:szCs w:val="24"/>
        </w:rPr>
        <w:t>Hud og subkutane væv:</w:t>
      </w:r>
    </w:p>
    <w:p w14:paraId="348F8B4D" w14:textId="77777777" w:rsidR="001A6F3D" w:rsidRPr="005F25C3" w:rsidRDefault="001A6F3D" w:rsidP="000376C5">
      <w:pPr>
        <w:ind w:left="851"/>
        <w:rPr>
          <w:iCs/>
          <w:noProof/>
          <w:sz w:val="24"/>
          <w:szCs w:val="24"/>
        </w:rPr>
      </w:pPr>
      <w:r w:rsidRPr="005F25C3">
        <w:rPr>
          <w:iCs/>
          <w:noProof/>
          <w:sz w:val="24"/>
          <w:szCs w:val="24"/>
        </w:rPr>
        <w:t>Meget almindelig: piloerektion (gåsehud).</w:t>
      </w:r>
    </w:p>
    <w:p w14:paraId="01DFD99A" w14:textId="77777777" w:rsidR="001A6F3D" w:rsidRPr="005F25C3" w:rsidRDefault="001A6F3D" w:rsidP="000376C5">
      <w:pPr>
        <w:ind w:left="851"/>
        <w:rPr>
          <w:iCs/>
          <w:noProof/>
          <w:sz w:val="24"/>
          <w:szCs w:val="24"/>
        </w:rPr>
      </w:pPr>
      <w:r w:rsidRPr="005F25C3">
        <w:rPr>
          <w:iCs/>
          <w:noProof/>
          <w:sz w:val="24"/>
          <w:szCs w:val="24"/>
        </w:rPr>
        <w:t>Almindelig: kulderystelser, hududslæt, pruritus (hovedsagelig i hovedbunden), rødme.</w:t>
      </w:r>
    </w:p>
    <w:p w14:paraId="03AB8725" w14:textId="77777777" w:rsidR="001A6F3D" w:rsidRPr="005F25C3" w:rsidRDefault="001A6F3D" w:rsidP="000376C5">
      <w:pPr>
        <w:ind w:left="851"/>
        <w:rPr>
          <w:i/>
          <w:noProof/>
          <w:sz w:val="24"/>
          <w:szCs w:val="24"/>
        </w:rPr>
      </w:pPr>
    </w:p>
    <w:p w14:paraId="666C51A3" w14:textId="77777777" w:rsidR="001A6F3D" w:rsidRPr="005F25C3" w:rsidRDefault="001A6F3D" w:rsidP="000376C5">
      <w:pPr>
        <w:ind w:left="851"/>
        <w:rPr>
          <w:i/>
          <w:noProof/>
          <w:sz w:val="24"/>
          <w:szCs w:val="24"/>
        </w:rPr>
      </w:pPr>
      <w:r w:rsidRPr="005F25C3">
        <w:rPr>
          <w:i/>
          <w:noProof/>
          <w:sz w:val="24"/>
          <w:szCs w:val="24"/>
        </w:rPr>
        <w:t>Nyrer og urinveje:</w:t>
      </w:r>
    </w:p>
    <w:p w14:paraId="6484B7B7" w14:textId="77777777" w:rsidR="001A6F3D" w:rsidRPr="005F25C3" w:rsidRDefault="001A6F3D" w:rsidP="000376C5">
      <w:pPr>
        <w:ind w:left="851"/>
        <w:rPr>
          <w:iCs/>
          <w:noProof/>
          <w:sz w:val="24"/>
          <w:szCs w:val="24"/>
        </w:rPr>
      </w:pPr>
      <w:r w:rsidRPr="005F25C3">
        <w:rPr>
          <w:iCs/>
          <w:noProof/>
          <w:sz w:val="24"/>
          <w:szCs w:val="24"/>
        </w:rPr>
        <w:t>Meget almindelige: dysuri.</w:t>
      </w:r>
    </w:p>
    <w:p w14:paraId="5288CC68" w14:textId="77777777" w:rsidR="001A6F3D" w:rsidRPr="005F25C3" w:rsidRDefault="001A6F3D" w:rsidP="000376C5">
      <w:pPr>
        <w:ind w:left="851"/>
        <w:rPr>
          <w:iCs/>
          <w:noProof/>
          <w:sz w:val="24"/>
          <w:szCs w:val="24"/>
        </w:rPr>
      </w:pPr>
      <w:r w:rsidRPr="005F25C3">
        <w:rPr>
          <w:iCs/>
          <w:noProof/>
          <w:sz w:val="24"/>
          <w:szCs w:val="24"/>
        </w:rPr>
        <w:t>Almindelig: urinretention.</w:t>
      </w:r>
    </w:p>
    <w:p w14:paraId="6516A552" w14:textId="77777777" w:rsidR="001A6F3D" w:rsidRPr="005F25C3" w:rsidRDefault="001A6F3D" w:rsidP="000376C5">
      <w:pPr>
        <w:ind w:left="851"/>
        <w:rPr>
          <w:iCs/>
          <w:noProof/>
          <w:sz w:val="24"/>
          <w:szCs w:val="24"/>
        </w:rPr>
      </w:pPr>
      <w:r w:rsidRPr="005F25C3">
        <w:rPr>
          <w:iCs/>
          <w:noProof/>
          <w:sz w:val="24"/>
          <w:szCs w:val="24"/>
        </w:rPr>
        <w:t>Ikke almindelig: stærk vandladningstrang.</w:t>
      </w:r>
    </w:p>
    <w:p w14:paraId="30D11813" w14:textId="77777777" w:rsidR="001A6F3D" w:rsidRPr="005F25C3" w:rsidRDefault="001A6F3D" w:rsidP="000376C5">
      <w:pPr>
        <w:ind w:left="851"/>
        <w:rPr>
          <w:i/>
          <w:noProof/>
          <w:sz w:val="24"/>
          <w:szCs w:val="24"/>
        </w:rPr>
      </w:pPr>
    </w:p>
    <w:p w14:paraId="60957036" w14:textId="77777777" w:rsidR="001A6F3D" w:rsidRPr="005F25C3" w:rsidRDefault="001A6F3D" w:rsidP="000376C5">
      <w:pPr>
        <w:ind w:left="851"/>
        <w:rPr>
          <w:noProof/>
          <w:sz w:val="24"/>
          <w:szCs w:val="24"/>
          <w:u w:val="single"/>
        </w:rPr>
      </w:pPr>
      <w:r w:rsidRPr="005F25C3">
        <w:rPr>
          <w:noProof/>
          <w:sz w:val="24"/>
          <w:szCs w:val="24"/>
          <w:u w:val="single"/>
        </w:rPr>
        <w:t>Indberetning af formodede bivirkninger</w:t>
      </w:r>
    </w:p>
    <w:p w14:paraId="5FFEA341" w14:textId="77777777" w:rsidR="001A6F3D" w:rsidRPr="005F25C3" w:rsidRDefault="001A6F3D" w:rsidP="000376C5">
      <w:pPr>
        <w:ind w:left="851"/>
        <w:rPr>
          <w:noProof/>
          <w:sz w:val="24"/>
          <w:szCs w:val="24"/>
        </w:rPr>
      </w:pPr>
      <w:r w:rsidRPr="005F25C3">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6C9D412" w14:textId="77777777" w:rsidR="001A6F3D" w:rsidRPr="005F25C3" w:rsidRDefault="001A6F3D" w:rsidP="000376C5">
      <w:pPr>
        <w:ind w:left="851"/>
        <w:rPr>
          <w:noProof/>
          <w:sz w:val="24"/>
          <w:szCs w:val="24"/>
        </w:rPr>
      </w:pPr>
    </w:p>
    <w:p w14:paraId="47D9A01D" w14:textId="77777777" w:rsidR="001A6F3D" w:rsidRPr="005F25C3" w:rsidRDefault="001A6F3D" w:rsidP="000376C5">
      <w:pPr>
        <w:ind w:left="851"/>
        <w:rPr>
          <w:noProof/>
          <w:sz w:val="24"/>
          <w:szCs w:val="24"/>
        </w:rPr>
      </w:pPr>
      <w:r w:rsidRPr="005F25C3">
        <w:rPr>
          <w:noProof/>
          <w:sz w:val="24"/>
          <w:szCs w:val="24"/>
        </w:rPr>
        <w:t>Lægemiddelstyrelsen</w:t>
      </w:r>
    </w:p>
    <w:p w14:paraId="02E04FC1" w14:textId="77777777" w:rsidR="001A6F3D" w:rsidRPr="005F25C3" w:rsidRDefault="001A6F3D" w:rsidP="000376C5">
      <w:pPr>
        <w:ind w:left="851"/>
        <w:rPr>
          <w:noProof/>
          <w:sz w:val="24"/>
          <w:szCs w:val="24"/>
        </w:rPr>
      </w:pPr>
      <w:r w:rsidRPr="005F25C3">
        <w:rPr>
          <w:noProof/>
          <w:sz w:val="24"/>
          <w:szCs w:val="24"/>
        </w:rPr>
        <w:t>Axel Heides Gade 1</w:t>
      </w:r>
    </w:p>
    <w:p w14:paraId="72606312" w14:textId="77777777" w:rsidR="001A6F3D" w:rsidRPr="005F25C3" w:rsidRDefault="001A6F3D" w:rsidP="000376C5">
      <w:pPr>
        <w:ind w:left="851"/>
        <w:rPr>
          <w:noProof/>
          <w:sz w:val="24"/>
          <w:szCs w:val="24"/>
        </w:rPr>
      </w:pPr>
      <w:r w:rsidRPr="005F25C3">
        <w:rPr>
          <w:noProof/>
          <w:sz w:val="24"/>
          <w:szCs w:val="24"/>
        </w:rPr>
        <w:t>DK-2300 København S</w:t>
      </w:r>
    </w:p>
    <w:p w14:paraId="76C5A013" w14:textId="77777777" w:rsidR="001A6F3D" w:rsidRPr="005F25C3" w:rsidRDefault="001A6F3D" w:rsidP="000376C5">
      <w:pPr>
        <w:ind w:left="851"/>
        <w:rPr>
          <w:noProof/>
          <w:sz w:val="24"/>
          <w:szCs w:val="24"/>
        </w:rPr>
      </w:pPr>
      <w:r w:rsidRPr="005F25C3">
        <w:rPr>
          <w:noProof/>
          <w:sz w:val="24"/>
          <w:szCs w:val="24"/>
        </w:rPr>
        <w:t>Websted: www.meldenbivirkning.dk</w:t>
      </w:r>
    </w:p>
    <w:p w14:paraId="7E31560B" w14:textId="77777777" w:rsidR="009260DE" w:rsidRPr="005F25C3" w:rsidRDefault="009260DE" w:rsidP="00A10294">
      <w:pPr>
        <w:tabs>
          <w:tab w:val="left" w:pos="851"/>
        </w:tabs>
        <w:ind w:left="851"/>
        <w:rPr>
          <w:sz w:val="24"/>
          <w:szCs w:val="24"/>
        </w:rPr>
      </w:pPr>
    </w:p>
    <w:p w14:paraId="45BED849" w14:textId="77777777" w:rsidR="009260DE" w:rsidRPr="005F25C3" w:rsidRDefault="009260DE" w:rsidP="009260DE">
      <w:pPr>
        <w:tabs>
          <w:tab w:val="left" w:pos="851"/>
        </w:tabs>
        <w:ind w:left="851" w:hanging="851"/>
        <w:rPr>
          <w:b/>
          <w:sz w:val="24"/>
          <w:szCs w:val="24"/>
        </w:rPr>
      </w:pPr>
      <w:r w:rsidRPr="005F25C3">
        <w:rPr>
          <w:b/>
          <w:sz w:val="24"/>
          <w:szCs w:val="24"/>
        </w:rPr>
        <w:t>4.9</w:t>
      </w:r>
      <w:r w:rsidRPr="005F25C3">
        <w:rPr>
          <w:b/>
          <w:sz w:val="24"/>
          <w:szCs w:val="24"/>
        </w:rPr>
        <w:tab/>
        <w:t>Overdosering</w:t>
      </w:r>
    </w:p>
    <w:p w14:paraId="256B8817" w14:textId="77777777" w:rsidR="001A6F3D" w:rsidRPr="005F25C3" w:rsidRDefault="001A6F3D" w:rsidP="000376C5">
      <w:pPr>
        <w:ind w:left="851"/>
        <w:rPr>
          <w:noProof/>
          <w:sz w:val="24"/>
          <w:szCs w:val="24"/>
        </w:rPr>
      </w:pPr>
      <w:r w:rsidRPr="005F25C3">
        <w:rPr>
          <w:noProof/>
          <w:sz w:val="24"/>
          <w:szCs w:val="24"/>
        </w:rPr>
        <w:t>Overdosering af midodrin fremkalder piloerektion, kuldefølelse, stærk vandladningstrang, hypertension og bradykardi.</w:t>
      </w:r>
    </w:p>
    <w:p w14:paraId="29509B3F" w14:textId="77777777" w:rsidR="001A6F3D" w:rsidRPr="005F25C3" w:rsidRDefault="001A6F3D" w:rsidP="000376C5">
      <w:pPr>
        <w:ind w:left="851"/>
        <w:rPr>
          <w:noProof/>
          <w:sz w:val="24"/>
          <w:szCs w:val="24"/>
        </w:rPr>
      </w:pPr>
    </w:p>
    <w:p w14:paraId="14607EE8" w14:textId="77777777" w:rsidR="001A6F3D" w:rsidRPr="005F25C3" w:rsidRDefault="001A6F3D" w:rsidP="000376C5">
      <w:pPr>
        <w:ind w:left="851"/>
        <w:rPr>
          <w:noProof/>
          <w:sz w:val="24"/>
          <w:szCs w:val="24"/>
        </w:rPr>
      </w:pPr>
      <w:r w:rsidRPr="005F25C3">
        <w:rPr>
          <w:noProof/>
          <w:sz w:val="24"/>
          <w:szCs w:val="24"/>
        </w:rPr>
        <w:t>Disse virkninger kan modvirkes ved at inducere opkastning og ved administration af alfa-sympatolytika. I tilfælde af markant bradykardi kan der gives atropin ved sædvanlig dosis. Ved exanthem skal der administreres H-1 antihistaminer.</w:t>
      </w:r>
    </w:p>
    <w:p w14:paraId="54F1348A" w14:textId="77777777" w:rsidR="001A6F3D" w:rsidRPr="005F25C3" w:rsidRDefault="001A6F3D" w:rsidP="000376C5">
      <w:pPr>
        <w:ind w:left="851"/>
        <w:rPr>
          <w:noProof/>
          <w:sz w:val="24"/>
          <w:szCs w:val="24"/>
        </w:rPr>
      </w:pPr>
    </w:p>
    <w:p w14:paraId="44797D0E" w14:textId="77777777" w:rsidR="001A6F3D" w:rsidRPr="005F25C3" w:rsidRDefault="001A6F3D" w:rsidP="000376C5">
      <w:pPr>
        <w:ind w:left="851"/>
        <w:rPr>
          <w:noProof/>
          <w:sz w:val="24"/>
          <w:szCs w:val="24"/>
        </w:rPr>
      </w:pPr>
      <w:r w:rsidRPr="005F25C3">
        <w:rPr>
          <w:noProof/>
          <w:sz w:val="24"/>
          <w:szCs w:val="24"/>
        </w:rPr>
        <w:t>Den aktive metabollit, desglymidodrin, er dialyserbar.</w:t>
      </w:r>
    </w:p>
    <w:p w14:paraId="4A809B4D" w14:textId="77777777" w:rsidR="009260DE" w:rsidRPr="005F25C3" w:rsidRDefault="009260DE" w:rsidP="009260DE">
      <w:pPr>
        <w:tabs>
          <w:tab w:val="left" w:pos="851"/>
        </w:tabs>
        <w:ind w:left="851"/>
        <w:rPr>
          <w:sz w:val="24"/>
          <w:szCs w:val="24"/>
        </w:rPr>
      </w:pPr>
    </w:p>
    <w:p w14:paraId="42D2B85B" w14:textId="77777777" w:rsidR="009260DE" w:rsidRPr="005F25C3" w:rsidRDefault="009260DE" w:rsidP="009260DE">
      <w:pPr>
        <w:tabs>
          <w:tab w:val="left" w:pos="851"/>
        </w:tabs>
        <w:ind w:left="851" w:hanging="851"/>
        <w:rPr>
          <w:b/>
          <w:sz w:val="24"/>
          <w:szCs w:val="24"/>
        </w:rPr>
      </w:pPr>
      <w:r w:rsidRPr="005F25C3">
        <w:rPr>
          <w:b/>
          <w:sz w:val="24"/>
          <w:szCs w:val="24"/>
        </w:rPr>
        <w:t>4.10</w:t>
      </w:r>
      <w:r w:rsidRPr="005F25C3">
        <w:rPr>
          <w:b/>
          <w:sz w:val="24"/>
          <w:szCs w:val="24"/>
        </w:rPr>
        <w:tab/>
        <w:t>Udlevering</w:t>
      </w:r>
    </w:p>
    <w:p w14:paraId="28F75DAA" w14:textId="5A582AB7" w:rsidR="009260DE" w:rsidRPr="005F25C3" w:rsidRDefault="000376C5" w:rsidP="009260DE">
      <w:pPr>
        <w:tabs>
          <w:tab w:val="left" w:pos="851"/>
        </w:tabs>
        <w:ind w:left="851"/>
        <w:rPr>
          <w:sz w:val="24"/>
          <w:szCs w:val="24"/>
        </w:rPr>
      </w:pPr>
      <w:r w:rsidRPr="005F25C3">
        <w:rPr>
          <w:sz w:val="24"/>
          <w:szCs w:val="24"/>
        </w:rPr>
        <w:t>B</w:t>
      </w:r>
    </w:p>
    <w:p w14:paraId="34D11E19" w14:textId="77777777" w:rsidR="009260DE" w:rsidRPr="005F25C3" w:rsidRDefault="009260DE" w:rsidP="009260DE">
      <w:pPr>
        <w:tabs>
          <w:tab w:val="left" w:pos="851"/>
        </w:tabs>
        <w:ind w:left="851"/>
        <w:rPr>
          <w:sz w:val="24"/>
          <w:szCs w:val="24"/>
        </w:rPr>
      </w:pPr>
    </w:p>
    <w:p w14:paraId="557C68AB" w14:textId="307A5D98" w:rsidR="00F27A64" w:rsidRDefault="00F27A64">
      <w:pPr>
        <w:rPr>
          <w:sz w:val="24"/>
          <w:szCs w:val="24"/>
        </w:rPr>
      </w:pPr>
      <w:r>
        <w:rPr>
          <w:sz w:val="24"/>
          <w:szCs w:val="24"/>
        </w:rPr>
        <w:br w:type="page"/>
      </w:r>
    </w:p>
    <w:p w14:paraId="6165621D" w14:textId="77777777" w:rsidR="009260DE" w:rsidRPr="005F25C3" w:rsidRDefault="009260DE" w:rsidP="009260DE">
      <w:pPr>
        <w:tabs>
          <w:tab w:val="left" w:pos="851"/>
        </w:tabs>
        <w:ind w:left="851"/>
        <w:rPr>
          <w:sz w:val="24"/>
          <w:szCs w:val="24"/>
        </w:rPr>
      </w:pPr>
    </w:p>
    <w:p w14:paraId="20C83BD1" w14:textId="77777777" w:rsidR="009260DE" w:rsidRPr="005F25C3" w:rsidRDefault="009260DE" w:rsidP="009260DE">
      <w:pPr>
        <w:tabs>
          <w:tab w:val="left" w:pos="851"/>
        </w:tabs>
        <w:ind w:left="851" w:hanging="851"/>
        <w:rPr>
          <w:b/>
          <w:sz w:val="24"/>
          <w:szCs w:val="24"/>
        </w:rPr>
      </w:pPr>
      <w:r w:rsidRPr="005F25C3">
        <w:rPr>
          <w:b/>
          <w:sz w:val="24"/>
          <w:szCs w:val="24"/>
        </w:rPr>
        <w:t>5.</w:t>
      </w:r>
      <w:r w:rsidRPr="005F25C3">
        <w:rPr>
          <w:b/>
          <w:sz w:val="24"/>
          <w:szCs w:val="24"/>
        </w:rPr>
        <w:tab/>
        <w:t>FARMAKOLOGISKE EGENSKABER</w:t>
      </w:r>
    </w:p>
    <w:p w14:paraId="3CAB96A5" w14:textId="77777777" w:rsidR="009260DE" w:rsidRPr="005F25C3" w:rsidRDefault="009260DE" w:rsidP="009260DE">
      <w:pPr>
        <w:tabs>
          <w:tab w:val="left" w:pos="851"/>
        </w:tabs>
        <w:ind w:left="851"/>
        <w:rPr>
          <w:sz w:val="24"/>
          <w:szCs w:val="24"/>
        </w:rPr>
      </w:pPr>
    </w:p>
    <w:p w14:paraId="1DBF09FE" w14:textId="77777777" w:rsidR="009260DE" w:rsidRPr="005F25C3" w:rsidRDefault="009260DE" w:rsidP="009260DE">
      <w:pPr>
        <w:tabs>
          <w:tab w:val="num" w:pos="851"/>
        </w:tabs>
        <w:ind w:left="851" w:hanging="851"/>
        <w:rPr>
          <w:b/>
          <w:sz w:val="24"/>
          <w:szCs w:val="24"/>
        </w:rPr>
      </w:pPr>
      <w:r w:rsidRPr="005F25C3">
        <w:rPr>
          <w:b/>
          <w:sz w:val="24"/>
          <w:szCs w:val="24"/>
        </w:rPr>
        <w:t>5.1</w:t>
      </w:r>
      <w:r w:rsidRPr="005F25C3">
        <w:rPr>
          <w:b/>
          <w:sz w:val="24"/>
          <w:szCs w:val="24"/>
        </w:rPr>
        <w:tab/>
      </w:r>
      <w:proofErr w:type="spellStart"/>
      <w:r w:rsidRPr="005F25C3">
        <w:rPr>
          <w:b/>
          <w:sz w:val="24"/>
          <w:szCs w:val="24"/>
        </w:rPr>
        <w:t>Farmakodynamiske</w:t>
      </w:r>
      <w:proofErr w:type="spellEnd"/>
      <w:r w:rsidRPr="005F25C3">
        <w:rPr>
          <w:b/>
          <w:sz w:val="24"/>
          <w:szCs w:val="24"/>
        </w:rPr>
        <w:t xml:space="preserve"> egenskaber</w:t>
      </w:r>
    </w:p>
    <w:p w14:paraId="7A8BFC36" w14:textId="77777777" w:rsidR="001A6F3D" w:rsidRPr="005F25C3" w:rsidRDefault="001A6F3D" w:rsidP="000376C5">
      <w:pPr>
        <w:ind w:left="851"/>
        <w:rPr>
          <w:noProof/>
          <w:sz w:val="24"/>
          <w:szCs w:val="24"/>
        </w:rPr>
      </w:pPr>
      <w:r w:rsidRPr="005F25C3">
        <w:rPr>
          <w:noProof/>
          <w:sz w:val="24"/>
          <w:szCs w:val="24"/>
        </w:rPr>
        <w:t>Farmakoterapeutisk klassifikation: adrenerge og dopaminerge midler, ATC-kode: C01CA17.</w:t>
      </w:r>
    </w:p>
    <w:p w14:paraId="67579056" w14:textId="77777777" w:rsidR="001A6F3D" w:rsidRPr="005F25C3" w:rsidRDefault="001A6F3D" w:rsidP="000376C5">
      <w:pPr>
        <w:ind w:left="851"/>
        <w:rPr>
          <w:noProof/>
          <w:sz w:val="24"/>
          <w:szCs w:val="24"/>
        </w:rPr>
      </w:pPr>
    </w:p>
    <w:p w14:paraId="254922AA" w14:textId="77777777" w:rsidR="001A6F3D" w:rsidRPr="005F25C3" w:rsidRDefault="001A6F3D" w:rsidP="000376C5">
      <w:pPr>
        <w:ind w:left="851"/>
        <w:rPr>
          <w:noProof/>
          <w:sz w:val="24"/>
          <w:szCs w:val="24"/>
        </w:rPr>
      </w:pPr>
      <w:r w:rsidRPr="005F25C3">
        <w:rPr>
          <w:noProof/>
          <w:sz w:val="24"/>
          <w:szCs w:val="24"/>
        </w:rPr>
        <w:t>Et direkte virkende alfa-sympatomimetikum, der øger den vaskulære glatte muskeltonus, hvilket medfører et pressorrespons efter oral administration. Størstedelen af den biologiske aktivitet kan tilskrives hovedmetabolitten desglymidodrin.</w:t>
      </w:r>
    </w:p>
    <w:p w14:paraId="01C38B0F" w14:textId="77777777" w:rsidR="001A6F3D" w:rsidRPr="005F25C3" w:rsidRDefault="001A6F3D" w:rsidP="000376C5">
      <w:pPr>
        <w:ind w:left="851"/>
        <w:rPr>
          <w:noProof/>
          <w:sz w:val="24"/>
          <w:szCs w:val="24"/>
        </w:rPr>
      </w:pPr>
    </w:p>
    <w:p w14:paraId="45BA73E0" w14:textId="77777777" w:rsidR="001A6F3D" w:rsidRPr="005F25C3" w:rsidRDefault="001A6F3D" w:rsidP="000376C5">
      <w:pPr>
        <w:ind w:left="851"/>
        <w:rPr>
          <w:noProof/>
          <w:sz w:val="24"/>
          <w:szCs w:val="24"/>
        </w:rPr>
      </w:pPr>
      <w:r w:rsidRPr="005F25C3">
        <w:rPr>
          <w:noProof/>
          <w:sz w:val="24"/>
          <w:szCs w:val="24"/>
        </w:rPr>
        <w:t xml:space="preserve">Et 6 ugers studie med en 3 ugers dobbeltblindet periode med midodrin 10 mg t.i.d. (tre gange dagligt) </w:t>
      </w:r>
      <w:r w:rsidRPr="005F25C3">
        <w:rPr>
          <w:i/>
          <w:iCs/>
          <w:noProof/>
          <w:sz w:val="24"/>
          <w:szCs w:val="24"/>
        </w:rPr>
        <w:t>versus</w:t>
      </w:r>
      <w:r w:rsidRPr="005F25C3">
        <w:rPr>
          <w:noProof/>
          <w:sz w:val="24"/>
          <w:szCs w:val="24"/>
        </w:rPr>
        <w:t xml:space="preserve"> placebo hos patienter med ortostatisk hypotension som følge af autonom dysfunktion viste, at midodrin i signifikant grad øgede det systoliske blodtryk i stående stilling og forbedrede svimmelhed/balanceproblemer i forhold til placebo.</w:t>
      </w:r>
    </w:p>
    <w:p w14:paraId="1CFC1F69" w14:textId="77777777" w:rsidR="001A6F3D" w:rsidRPr="005F25C3" w:rsidRDefault="001A6F3D" w:rsidP="000376C5">
      <w:pPr>
        <w:ind w:left="851"/>
        <w:rPr>
          <w:noProof/>
          <w:sz w:val="24"/>
          <w:szCs w:val="24"/>
        </w:rPr>
      </w:pPr>
    </w:p>
    <w:p w14:paraId="0F4DD11F" w14:textId="77777777" w:rsidR="001A6F3D" w:rsidRPr="005F25C3" w:rsidRDefault="001A6F3D" w:rsidP="000376C5">
      <w:pPr>
        <w:ind w:left="851"/>
        <w:rPr>
          <w:noProof/>
          <w:sz w:val="24"/>
          <w:szCs w:val="24"/>
        </w:rPr>
      </w:pPr>
      <w:r w:rsidRPr="005F25C3">
        <w:rPr>
          <w:noProof/>
          <w:sz w:val="24"/>
          <w:szCs w:val="24"/>
        </w:rPr>
        <w:t>Der er udført to ublindede, langvarige studier med midodrin. 693 forsøgsdeltagere med ortostatisk hypotension som følge af Bradbury-Egglestons syndrom (28 %), som følge af nyresvigt, synkope, autonom neuropati og AIDS (33 %) og af andre årsager (39 %) fik en gennemsnitlig total daglig dosis midodrin på 17-24 mg over en periode på op til ét år. 52 % fuldførte et år i studiet.</w:t>
      </w:r>
    </w:p>
    <w:p w14:paraId="375C3ACC" w14:textId="77777777" w:rsidR="001A6F3D" w:rsidRPr="005F25C3" w:rsidRDefault="001A6F3D" w:rsidP="000376C5">
      <w:pPr>
        <w:ind w:left="851"/>
        <w:rPr>
          <w:noProof/>
          <w:sz w:val="24"/>
          <w:szCs w:val="24"/>
        </w:rPr>
      </w:pPr>
    </w:p>
    <w:p w14:paraId="68488836" w14:textId="77777777" w:rsidR="001A6F3D" w:rsidRPr="005F25C3" w:rsidRDefault="001A6F3D" w:rsidP="000376C5">
      <w:pPr>
        <w:ind w:left="851"/>
        <w:rPr>
          <w:noProof/>
          <w:sz w:val="24"/>
          <w:szCs w:val="24"/>
        </w:rPr>
      </w:pPr>
      <w:r w:rsidRPr="005F25C3">
        <w:rPr>
          <w:noProof/>
          <w:sz w:val="24"/>
          <w:szCs w:val="24"/>
        </w:rPr>
        <w:t>De primære effektmål bestod af et spørgeskema om livskvalitet med evaluering af symptomer i henhold til en medfølgende tabel, forbedringen i blodtrykket i stående stilling samt investigators globale indtryk. På livskvalitetsindekset (QOLI) blev alle spørgsmål besvaret ved hjælp af en skala fra 1 til 3, hvor 1 = symptomet forekom ofte, 2 = symptomet forekom sommetider, 3 = symptomet forekom aldrig. Ved hvert besøg blev forsøgsdeltagernes blodtryk målt før indtagelse af en dosis midodrin og en time derefter. Investigators globale indtryk blev registreret ved studiets slutning. Investigatoren vurderede forsøgsdeltagerens evne til at udføre dagligdagsaktiviteter. Der blev kun fremlagt opsummerende statistik.</w:t>
      </w:r>
    </w:p>
    <w:p w14:paraId="419E733B" w14:textId="77777777" w:rsidR="001A6F3D" w:rsidRPr="005F25C3" w:rsidRDefault="001A6F3D" w:rsidP="000376C5">
      <w:pPr>
        <w:ind w:left="851"/>
        <w:rPr>
          <w:noProof/>
          <w:sz w:val="24"/>
          <w:szCs w:val="24"/>
        </w:rPr>
      </w:pPr>
    </w:p>
    <w:p w14:paraId="76B782AF" w14:textId="77777777" w:rsidR="001A6F3D" w:rsidRPr="005F25C3" w:rsidRDefault="001A6F3D" w:rsidP="000376C5">
      <w:pPr>
        <w:ind w:left="851"/>
        <w:rPr>
          <w:noProof/>
          <w:sz w:val="24"/>
          <w:szCs w:val="24"/>
        </w:rPr>
      </w:pPr>
      <w:r w:rsidRPr="005F25C3">
        <w:rPr>
          <w:noProof/>
          <w:sz w:val="24"/>
          <w:szCs w:val="24"/>
        </w:rPr>
        <w:t>Den procentvise ændring i QOLI er vist i tabellen. Der blev set forbedring af blodtrykket i stående stilling. Det systoliske blodtryk steg med 12 mm kviksølv, mens det diastoliske blodtryk blev forbedret med 6-7 mm kviksølv. Investigatoren angav ved studiets afslutning, at 52 % af forsøgsdeltagerne havde god til fremragende evne til at udføre dagligdagsaktiviteter.</w:t>
      </w:r>
    </w:p>
    <w:p w14:paraId="791D751F" w14:textId="77777777" w:rsidR="001A6F3D" w:rsidRPr="005F25C3" w:rsidRDefault="001A6F3D" w:rsidP="000376C5">
      <w:pPr>
        <w:ind w:left="851"/>
        <w:rPr>
          <w:noProof/>
          <w:sz w:val="24"/>
          <w:szCs w:val="24"/>
        </w:rPr>
      </w:pPr>
    </w:p>
    <w:p w14:paraId="7A2328B5" w14:textId="77777777" w:rsidR="001A6F3D" w:rsidRPr="005F25C3" w:rsidRDefault="001A6F3D" w:rsidP="000376C5">
      <w:pPr>
        <w:ind w:left="851"/>
        <w:rPr>
          <w:noProof/>
          <w:sz w:val="24"/>
          <w:szCs w:val="24"/>
        </w:rPr>
      </w:pPr>
      <w:r w:rsidRPr="005F25C3">
        <w:rPr>
          <w:noProof/>
          <w:sz w:val="24"/>
          <w:szCs w:val="24"/>
        </w:rPr>
        <w:t>Det er vigtigt at bemærke, at forsøgsdeltagerne fortsatte med at tage tidligere lægemidler, herunder steroider.</w:t>
      </w:r>
    </w:p>
    <w:p w14:paraId="31DDB119" w14:textId="77777777" w:rsidR="001A6F3D" w:rsidRPr="005F25C3" w:rsidRDefault="001A6F3D" w:rsidP="000376C5">
      <w:pPr>
        <w:ind w:left="851"/>
        <w:rPr>
          <w:noProof/>
          <w:sz w:val="24"/>
          <w:szCs w:val="24"/>
        </w:rPr>
      </w:pPr>
    </w:p>
    <w:p w14:paraId="20DFE3FA" w14:textId="77777777" w:rsidR="001A6F3D" w:rsidRPr="005F25C3" w:rsidRDefault="001A6F3D" w:rsidP="000376C5">
      <w:pPr>
        <w:ind w:left="851"/>
        <w:rPr>
          <w:noProof/>
          <w:sz w:val="24"/>
          <w:szCs w:val="24"/>
        </w:rPr>
      </w:pPr>
      <w:r w:rsidRPr="005F25C3">
        <w:rPr>
          <w:noProof/>
          <w:sz w:val="24"/>
          <w:szCs w:val="24"/>
        </w:rPr>
        <w:t>102 forsøgsdeltagere døde i løbet af dette langvarige, ublindede studie, men ingen af dødsfaldene blev rapporteret som værende lægemiddelrelaterede. Det er vigtigt at bemærke, at de fleste af disse patienter havde betydeligt nedsat hjertefunktion. Udover dødsfald var de mest almindelige bivirkninger hovedpine hos 5 %, hypertension i liggende stilling hos 6 %, piloerektion hos 5 % og pruritus i hovedbunden hos 10 %.</w:t>
      </w:r>
    </w:p>
    <w:p w14:paraId="4839A3C5" w14:textId="77777777" w:rsidR="001A6F3D" w:rsidRPr="005F25C3" w:rsidRDefault="001A6F3D" w:rsidP="000376C5">
      <w:pPr>
        <w:ind w:left="851"/>
        <w:rPr>
          <w:noProof/>
          <w:sz w:val="24"/>
          <w:szCs w:val="24"/>
        </w:rPr>
      </w:pPr>
    </w:p>
    <w:p w14:paraId="664C8E03" w14:textId="77777777" w:rsidR="001A6F3D" w:rsidRPr="005F25C3" w:rsidRDefault="001A6F3D" w:rsidP="000376C5">
      <w:pPr>
        <w:ind w:left="851"/>
        <w:rPr>
          <w:noProof/>
          <w:sz w:val="24"/>
          <w:szCs w:val="24"/>
        </w:rPr>
      </w:pPr>
      <w:r w:rsidRPr="005F25C3">
        <w:rPr>
          <w:noProof/>
          <w:sz w:val="24"/>
          <w:szCs w:val="24"/>
        </w:rPr>
        <w:t>Midodrin havde ingen klinisk signifikant indvirkning på laboratorieprøveresultater eller på elektrokardiogrammer.</w:t>
      </w:r>
    </w:p>
    <w:p w14:paraId="21F0F3F1" w14:textId="0971E0D5" w:rsidR="00F27A64" w:rsidRDefault="00F27A64">
      <w:pPr>
        <w:rPr>
          <w:noProof/>
          <w:sz w:val="24"/>
          <w:szCs w:val="24"/>
        </w:rPr>
      </w:pPr>
      <w:r>
        <w:rPr>
          <w:noProof/>
          <w:sz w:val="24"/>
          <w:szCs w:val="24"/>
        </w:rPr>
        <w:br w:type="page"/>
      </w:r>
    </w:p>
    <w:p w14:paraId="70CB0D3D" w14:textId="77777777" w:rsidR="001A6F3D" w:rsidRPr="005F25C3" w:rsidRDefault="001A6F3D" w:rsidP="001A6F3D">
      <w:pPr>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5"/>
        <w:gridCol w:w="750"/>
        <w:gridCol w:w="1457"/>
        <w:gridCol w:w="1538"/>
        <w:gridCol w:w="1431"/>
        <w:gridCol w:w="1177"/>
      </w:tblGrid>
      <w:tr w:rsidR="001A6F3D" w:rsidRPr="005F25C3" w14:paraId="118254ED" w14:textId="77777777" w:rsidTr="000376C5">
        <w:trPr>
          <w:trHeight w:val="230"/>
        </w:trPr>
        <w:tc>
          <w:tcPr>
            <w:tcW w:w="5000" w:type="pct"/>
            <w:gridSpan w:val="6"/>
            <w:tcBorders>
              <w:top w:val="single" w:sz="4" w:space="0" w:color="000000"/>
              <w:left w:val="single" w:sz="4" w:space="0" w:color="000000"/>
              <w:bottom w:val="single" w:sz="4" w:space="0" w:color="000000"/>
              <w:right w:val="single" w:sz="4" w:space="0" w:color="000000"/>
            </w:tcBorders>
            <w:hideMark/>
          </w:tcPr>
          <w:p w14:paraId="33CB18C7" w14:textId="77777777" w:rsidR="001A6F3D" w:rsidRPr="005F25C3" w:rsidRDefault="001A6F3D">
            <w:pPr>
              <w:suppressAutoHyphens/>
              <w:rPr>
                <w:b/>
                <w:noProof/>
                <w:sz w:val="24"/>
                <w:szCs w:val="24"/>
                <w:lang w:val="en-GB"/>
              </w:rPr>
            </w:pPr>
            <w:r w:rsidRPr="005F25C3">
              <w:rPr>
                <w:b/>
                <w:noProof/>
                <w:sz w:val="24"/>
                <w:szCs w:val="24"/>
                <w:lang w:val="en-GB"/>
              </w:rPr>
              <w:t>Tabel 1</w:t>
            </w:r>
          </w:p>
        </w:tc>
      </w:tr>
      <w:tr w:rsidR="001A6F3D" w:rsidRPr="005F25C3" w14:paraId="041AC2CF" w14:textId="77777777" w:rsidTr="000376C5">
        <w:trPr>
          <w:trHeight w:val="690"/>
        </w:trPr>
        <w:tc>
          <w:tcPr>
            <w:tcW w:w="1721" w:type="pct"/>
            <w:tcBorders>
              <w:top w:val="single" w:sz="4" w:space="0" w:color="000000"/>
              <w:left w:val="single" w:sz="4" w:space="0" w:color="000000"/>
              <w:bottom w:val="single" w:sz="4" w:space="0" w:color="000000"/>
              <w:right w:val="single" w:sz="4" w:space="0" w:color="000000"/>
            </w:tcBorders>
            <w:hideMark/>
          </w:tcPr>
          <w:p w14:paraId="5000B847" w14:textId="77777777" w:rsidR="001A6F3D" w:rsidRPr="005F25C3" w:rsidRDefault="001A6F3D">
            <w:pPr>
              <w:suppressAutoHyphens/>
              <w:rPr>
                <w:b/>
                <w:noProof/>
                <w:sz w:val="24"/>
                <w:szCs w:val="24"/>
                <w:lang w:val="en-GB"/>
              </w:rPr>
            </w:pPr>
            <w:r w:rsidRPr="005F25C3">
              <w:rPr>
                <w:b/>
                <w:noProof/>
                <w:sz w:val="24"/>
                <w:szCs w:val="24"/>
                <w:lang w:val="en-GB"/>
              </w:rPr>
              <w:t>Symptom</w:t>
            </w:r>
          </w:p>
        </w:tc>
        <w:tc>
          <w:tcPr>
            <w:tcW w:w="410" w:type="pct"/>
            <w:tcBorders>
              <w:top w:val="single" w:sz="4" w:space="0" w:color="000000"/>
              <w:left w:val="single" w:sz="4" w:space="0" w:color="000000"/>
              <w:bottom w:val="single" w:sz="4" w:space="0" w:color="000000"/>
              <w:right w:val="single" w:sz="4" w:space="0" w:color="000000"/>
            </w:tcBorders>
            <w:hideMark/>
          </w:tcPr>
          <w:p w14:paraId="46AA4DC4" w14:textId="77777777" w:rsidR="001A6F3D" w:rsidRPr="005F25C3" w:rsidRDefault="001A6F3D">
            <w:pPr>
              <w:suppressAutoHyphens/>
              <w:rPr>
                <w:b/>
                <w:noProof/>
                <w:sz w:val="24"/>
                <w:szCs w:val="24"/>
                <w:lang w:val="en-GB"/>
              </w:rPr>
            </w:pPr>
            <w:r w:rsidRPr="005F25C3">
              <w:rPr>
                <w:b/>
                <w:noProof/>
                <w:sz w:val="24"/>
                <w:szCs w:val="24"/>
                <w:lang w:val="en-GB"/>
              </w:rPr>
              <w:t>N</w:t>
            </w:r>
          </w:p>
        </w:tc>
        <w:tc>
          <w:tcPr>
            <w:tcW w:w="656" w:type="pct"/>
            <w:tcBorders>
              <w:top w:val="single" w:sz="4" w:space="0" w:color="000000"/>
              <w:left w:val="single" w:sz="4" w:space="0" w:color="000000"/>
              <w:bottom w:val="single" w:sz="4" w:space="0" w:color="000000"/>
              <w:right w:val="single" w:sz="4" w:space="0" w:color="000000"/>
            </w:tcBorders>
            <w:hideMark/>
          </w:tcPr>
          <w:p w14:paraId="0E76271B" w14:textId="77777777" w:rsidR="001A6F3D" w:rsidRPr="005F25C3" w:rsidRDefault="001A6F3D">
            <w:pPr>
              <w:suppressAutoHyphens/>
              <w:rPr>
                <w:b/>
                <w:noProof/>
                <w:sz w:val="24"/>
                <w:szCs w:val="24"/>
                <w:lang w:val="en-GB"/>
              </w:rPr>
            </w:pPr>
            <w:r w:rsidRPr="005F25C3">
              <w:rPr>
                <w:b/>
                <w:noProof/>
                <w:sz w:val="24"/>
                <w:szCs w:val="24"/>
                <w:lang w:val="en-GB"/>
              </w:rPr>
              <w:t>Gennemsnit ved baseline (SEM)</w:t>
            </w:r>
          </w:p>
        </w:tc>
        <w:tc>
          <w:tcPr>
            <w:tcW w:w="819" w:type="pct"/>
            <w:tcBorders>
              <w:top w:val="single" w:sz="4" w:space="0" w:color="000000"/>
              <w:left w:val="single" w:sz="4" w:space="0" w:color="000000"/>
              <w:bottom w:val="single" w:sz="4" w:space="0" w:color="000000"/>
              <w:right w:val="single" w:sz="4" w:space="0" w:color="000000"/>
            </w:tcBorders>
            <w:hideMark/>
          </w:tcPr>
          <w:p w14:paraId="65C6F48C" w14:textId="77777777" w:rsidR="001A6F3D" w:rsidRPr="005F25C3" w:rsidRDefault="001A6F3D">
            <w:pPr>
              <w:suppressAutoHyphens/>
              <w:rPr>
                <w:b/>
                <w:noProof/>
                <w:sz w:val="24"/>
                <w:szCs w:val="24"/>
              </w:rPr>
            </w:pPr>
            <w:r w:rsidRPr="005F25C3">
              <w:rPr>
                <w:b/>
                <w:noProof/>
                <w:sz w:val="24"/>
                <w:szCs w:val="24"/>
              </w:rPr>
              <w:t>Gennemsnit ved studiets afslutning (SEM)</w:t>
            </w:r>
          </w:p>
        </w:tc>
        <w:tc>
          <w:tcPr>
            <w:tcW w:w="763" w:type="pct"/>
            <w:tcBorders>
              <w:top w:val="single" w:sz="4" w:space="0" w:color="000000"/>
              <w:left w:val="single" w:sz="4" w:space="0" w:color="000000"/>
              <w:bottom w:val="single" w:sz="4" w:space="0" w:color="000000"/>
              <w:right w:val="single" w:sz="4" w:space="0" w:color="000000"/>
            </w:tcBorders>
            <w:hideMark/>
          </w:tcPr>
          <w:p w14:paraId="1CA0927A" w14:textId="77777777" w:rsidR="001A6F3D" w:rsidRPr="005F25C3" w:rsidRDefault="001A6F3D">
            <w:pPr>
              <w:suppressAutoHyphens/>
              <w:rPr>
                <w:b/>
                <w:noProof/>
                <w:sz w:val="24"/>
                <w:szCs w:val="24"/>
                <w:lang w:val="en-GB"/>
              </w:rPr>
            </w:pPr>
            <w:r w:rsidRPr="005F25C3">
              <w:rPr>
                <w:b/>
                <w:noProof/>
                <w:sz w:val="24"/>
                <w:szCs w:val="24"/>
                <w:lang w:val="en-GB"/>
              </w:rPr>
              <w:t>Ændring i gennemsnit (SEM)</w:t>
            </w:r>
          </w:p>
        </w:tc>
        <w:tc>
          <w:tcPr>
            <w:tcW w:w="631" w:type="pct"/>
            <w:tcBorders>
              <w:top w:val="single" w:sz="4" w:space="0" w:color="000000"/>
              <w:left w:val="single" w:sz="4" w:space="0" w:color="000000"/>
              <w:bottom w:val="single" w:sz="4" w:space="0" w:color="000000"/>
              <w:right w:val="single" w:sz="4" w:space="0" w:color="000000"/>
            </w:tcBorders>
            <w:hideMark/>
          </w:tcPr>
          <w:p w14:paraId="57201036" w14:textId="77777777" w:rsidR="001A6F3D" w:rsidRPr="005F25C3" w:rsidRDefault="001A6F3D">
            <w:pPr>
              <w:suppressAutoHyphens/>
              <w:rPr>
                <w:b/>
                <w:noProof/>
                <w:sz w:val="24"/>
                <w:szCs w:val="24"/>
                <w:lang w:val="en-GB"/>
              </w:rPr>
            </w:pPr>
            <w:r w:rsidRPr="005F25C3">
              <w:rPr>
                <w:b/>
                <w:noProof/>
                <w:sz w:val="24"/>
                <w:szCs w:val="24"/>
                <w:lang w:val="en-GB"/>
              </w:rPr>
              <w:t xml:space="preserve">Ændring i % </w:t>
            </w:r>
          </w:p>
        </w:tc>
      </w:tr>
      <w:tr w:rsidR="001A6F3D" w:rsidRPr="005F25C3" w14:paraId="1EB5B983"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11B034DA" w14:textId="77777777" w:rsidR="001A6F3D" w:rsidRPr="005F25C3" w:rsidRDefault="001A6F3D">
            <w:pPr>
              <w:suppressAutoHyphens/>
              <w:rPr>
                <w:noProof/>
                <w:sz w:val="24"/>
                <w:szCs w:val="24"/>
                <w:lang w:val="en-GB"/>
              </w:rPr>
            </w:pPr>
            <w:r w:rsidRPr="005F25C3">
              <w:rPr>
                <w:noProof/>
                <w:sz w:val="24"/>
                <w:szCs w:val="24"/>
                <w:lang w:val="en-GB"/>
              </w:rPr>
              <w:t>Svimmelhed eller ørhed.</w:t>
            </w:r>
          </w:p>
        </w:tc>
        <w:tc>
          <w:tcPr>
            <w:tcW w:w="410" w:type="pct"/>
            <w:tcBorders>
              <w:top w:val="single" w:sz="4" w:space="0" w:color="000000"/>
              <w:left w:val="single" w:sz="4" w:space="0" w:color="000000"/>
              <w:bottom w:val="single" w:sz="4" w:space="0" w:color="000000"/>
              <w:right w:val="single" w:sz="4" w:space="0" w:color="000000"/>
            </w:tcBorders>
            <w:hideMark/>
          </w:tcPr>
          <w:p w14:paraId="2FE844C5" w14:textId="77777777" w:rsidR="001A6F3D" w:rsidRPr="005F25C3" w:rsidRDefault="001A6F3D">
            <w:pPr>
              <w:suppressAutoHyphens/>
              <w:rPr>
                <w:noProof/>
                <w:sz w:val="24"/>
                <w:szCs w:val="24"/>
                <w:lang w:val="en-GB"/>
              </w:rPr>
            </w:pPr>
            <w:r w:rsidRPr="005F25C3">
              <w:rPr>
                <w:noProof/>
                <w:sz w:val="24"/>
                <w:szCs w:val="24"/>
                <w:lang w:val="en-GB"/>
              </w:rPr>
              <w:t>524</w:t>
            </w:r>
          </w:p>
        </w:tc>
        <w:tc>
          <w:tcPr>
            <w:tcW w:w="656" w:type="pct"/>
            <w:tcBorders>
              <w:top w:val="single" w:sz="4" w:space="0" w:color="000000"/>
              <w:left w:val="single" w:sz="4" w:space="0" w:color="000000"/>
              <w:bottom w:val="single" w:sz="4" w:space="0" w:color="000000"/>
              <w:right w:val="single" w:sz="4" w:space="0" w:color="000000"/>
            </w:tcBorders>
            <w:hideMark/>
          </w:tcPr>
          <w:p w14:paraId="7CA30E88" w14:textId="77777777" w:rsidR="001A6F3D" w:rsidRPr="005F25C3" w:rsidRDefault="001A6F3D">
            <w:pPr>
              <w:suppressAutoHyphens/>
              <w:rPr>
                <w:noProof/>
                <w:sz w:val="24"/>
                <w:szCs w:val="24"/>
                <w:lang w:val="en-GB"/>
              </w:rPr>
            </w:pPr>
            <w:r w:rsidRPr="005F25C3">
              <w:rPr>
                <w:noProof/>
                <w:sz w:val="24"/>
                <w:szCs w:val="24"/>
                <w:lang w:val="en-GB"/>
              </w:rPr>
              <w:t>1,4 (0,02)</w:t>
            </w:r>
          </w:p>
        </w:tc>
        <w:tc>
          <w:tcPr>
            <w:tcW w:w="819" w:type="pct"/>
            <w:tcBorders>
              <w:top w:val="single" w:sz="4" w:space="0" w:color="000000"/>
              <w:left w:val="single" w:sz="4" w:space="0" w:color="000000"/>
              <w:bottom w:val="single" w:sz="4" w:space="0" w:color="000000"/>
              <w:right w:val="single" w:sz="4" w:space="0" w:color="000000"/>
            </w:tcBorders>
            <w:hideMark/>
          </w:tcPr>
          <w:p w14:paraId="167176DD" w14:textId="77777777" w:rsidR="001A6F3D" w:rsidRPr="005F25C3" w:rsidRDefault="001A6F3D">
            <w:pPr>
              <w:suppressAutoHyphens/>
              <w:rPr>
                <w:noProof/>
                <w:sz w:val="24"/>
                <w:szCs w:val="24"/>
                <w:lang w:val="en-GB"/>
              </w:rPr>
            </w:pPr>
            <w:r w:rsidRPr="005F25C3">
              <w:rPr>
                <w:noProof/>
                <w:sz w:val="24"/>
                <w:szCs w:val="24"/>
                <w:lang w:val="en-GB"/>
              </w:rPr>
              <w:t>1,9 (0,03)</w:t>
            </w:r>
          </w:p>
        </w:tc>
        <w:tc>
          <w:tcPr>
            <w:tcW w:w="763" w:type="pct"/>
            <w:tcBorders>
              <w:top w:val="single" w:sz="4" w:space="0" w:color="000000"/>
              <w:left w:val="single" w:sz="4" w:space="0" w:color="000000"/>
              <w:bottom w:val="single" w:sz="4" w:space="0" w:color="000000"/>
              <w:right w:val="single" w:sz="4" w:space="0" w:color="000000"/>
            </w:tcBorders>
            <w:hideMark/>
          </w:tcPr>
          <w:p w14:paraId="19E9AEB7" w14:textId="77777777" w:rsidR="001A6F3D" w:rsidRPr="005F25C3" w:rsidRDefault="001A6F3D">
            <w:pPr>
              <w:suppressAutoHyphens/>
              <w:rPr>
                <w:noProof/>
                <w:sz w:val="24"/>
                <w:szCs w:val="24"/>
                <w:lang w:val="en-GB"/>
              </w:rPr>
            </w:pPr>
            <w:r w:rsidRPr="005F25C3">
              <w:rPr>
                <w:noProof/>
                <w:sz w:val="24"/>
                <w:szCs w:val="24"/>
                <w:lang w:val="en-GB"/>
              </w:rPr>
              <w:t>0,42 (0,034)</w:t>
            </w:r>
          </w:p>
        </w:tc>
        <w:tc>
          <w:tcPr>
            <w:tcW w:w="631" w:type="pct"/>
            <w:tcBorders>
              <w:top w:val="single" w:sz="4" w:space="0" w:color="000000"/>
              <w:left w:val="single" w:sz="4" w:space="0" w:color="000000"/>
              <w:bottom w:val="single" w:sz="4" w:space="0" w:color="000000"/>
              <w:right w:val="single" w:sz="4" w:space="0" w:color="000000"/>
            </w:tcBorders>
            <w:hideMark/>
          </w:tcPr>
          <w:p w14:paraId="34E05F53" w14:textId="77777777" w:rsidR="001A6F3D" w:rsidRPr="005F25C3" w:rsidRDefault="001A6F3D">
            <w:pPr>
              <w:suppressAutoHyphens/>
              <w:rPr>
                <w:noProof/>
                <w:sz w:val="24"/>
                <w:szCs w:val="24"/>
                <w:lang w:val="en-GB"/>
              </w:rPr>
            </w:pPr>
            <w:r w:rsidRPr="005F25C3">
              <w:rPr>
                <w:noProof/>
                <w:sz w:val="24"/>
                <w:szCs w:val="24"/>
                <w:lang w:val="en-GB"/>
              </w:rPr>
              <w:t>30 %</w:t>
            </w:r>
          </w:p>
        </w:tc>
      </w:tr>
      <w:tr w:rsidR="001A6F3D" w:rsidRPr="005F25C3" w14:paraId="58772A20"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3C9A9F92" w14:textId="77777777" w:rsidR="001A6F3D" w:rsidRPr="005F25C3" w:rsidRDefault="001A6F3D">
            <w:pPr>
              <w:suppressAutoHyphens/>
              <w:rPr>
                <w:noProof/>
                <w:sz w:val="24"/>
                <w:szCs w:val="24"/>
                <w:lang w:val="en-GB"/>
              </w:rPr>
            </w:pPr>
            <w:r w:rsidRPr="005F25C3">
              <w:rPr>
                <w:noProof/>
                <w:sz w:val="24"/>
                <w:szCs w:val="24"/>
                <w:lang w:val="en-GB"/>
              </w:rPr>
              <w:t>Svaghed eller træthed</w:t>
            </w:r>
          </w:p>
        </w:tc>
        <w:tc>
          <w:tcPr>
            <w:tcW w:w="410" w:type="pct"/>
            <w:tcBorders>
              <w:top w:val="single" w:sz="4" w:space="0" w:color="000000"/>
              <w:left w:val="single" w:sz="4" w:space="0" w:color="000000"/>
              <w:bottom w:val="single" w:sz="4" w:space="0" w:color="000000"/>
              <w:right w:val="single" w:sz="4" w:space="0" w:color="000000"/>
            </w:tcBorders>
            <w:hideMark/>
          </w:tcPr>
          <w:p w14:paraId="12E87ABC" w14:textId="77777777" w:rsidR="001A6F3D" w:rsidRPr="005F25C3" w:rsidRDefault="001A6F3D">
            <w:pPr>
              <w:suppressAutoHyphens/>
              <w:rPr>
                <w:noProof/>
                <w:sz w:val="24"/>
                <w:szCs w:val="24"/>
                <w:lang w:val="en-GB"/>
              </w:rPr>
            </w:pPr>
            <w:r w:rsidRPr="005F25C3">
              <w:rPr>
                <w:noProof/>
                <w:sz w:val="24"/>
                <w:szCs w:val="24"/>
                <w:lang w:val="en-GB"/>
              </w:rPr>
              <w:t>524</w:t>
            </w:r>
          </w:p>
        </w:tc>
        <w:tc>
          <w:tcPr>
            <w:tcW w:w="656" w:type="pct"/>
            <w:tcBorders>
              <w:top w:val="single" w:sz="4" w:space="0" w:color="000000"/>
              <w:left w:val="single" w:sz="4" w:space="0" w:color="000000"/>
              <w:bottom w:val="single" w:sz="4" w:space="0" w:color="000000"/>
              <w:right w:val="single" w:sz="4" w:space="0" w:color="000000"/>
            </w:tcBorders>
            <w:hideMark/>
          </w:tcPr>
          <w:p w14:paraId="7BB937D7" w14:textId="77777777" w:rsidR="001A6F3D" w:rsidRPr="005F25C3" w:rsidRDefault="001A6F3D">
            <w:pPr>
              <w:suppressAutoHyphens/>
              <w:rPr>
                <w:noProof/>
                <w:sz w:val="24"/>
                <w:szCs w:val="24"/>
                <w:lang w:val="en-GB"/>
              </w:rPr>
            </w:pPr>
            <w:r w:rsidRPr="005F25C3">
              <w:rPr>
                <w:noProof/>
                <w:sz w:val="24"/>
                <w:szCs w:val="24"/>
                <w:lang w:val="en-GB"/>
              </w:rPr>
              <w:t>1,3 (0,02)</w:t>
            </w:r>
          </w:p>
        </w:tc>
        <w:tc>
          <w:tcPr>
            <w:tcW w:w="819" w:type="pct"/>
            <w:tcBorders>
              <w:top w:val="single" w:sz="4" w:space="0" w:color="000000"/>
              <w:left w:val="single" w:sz="4" w:space="0" w:color="000000"/>
              <w:bottom w:val="single" w:sz="4" w:space="0" w:color="000000"/>
              <w:right w:val="single" w:sz="4" w:space="0" w:color="000000"/>
            </w:tcBorders>
            <w:hideMark/>
          </w:tcPr>
          <w:p w14:paraId="0BA02021" w14:textId="77777777" w:rsidR="001A6F3D" w:rsidRPr="005F25C3" w:rsidRDefault="001A6F3D">
            <w:pPr>
              <w:suppressAutoHyphens/>
              <w:rPr>
                <w:noProof/>
                <w:sz w:val="24"/>
                <w:szCs w:val="24"/>
                <w:lang w:val="en-GB"/>
              </w:rPr>
            </w:pPr>
            <w:r w:rsidRPr="005F25C3">
              <w:rPr>
                <w:noProof/>
                <w:sz w:val="24"/>
                <w:szCs w:val="24"/>
                <w:lang w:val="en-GB"/>
              </w:rPr>
              <w:t>1,6 (0,03)</w:t>
            </w:r>
          </w:p>
        </w:tc>
        <w:tc>
          <w:tcPr>
            <w:tcW w:w="763" w:type="pct"/>
            <w:tcBorders>
              <w:top w:val="single" w:sz="4" w:space="0" w:color="000000"/>
              <w:left w:val="single" w:sz="4" w:space="0" w:color="000000"/>
              <w:bottom w:val="single" w:sz="4" w:space="0" w:color="000000"/>
              <w:right w:val="single" w:sz="4" w:space="0" w:color="000000"/>
            </w:tcBorders>
            <w:hideMark/>
          </w:tcPr>
          <w:p w14:paraId="18FD508E" w14:textId="77777777" w:rsidR="001A6F3D" w:rsidRPr="005F25C3" w:rsidRDefault="001A6F3D">
            <w:pPr>
              <w:suppressAutoHyphens/>
              <w:rPr>
                <w:noProof/>
                <w:sz w:val="24"/>
                <w:szCs w:val="24"/>
                <w:lang w:val="en-GB"/>
              </w:rPr>
            </w:pPr>
            <w:r w:rsidRPr="005F25C3">
              <w:rPr>
                <w:noProof/>
                <w:sz w:val="24"/>
                <w:szCs w:val="24"/>
                <w:lang w:val="en-GB"/>
              </w:rPr>
              <w:t>0,30 (0.030)</w:t>
            </w:r>
          </w:p>
        </w:tc>
        <w:tc>
          <w:tcPr>
            <w:tcW w:w="631" w:type="pct"/>
            <w:tcBorders>
              <w:top w:val="single" w:sz="4" w:space="0" w:color="000000"/>
              <w:left w:val="single" w:sz="4" w:space="0" w:color="000000"/>
              <w:bottom w:val="single" w:sz="4" w:space="0" w:color="000000"/>
              <w:right w:val="single" w:sz="4" w:space="0" w:color="000000"/>
            </w:tcBorders>
            <w:hideMark/>
          </w:tcPr>
          <w:p w14:paraId="490824C3" w14:textId="77777777" w:rsidR="001A6F3D" w:rsidRPr="005F25C3" w:rsidRDefault="001A6F3D">
            <w:pPr>
              <w:suppressAutoHyphens/>
              <w:rPr>
                <w:noProof/>
                <w:sz w:val="24"/>
                <w:szCs w:val="24"/>
                <w:lang w:val="en-GB"/>
              </w:rPr>
            </w:pPr>
            <w:r w:rsidRPr="005F25C3">
              <w:rPr>
                <w:noProof/>
                <w:sz w:val="24"/>
                <w:szCs w:val="24"/>
                <w:lang w:val="en-GB"/>
              </w:rPr>
              <w:t>23 %</w:t>
            </w:r>
          </w:p>
        </w:tc>
      </w:tr>
      <w:tr w:rsidR="001A6F3D" w:rsidRPr="005F25C3" w14:paraId="191AD562"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6E97ECEE" w14:textId="77777777" w:rsidR="001A6F3D" w:rsidRPr="005F25C3" w:rsidRDefault="001A6F3D">
            <w:pPr>
              <w:suppressAutoHyphens/>
              <w:rPr>
                <w:noProof/>
                <w:sz w:val="24"/>
                <w:szCs w:val="24"/>
                <w:lang w:val="en-GB"/>
              </w:rPr>
            </w:pPr>
            <w:r w:rsidRPr="005F25C3">
              <w:rPr>
                <w:noProof/>
                <w:sz w:val="24"/>
                <w:szCs w:val="24"/>
                <w:lang w:val="en-GB"/>
              </w:rPr>
              <w:t>Sløret syn</w:t>
            </w:r>
          </w:p>
        </w:tc>
        <w:tc>
          <w:tcPr>
            <w:tcW w:w="410" w:type="pct"/>
            <w:tcBorders>
              <w:top w:val="single" w:sz="4" w:space="0" w:color="000000"/>
              <w:left w:val="single" w:sz="4" w:space="0" w:color="000000"/>
              <w:bottom w:val="single" w:sz="4" w:space="0" w:color="000000"/>
              <w:right w:val="single" w:sz="4" w:space="0" w:color="000000"/>
            </w:tcBorders>
            <w:hideMark/>
          </w:tcPr>
          <w:p w14:paraId="55696876" w14:textId="77777777" w:rsidR="001A6F3D" w:rsidRPr="005F25C3" w:rsidRDefault="001A6F3D">
            <w:pPr>
              <w:suppressAutoHyphens/>
              <w:rPr>
                <w:noProof/>
                <w:sz w:val="24"/>
                <w:szCs w:val="24"/>
                <w:lang w:val="en-GB"/>
              </w:rPr>
            </w:pPr>
            <w:r w:rsidRPr="005F25C3">
              <w:rPr>
                <w:noProof/>
                <w:sz w:val="24"/>
                <w:szCs w:val="24"/>
                <w:lang w:val="en-GB"/>
              </w:rPr>
              <w:t>520</w:t>
            </w:r>
          </w:p>
        </w:tc>
        <w:tc>
          <w:tcPr>
            <w:tcW w:w="656" w:type="pct"/>
            <w:tcBorders>
              <w:top w:val="single" w:sz="4" w:space="0" w:color="000000"/>
              <w:left w:val="single" w:sz="4" w:space="0" w:color="000000"/>
              <w:bottom w:val="single" w:sz="4" w:space="0" w:color="000000"/>
              <w:right w:val="single" w:sz="4" w:space="0" w:color="000000"/>
            </w:tcBorders>
            <w:hideMark/>
          </w:tcPr>
          <w:p w14:paraId="47D95667" w14:textId="77777777" w:rsidR="001A6F3D" w:rsidRPr="005F25C3" w:rsidRDefault="001A6F3D">
            <w:pPr>
              <w:suppressAutoHyphens/>
              <w:rPr>
                <w:noProof/>
                <w:sz w:val="24"/>
                <w:szCs w:val="24"/>
                <w:lang w:val="en-GB"/>
              </w:rPr>
            </w:pPr>
            <w:r w:rsidRPr="005F25C3">
              <w:rPr>
                <w:noProof/>
                <w:sz w:val="24"/>
                <w:szCs w:val="24"/>
                <w:lang w:val="en-GB"/>
              </w:rPr>
              <w:t>1,9 (0,03)</w:t>
            </w:r>
          </w:p>
        </w:tc>
        <w:tc>
          <w:tcPr>
            <w:tcW w:w="819" w:type="pct"/>
            <w:tcBorders>
              <w:top w:val="single" w:sz="4" w:space="0" w:color="000000"/>
              <w:left w:val="single" w:sz="4" w:space="0" w:color="000000"/>
              <w:bottom w:val="single" w:sz="4" w:space="0" w:color="000000"/>
              <w:right w:val="single" w:sz="4" w:space="0" w:color="000000"/>
            </w:tcBorders>
            <w:hideMark/>
          </w:tcPr>
          <w:p w14:paraId="77D47798" w14:textId="77777777" w:rsidR="001A6F3D" w:rsidRPr="005F25C3" w:rsidRDefault="001A6F3D">
            <w:pPr>
              <w:suppressAutoHyphens/>
              <w:rPr>
                <w:noProof/>
                <w:sz w:val="24"/>
                <w:szCs w:val="24"/>
                <w:lang w:val="en-GB"/>
              </w:rPr>
            </w:pPr>
            <w:r w:rsidRPr="005F25C3">
              <w:rPr>
                <w:noProof/>
                <w:sz w:val="24"/>
                <w:szCs w:val="24"/>
                <w:lang w:val="en-GB"/>
              </w:rPr>
              <w:t>2,3 (0,03)</w:t>
            </w:r>
          </w:p>
        </w:tc>
        <w:tc>
          <w:tcPr>
            <w:tcW w:w="763" w:type="pct"/>
            <w:tcBorders>
              <w:top w:val="single" w:sz="4" w:space="0" w:color="000000"/>
              <w:left w:val="single" w:sz="4" w:space="0" w:color="000000"/>
              <w:bottom w:val="single" w:sz="4" w:space="0" w:color="000000"/>
              <w:right w:val="single" w:sz="4" w:space="0" w:color="000000"/>
            </w:tcBorders>
            <w:hideMark/>
          </w:tcPr>
          <w:p w14:paraId="2CFCFBAE" w14:textId="77777777" w:rsidR="001A6F3D" w:rsidRPr="005F25C3" w:rsidRDefault="001A6F3D">
            <w:pPr>
              <w:suppressAutoHyphens/>
              <w:rPr>
                <w:noProof/>
                <w:sz w:val="24"/>
                <w:szCs w:val="24"/>
                <w:lang w:val="en-GB"/>
              </w:rPr>
            </w:pPr>
            <w:r w:rsidRPr="005F25C3">
              <w:rPr>
                <w:noProof/>
                <w:sz w:val="24"/>
                <w:szCs w:val="24"/>
                <w:lang w:val="en-GB"/>
              </w:rPr>
              <w:t>0,32 (0,035)</w:t>
            </w:r>
          </w:p>
        </w:tc>
        <w:tc>
          <w:tcPr>
            <w:tcW w:w="631" w:type="pct"/>
            <w:tcBorders>
              <w:top w:val="single" w:sz="4" w:space="0" w:color="000000"/>
              <w:left w:val="single" w:sz="4" w:space="0" w:color="000000"/>
              <w:bottom w:val="single" w:sz="4" w:space="0" w:color="000000"/>
              <w:right w:val="single" w:sz="4" w:space="0" w:color="000000"/>
            </w:tcBorders>
            <w:hideMark/>
          </w:tcPr>
          <w:p w14:paraId="005006A0" w14:textId="77777777" w:rsidR="001A6F3D" w:rsidRPr="005F25C3" w:rsidRDefault="001A6F3D">
            <w:pPr>
              <w:suppressAutoHyphens/>
              <w:rPr>
                <w:noProof/>
                <w:sz w:val="24"/>
                <w:szCs w:val="24"/>
                <w:lang w:val="en-GB"/>
              </w:rPr>
            </w:pPr>
            <w:r w:rsidRPr="005F25C3">
              <w:rPr>
                <w:noProof/>
                <w:sz w:val="24"/>
                <w:szCs w:val="24"/>
                <w:lang w:val="en-GB"/>
              </w:rPr>
              <w:t>17 %</w:t>
            </w:r>
          </w:p>
        </w:tc>
      </w:tr>
      <w:tr w:rsidR="001A6F3D" w:rsidRPr="005F25C3" w14:paraId="04F383E0"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3578DF5B" w14:textId="77777777" w:rsidR="001A6F3D" w:rsidRPr="005F25C3" w:rsidRDefault="001A6F3D">
            <w:pPr>
              <w:suppressAutoHyphens/>
              <w:rPr>
                <w:noProof/>
                <w:sz w:val="24"/>
                <w:szCs w:val="24"/>
                <w:lang w:val="en-GB"/>
              </w:rPr>
            </w:pPr>
            <w:r w:rsidRPr="005F25C3">
              <w:rPr>
                <w:noProof/>
                <w:sz w:val="24"/>
                <w:szCs w:val="24"/>
                <w:lang w:val="en-GB"/>
              </w:rPr>
              <w:t>Besvimmelse</w:t>
            </w:r>
          </w:p>
        </w:tc>
        <w:tc>
          <w:tcPr>
            <w:tcW w:w="410" w:type="pct"/>
            <w:tcBorders>
              <w:top w:val="single" w:sz="4" w:space="0" w:color="000000"/>
              <w:left w:val="single" w:sz="4" w:space="0" w:color="000000"/>
              <w:bottom w:val="single" w:sz="4" w:space="0" w:color="000000"/>
              <w:right w:val="single" w:sz="4" w:space="0" w:color="000000"/>
            </w:tcBorders>
            <w:hideMark/>
          </w:tcPr>
          <w:p w14:paraId="791D643A" w14:textId="77777777" w:rsidR="001A6F3D" w:rsidRPr="005F25C3" w:rsidRDefault="001A6F3D">
            <w:pPr>
              <w:suppressAutoHyphens/>
              <w:rPr>
                <w:noProof/>
                <w:sz w:val="24"/>
                <w:szCs w:val="24"/>
                <w:lang w:val="en-GB"/>
              </w:rPr>
            </w:pPr>
            <w:r w:rsidRPr="005F25C3">
              <w:rPr>
                <w:noProof/>
                <w:sz w:val="24"/>
                <w:szCs w:val="24"/>
                <w:lang w:val="en-GB"/>
              </w:rPr>
              <w:t>521</w:t>
            </w:r>
          </w:p>
        </w:tc>
        <w:tc>
          <w:tcPr>
            <w:tcW w:w="656" w:type="pct"/>
            <w:tcBorders>
              <w:top w:val="single" w:sz="4" w:space="0" w:color="000000"/>
              <w:left w:val="single" w:sz="4" w:space="0" w:color="000000"/>
              <w:bottom w:val="single" w:sz="4" w:space="0" w:color="000000"/>
              <w:right w:val="single" w:sz="4" w:space="0" w:color="000000"/>
            </w:tcBorders>
            <w:hideMark/>
          </w:tcPr>
          <w:p w14:paraId="779B03FF" w14:textId="77777777" w:rsidR="001A6F3D" w:rsidRPr="005F25C3" w:rsidRDefault="001A6F3D">
            <w:pPr>
              <w:suppressAutoHyphens/>
              <w:rPr>
                <w:noProof/>
                <w:sz w:val="24"/>
                <w:szCs w:val="24"/>
                <w:lang w:val="en-GB"/>
              </w:rPr>
            </w:pPr>
            <w:r w:rsidRPr="005F25C3">
              <w:rPr>
                <w:noProof/>
                <w:sz w:val="24"/>
                <w:szCs w:val="24"/>
                <w:lang w:val="en-GB"/>
              </w:rPr>
              <w:t>2,1 (0,03)</w:t>
            </w:r>
          </w:p>
        </w:tc>
        <w:tc>
          <w:tcPr>
            <w:tcW w:w="819" w:type="pct"/>
            <w:tcBorders>
              <w:top w:val="single" w:sz="4" w:space="0" w:color="000000"/>
              <w:left w:val="single" w:sz="4" w:space="0" w:color="000000"/>
              <w:bottom w:val="single" w:sz="4" w:space="0" w:color="000000"/>
              <w:right w:val="single" w:sz="4" w:space="0" w:color="000000"/>
            </w:tcBorders>
            <w:hideMark/>
          </w:tcPr>
          <w:p w14:paraId="10F54274" w14:textId="77777777" w:rsidR="001A6F3D" w:rsidRPr="005F25C3" w:rsidRDefault="001A6F3D">
            <w:pPr>
              <w:suppressAutoHyphens/>
              <w:rPr>
                <w:noProof/>
                <w:sz w:val="24"/>
                <w:szCs w:val="24"/>
                <w:lang w:val="en-GB"/>
              </w:rPr>
            </w:pPr>
            <w:r w:rsidRPr="005F25C3">
              <w:rPr>
                <w:noProof/>
                <w:sz w:val="24"/>
                <w:szCs w:val="24"/>
                <w:lang w:val="en-GB"/>
              </w:rPr>
              <w:t>2,5 (0,03)</w:t>
            </w:r>
          </w:p>
        </w:tc>
        <w:tc>
          <w:tcPr>
            <w:tcW w:w="763" w:type="pct"/>
            <w:tcBorders>
              <w:top w:val="single" w:sz="4" w:space="0" w:color="000000"/>
              <w:left w:val="single" w:sz="4" w:space="0" w:color="000000"/>
              <w:bottom w:val="single" w:sz="4" w:space="0" w:color="000000"/>
              <w:right w:val="single" w:sz="4" w:space="0" w:color="000000"/>
            </w:tcBorders>
            <w:hideMark/>
          </w:tcPr>
          <w:p w14:paraId="2C031683" w14:textId="77777777" w:rsidR="001A6F3D" w:rsidRPr="005F25C3" w:rsidRDefault="001A6F3D">
            <w:pPr>
              <w:suppressAutoHyphens/>
              <w:rPr>
                <w:noProof/>
                <w:sz w:val="24"/>
                <w:szCs w:val="24"/>
                <w:lang w:val="en-GB"/>
              </w:rPr>
            </w:pPr>
            <w:r w:rsidRPr="005F25C3">
              <w:rPr>
                <w:noProof/>
                <w:sz w:val="24"/>
                <w:szCs w:val="24"/>
                <w:lang w:val="en-GB"/>
              </w:rPr>
              <w:t>0,36 (0,034)</w:t>
            </w:r>
          </w:p>
        </w:tc>
        <w:tc>
          <w:tcPr>
            <w:tcW w:w="631" w:type="pct"/>
            <w:tcBorders>
              <w:top w:val="single" w:sz="4" w:space="0" w:color="000000"/>
              <w:left w:val="single" w:sz="4" w:space="0" w:color="000000"/>
              <w:bottom w:val="single" w:sz="4" w:space="0" w:color="000000"/>
              <w:right w:val="single" w:sz="4" w:space="0" w:color="000000"/>
            </w:tcBorders>
            <w:hideMark/>
          </w:tcPr>
          <w:p w14:paraId="0D83662D" w14:textId="77777777" w:rsidR="001A6F3D" w:rsidRPr="005F25C3" w:rsidRDefault="001A6F3D">
            <w:pPr>
              <w:suppressAutoHyphens/>
              <w:rPr>
                <w:noProof/>
                <w:sz w:val="24"/>
                <w:szCs w:val="24"/>
                <w:lang w:val="en-GB"/>
              </w:rPr>
            </w:pPr>
            <w:r w:rsidRPr="005F25C3">
              <w:rPr>
                <w:noProof/>
                <w:sz w:val="24"/>
                <w:szCs w:val="24"/>
                <w:lang w:val="en-GB"/>
              </w:rPr>
              <w:t>17 %</w:t>
            </w:r>
          </w:p>
        </w:tc>
      </w:tr>
      <w:tr w:rsidR="001A6F3D" w:rsidRPr="005F25C3" w14:paraId="702A40A2"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0D16CC58" w14:textId="77777777" w:rsidR="001A6F3D" w:rsidRPr="005F25C3" w:rsidRDefault="001A6F3D">
            <w:pPr>
              <w:suppressAutoHyphens/>
              <w:rPr>
                <w:noProof/>
                <w:sz w:val="24"/>
                <w:szCs w:val="24"/>
                <w:lang w:val="en-GB"/>
              </w:rPr>
            </w:pPr>
            <w:r w:rsidRPr="005F25C3">
              <w:rPr>
                <w:noProof/>
                <w:sz w:val="24"/>
                <w:szCs w:val="24"/>
                <w:lang w:val="en-GB"/>
              </w:rPr>
              <w:t>Energiniveau</w:t>
            </w:r>
          </w:p>
        </w:tc>
        <w:tc>
          <w:tcPr>
            <w:tcW w:w="410" w:type="pct"/>
            <w:tcBorders>
              <w:top w:val="single" w:sz="4" w:space="0" w:color="000000"/>
              <w:left w:val="single" w:sz="4" w:space="0" w:color="000000"/>
              <w:bottom w:val="single" w:sz="4" w:space="0" w:color="000000"/>
              <w:right w:val="single" w:sz="4" w:space="0" w:color="000000"/>
            </w:tcBorders>
            <w:hideMark/>
          </w:tcPr>
          <w:p w14:paraId="3EAA06A3" w14:textId="77777777" w:rsidR="001A6F3D" w:rsidRPr="005F25C3" w:rsidRDefault="001A6F3D">
            <w:pPr>
              <w:suppressAutoHyphens/>
              <w:rPr>
                <w:noProof/>
                <w:sz w:val="24"/>
                <w:szCs w:val="24"/>
                <w:lang w:val="en-GB"/>
              </w:rPr>
            </w:pPr>
            <w:r w:rsidRPr="005F25C3">
              <w:rPr>
                <w:noProof/>
                <w:sz w:val="24"/>
                <w:szCs w:val="24"/>
                <w:lang w:val="en-GB"/>
              </w:rPr>
              <w:t>519</w:t>
            </w:r>
          </w:p>
        </w:tc>
        <w:tc>
          <w:tcPr>
            <w:tcW w:w="656" w:type="pct"/>
            <w:tcBorders>
              <w:top w:val="single" w:sz="4" w:space="0" w:color="000000"/>
              <w:left w:val="single" w:sz="4" w:space="0" w:color="000000"/>
              <w:bottom w:val="single" w:sz="4" w:space="0" w:color="000000"/>
              <w:right w:val="single" w:sz="4" w:space="0" w:color="000000"/>
            </w:tcBorders>
            <w:hideMark/>
          </w:tcPr>
          <w:p w14:paraId="1BCD7DAC" w14:textId="77777777" w:rsidR="001A6F3D" w:rsidRPr="005F25C3" w:rsidRDefault="001A6F3D">
            <w:pPr>
              <w:suppressAutoHyphens/>
              <w:rPr>
                <w:noProof/>
                <w:sz w:val="24"/>
                <w:szCs w:val="24"/>
                <w:lang w:val="en-GB"/>
              </w:rPr>
            </w:pPr>
            <w:r w:rsidRPr="005F25C3">
              <w:rPr>
                <w:noProof/>
                <w:sz w:val="24"/>
                <w:szCs w:val="24"/>
                <w:lang w:val="en-GB"/>
              </w:rPr>
              <w:t>1,3 (0,03)</w:t>
            </w:r>
          </w:p>
        </w:tc>
        <w:tc>
          <w:tcPr>
            <w:tcW w:w="819" w:type="pct"/>
            <w:tcBorders>
              <w:top w:val="single" w:sz="4" w:space="0" w:color="000000"/>
              <w:left w:val="single" w:sz="4" w:space="0" w:color="000000"/>
              <w:bottom w:val="single" w:sz="4" w:space="0" w:color="000000"/>
              <w:right w:val="single" w:sz="4" w:space="0" w:color="000000"/>
            </w:tcBorders>
            <w:hideMark/>
          </w:tcPr>
          <w:p w14:paraId="355AFCE3" w14:textId="77777777" w:rsidR="001A6F3D" w:rsidRPr="005F25C3" w:rsidRDefault="001A6F3D">
            <w:pPr>
              <w:suppressAutoHyphens/>
              <w:rPr>
                <w:noProof/>
                <w:sz w:val="24"/>
                <w:szCs w:val="24"/>
                <w:lang w:val="en-GB"/>
              </w:rPr>
            </w:pPr>
            <w:r w:rsidRPr="005F25C3">
              <w:rPr>
                <w:noProof/>
                <w:sz w:val="24"/>
                <w:szCs w:val="24"/>
                <w:lang w:val="en-GB"/>
              </w:rPr>
              <w:t>2,2 (0,03)</w:t>
            </w:r>
          </w:p>
        </w:tc>
        <w:tc>
          <w:tcPr>
            <w:tcW w:w="763" w:type="pct"/>
            <w:tcBorders>
              <w:top w:val="single" w:sz="4" w:space="0" w:color="000000"/>
              <w:left w:val="single" w:sz="4" w:space="0" w:color="000000"/>
              <w:bottom w:val="single" w:sz="4" w:space="0" w:color="000000"/>
              <w:right w:val="single" w:sz="4" w:space="0" w:color="000000"/>
            </w:tcBorders>
            <w:hideMark/>
          </w:tcPr>
          <w:p w14:paraId="7EA45C4A" w14:textId="77777777" w:rsidR="001A6F3D" w:rsidRPr="005F25C3" w:rsidRDefault="001A6F3D">
            <w:pPr>
              <w:suppressAutoHyphens/>
              <w:rPr>
                <w:noProof/>
                <w:sz w:val="24"/>
                <w:szCs w:val="24"/>
                <w:lang w:val="en-GB"/>
              </w:rPr>
            </w:pPr>
            <w:r w:rsidRPr="005F25C3">
              <w:rPr>
                <w:noProof/>
                <w:sz w:val="24"/>
                <w:szCs w:val="24"/>
                <w:lang w:val="en-GB"/>
              </w:rPr>
              <w:t>0,86 (0,043)</w:t>
            </w:r>
          </w:p>
        </w:tc>
        <w:tc>
          <w:tcPr>
            <w:tcW w:w="631" w:type="pct"/>
            <w:tcBorders>
              <w:top w:val="single" w:sz="4" w:space="0" w:color="000000"/>
              <w:left w:val="single" w:sz="4" w:space="0" w:color="000000"/>
              <w:bottom w:val="single" w:sz="4" w:space="0" w:color="000000"/>
              <w:right w:val="single" w:sz="4" w:space="0" w:color="000000"/>
            </w:tcBorders>
            <w:hideMark/>
          </w:tcPr>
          <w:p w14:paraId="02757C32" w14:textId="77777777" w:rsidR="001A6F3D" w:rsidRPr="005F25C3" w:rsidRDefault="001A6F3D">
            <w:pPr>
              <w:suppressAutoHyphens/>
              <w:rPr>
                <w:noProof/>
                <w:sz w:val="24"/>
                <w:szCs w:val="24"/>
                <w:lang w:val="en-GB"/>
              </w:rPr>
            </w:pPr>
            <w:r w:rsidRPr="005F25C3">
              <w:rPr>
                <w:noProof/>
                <w:sz w:val="24"/>
                <w:szCs w:val="24"/>
                <w:lang w:val="en-GB"/>
              </w:rPr>
              <w:t>66 %</w:t>
            </w:r>
          </w:p>
        </w:tc>
      </w:tr>
      <w:tr w:rsidR="001A6F3D" w:rsidRPr="005F25C3" w14:paraId="328F7737" w14:textId="77777777" w:rsidTr="000376C5">
        <w:trPr>
          <w:trHeight w:val="460"/>
        </w:trPr>
        <w:tc>
          <w:tcPr>
            <w:tcW w:w="1721" w:type="pct"/>
            <w:tcBorders>
              <w:top w:val="single" w:sz="4" w:space="0" w:color="000000"/>
              <w:left w:val="single" w:sz="4" w:space="0" w:color="000000"/>
              <w:bottom w:val="single" w:sz="4" w:space="0" w:color="000000"/>
              <w:right w:val="single" w:sz="4" w:space="0" w:color="000000"/>
            </w:tcBorders>
            <w:hideMark/>
          </w:tcPr>
          <w:p w14:paraId="1FFE8915" w14:textId="77777777" w:rsidR="001A6F3D" w:rsidRPr="005F25C3" w:rsidRDefault="001A6F3D">
            <w:pPr>
              <w:suppressAutoHyphens/>
              <w:rPr>
                <w:noProof/>
                <w:sz w:val="24"/>
                <w:szCs w:val="24"/>
              </w:rPr>
            </w:pPr>
            <w:r w:rsidRPr="005F25C3">
              <w:rPr>
                <w:noProof/>
                <w:sz w:val="24"/>
                <w:szCs w:val="24"/>
              </w:rPr>
              <w:t>Evne til at stå i mere end 15 min.</w:t>
            </w:r>
          </w:p>
        </w:tc>
        <w:tc>
          <w:tcPr>
            <w:tcW w:w="410" w:type="pct"/>
            <w:tcBorders>
              <w:top w:val="single" w:sz="4" w:space="0" w:color="000000"/>
              <w:left w:val="single" w:sz="4" w:space="0" w:color="000000"/>
              <w:bottom w:val="single" w:sz="4" w:space="0" w:color="000000"/>
              <w:right w:val="single" w:sz="4" w:space="0" w:color="000000"/>
            </w:tcBorders>
            <w:hideMark/>
          </w:tcPr>
          <w:p w14:paraId="02DDA959" w14:textId="77777777" w:rsidR="001A6F3D" w:rsidRPr="005F25C3" w:rsidRDefault="001A6F3D">
            <w:pPr>
              <w:suppressAutoHyphens/>
              <w:rPr>
                <w:noProof/>
                <w:sz w:val="24"/>
                <w:szCs w:val="24"/>
                <w:lang w:val="en-GB"/>
              </w:rPr>
            </w:pPr>
            <w:r w:rsidRPr="005F25C3">
              <w:rPr>
                <w:noProof/>
                <w:sz w:val="24"/>
                <w:szCs w:val="24"/>
                <w:lang w:val="en-GB"/>
              </w:rPr>
              <w:t>520</w:t>
            </w:r>
          </w:p>
        </w:tc>
        <w:tc>
          <w:tcPr>
            <w:tcW w:w="656" w:type="pct"/>
            <w:tcBorders>
              <w:top w:val="single" w:sz="4" w:space="0" w:color="000000"/>
              <w:left w:val="single" w:sz="4" w:space="0" w:color="000000"/>
              <w:bottom w:val="single" w:sz="4" w:space="0" w:color="000000"/>
              <w:right w:val="single" w:sz="4" w:space="0" w:color="000000"/>
            </w:tcBorders>
            <w:hideMark/>
          </w:tcPr>
          <w:p w14:paraId="0CB67016" w14:textId="77777777" w:rsidR="001A6F3D" w:rsidRPr="005F25C3" w:rsidRDefault="001A6F3D">
            <w:pPr>
              <w:suppressAutoHyphens/>
              <w:rPr>
                <w:noProof/>
                <w:sz w:val="24"/>
                <w:szCs w:val="24"/>
                <w:lang w:val="en-GB"/>
              </w:rPr>
            </w:pPr>
            <w:r w:rsidRPr="005F25C3">
              <w:rPr>
                <w:noProof/>
                <w:sz w:val="24"/>
                <w:szCs w:val="24"/>
                <w:lang w:val="en-GB"/>
              </w:rPr>
              <w:t>1,6 (0,03)</w:t>
            </w:r>
          </w:p>
        </w:tc>
        <w:tc>
          <w:tcPr>
            <w:tcW w:w="819" w:type="pct"/>
            <w:tcBorders>
              <w:top w:val="single" w:sz="4" w:space="0" w:color="000000"/>
              <w:left w:val="single" w:sz="4" w:space="0" w:color="000000"/>
              <w:bottom w:val="single" w:sz="4" w:space="0" w:color="000000"/>
              <w:right w:val="single" w:sz="4" w:space="0" w:color="000000"/>
            </w:tcBorders>
            <w:hideMark/>
          </w:tcPr>
          <w:p w14:paraId="4DF6AAAD" w14:textId="77777777" w:rsidR="001A6F3D" w:rsidRPr="005F25C3" w:rsidRDefault="001A6F3D">
            <w:pPr>
              <w:suppressAutoHyphens/>
              <w:rPr>
                <w:noProof/>
                <w:sz w:val="24"/>
                <w:szCs w:val="24"/>
                <w:lang w:val="en-GB"/>
              </w:rPr>
            </w:pPr>
            <w:r w:rsidRPr="005F25C3">
              <w:rPr>
                <w:noProof/>
                <w:sz w:val="24"/>
                <w:szCs w:val="24"/>
                <w:lang w:val="en-GB"/>
              </w:rPr>
              <w:t>1,9 (0,03)</w:t>
            </w:r>
          </w:p>
        </w:tc>
        <w:tc>
          <w:tcPr>
            <w:tcW w:w="763" w:type="pct"/>
            <w:tcBorders>
              <w:top w:val="single" w:sz="4" w:space="0" w:color="000000"/>
              <w:left w:val="single" w:sz="4" w:space="0" w:color="000000"/>
              <w:bottom w:val="single" w:sz="4" w:space="0" w:color="000000"/>
              <w:right w:val="single" w:sz="4" w:space="0" w:color="000000"/>
            </w:tcBorders>
            <w:hideMark/>
          </w:tcPr>
          <w:p w14:paraId="0AFE7F8A" w14:textId="77777777" w:rsidR="001A6F3D" w:rsidRPr="005F25C3" w:rsidRDefault="001A6F3D">
            <w:pPr>
              <w:suppressAutoHyphens/>
              <w:rPr>
                <w:noProof/>
                <w:sz w:val="24"/>
                <w:szCs w:val="24"/>
                <w:lang w:val="en-GB"/>
              </w:rPr>
            </w:pPr>
            <w:r w:rsidRPr="005F25C3">
              <w:rPr>
                <w:noProof/>
                <w:sz w:val="24"/>
                <w:szCs w:val="24"/>
                <w:lang w:val="en-GB"/>
              </w:rPr>
              <w:t>0,24 (0,033)</w:t>
            </w:r>
          </w:p>
        </w:tc>
        <w:tc>
          <w:tcPr>
            <w:tcW w:w="631" w:type="pct"/>
            <w:tcBorders>
              <w:top w:val="single" w:sz="4" w:space="0" w:color="000000"/>
              <w:left w:val="single" w:sz="4" w:space="0" w:color="000000"/>
              <w:bottom w:val="single" w:sz="4" w:space="0" w:color="000000"/>
              <w:right w:val="single" w:sz="4" w:space="0" w:color="000000"/>
            </w:tcBorders>
            <w:hideMark/>
          </w:tcPr>
          <w:p w14:paraId="606F8D60" w14:textId="77777777" w:rsidR="001A6F3D" w:rsidRPr="005F25C3" w:rsidRDefault="001A6F3D">
            <w:pPr>
              <w:suppressAutoHyphens/>
              <w:rPr>
                <w:noProof/>
                <w:sz w:val="24"/>
                <w:szCs w:val="24"/>
                <w:lang w:val="en-GB"/>
              </w:rPr>
            </w:pPr>
            <w:r w:rsidRPr="005F25C3">
              <w:rPr>
                <w:noProof/>
                <w:sz w:val="24"/>
                <w:szCs w:val="24"/>
                <w:lang w:val="en-GB"/>
              </w:rPr>
              <w:t>15 %</w:t>
            </w:r>
          </w:p>
        </w:tc>
      </w:tr>
      <w:tr w:rsidR="001A6F3D" w:rsidRPr="005F25C3" w14:paraId="4CC1D0E1"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44DD3C91" w14:textId="77777777" w:rsidR="001A6F3D" w:rsidRPr="005F25C3" w:rsidRDefault="001A6F3D">
            <w:pPr>
              <w:suppressAutoHyphens/>
              <w:rPr>
                <w:noProof/>
                <w:sz w:val="24"/>
                <w:szCs w:val="24"/>
              </w:rPr>
            </w:pPr>
            <w:r w:rsidRPr="005F25C3">
              <w:rPr>
                <w:noProof/>
                <w:sz w:val="24"/>
                <w:szCs w:val="24"/>
              </w:rPr>
              <w:t>Evne til at gå uden hjælp</w:t>
            </w:r>
          </w:p>
        </w:tc>
        <w:tc>
          <w:tcPr>
            <w:tcW w:w="410" w:type="pct"/>
            <w:tcBorders>
              <w:top w:val="single" w:sz="4" w:space="0" w:color="000000"/>
              <w:left w:val="single" w:sz="4" w:space="0" w:color="000000"/>
              <w:bottom w:val="single" w:sz="4" w:space="0" w:color="000000"/>
              <w:right w:val="single" w:sz="4" w:space="0" w:color="000000"/>
            </w:tcBorders>
            <w:hideMark/>
          </w:tcPr>
          <w:p w14:paraId="76695A5E" w14:textId="77777777" w:rsidR="001A6F3D" w:rsidRPr="005F25C3" w:rsidRDefault="001A6F3D">
            <w:pPr>
              <w:suppressAutoHyphens/>
              <w:rPr>
                <w:noProof/>
                <w:sz w:val="24"/>
                <w:szCs w:val="24"/>
                <w:lang w:val="en-GB"/>
              </w:rPr>
            </w:pPr>
            <w:r w:rsidRPr="005F25C3">
              <w:rPr>
                <w:noProof/>
                <w:sz w:val="24"/>
                <w:szCs w:val="24"/>
                <w:lang w:val="en-GB"/>
              </w:rPr>
              <w:t>518</w:t>
            </w:r>
          </w:p>
        </w:tc>
        <w:tc>
          <w:tcPr>
            <w:tcW w:w="656" w:type="pct"/>
            <w:tcBorders>
              <w:top w:val="single" w:sz="4" w:space="0" w:color="000000"/>
              <w:left w:val="single" w:sz="4" w:space="0" w:color="000000"/>
              <w:bottom w:val="single" w:sz="4" w:space="0" w:color="000000"/>
              <w:right w:val="single" w:sz="4" w:space="0" w:color="000000"/>
            </w:tcBorders>
            <w:hideMark/>
          </w:tcPr>
          <w:p w14:paraId="42BCC43B" w14:textId="77777777" w:rsidR="001A6F3D" w:rsidRPr="005F25C3" w:rsidRDefault="001A6F3D">
            <w:pPr>
              <w:suppressAutoHyphens/>
              <w:rPr>
                <w:noProof/>
                <w:sz w:val="24"/>
                <w:szCs w:val="24"/>
                <w:lang w:val="en-GB"/>
              </w:rPr>
            </w:pPr>
            <w:r w:rsidRPr="005F25C3">
              <w:rPr>
                <w:noProof/>
                <w:sz w:val="24"/>
                <w:szCs w:val="24"/>
                <w:lang w:val="en-GB"/>
              </w:rPr>
              <w:t>1,9 (0,04)</w:t>
            </w:r>
          </w:p>
        </w:tc>
        <w:tc>
          <w:tcPr>
            <w:tcW w:w="819" w:type="pct"/>
            <w:tcBorders>
              <w:top w:val="single" w:sz="4" w:space="0" w:color="000000"/>
              <w:left w:val="single" w:sz="4" w:space="0" w:color="000000"/>
              <w:bottom w:val="single" w:sz="4" w:space="0" w:color="000000"/>
              <w:right w:val="single" w:sz="4" w:space="0" w:color="000000"/>
            </w:tcBorders>
            <w:hideMark/>
          </w:tcPr>
          <w:p w14:paraId="5EC0DD7B" w14:textId="77777777" w:rsidR="001A6F3D" w:rsidRPr="005F25C3" w:rsidRDefault="001A6F3D">
            <w:pPr>
              <w:suppressAutoHyphens/>
              <w:rPr>
                <w:noProof/>
                <w:sz w:val="24"/>
                <w:szCs w:val="24"/>
                <w:lang w:val="en-GB"/>
              </w:rPr>
            </w:pPr>
            <w:r w:rsidRPr="005F25C3">
              <w:rPr>
                <w:noProof/>
                <w:sz w:val="24"/>
                <w:szCs w:val="24"/>
                <w:lang w:val="en-GB"/>
              </w:rPr>
              <w:t>2,0 (0,04)</w:t>
            </w:r>
          </w:p>
        </w:tc>
        <w:tc>
          <w:tcPr>
            <w:tcW w:w="763" w:type="pct"/>
            <w:tcBorders>
              <w:top w:val="single" w:sz="4" w:space="0" w:color="000000"/>
              <w:left w:val="single" w:sz="4" w:space="0" w:color="000000"/>
              <w:bottom w:val="single" w:sz="4" w:space="0" w:color="000000"/>
              <w:right w:val="single" w:sz="4" w:space="0" w:color="000000"/>
            </w:tcBorders>
            <w:hideMark/>
          </w:tcPr>
          <w:p w14:paraId="27FD8D8E" w14:textId="77777777" w:rsidR="001A6F3D" w:rsidRPr="005F25C3" w:rsidRDefault="001A6F3D">
            <w:pPr>
              <w:suppressAutoHyphens/>
              <w:rPr>
                <w:noProof/>
                <w:sz w:val="24"/>
                <w:szCs w:val="24"/>
                <w:lang w:val="en-GB"/>
              </w:rPr>
            </w:pPr>
            <w:r w:rsidRPr="005F25C3">
              <w:rPr>
                <w:noProof/>
                <w:sz w:val="24"/>
                <w:szCs w:val="24"/>
                <w:lang w:val="en-GB"/>
              </w:rPr>
              <w:t>0,11 (0,033)</w:t>
            </w:r>
          </w:p>
        </w:tc>
        <w:tc>
          <w:tcPr>
            <w:tcW w:w="631" w:type="pct"/>
            <w:tcBorders>
              <w:top w:val="single" w:sz="4" w:space="0" w:color="000000"/>
              <w:left w:val="single" w:sz="4" w:space="0" w:color="000000"/>
              <w:bottom w:val="single" w:sz="4" w:space="0" w:color="000000"/>
              <w:right w:val="single" w:sz="4" w:space="0" w:color="000000"/>
            </w:tcBorders>
            <w:hideMark/>
          </w:tcPr>
          <w:p w14:paraId="452C3A35" w14:textId="77777777" w:rsidR="001A6F3D" w:rsidRPr="005F25C3" w:rsidRDefault="001A6F3D">
            <w:pPr>
              <w:suppressAutoHyphens/>
              <w:rPr>
                <w:noProof/>
                <w:sz w:val="24"/>
                <w:szCs w:val="24"/>
                <w:lang w:val="en-GB"/>
              </w:rPr>
            </w:pPr>
            <w:r w:rsidRPr="005F25C3">
              <w:rPr>
                <w:noProof/>
                <w:sz w:val="24"/>
                <w:szCs w:val="24"/>
                <w:lang w:val="en-GB"/>
              </w:rPr>
              <w:t>6 %</w:t>
            </w:r>
          </w:p>
        </w:tc>
      </w:tr>
      <w:tr w:rsidR="001A6F3D" w:rsidRPr="005F25C3" w14:paraId="1562F99E"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42772879" w14:textId="77777777" w:rsidR="001A6F3D" w:rsidRPr="005F25C3" w:rsidRDefault="001A6F3D">
            <w:pPr>
              <w:suppressAutoHyphens/>
              <w:rPr>
                <w:noProof/>
                <w:sz w:val="24"/>
                <w:szCs w:val="24"/>
                <w:lang w:val="en-GB"/>
              </w:rPr>
            </w:pPr>
            <w:r w:rsidRPr="005F25C3">
              <w:rPr>
                <w:noProof/>
                <w:sz w:val="24"/>
                <w:szCs w:val="24"/>
                <w:lang w:val="en-GB"/>
              </w:rPr>
              <w:t>Depression</w:t>
            </w:r>
          </w:p>
        </w:tc>
        <w:tc>
          <w:tcPr>
            <w:tcW w:w="410" w:type="pct"/>
            <w:tcBorders>
              <w:top w:val="single" w:sz="4" w:space="0" w:color="000000"/>
              <w:left w:val="single" w:sz="4" w:space="0" w:color="000000"/>
              <w:bottom w:val="single" w:sz="4" w:space="0" w:color="000000"/>
              <w:right w:val="single" w:sz="4" w:space="0" w:color="000000"/>
            </w:tcBorders>
            <w:hideMark/>
          </w:tcPr>
          <w:p w14:paraId="70587089" w14:textId="77777777" w:rsidR="001A6F3D" w:rsidRPr="005F25C3" w:rsidRDefault="001A6F3D">
            <w:pPr>
              <w:suppressAutoHyphens/>
              <w:rPr>
                <w:noProof/>
                <w:sz w:val="24"/>
                <w:szCs w:val="24"/>
                <w:lang w:val="en-GB"/>
              </w:rPr>
            </w:pPr>
            <w:r w:rsidRPr="005F25C3">
              <w:rPr>
                <w:noProof/>
                <w:sz w:val="24"/>
                <w:szCs w:val="24"/>
                <w:lang w:val="en-GB"/>
              </w:rPr>
              <w:t>519</w:t>
            </w:r>
          </w:p>
        </w:tc>
        <w:tc>
          <w:tcPr>
            <w:tcW w:w="656" w:type="pct"/>
            <w:tcBorders>
              <w:top w:val="single" w:sz="4" w:space="0" w:color="000000"/>
              <w:left w:val="single" w:sz="4" w:space="0" w:color="000000"/>
              <w:bottom w:val="single" w:sz="4" w:space="0" w:color="000000"/>
              <w:right w:val="single" w:sz="4" w:space="0" w:color="000000"/>
            </w:tcBorders>
            <w:hideMark/>
          </w:tcPr>
          <w:p w14:paraId="0BE23C05" w14:textId="77777777" w:rsidR="001A6F3D" w:rsidRPr="005F25C3" w:rsidRDefault="001A6F3D">
            <w:pPr>
              <w:suppressAutoHyphens/>
              <w:rPr>
                <w:noProof/>
                <w:sz w:val="24"/>
                <w:szCs w:val="24"/>
                <w:lang w:val="en-GB"/>
              </w:rPr>
            </w:pPr>
            <w:r w:rsidRPr="005F25C3">
              <w:rPr>
                <w:noProof/>
                <w:sz w:val="24"/>
                <w:szCs w:val="24"/>
                <w:lang w:val="en-GB"/>
              </w:rPr>
              <w:t>2,1 (0,03)</w:t>
            </w:r>
          </w:p>
        </w:tc>
        <w:tc>
          <w:tcPr>
            <w:tcW w:w="819" w:type="pct"/>
            <w:tcBorders>
              <w:top w:val="single" w:sz="4" w:space="0" w:color="000000"/>
              <w:left w:val="single" w:sz="4" w:space="0" w:color="000000"/>
              <w:bottom w:val="single" w:sz="4" w:space="0" w:color="000000"/>
              <w:right w:val="single" w:sz="4" w:space="0" w:color="000000"/>
            </w:tcBorders>
            <w:hideMark/>
          </w:tcPr>
          <w:p w14:paraId="01255639" w14:textId="77777777" w:rsidR="001A6F3D" w:rsidRPr="005F25C3" w:rsidRDefault="001A6F3D">
            <w:pPr>
              <w:suppressAutoHyphens/>
              <w:rPr>
                <w:noProof/>
                <w:sz w:val="24"/>
                <w:szCs w:val="24"/>
                <w:lang w:val="en-GB"/>
              </w:rPr>
            </w:pPr>
            <w:r w:rsidRPr="005F25C3">
              <w:rPr>
                <w:noProof/>
                <w:sz w:val="24"/>
                <w:szCs w:val="24"/>
                <w:lang w:val="en-GB"/>
              </w:rPr>
              <w:t>2,2 (0,03)</w:t>
            </w:r>
          </w:p>
        </w:tc>
        <w:tc>
          <w:tcPr>
            <w:tcW w:w="763" w:type="pct"/>
            <w:tcBorders>
              <w:top w:val="single" w:sz="4" w:space="0" w:color="000000"/>
              <w:left w:val="single" w:sz="4" w:space="0" w:color="000000"/>
              <w:bottom w:val="single" w:sz="4" w:space="0" w:color="000000"/>
              <w:right w:val="single" w:sz="4" w:space="0" w:color="000000"/>
            </w:tcBorders>
            <w:hideMark/>
          </w:tcPr>
          <w:p w14:paraId="10698A59" w14:textId="77777777" w:rsidR="001A6F3D" w:rsidRPr="005F25C3" w:rsidRDefault="001A6F3D">
            <w:pPr>
              <w:suppressAutoHyphens/>
              <w:rPr>
                <w:noProof/>
                <w:sz w:val="24"/>
                <w:szCs w:val="24"/>
                <w:lang w:val="en-GB"/>
              </w:rPr>
            </w:pPr>
            <w:r w:rsidRPr="005F25C3">
              <w:rPr>
                <w:noProof/>
                <w:sz w:val="24"/>
                <w:szCs w:val="24"/>
                <w:lang w:val="en-GB"/>
              </w:rPr>
              <w:t>0,08 (0,031)</w:t>
            </w:r>
          </w:p>
        </w:tc>
        <w:tc>
          <w:tcPr>
            <w:tcW w:w="631" w:type="pct"/>
            <w:tcBorders>
              <w:top w:val="single" w:sz="4" w:space="0" w:color="000000"/>
              <w:left w:val="single" w:sz="4" w:space="0" w:color="000000"/>
              <w:bottom w:val="single" w:sz="4" w:space="0" w:color="000000"/>
              <w:right w:val="single" w:sz="4" w:space="0" w:color="000000"/>
            </w:tcBorders>
            <w:hideMark/>
          </w:tcPr>
          <w:p w14:paraId="3BED304E" w14:textId="77777777" w:rsidR="001A6F3D" w:rsidRPr="005F25C3" w:rsidRDefault="001A6F3D">
            <w:pPr>
              <w:suppressAutoHyphens/>
              <w:rPr>
                <w:noProof/>
                <w:sz w:val="24"/>
                <w:szCs w:val="24"/>
                <w:lang w:val="en-GB"/>
              </w:rPr>
            </w:pPr>
            <w:r w:rsidRPr="005F25C3">
              <w:rPr>
                <w:noProof/>
                <w:sz w:val="24"/>
                <w:szCs w:val="24"/>
                <w:lang w:val="en-GB"/>
              </w:rPr>
              <w:t>4 %</w:t>
            </w:r>
          </w:p>
        </w:tc>
      </w:tr>
      <w:tr w:rsidR="001A6F3D" w:rsidRPr="005F25C3" w14:paraId="2957EE5F" w14:textId="77777777" w:rsidTr="000376C5">
        <w:trPr>
          <w:trHeight w:val="230"/>
        </w:trPr>
        <w:tc>
          <w:tcPr>
            <w:tcW w:w="1721" w:type="pct"/>
            <w:tcBorders>
              <w:top w:val="single" w:sz="4" w:space="0" w:color="000000"/>
              <w:left w:val="single" w:sz="4" w:space="0" w:color="000000"/>
              <w:bottom w:val="single" w:sz="4" w:space="0" w:color="000000"/>
              <w:right w:val="single" w:sz="4" w:space="0" w:color="000000"/>
            </w:tcBorders>
            <w:hideMark/>
          </w:tcPr>
          <w:p w14:paraId="110ED2F5" w14:textId="77777777" w:rsidR="001A6F3D" w:rsidRPr="005F25C3" w:rsidRDefault="001A6F3D">
            <w:pPr>
              <w:suppressAutoHyphens/>
              <w:rPr>
                <w:noProof/>
                <w:sz w:val="24"/>
                <w:szCs w:val="24"/>
                <w:lang w:val="en-GB"/>
              </w:rPr>
            </w:pPr>
            <w:r w:rsidRPr="005F25C3">
              <w:rPr>
                <w:noProof/>
                <w:sz w:val="24"/>
                <w:szCs w:val="24"/>
                <w:lang w:val="en-GB"/>
              </w:rPr>
              <w:t>QOLI</w:t>
            </w:r>
          </w:p>
        </w:tc>
        <w:tc>
          <w:tcPr>
            <w:tcW w:w="410" w:type="pct"/>
            <w:tcBorders>
              <w:top w:val="single" w:sz="4" w:space="0" w:color="000000"/>
              <w:left w:val="single" w:sz="4" w:space="0" w:color="000000"/>
              <w:bottom w:val="single" w:sz="4" w:space="0" w:color="000000"/>
              <w:right w:val="single" w:sz="4" w:space="0" w:color="000000"/>
            </w:tcBorders>
            <w:hideMark/>
          </w:tcPr>
          <w:p w14:paraId="00BFA918" w14:textId="77777777" w:rsidR="001A6F3D" w:rsidRPr="005F25C3" w:rsidRDefault="001A6F3D">
            <w:pPr>
              <w:suppressAutoHyphens/>
              <w:rPr>
                <w:noProof/>
                <w:sz w:val="24"/>
                <w:szCs w:val="24"/>
                <w:lang w:val="en-GB"/>
              </w:rPr>
            </w:pPr>
            <w:r w:rsidRPr="005F25C3">
              <w:rPr>
                <w:noProof/>
                <w:sz w:val="24"/>
                <w:szCs w:val="24"/>
                <w:lang w:val="en-GB"/>
              </w:rPr>
              <w:t>524</w:t>
            </w:r>
          </w:p>
        </w:tc>
        <w:tc>
          <w:tcPr>
            <w:tcW w:w="656" w:type="pct"/>
            <w:tcBorders>
              <w:top w:val="single" w:sz="4" w:space="0" w:color="000000"/>
              <w:left w:val="single" w:sz="4" w:space="0" w:color="000000"/>
              <w:bottom w:val="single" w:sz="4" w:space="0" w:color="000000"/>
              <w:right w:val="single" w:sz="4" w:space="0" w:color="000000"/>
            </w:tcBorders>
            <w:hideMark/>
          </w:tcPr>
          <w:p w14:paraId="53C6B803" w14:textId="77777777" w:rsidR="001A6F3D" w:rsidRPr="005F25C3" w:rsidRDefault="001A6F3D">
            <w:pPr>
              <w:suppressAutoHyphens/>
              <w:rPr>
                <w:noProof/>
                <w:sz w:val="24"/>
                <w:szCs w:val="24"/>
                <w:lang w:val="en-GB"/>
              </w:rPr>
            </w:pPr>
            <w:r w:rsidRPr="005F25C3">
              <w:rPr>
                <w:noProof/>
                <w:sz w:val="24"/>
                <w:szCs w:val="24"/>
                <w:lang w:val="en-GB"/>
              </w:rPr>
              <w:t>1,7 (0,02)</w:t>
            </w:r>
          </w:p>
        </w:tc>
        <w:tc>
          <w:tcPr>
            <w:tcW w:w="819" w:type="pct"/>
            <w:tcBorders>
              <w:top w:val="single" w:sz="4" w:space="0" w:color="000000"/>
              <w:left w:val="single" w:sz="4" w:space="0" w:color="000000"/>
              <w:bottom w:val="single" w:sz="4" w:space="0" w:color="000000"/>
              <w:right w:val="single" w:sz="4" w:space="0" w:color="000000"/>
            </w:tcBorders>
            <w:hideMark/>
          </w:tcPr>
          <w:p w14:paraId="098E3112" w14:textId="77777777" w:rsidR="001A6F3D" w:rsidRPr="005F25C3" w:rsidRDefault="001A6F3D">
            <w:pPr>
              <w:suppressAutoHyphens/>
              <w:rPr>
                <w:noProof/>
                <w:sz w:val="24"/>
                <w:szCs w:val="24"/>
                <w:lang w:val="en-GB"/>
              </w:rPr>
            </w:pPr>
            <w:r w:rsidRPr="005F25C3">
              <w:rPr>
                <w:noProof/>
                <w:sz w:val="24"/>
                <w:szCs w:val="24"/>
                <w:lang w:val="en-GB"/>
              </w:rPr>
              <w:t>2,1 (0,02)</w:t>
            </w:r>
          </w:p>
        </w:tc>
        <w:tc>
          <w:tcPr>
            <w:tcW w:w="763" w:type="pct"/>
            <w:tcBorders>
              <w:top w:val="single" w:sz="4" w:space="0" w:color="000000"/>
              <w:left w:val="single" w:sz="4" w:space="0" w:color="000000"/>
              <w:bottom w:val="single" w:sz="4" w:space="0" w:color="000000"/>
              <w:right w:val="single" w:sz="4" w:space="0" w:color="000000"/>
            </w:tcBorders>
            <w:hideMark/>
          </w:tcPr>
          <w:p w14:paraId="2EFD46A6" w14:textId="77777777" w:rsidR="001A6F3D" w:rsidRPr="005F25C3" w:rsidRDefault="001A6F3D">
            <w:pPr>
              <w:suppressAutoHyphens/>
              <w:rPr>
                <w:noProof/>
                <w:sz w:val="24"/>
                <w:szCs w:val="24"/>
                <w:lang w:val="en-GB"/>
              </w:rPr>
            </w:pPr>
            <w:r w:rsidRPr="005F25C3">
              <w:rPr>
                <w:noProof/>
                <w:sz w:val="24"/>
                <w:szCs w:val="24"/>
                <w:lang w:val="en-GB"/>
              </w:rPr>
              <w:t>0,33 (0,021)</w:t>
            </w:r>
          </w:p>
        </w:tc>
        <w:tc>
          <w:tcPr>
            <w:tcW w:w="631" w:type="pct"/>
            <w:tcBorders>
              <w:top w:val="single" w:sz="4" w:space="0" w:color="000000"/>
              <w:left w:val="single" w:sz="4" w:space="0" w:color="000000"/>
              <w:bottom w:val="single" w:sz="4" w:space="0" w:color="000000"/>
              <w:right w:val="single" w:sz="4" w:space="0" w:color="000000"/>
            </w:tcBorders>
            <w:hideMark/>
          </w:tcPr>
          <w:p w14:paraId="458C103E" w14:textId="77777777" w:rsidR="001A6F3D" w:rsidRPr="005F25C3" w:rsidRDefault="001A6F3D">
            <w:pPr>
              <w:suppressAutoHyphens/>
              <w:rPr>
                <w:noProof/>
                <w:sz w:val="24"/>
                <w:szCs w:val="24"/>
                <w:lang w:val="en-GB"/>
              </w:rPr>
            </w:pPr>
            <w:r w:rsidRPr="005F25C3">
              <w:rPr>
                <w:noProof/>
                <w:sz w:val="24"/>
                <w:szCs w:val="24"/>
                <w:lang w:val="en-GB"/>
              </w:rPr>
              <w:t>19 %</w:t>
            </w:r>
          </w:p>
        </w:tc>
      </w:tr>
    </w:tbl>
    <w:p w14:paraId="2D606FCE" w14:textId="77777777" w:rsidR="001A6F3D" w:rsidRPr="005F25C3" w:rsidRDefault="001A6F3D" w:rsidP="000376C5">
      <w:pPr>
        <w:ind w:left="851"/>
        <w:rPr>
          <w:noProof/>
          <w:sz w:val="24"/>
          <w:szCs w:val="24"/>
        </w:rPr>
      </w:pPr>
    </w:p>
    <w:p w14:paraId="67ADFBA3" w14:textId="77777777" w:rsidR="001A6F3D" w:rsidRPr="005F25C3" w:rsidRDefault="001A6F3D" w:rsidP="000376C5">
      <w:pPr>
        <w:ind w:left="851"/>
        <w:rPr>
          <w:noProof/>
          <w:sz w:val="24"/>
          <w:szCs w:val="24"/>
        </w:rPr>
      </w:pPr>
      <w:r w:rsidRPr="005F25C3">
        <w:rPr>
          <w:noProof/>
          <w:sz w:val="24"/>
          <w:szCs w:val="24"/>
        </w:rPr>
        <w:t>I et andet langvarigt studie fik 723 patienter med neurogen ortostatisk hypotension en gennemsnitlig total daglig dosis på 18 g midodrin over en periode på ét år. Op til 196 patienter tog lægemidlet i ét år eller mere. Det primære effektmål var ændringen i blodtrykket i stående stilling. Baselinemålingerne af systolisk og diastolisk blodtryk bestod af de sidste målinger, der blev taget inden den første dosis midodrin. Endepunktsmålingerne af systolisk og diastolisk blodtryk bestod af de sidste målinger, der blev taget under behandlingen med midodrin. Der blev fremlagt opsummerende statistik.</w:t>
      </w:r>
    </w:p>
    <w:p w14:paraId="189B9933" w14:textId="77777777" w:rsidR="001A6F3D" w:rsidRPr="005F25C3" w:rsidRDefault="001A6F3D" w:rsidP="000376C5">
      <w:pPr>
        <w:ind w:left="851"/>
        <w:rPr>
          <w:noProof/>
          <w:sz w:val="24"/>
          <w:szCs w:val="24"/>
        </w:rPr>
      </w:pPr>
    </w:p>
    <w:p w14:paraId="2450EC1B" w14:textId="77777777" w:rsidR="001A6F3D" w:rsidRPr="005F25C3" w:rsidRDefault="001A6F3D" w:rsidP="000376C5">
      <w:pPr>
        <w:ind w:left="851"/>
        <w:rPr>
          <w:noProof/>
          <w:sz w:val="24"/>
          <w:szCs w:val="24"/>
        </w:rPr>
      </w:pPr>
      <w:r w:rsidRPr="005F25C3">
        <w:rPr>
          <w:noProof/>
          <w:sz w:val="24"/>
          <w:szCs w:val="24"/>
        </w:rPr>
        <w:t>Ved endepunktsmålingen var det gennemsnitlige systoliske blodtryk i stående stilling steget med 8 mm kviksølv i forhold til baseline, og der var en stigning i det diastoliske blodtryk på næsten 5 mm kviksølv.</w:t>
      </w:r>
    </w:p>
    <w:p w14:paraId="4F7E9296" w14:textId="77777777" w:rsidR="001A6F3D" w:rsidRPr="005F25C3" w:rsidRDefault="001A6F3D" w:rsidP="000376C5">
      <w:pPr>
        <w:ind w:left="851"/>
        <w:rPr>
          <w:noProof/>
          <w:sz w:val="24"/>
          <w:szCs w:val="24"/>
        </w:rPr>
      </w:pPr>
    </w:p>
    <w:p w14:paraId="45CA68F9" w14:textId="77777777" w:rsidR="001A6F3D" w:rsidRPr="005F25C3" w:rsidRDefault="001A6F3D" w:rsidP="000376C5">
      <w:pPr>
        <w:ind w:left="851"/>
        <w:rPr>
          <w:noProof/>
          <w:sz w:val="24"/>
          <w:szCs w:val="24"/>
        </w:rPr>
      </w:pPr>
      <w:r w:rsidRPr="005F25C3">
        <w:rPr>
          <w:noProof/>
          <w:sz w:val="24"/>
          <w:szCs w:val="24"/>
        </w:rPr>
        <w:t>Det er vigtigt at bemærke, at forsøgsdeltagerne fortsatte med at tage tidligere lægemidler, herunder steroider.</w:t>
      </w:r>
    </w:p>
    <w:p w14:paraId="0129E231" w14:textId="77777777" w:rsidR="001A6F3D" w:rsidRPr="005F25C3" w:rsidRDefault="001A6F3D" w:rsidP="000376C5">
      <w:pPr>
        <w:ind w:left="851"/>
        <w:rPr>
          <w:noProof/>
          <w:sz w:val="24"/>
          <w:szCs w:val="24"/>
        </w:rPr>
      </w:pPr>
    </w:p>
    <w:p w14:paraId="3ED71B16" w14:textId="77777777" w:rsidR="001A6F3D" w:rsidRPr="005F25C3" w:rsidRDefault="001A6F3D" w:rsidP="000376C5">
      <w:pPr>
        <w:ind w:left="851"/>
        <w:rPr>
          <w:noProof/>
          <w:sz w:val="24"/>
          <w:szCs w:val="24"/>
        </w:rPr>
      </w:pPr>
      <w:r w:rsidRPr="005F25C3">
        <w:rPr>
          <w:noProof/>
          <w:sz w:val="24"/>
          <w:szCs w:val="24"/>
        </w:rPr>
        <w:t>Dødsraten var på 6 %. I alle tilfældene blev en sammenhæng med midodrin vurderet at være ikke-eksisterende eller usandsynlig. Udover dødsfald var de hyppigst rapporterede bivirkninger i dette studie synkope og pruritus i hovedbunden.</w:t>
      </w:r>
    </w:p>
    <w:p w14:paraId="20972647" w14:textId="77777777" w:rsidR="009260DE" w:rsidRPr="005F25C3" w:rsidRDefault="009260DE" w:rsidP="009260DE">
      <w:pPr>
        <w:tabs>
          <w:tab w:val="left" w:pos="851"/>
        </w:tabs>
        <w:ind w:left="851"/>
        <w:rPr>
          <w:sz w:val="24"/>
          <w:szCs w:val="24"/>
        </w:rPr>
      </w:pPr>
    </w:p>
    <w:p w14:paraId="61A43F6B" w14:textId="77777777" w:rsidR="009260DE" w:rsidRPr="005F25C3" w:rsidRDefault="009260DE" w:rsidP="009260DE">
      <w:pPr>
        <w:tabs>
          <w:tab w:val="left" w:pos="851"/>
        </w:tabs>
        <w:ind w:left="851" w:hanging="851"/>
        <w:rPr>
          <w:b/>
          <w:sz w:val="24"/>
          <w:szCs w:val="24"/>
        </w:rPr>
      </w:pPr>
      <w:r w:rsidRPr="005F25C3">
        <w:rPr>
          <w:b/>
          <w:sz w:val="24"/>
          <w:szCs w:val="24"/>
        </w:rPr>
        <w:t>5.2</w:t>
      </w:r>
      <w:r w:rsidRPr="005F25C3">
        <w:rPr>
          <w:b/>
          <w:sz w:val="24"/>
          <w:szCs w:val="24"/>
        </w:rPr>
        <w:tab/>
      </w:r>
      <w:proofErr w:type="spellStart"/>
      <w:r w:rsidRPr="005F25C3">
        <w:rPr>
          <w:b/>
          <w:sz w:val="24"/>
          <w:szCs w:val="24"/>
        </w:rPr>
        <w:t>Farmakokinetiske</w:t>
      </w:r>
      <w:proofErr w:type="spellEnd"/>
      <w:r w:rsidRPr="005F25C3">
        <w:rPr>
          <w:b/>
          <w:sz w:val="24"/>
          <w:szCs w:val="24"/>
        </w:rPr>
        <w:t xml:space="preserve"> egenskaber</w:t>
      </w:r>
    </w:p>
    <w:p w14:paraId="2E4DE056" w14:textId="77777777" w:rsidR="005F25C3" w:rsidRDefault="005F25C3" w:rsidP="000376C5">
      <w:pPr>
        <w:ind w:left="851"/>
        <w:rPr>
          <w:noProof/>
          <w:sz w:val="24"/>
          <w:szCs w:val="24"/>
        </w:rPr>
      </w:pPr>
    </w:p>
    <w:p w14:paraId="168382C9" w14:textId="035D5336" w:rsidR="001A6F3D" w:rsidRPr="005F25C3" w:rsidRDefault="001A6F3D" w:rsidP="000376C5">
      <w:pPr>
        <w:ind w:left="851"/>
        <w:rPr>
          <w:noProof/>
          <w:sz w:val="24"/>
          <w:szCs w:val="24"/>
          <w:u w:val="single"/>
        </w:rPr>
      </w:pPr>
      <w:r w:rsidRPr="005F25C3">
        <w:rPr>
          <w:noProof/>
          <w:sz w:val="24"/>
          <w:szCs w:val="24"/>
          <w:u w:val="single"/>
        </w:rPr>
        <w:t>Absorption</w:t>
      </w:r>
    </w:p>
    <w:p w14:paraId="4E3D060D" w14:textId="38C7D067" w:rsidR="001A6F3D" w:rsidRPr="005F25C3" w:rsidRDefault="001A6F3D" w:rsidP="000376C5">
      <w:pPr>
        <w:ind w:left="851"/>
        <w:rPr>
          <w:noProof/>
          <w:sz w:val="24"/>
          <w:szCs w:val="24"/>
        </w:rPr>
      </w:pPr>
      <w:r w:rsidRPr="005F25C3">
        <w:rPr>
          <w:noProof/>
          <w:sz w:val="24"/>
          <w:szCs w:val="24"/>
        </w:rPr>
        <w:t>Efter oral administration, absorberes midodrin hurtigt. De maksimale plasma</w:t>
      </w:r>
      <w:r w:rsidR="00F27A64">
        <w:rPr>
          <w:noProof/>
          <w:sz w:val="24"/>
          <w:szCs w:val="24"/>
        </w:rPr>
        <w:softHyphen/>
      </w:r>
      <w:r w:rsidRPr="005F25C3">
        <w:rPr>
          <w:noProof/>
          <w:sz w:val="24"/>
          <w:szCs w:val="24"/>
        </w:rPr>
        <w:t>koncentrationer nås efter cirka 30 minutter, og plasmakoncentration af den aktive metabolit desglymidodrin når sit maksimale efter cirka 1 time. AUC og C</w:t>
      </w:r>
      <w:r w:rsidRPr="005F25C3">
        <w:rPr>
          <w:noProof/>
          <w:sz w:val="24"/>
          <w:szCs w:val="24"/>
          <w:vertAlign w:val="subscript"/>
        </w:rPr>
        <w:t>max</w:t>
      </w:r>
      <w:r w:rsidRPr="005F25C3">
        <w:rPr>
          <w:noProof/>
          <w:sz w:val="24"/>
          <w:szCs w:val="24"/>
        </w:rPr>
        <w:t xml:space="preserve"> stiger proportionalt med doserne i doseringsintervallet 2,5-22,5 mg. Administration sammen med mad øger AUC med cirka 25 %, og C</w:t>
      </w:r>
      <w:r w:rsidRPr="005F25C3">
        <w:rPr>
          <w:noProof/>
          <w:sz w:val="24"/>
          <w:szCs w:val="24"/>
          <w:vertAlign w:val="subscript"/>
        </w:rPr>
        <w:t>max</w:t>
      </w:r>
      <w:r w:rsidRPr="005F25C3">
        <w:rPr>
          <w:noProof/>
          <w:sz w:val="24"/>
          <w:szCs w:val="24"/>
        </w:rPr>
        <w:t xml:space="preserve"> falder med cirka 30 %. Desglymidodrins farmakokinetik påvirkes ikke.</w:t>
      </w:r>
    </w:p>
    <w:p w14:paraId="161E00EF" w14:textId="77777777" w:rsidR="001A6F3D" w:rsidRPr="005F25C3" w:rsidRDefault="001A6F3D" w:rsidP="000376C5">
      <w:pPr>
        <w:ind w:left="851"/>
        <w:rPr>
          <w:noProof/>
          <w:sz w:val="24"/>
          <w:szCs w:val="24"/>
        </w:rPr>
      </w:pPr>
    </w:p>
    <w:p w14:paraId="18168CFF" w14:textId="77777777" w:rsidR="001A6F3D" w:rsidRPr="005F25C3" w:rsidRDefault="001A6F3D" w:rsidP="000376C5">
      <w:pPr>
        <w:ind w:left="851"/>
        <w:rPr>
          <w:noProof/>
          <w:sz w:val="24"/>
          <w:szCs w:val="24"/>
          <w:u w:val="single"/>
        </w:rPr>
      </w:pPr>
      <w:r w:rsidRPr="005F25C3">
        <w:rPr>
          <w:noProof/>
          <w:sz w:val="24"/>
          <w:szCs w:val="24"/>
          <w:u w:val="single"/>
        </w:rPr>
        <w:t>Fordeling</w:t>
      </w:r>
    </w:p>
    <w:p w14:paraId="342BC0A5" w14:textId="77777777" w:rsidR="001A6F3D" w:rsidRPr="005F25C3" w:rsidRDefault="001A6F3D" w:rsidP="000376C5">
      <w:pPr>
        <w:ind w:left="851"/>
        <w:rPr>
          <w:noProof/>
          <w:sz w:val="24"/>
          <w:szCs w:val="24"/>
        </w:rPr>
      </w:pPr>
      <w:r w:rsidRPr="005F25C3">
        <w:rPr>
          <w:noProof/>
          <w:sz w:val="24"/>
          <w:szCs w:val="24"/>
        </w:rPr>
        <w:t>Hverken midodrin eller desglymidodrin er bundet til plasmaproteiner i nogen væsentlig grad (mindre end 30 %). Desglymidodrin diffunderer svagt over blod-hjerne barrieren. Der er rapporteret om diffusion over placenta. Det er ikke kendt, om dette lægemiddel udskilles i human mælk.</w:t>
      </w:r>
    </w:p>
    <w:p w14:paraId="0D8A41A7" w14:textId="77777777" w:rsidR="001A6F3D" w:rsidRPr="005F25C3" w:rsidRDefault="001A6F3D" w:rsidP="000376C5">
      <w:pPr>
        <w:ind w:left="851"/>
        <w:rPr>
          <w:noProof/>
          <w:sz w:val="24"/>
          <w:szCs w:val="24"/>
        </w:rPr>
      </w:pPr>
    </w:p>
    <w:p w14:paraId="0C0550A1" w14:textId="77777777" w:rsidR="001A6F3D" w:rsidRPr="005F25C3" w:rsidRDefault="001A6F3D" w:rsidP="000376C5">
      <w:pPr>
        <w:ind w:left="851"/>
        <w:rPr>
          <w:noProof/>
          <w:sz w:val="24"/>
          <w:szCs w:val="24"/>
          <w:u w:val="single"/>
        </w:rPr>
      </w:pPr>
      <w:r w:rsidRPr="005F25C3">
        <w:rPr>
          <w:noProof/>
          <w:sz w:val="24"/>
          <w:szCs w:val="24"/>
          <w:u w:val="single"/>
        </w:rPr>
        <w:t>Metabolisme</w:t>
      </w:r>
    </w:p>
    <w:p w14:paraId="42F2E35D" w14:textId="77777777" w:rsidR="001A6F3D" w:rsidRPr="005F25C3" w:rsidRDefault="001A6F3D" w:rsidP="000376C5">
      <w:pPr>
        <w:ind w:left="851"/>
        <w:rPr>
          <w:noProof/>
          <w:sz w:val="24"/>
          <w:szCs w:val="24"/>
        </w:rPr>
      </w:pPr>
      <w:r w:rsidRPr="005F25C3">
        <w:rPr>
          <w:noProof/>
          <w:sz w:val="24"/>
          <w:szCs w:val="24"/>
        </w:rPr>
        <w:t>Midodrin er delvist hydrolyseret før absorption (i tarmene) og delvist efter absorption (i plasma) ved separation af glycin, hermed genereres den aktive metabolit desglymidodrin. Eliminationen af desglymimodrin er primært forårsaget af en oxiderende metabolisme, efterfulgt af (delvis) konjugation.</w:t>
      </w:r>
    </w:p>
    <w:p w14:paraId="7B094D6F" w14:textId="77777777" w:rsidR="001A6F3D" w:rsidRPr="005F25C3" w:rsidRDefault="001A6F3D" w:rsidP="000376C5">
      <w:pPr>
        <w:ind w:left="851"/>
        <w:rPr>
          <w:noProof/>
          <w:sz w:val="24"/>
          <w:szCs w:val="24"/>
        </w:rPr>
      </w:pPr>
    </w:p>
    <w:p w14:paraId="2EEC95AF" w14:textId="77777777" w:rsidR="001A6F3D" w:rsidRPr="005F25C3" w:rsidRDefault="001A6F3D" w:rsidP="000376C5">
      <w:pPr>
        <w:ind w:left="851"/>
        <w:rPr>
          <w:noProof/>
          <w:sz w:val="24"/>
          <w:szCs w:val="24"/>
          <w:u w:val="single"/>
        </w:rPr>
      </w:pPr>
      <w:r w:rsidRPr="005F25C3">
        <w:rPr>
          <w:noProof/>
          <w:sz w:val="24"/>
          <w:szCs w:val="24"/>
          <w:u w:val="single"/>
        </w:rPr>
        <w:t>Elimination</w:t>
      </w:r>
    </w:p>
    <w:p w14:paraId="453725E1" w14:textId="77777777" w:rsidR="001A6F3D" w:rsidRPr="005F25C3" w:rsidRDefault="001A6F3D" w:rsidP="000376C5">
      <w:pPr>
        <w:ind w:left="851"/>
        <w:rPr>
          <w:noProof/>
          <w:sz w:val="24"/>
          <w:szCs w:val="24"/>
        </w:rPr>
      </w:pPr>
      <w:r w:rsidRPr="005F25C3">
        <w:rPr>
          <w:noProof/>
          <w:sz w:val="24"/>
          <w:szCs w:val="24"/>
        </w:rPr>
        <w:t>Midodrin (8 %), desglymidodrin (40 %) og deres nedbrydningsprodukter (55 %) udskilles i urinen med mere end 90 % inden for 24 timer i konjugerede eller ikke-konjugerede former. Plasmaeliminationshalveringstiden for midodrin er cirka 30 minutter og er cirka 3 timer for desglymidodrin. Elimination af den aktive (-)enantiomer af desglymidodrin er langsommere end eliminationen af den inaktive (+) enantioner.</w:t>
      </w:r>
    </w:p>
    <w:p w14:paraId="2CB31CE4" w14:textId="77777777" w:rsidR="009260DE" w:rsidRPr="005F25C3" w:rsidRDefault="009260DE" w:rsidP="009260DE">
      <w:pPr>
        <w:tabs>
          <w:tab w:val="left" w:pos="851"/>
        </w:tabs>
        <w:ind w:left="851"/>
        <w:rPr>
          <w:sz w:val="24"/>
          <w:szCs w:val="24"/>
        </w:rPr>
      </w:pPr>
    </w:p>
    <w:p w14:paraId="6E6834DC" w14:textId="77777777" w:rsidR="009260DE" w:rsidRPr="005F25C3" w:rsidRDefault="009260DE" w:rsidP="009260DE">
      <w:pPr>
        <w:tabs>
          <w:tab w:val="left" w:pos="851"/>
        </w:tabs>
        <w:ind w:left="851" w:hanging="851"/>
        <w:rPr>
          <w:b/>
          <w:sz w:val="24"/>
          <w:szCs w:val="24"/>
        </w:rPr>
      </w:pPr>
      <w:r w:rsidRPr="005F25C3">
        <w:rPr>
          <w:b/>
          <w:sz w:val="24"/>
          <w:szCs w:val="24"/>
        </w:rPr>
        <w:t>5.3</w:t>
      </w:r>
      <w:r w:rsidRPr="005F25C3">
        <w:rPr>
          <w:b/>
          <w:sz w:val="24"/>
          <w:szCs w:val="24"/>
        </w:rPr>
        <w:tab/>
      </w:r>
      <w:r w:rsidR="00BD7931" w:rsidRPr="005F25C3">
        <w:rPr>
          <w:b/>
          <w:sz w:val="24"/>
          <w:szCs w:val="24"/>
        </w:rPr>
        <w:t>Non-</w:t>
      </w:r>
      <w:r w:rsidRPr="005F25C3">
        <w:rPr>
          <w:b/>
          <w:sz w:val="24"/>
          <w:szCs w:val="24"/>
        </w:rPr>
        <w:t>kliniske sikkerhedsdata</w:t>
      </w:r>
    </w:p>
    <w:p w14:paraId="40F0D02B" w14:textId="77777777" w:rsidR="001A6F3D" w:rsidRPr="005F25C3" w:rsidRDefault="001A6F3D" w:rsidP="000376C5">
      <w:pPr>
        <w:ind w:left="851"/>
        <w:rPr>
          <w:noProof/>
          <w:sz w:val="24"/>
          <w:szCs w:val="24"/>
          <w:u w:val="single"/>
        </w:rPr>
      </w:pPr>
      <w:r w:rsidRPr="005F25C3">
        <w:rPr>
          <w:noProof/>
          <w:sz w:val="24"/>
          <w:szCs w:val="24"/>
        </w:rPr>
        <w:t>Ingen relevant information tilgængelig.</w:t>
      </w:r>
    </w:p>
    <w:p w14:paraId="378D2C2A" w14:textId="77777777" w:rsidR="009260DE" w:rsidRPr="005F25C3" w:rsidRDefault="009260DE" w:rsidP="009260DE">
      <w:pPr>
        <w:tabs>
          <w:tab w:val="left" w:pos="851"/>
        </w:tabs>
        <w:ind w:left="851"/>
        <w:rPr>
          <w:sz w:val="24"/>
          <w:szCs w:val="24"/>
        </w:rPr>
      </w:pPr>
    </w:p>
    <w:p w14:paraId="3DE41209" w14:textId="77777777" w:rsidR="009260DE" w:rsidRPr="005F25C3" w:rsidRDefault="009260DE" w:rsidP="009260DE">
      <w:pPr>
        <w:tabs>
          <w:tab w:val="left" w:pos="851"/>
        </w:tabs>
        <w:ind w:left="851"/>
        <w:rPr>
          <w:sz w:val="24"/>
          <w:szCs w:val="24"/>
        </w:rPr>
      </w:pPr>
    </w:p>
    <w:p w14:paraId="7194C7BF" w14:textId="77777777" w:rsidR="009260DE" w:rsidRPr="005F25C3" w:rsidRDefault="009260DE" w:rsidP="009260DE">
      <w:pPr>
        <w:tabs>
          <w:tab w:val="left" w:pos="851"/>
        </w:tabs>
        <w:ind w:left="851" w:hanging="851"/>
        <w:rPr>
          <w:b/>
          <w:sz w:val="24"/>
          <w:szCs w:val="24"/>
        </w:rPr>
      </w:pPr>
      <w:r w:rsidRPr="005F25C3">
        <w:rPr>
          <w:b/>
          <w:sz w:val="24"/>
          <w:szCs w:val="24"/>
        </w:rPr>
        <w:t>6.</w:t>
      </w:r>
      <w:r w:rsidRPr="005F25C3">
        <w:rPr>
          <w:b/>
          <w:sz w:val="24"/>
          <w:szCs w:val="24"/>
        </w:rPr>
        <w:tab/>
        <w:t>FARMACEUTISKE OPLYSNINGER</w:t>
      </w:r>
    </w:p>
    <w:p w14:paraId="73BFDA7A" w14:textId="77777777" w:rsidR="009260DE" w:rsidRPr="005F25C3" w:rsidRDefault="009260DE" w:rsidP="009260DE">
      <w:pPr>
        <w:tabs>
          <w:tab w:val="left" w:pos="851"/>
        </w:tabs>
        <w:ind w:left="851"/>
        <w:rPr>
          <w:sz w:val="24"/>
          <w:szCs w:val="24"/>
        </w:rPr>
      </w:pPr>
    </w:p>
    <w:p w14:paraId="222D7056" w14:textId="77777777" w:rsidR="009260DE" w:rsidRPr="005F25C3" w:rsidRDefault="009260DE" w:rsidP="009260DE">
      <w:pPr>
        <w:tabs>
          <w:tab w:val="left" w:pos="851"/>
        </w:tabs>
        <w:ind w:left="851" w:hanging="851"/>
        <w:rPr>
          <w:b/>
          <w:sz w:val="24"/>
          <w:szCs w:val="24"/>
        </w:rPr>
      </w:pPr>
      <w:r w:rsidRPr="005F25C3">
        <w:rPr>
          <w:b/>
          <w:sz w:val="24"/>
          <w:szCs w:val="24"/>
        </w:rPr>
        <w:t>6.1</w:t>
      </w:r>
      <w:r w:rsidRPr="005F25C3">
        <w:rPr>
          <w:b/>
          <w:sz w:val="24"/>
          <w:szCs w:val="24"/>
        </w:rPr>
        <w:tab/>
        <w:t>Hjælpestoffer</w:t>
      </w:r>
    </w:p>
    <w:p w14:paraId="41A4327A" w14:textId="77777777" w:rsidR="001A6F3D" w:rsidRPr="005F25C3" w:rsidRDefault="001A6F3D" w:rsidP="000376C5">
      <w:pPr>
        <w:ind w:left="851"/>
        <w:rPr>
          <w:noProof/>
          <w:sz w:val="24"/>
          <w:szCs w:val="24"/>
        </w:rPr>
      </w:pPr>
      <w:r w:rsidRPr="005F25C3">
        <w:rPr>
          <w:noProof/>
          <w:sz w:val="24"/>
          <w:szCs w:val="24"/>
        </w:rPr>
        <w:t xml:space="preserve">Mikrokrystallinsk cellulose </w:t>
      </w:r>
    </w:p>
    <w:p w14:paraId="53313F1F" w14:textId="77777777" w:rsidR="001A6F3D" w:rsidRPr="005F25C3" w:rsidRDefault="001A6F3D" w:rsidP="000376C5">
      <w:pPr>
        <w:ind w:left="851"/>
        <w:rPr>
          <w:noProof/>
          <w:sz w:val="24"/>
          <w:szCs w:val="24"/>
        </w:rPr>
      </w:pPr>
      <w:r w:rsidRPr="005F25C3">
        <w:rPr>
          <w:noProof/>
          <w:sz w:val="24"/>
          <w:szCs w:val="24"/>
        </w:rPr>
        <w:t>Pregelatineret stivelse</w:t>
      </w:r>
    </w:p>
    <w:p w14:paraId="234F6912" w14:textId="77777777" w:rsidR="001A6F3D" w:rsidRPr="005F25C3" w:rsidRDefault="001A6F3D" w:rsidP="000376C5">
      <w:pPr>
        <w:ind w:left="851"/>
        <w:rPr>
          <w:noProof/>
          <w:sz w:val="24"/>
          <w:szCs w:val="24"/>
        </w:rPr>
      </w:pPr>
      <w:r w:rsidRPr="005F25C3">
        <w:rPr>
          <w:noProof/>
          <w:sz w:val="24"/>
          <w:szCs w:val="24"/>
        </w:rPr>
        <w:t>Kolloid vandfri silica</w:t>
      </w:r>
    </w:p>
    <w:p w14:paraId="387EA517" w14:textId="77777777" w:rsidR="001A6F3D" w:rsidRPr="005F25C3" w:rsidRDefault="001A6F3D" w:rsidP="000376C5">
      <w:pPr>
        <w:ind w:left="851"/>
        <w:rPr>
          <w:noProof/>
          <w:sz w:val="24"/>
          <w:szCs w:val="24"/>
        </w:rPr>
      </w:pPr>
      <w:r w:rsidRPr="005F25C3">
        <w:rPr>
          <w:noProof/>
          <w:sz w:val="24"/>
          <w:szCs w:val="24"/>
        </w:rPr>
        <w:t>Talcum</w:t>
      </w:r>
    </w:p>
    <w:p w14:paraId="6D903D1E" w14:textId="77777777" w:rsidR="001A6F3D" w:rsidRPr="005F25C3" w:rsidRDefault="001A6F3D" w:rsidP="000376C5">
      <w:pPr>
        <w:ind w:left="851"/>
        <w:rPr>
          <w:noProof/>
          <w:sz w:val="24"/>
          <w:szCs w:val="24"/>
        </w:rPr>
      </w:pPr>
      <w:r w:rsidRPr="005F25C3">
        <w:rPr>
          <w:noProof/>
          <w:sz w:val="24"/>
          <w:szCs w:val="24"/>
        </w:rPr>
        <w:t>Magnesiumstearat</w:t>
      </w:r>
    </w:p>
    <w:p w14:paraId="31934CD4" w14:textId="77777777" w:rsidR="009260DE" w:rsidRPr="005F25C3" w:rsidRDefault="009260DE" w:rsidP="009260DE">
      <w:pPr>
        <w:tabs>
          <w:tab w:val="left" w:pos="851"/>
        </w:tabs>
        <w:ind w:left="851"/>
        <w:rPr>
          <w:sz w:val="24"/>
          <w:szCs w:val="24"/>
        </w:rPr>
      </w:pPr>
    </w:p>
    <w:p w14:paraId="7AF71E87" w14:textId="77777777" w:rsidR="009260DE" w:rsidRPr="005F25C3" w:rsidRDefault="009260DE" w:rsidP="009260DE">
      <w:pPr>
        <w:tabs>
          <w:tab w:val="left" w:pos="851"/>
        </w:tabs>
        <w:ind w:left="851" w:hanging="851"/>
        <w:rPr>
          <w:b/>
          <w:sz w:val="24"/>
          <w:szCs w:val="24"/>
        </w:rPr>
      </w:pPr>
      <w:r w:rsidRPr="005F25C3">
        <w:rPr>
          <w:b/>
          <w:sz w:val="24"/>
          <w:szCs w:val="24"/>
        </w:rPr>
        <w:t>6.2</w:t>
      </w:r>
      <w:r w:rsidRPr="005F25C3">
        <w:rPr>
          <w:b/>
          <w:sz w:val="24"/>
          <w:szCs w:val="24"/>
        </w:rPr>
        <w:tab/>
        <w:t>Uforligeligheder</w:t>
      </w:r>
    </w:p>
    <w:p w14:paraId="60478040" w14:textId="77777777" w:rsidR="001A6F3D" w:rsidRPr="005F25C3" w:rsidRDefault="001A6F3D" w:rsidP="005F25C3">
      <w:pPr>
        <w:ind w:left="851"/>
        <w:rPr>
          <w:noProof/>
          <w:sz w:val="24"/>
          <w:szCs w:val="24"/>
        </w:rPr>
      </w:pPr>
      <w:r w:rsidRPr="005F25C3">
        <w:rPr>
          <w:noProof/>
          <w:sz w:val="24"/>
          <w:szCs w:val="24"/>
        </w:rPr>
        <w:t>Ikke relevant.</w:t>
      </w:r>
    </w:p>
    <w:p w14:paraId="44D21727" w14:textId="77777777" w:rsidR="009260DE" w:rsidRPr="005F25C3" w:rsidRDefault="009260DE" w:rsidP="009260DE">
      <w:pPr>
        <w:tabs>
          <w:tab w:val="left" w:pos="851"/>
        </w:tabs>
        <w:ind w:left="851"/>
        <w:rPr>
          <w:sz w:val="24"/>
          <w:szCs w:val="24"/>
        </w:rPr>
      </w:pPr>
    </w:p>
    <w:p w14:paraId="4ACF0D4E" w14:textId="77777777" w:rsidR="009260DE" w:rsidRPr="005F25C3" w:rsidRDefault="009260DE" w:rsidP="009260DE">
      <w:pPr>
        <w:tabs>
          <w:tab w:val="left" w:pos="851"/>
        </w:tabs>
        <w:ind w:left="851" w:hanging="851"/>
        <w:rPr>
          <w:b/>
          <w:sz w:val="24"/>
          <w:szCs w:val="24"/>
        </w:rPr>
      </w:pPr>
      <w:r w:rsidRPr="005F25C3">
        <w:rPr>
          <w:b/>
          <w:sz w:val="24"/>
          <w:szCs w:val="24"/>
        </w:rPr>
        <w:t>6.3</w:t>
      </w:r>
      <w:r w:rsidRPr="005F25C3">
        <w:rPr>
          <w:b/>
          <w:sz w:val="24"/>
          <w:szCs w:val="24"/>
        </w:rPr>
        <w:tab/>
        <w:t>Opbevaringstid</w:t>
      </w:r>
    </w:p>
    <w:p w14:paraId="6819ED31" w14:textId="77777777" w:rsidR="001A6F3D" w:rsidRPr="005F25C3" w:rsidRDefault="001A6F3D" w:rsidP="005F25C3">
      <w:pPr>
        <w:ind w:left="851"/>
        <w:rPr>
          <w:noProof/>
          <w:sz w:val="24"/>
          <w:szCs w:val="24"/>
        </w:rPr>
      </w:pPr>
      <w:r w:rsidRPr="005F25C3">
        <w:rPr>
          <w:noProof/>
          <w:sz w:val="24"/>
          <w:szCs w:val="24"/>
        </w:rPr>
        <w:t>2 år.</w:t>
      </w:r>
    </w:p>
    <w:p w14:paraId="6697E501" w14:textId="77777777" w:rsidR="009260DE" w:rsidRPr="005F25C3" w:rsidRDefault="009260DE" w:rsidP="009260DE">
      <w:pPr>
        <w:tabs>
          <w:tab w:val="left" w:pos="851"/>
        </w:tabs>
        <w:ind w:left="851"/>
        <w:rPr>
          <w:sz w:val="24"/>
          <w:szCs w:val="24"/>
        </w:rPr>
      </w:pPr>
    </w:p>
    <w:p w14:paraId="6C394D73" w14:textId="77777777" w:rsidR="009260DE" w:rsidRPr="005F25C3" w:rsidRDefault="009260DE" w:rsidP="009260DE">
      <w:pPr>
        <w:tabs>
          <w:tab w:val="left" w:pos="851"/>
        </w:tabs>
        <w:ind w:left="851" w:hanging="851"/>
        <w:rPr>
          <w:b/>
          <w:sz w:val="24"/>
          <w:szCs w:val="24"/>
        </w:rPr>
      </w:pPr>
      <w:r w:rsidRPr="005F25C3">
        <w:rPr>
          <w:b/>
          <w:sz w:val="24"/>
          <w:szCs w:val="24"/>
        </w:rPr>
        <w:t>6.4</w:t>
      </w:r>
      <w:r w:rsidRPr="005F25C3">
        <w:rPr>
          <w:b/>
          <w:sz w:val="24"/>
          <w:szCs w:val="24"/>
        </w:rPr>
        <w:tab/>
        <w:t>Særlige opbevaringsforhold</w:t>
      </w:r>
    </w:p>
    <w:p w14:paraId="4CDA8DD7" w14:textId="77777777" w:rsidR="001A6F3D" w:rsidRPr="005F25C3" w:rsidRDefault="001A6F3D" w:rsidP="005F25C3">
      <w:pPr>
        <w:ind w:left="851"/>
        <w:rPr>
          <w:noProof/>
          <w:sz w:val="24"/>
          <w:szCs w:val="24"/>
          <w:highlight w:val="yellow"/>
        </w:rPr>
      </w:pPr>
      <w:r w:rsidRPr="005F25C3">
        <w:rPr>
          <w:noProof/>
          <w:sz w:val="24"/>
          <w:szCs w:val="24"/>
        </w:rPr>
        <w:t>Dette lægemiddel kræver ingen særlige forholdsregler vedrørende opbevaringen.</w:t>
      </w:r>
    </w:p>
    <w:p w14:paraId="278D838F" w14:textId="77777777" w:rsidR="009260DE" w:rsidRPr="005F25C3" w:rsidRDefault="009260DE" w:rsidP="009260DE">
      <w:pPr>
        <w:tabs>
          <w:tab w:val="left" w:pos="851"/>
        </w:tabs>
        <w:ind w:left="851"/>
        <w:rPr>
          <w:sz w:val="24"/>
          <w:szCs w:val="24"/>
        </w:rPr>
      </w:pPr>
    </w:p>
    <w:p w14:paraId="7AFCCE00" w14:textId="77777777" w:rsidR="009260DE" w:rsidRPr="005F25C3" w:rsidRDefault="009260DE" w:rsidP="009260DE">
      <w:pPr>
        <w:tabs>
          <w:tab w:val="left" w:pos="851"/>
        </w:tabs>
        <w:ind w:left="851" w:hanging="851"/>
        <w:rPr>
          <w:b/>
          <w:sz w:val="24"/>
          <w:szCs w:val="24"/>
        </w:rPr>
      </w:pPr>
      <w:r w:rsidRPr="005F25C3">
        <w:rPr>
          <w:b/>
          <w:sz w:val="24"/>
          <w:szCs w:val="24"/>
        </w:rPr>
        <w:t>6.5</w:t>
      </w:r>
      <w:r w:rsidRPr="005F25C3">
        <w:rPr>
          <w:b/>
          <w:sz w:val="24"/>
          <w:szCs w:val="24"/>
        </w:rPr>
        <w:tab/>
        <w:t>Emballagetype og pakningsstørrelser</w:t>
      </w:r>
    </w:p>
    <w:p w14:paraId="54913DD3" w14:textId="77777777" w:rsidR="001A6F3D" w:rsidRPr="005F25C3" w:rsidRDefault="001A6F3D" w:rsidP="005F25C3">
      <w:pPr>
        <w:ind w:left="851"/>
        <w:rPr>
          <w:noProof/>
          <w:sz w:val="24"/>
          <w:szCs w:val="24"/>
        </w:rPr>
      </w:pPr>
      <w:r w:rsidRPr="005F25C3">
        <w:rPr>
          <w:noProof/>
          <w:sz w:val="24"/>
          <w:szCs w:val="24"/>
        </w:rPr>
        <w:t>Midodrinhydrochlorid 2,5 mg og 5 mg tabletter er pakket i hvid HDPE beholder med låg og induktionsforseglet foring med Rayon fiberspole.</w:t>
      </w:r>
    </w:p>
    <w:p w14:paraId="62FDB8DE" w14:textId="77777777" w:rsidR="001A6F3D" w:rsidRPr="005F25C3" w:rsidRDefault="001A6F3D" w:rsidP="005F25C3">
      <w:pPr>
        <w:ind w:left="851"/>
        <w:rPr>
          <w:noProof/>
          <w:sz w:val="24"/>
          <w:szCs w:val="24"/>
        </w:rPr>
      </w:pPr>
    </w:p>
    <w:p w14:paraId="3AAA0819" w14:textId="77777777" w:rsidR="001A6F3D" w:rsidRPr="005F25C3" w:rsidRDefault="001A6F3D" w:rsidP="005F25C3">
      <w:pPr>
        <w:ind w:left="851"/>
        <w:rPr>
          <w:noProof/>
          <w:sz w:val="24"/>
          <w:szCs w:val="24"/>
        </w:rPr>
      </w:pPr>
      <w:r w:rsidRPr="005F25C3">
        <w:rPr>
          <w:noProof/>
          <w:sz w:val="24"/>
          <w:szCs w:val="24"/>
        </w:rPr>
        <w:t>Midodrinhydrochlorid 2,5 mg og 5 mg tabletter leveres i OPA/Alu/PVC-Alu folie og blisterfolie med 10 tabletter.</w:t>
      </w:r>
    </w:p>
    <w:p w14:paraId="28056CB1" w14:textId="77777777" w:rsidR="001A6F3D" w:rsidRPr="005F25C3" w:rsidRDefault="001A6F3D" w:rsidP="005F25C3">
      <w:pPr>
        <w:ind w:left="851"/>
        <w:rPr>
          <w:noProof/>
          <w:sz w:val="24"/>
          <w:szCs w:val="24"/>
        </w:rPr>
      </w:pPr>
    </w:p>
    <w:p w14:paraId="73279252" w14:textId="77777777" w:rsidR="001A6F3D" w:rsidRPr="005F25C3" w:rsidRDefault="001A6F3D" w:rsidP="005F25C3">
      <w:pPr>
        <w:ind w:left="851"/>
        <w:rPr>
          <w:noProof/>
          <w:sz w:val="24"/>
          <w:szCs w:val="24"/>
        </w:rPr>
      </w:pPr>
      <w:r w:rsidRPr="005F25C3">
        <w:rPr>
          <w:noProof/>
          <w:sz w:val="24"/>
          <w:szCs w:val="24"/>
        </w:rPr>
        <w:t>Ikke alle pakningsstørrelser er nødvendigvis markedsført.</w:t>
      </w:r>
    </w:p>
    <w:p w14:paraId="43F3F41E" w14:textId="77777777" w:rsidR="009260DE" w:rsidRPr="005F25C3" w:rsidRDefault="009260DE" w:rsidP="009260DE">
      <w:pPr>
        <w:tabs>
          <w:tab w:val="left" w:pos="851"/>
        </w:tabs>
        <w:ind w:left="851"/>
        <w:rPr>
          <w:sz w:val="24"/>
          <w:szCs w:val="24"/>
        </w:rPr>
      </w:pPr>
    </w:p>
    <w:p w14:paraId="00E8F7DF" w14:textId="77777777" w:rsidR="009260DE" w:rsidRPr="005F25C3" w:rsidRDefault="009260DE" w:rsidP="009260DE">
      <w:pPr>
        <w:tabs>
          <w:tab w:val="left" w:pos="851"/>
        </w:tabs>
        <w:ind w:left="851" w:hanging="851"/>
        <w:rPr>
          <w:b/>
          <w:sz w:val="24"/>
          <w:szCs w:val="24"/>
        </w:rPr>
      </w:pPr>
      <w:r w:rsidRPr="005F25C3">
        <w:rPr>
          <w:b/>
          <w:sz w:val="24"/>
          <w:szCs w:val="24"/>
        </w:rPr>
        <w:t>6.6</w:t>
      </w:r>
      <w:r w:rsidRPr="005F25C3">
        <w:rPr>
          <w:b/>
          <w:sz w:val="24"/>
          <w:szCs w:val="24"/>
        </w:rPr>
        <w:tab/>
        <w:t xml:space="preserve">Regler for </w:t>
      </w:r>
      <w:r w:rsidR="00BD7931" w:rsidRPr="005F25C3">
        <w:rPr>
          <w:b/>
          <w:sz w:val="24"/>
          <w:szCs w:val="24"/>
        </w:rPr>
        <w:t>bortskaffelse</w:t>
      </w:r>
      <w:r w:rsidRPr="005F25C3">
        <w:rPr>
          <w:b/>
          <w:sz w:val="24"/>
          <w:szCs w:val="24"/>
        </w:rPr>
        <w:t xml:space="preserve"> og anden håndtering</w:t>
      </w:r>
    </w:p>
    <w:p w14:paraId="081BAF88" w14:textId="77777777" w:rsidR="001A6F3D" w:rsidRPr="005F25C3" w:rsidRDefault="001A6F3D" w:rsidP="005F25C3">
      <w:pPr>
        <w:ind w:left="851"/>
        <w:rPr>
          <w:noProof/>
          <w:sz w:val="24"/>
          <w:szCs w:val="24"/>
        </w:rPr>
      </w:pPr>
      <w:r w:rsidRPr="005F25C3">
        <w:rPr>
          <w:noProof/>
          <w:sz w:val="24"/>
          <w:szCs w:val="24"/>
        </w:rPr>
        <w:t>Ingen særlige forholdsregler.</w:t>
      </w:r>
    </w:p>
    <w:p w14:paraId="2929A09E" w14:textId="77777777" w:rsidR="001A6F3D" w:rsidRPr="005F25C3" w:rsidRDefault="001A6F3D" w:rsidP="005F25C3">
      <w:pPr>
        <w:ind w:left="851"/>
        <w:rPr>
          <w:noProof/>
          <w:sz w:val="24"/>
          <w:szCs w:val="24"/>
        </w:rPr>
      </w:pPr>
    </w:p>
    <w:p w14:paraId="3D038752" w14:textId="77777777" w:rsidR="001A6F3D" w:rsidRPr="005F25C3" w:rsidRDefault="001A6F3D" w:rsidP="005F25C3">
      <w:pPr>
        <w:ind w:left="851"/>
        <w:rPr>
          <w:noProof/>
          <w:sz w:val="24"/>
          <w:szCs w:val="24"/>
        </w:rPr>
      </w:pPr>
      <w:r w:rsidRPr="005F25C3">
        <w:rPr>
          <w:noProof/>
          <w:sz w:val="24"/>
          <w:szCs w:val="24"/>
        </w:rPr>
        <w:t>Ikke anvendt lægemiddel samt affald heraf skal bortskaffes i henhold til lokale retningslinjer.</w:t>
      </w:r>
    </w:p>
    <w:p w14:paraId="517CA360" w14:textId="77777777" w:rsidR="009260DE" w:rsidRPr="005F25C3" w:rsidRDefault="009260DE" w:rsidP="000730CA">
      <w:pPr>
        <w:tabs>
          <w:tab w:val="left" w:pos="851"/>
        </w:tabs>
        <w:ind w:left="851"/>
        <w:rPr>
          <w:sz w:val="24"/>
          <w:szCs w:val="24"/>
        </w:rPr>
      </w:pPr>
    </w:p>
    <w:p w14:paraId="3594819C" w14:textId="77777777" w:rsidR="009260DE" w:rsidRPr="005F25C3" w:rsidRDefault="009260DE" w:rsidP="009260DE">
      <w:pPr>
        <w:tabs>
          <w:tab w:val="left" w:pos="851"/>
        </w:tabs>
        <w:ind w:left="851" w:hanging="851"/>
        <w:rPr>
          <w:b/>
          <w:sz w:val="24"/>
          <w:szCs w:val="24"/>
        </w:rPr>
      </w:pPr>
      <w:r w:rsidRPr="005F25C3">
        <w:rPr>
          <w:b/>
          <w:sz w:val="24"/>
          <w:szCs w:val="24"/>
        </w:rPr>
        <w:lastRenderedPageBreak/>
        <w:t>7.</w:t>
      </w:r>
      <w:r w:rsidRPr="005F25C3">
        <w:rPr>
          <w:b/>
          <w:sz w:val="24"/>
          <w:szCs w:val="24"/>
        </w:rPr>
        <w:tab/>
        <w:t>INDEHAVER AF MARKEDSFØRINGSTILLADELSEN</w:t>
      </w:r>
    </w:p>
    <w:p w14:paraId="57F44EE6" w14:textId="77777777" w:rsidR="001A6F3D" w:rsidRPr="005F25C3" w:rsidRDefault="001A6F3D" w:rsidP="005F25C3">
      <w:pPr>
        <w:ind w:left="851"/>
        <w:rPr>
          <w:sz w:val="24"/>
          <w:szCs w:val="24"/>
          <w:lang w:val="sv-SE" w:eastAsia="sv-SE"/>
        </w:rPr>
      </w:pPr>
      <w:r w:rsidRPr="005F25C3">
        <w:rPr>
          <w:sz w:val="24"/>
          <w:szCs w:val="24"/>
          <w:lang w:val="sv-SE" w:eastAsia="sv-SE"/>
        </w:rPr>
        <w:t xml:space="preserve">Medical </w:t>
      </w:r>
      <w:proofErr w:type="spellStart"/>
      <w:r w:rsidRPr="005F25C3">
        <w:rPr>
          <w:sz w:val="24"/>
          <w:szCs w:val="24"/>
          <w:lang w:val="sv-SE" w:eastAsia="sv-SE"/>
        </w:rPr>
        <w:t>Valley</w:t>
      </w:r>
      <w:proofErr w:type="spellEnd"/>
      <w:r w:rsidRPr="005F25C3">
        <w:rPr>
          <w:sz w:val="24"/>
          <w:szCs w:val="24"/>
          <w:lang w:val="sv-SE" w:eastAsia="sv-SE"/>
        </w:rPr>
        <w:t xml:space="preserve"> </w:t>
      </w:r>
      <w:proofErr w:type="spellStart"/>
      <w:r w:rsidRPr="005F25C3">
        <w:rPr>
          <w:sz w:val="24"/>
          <w:szCs w:val="24"/>
          <w:lang w:val="sv-SE" w:eastAsia="sv-SE"/>
        </w:rPr>
        <w:t>Invest</w:t>
      </w:r>
      <w:proofErr w:type="spellEnd"/>
      <w:r w:rsidRPr="005F25C3">
        <w:rPr>
          <w:sz w:val="24"/>
          <w:szCs w:val="24"/>
          <w:lang w:val="sv-SE" w:eastAsia="sv-SE"/>
        </w:rPr>
        <w:t xml:space="preserve"> AB </w:t>
      </w:r>
    </w:p>
    <w:p w14:paraId="5283C4B1" w14:textId="77777777" w:rsidR="001A6F3D" w:rsidRPr="005F25C3" w:rsidRDefault="001A6F3D" w:rsidP="005F25C3">
      <w:pPr>
        <w:ind w:left="851"/>
        <w:rPr>
          <w:sz w:val="24"/>
          <w:szCs w:val="24"/>
          <w:lang w:val="sv-SE" w:eastAsia="sv-SE"/>
        </w:rPr>
      </w:pPr>
      <w:r w:rsidRPr="005F25C3">
        <w:rPr>
          <w:sz w:val="24"/>
          <w:szCs w:val="24"/>
          <w:lang w:val="sv-SE" w:eastAsia="sv-SE"/>
        </w:rPr>
        <w:t>Brädgårdsvägen 28</w:t>
      </w:r>
    </w:p>
    <w:p w14:paraId="241D8CCD" w14:textId="77777777" w:rsidR="001A6F3D" w:rsidRPr="005F25C3" w:rsidRDefault="001A6F3D" w:rsidP="005F25C3">
      <w:pPr>
        <w:ind w:left="851"/>
        <w:rPr>
          <w:sz w:val="24"/>
          <w:szCs w:val="24"/>
          <w:lang w:val="sv-SE" w:eastAsia="sv-SE"/>
        </w:rPr>
      </w:pPr>
      <w:r w:rsidRPr="005F25C3">
        <w:rPr>
          <w:sz w:val="24"/>
          <w:szCs w:val="24"/>
          <w:lang w:val="sv-SE" w:eastAsia="sv-SE"/>
        </w:rPr>
        <w:t>236 32 Höllviken</w:t>
      </w:r>
    </w:p>
    <w:p w14:paraId="1CAF476D" w14:textId="77777777" w:rsidR="001A6F3D" w:rsidRPr="005F25C3" w:rsidRDefault="001A6F3D" w:rsidP="005F25C3">
      <w:pPr>
        <w:ind w:left="851"/>
        <w:rPr>
          <w:sz w:val="24"/>
          <w:szCs w:val="24"/>
          <w:lang w:val="sv-SE"/>
        </w:rPr>
      </w:pPr>
      <w:r w:rsidRPr="005F25C3">
        <w:rPr>
          <w:sz w:val="24"/>
          <w:szCs w:val="24"/>
          <w:lang w:val="sv-SE" w:eastAsia="sv-SE"/>
        </w:rPr>
        <w:t>Sverige</w:t>
      </w:r>
      <w:r w:rsidRPr="005F25C3">
        <w:rPr>
          <w:sz w:val="24"/>
          <w:szCs w:val="24"/>
          <w:lang w:val="sv-SE"/>
        </w:rPr>
        <w:t xml:space="preserve"> </w:t>
      </w:r>
    </w:p>
    <w:p w14:paraId="2DCCD3B1" w14:textId="77777777" w:rsidR="00641C65" w:rsidRPr="005F25C3" w:rsidRDefault="00641C65" w:rsidP="009260DE">
      <w:pPr>
        <w:tabs>
          <w:tab w:val="left" w:pos="851"/>
        </w:tabs>
        <w:ind w:left="851"/>
        <w:rPr>
          <w:sz w:val="24"/>
          <w:szCs w:val="24"/>
        </w:rPr>
      </w:pPr>
    </w:p>
    <w:p w14:paraId="25E1EAAB" w14:textId="77777777" w:rsidR="009260DE" w:rsidRPr="005F25C3" w:rsidRDefault="009260DE" w:rsidP="009260DE">
      <w:pPr>
        <w:tabs>
          <w:tab w:val="left" w:pos="851"/>
        </w:tabs>
        <w:ind w:left="851" w:hanging="851"/>
        <w:rPr>
          <w:b/>
          <w:sz w:val="24"/>
          <w:szCs w:val="24"/>
        </w:rPr>
      </w:pPr>
      <w:r w:rsidRPr="005F25C3">
        <w:rPr>
          <w:b/>
          <w:sz w:val="24"/>
          <w:szCs w:val="24"/>
        </w:rPr>
        <w:t>8.</w:t>
      </w:r>
      <w:r w:rsidRPr="005F25C3">
        <w:rPr>
          <w:b/>
          <w:sz w:val="24"/>
          <w:szCs w:val="24"/>
        </w:rPr>
        <w:tab/>
        <w:t>MARKEDSFØRINGSTILLADELSESNUMMER (</w:t>
      </w:r>
      <w:r w:rsidR="00BF6243" w:rsidRPr="005F25C3">
        <w:rPr>
          <w:b/>
          <w:sz w:val="24"/>
          <w:szCs w:val="24"/>
        </w:rPr>
        <w:t>-</w:t>
      </w:r>
      <w:r w:rsidRPr="005F25C3">
        <w:rPr>
          <w:b/>
          <w:sz w:val="24"/>
          <w:szCs w:val="24"/>
        </w:rPr>
        <w:t>NUMRE)</w:t>
      </w:r>
    </w:p>
    <w:p w14:paraId="66F472E4" w14:textId="7CA4130A" w:rsidR="009260DE" w:rsidRPr="005F25C3" w:rsidRDefault="001A6F3D" w:rsidP="005F25C3">
      <w:pPr>
        <w:tabs>
          <w:tab w:val="left" w:pos="851"/>
          <w:tab w:val="left" w:pos="1843"/>
        </w:tabs>
        <w:ind w:left="851"/>
        <w:rPr>
          <w:sz w:val="24"/>
          <w:szCs w:val="24"/>
        </w:rPr>
      </w:pPr>
      <w:r w:rsidRPr="005F25C3">
        <w:rPr>
          <w:sz w:val="24"/>
          <w:szCs w:val="24"/>
        </w:rPr>
        <w:t xml:space="preserve">2,5 mg: </w:t>
      </w:r>
      <w:r w:rsidR="005F25C3">
        <w:rPr>
          <w:sz w:val="24"/>
          <w:szCs w:val="24"/>
        </w:rPr>
        <w:tab/>
      </w:r>
      <w:r w:rsidRPr="005F25C3">
        <w:rPr>
          <w:sz w:val="24"/>
          <w:szCs w:val="24"/>
        </w:rPr>
        <w:t>69974</w:t>
      </w:r>
    </w:p>
    <w:p w14:paraId="5CB40776" w14:textId="3D7B51A2" w:rsidR="001A6F3D" w:rsidRPr="005F25C3" w:rsidRDefault="001A6F3D" w:rsidP="005F25C3">
      <w:pPr>
        <w:tabs>
          <w:tab w:val="left" w:pos="851"/>
          <w:tab w:val="left" w:pos="1843"/>
        </w:tabs>
        <w:ind w:left="851"/>
        <w:rPr>
          <w:sz w:val="24"/>
          <w:szCs w:val="24"/>
        </w:rPr>
      </w:pPr>
      <w:r w:rsidRPr="005F25C3">
        <w:rPr>
          <w:sz w:val="24"/>
          <w:szCs w:val="24"/>
        </w:rPr>
        <w:t xml:space="preserve">5 mg: </w:t>
      </w:r>
      <w:r w:rsidR="005F25C3">
        <w:rPr>
          <w:sz w:val="24"/>
          <w:szCs w:val="24"/>
        </w:rPr>
        <w:tab/>
      </w:r>
      <w:r w:rsidRPr="005F25C3">
        <w:rPr>
          <w:sz w:val="24"/>
          <w:szCs w:val="24"/>
        </w:rPr>
        <w:t>69975</w:t>
      </w:r>
    </w:p>
    <w:p w14:paraId="4AE88DB0" w14:textId="77777777" w:rsidR="009260DE" w:rsidRPr="005F25C3" w:rsidRDefault="009260DE" w:rsidP="009260DE">
      <w:pPr>
        <w:tabs>
          <w:tab w:val="left" w:pos="851"/>
        </w:tabs>
        <w:ind w:left="851"/>
        <w:jc w:val="both"/>
        <w:rPr>
          <w:sz w:val="24"/>
          <w:szCs w:val="24"/>
        </w:rPr>
      </w:pPr>
    </w:p>
    <w:p w14:paraId="56907240" w14:textId="77777777" w:rsidR="009260DE" w:rsidRPr="005F25C3" w:rsidRDefault="009260DE" w:rsidP="009260DE">
      <w:pPr>
        <w:tabs>
          <w:tab w:val="left" w:pos="851"/>
        </w:tabs>
        <w:ind w:left="851" w:hanging="851"/>
        <w:rPr>
          <w:b/>
          <w:sz w:val="24"/>
          <w:szCs w:val="24"/>
        </w:rPr>
      </w:pPr>
      <w:r w:rsidRPr="005F25C3">
        <w:rPr>
          <w:b/>
          <w:sz w:val="24"/>
          <w:szCs w:val="24"/>
        </w:rPr>
        <w:t>9.</w:t>
      </w:r>
      <w:r w:rsidRPr="005F25C3">
        <w:rPr>
          <w:b/>
          <w:sz w:val="24"/>
          <w:szCs w:val="24"/>
        </w:rPr>
        <w:tab/>
        <w:t>DATO FOR FØRSTE MARKEDSFØRINGSTILLADELSE</w:t>
      </w:r>
    </w:p>
    <w:p w14:paraId="7E7BEEDE" w14:textId="56659A05" w:rsidR="009260DE" w:rsidRPr="005F25C3" w:rsidRDefault="00BB69A7" w:rsidP="009260DE">
      <w:pPr>
        <w:tabs>
          <w:tab w:val="left" w:pos="851"/>
        </w:tabs>
        <w:ind w:left="851"/>
        <w:rPr>
          <w:sz w:val="24"/>
          <w:szCs w:val="24"/>
        </w:rPr>
      </w:pPr>
      <w:r>
        <w:rPr>
          <w:sz w:val="24"/>
          <w:szCs w:val="24"/>
        </w:rPr>
        <w:t>22. april 2025</w:t>
      </w:r>
    </w:p>
    <w:p w14:paraId="7387B0E2" w14:textId="77777777" w:rsidR="009260DE" w:rsidRPr="005F25C3" w:rsidRDefault="009260DE" w:rsidP="009260DE">
      <w:pPr>
        <w:tabs>
          <w:tab w:val="left" w:pos="851"/>
        </w:tabs>
        <w:ind w:left="851"/>
        <w:rPr>
          <w:sz w:val="24"/>
          <w:szCs w:val="24"/>
        </w:rPr>
      </w:pPr>
    </w:p>
    <w:p w14:paraId="3799C038" w14:textId="77777777" w:rsidR="009260DE" w:rsidRPr="005F25C3" w:rsidRDefault="009260DE" w:rsidP="009260DE">
      <w:pPr>
        <w:tabs>
          <w:tab w:val="left" w:pos="851"/>
        </w:tabs>
        <w:ind w:left="851" w:hanging="851"/>
        <w:rPr>
          <w:b/>
          <w:sz w:val="24"/>
          <w:szCs w:val="24"/>
        </w:rPr>
      </w:pPr>
      <w:r w:rsidRPr="005F25C3">
        <w:rPr>
          <w:b/>
          <w:sz w:val="24"/>
          <w:szCs w:val="24"/>
        </w:rPr>
        <w:t>10.</w:t>
      </w:r>
      <w:r w:rsidRPr="005F25C3">
        <w:rPr>
          <w:b/>
          <w:sz w:val="24"/>
          <w:szCs w:val="24"/>
        </w:rPr>
        <w:tab/>
        <w:t>DATO FOR ÆNDRING AF TEKSTEN</w:t>
      </w:r>
    </w:p>
    <w:p w14:paraId="206FF066" w14:textId="598A46B1" w:rsidR="009260DE" w:rsidRPr="005F25C3" w:rsidRDefault="001A6F3D" w:rsidP="009260DE">
      <w:pPr>
        <w:tabs>
          <w:tab w:val="left" w:pos="851"/>
        </w:tabs>
        <w:ind w:left="851"/>
        <w:rPr>
          <w:sz w:val="24"/>
          <w:szCs w:val="24"/>
        </w:rPr>
      </w:pPr>
      <w:r w:rsidRPr="005F25C3">
        <w:rPr>
          <w:sz w:val="24"/>
          <w:szCs w:val="24"/>
        </w:rPr>
        <w:t>-</w:t>
      </w:r>
    </w:p>
    <w:sectPr w:rsidR="009260DE" w:rsidRPr="005F25C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B856" w14:textId="77777777" w:rsidR="00272F48" w:rsidRDefault="00272F48">
      <w:r>
        <w:separator/>
      </w:r>
    </w:p>
  </w:endnote>
  <w:endnote w:type="continuationSeparator" w:id="0">
    <w:p w14:paraId="7B45654A" w14:textId="77777777" w:rsidR="00272F48" w:rsidRDefault="0027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D351" w14:textId="77777777" w:rsidR="000259B9" w:rsidRDefault="000259B9">
    <w:pPr>
      <w:pStyle w:val="Sidefod"/>
      <w:pBdr>
        <w:bottom w:val="single" w:sz="6" w:space="1" w:color="auto"/>
      </w:pBdr>
    </w:pPr>
  </w:p>
  <w:p w14:paraId="03D1CA42" w14:textId="77777777" w:rsidR="000259B9" w:rsidRDefault="000259B9" w:rsidP="00C42586">
    <w:pPr>
      <w:pStyle w:val="Sidefod"/>
      <w:tabs>
        <w:tab w:val="clear" w:pos="4819"/>
        <w:tab w:val="left" w:pos="8505"/>
      </w:tabs>
      <w:rPr>
        <w:i/>
        <w:sz w:val="18"/>
        <w:szCs w:val="18"/>
      </w:rPr>
    </w:pPr>
  </w:p>
  <w:p w14:paraId="2248F4CF" w14:textId="0D6E187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60397">
      <w:rPr>
        <w:i/>
        <w:noProof/>
        <w:sz w:val="18"/>
        <w:szCs w:val="18"/>
      </w:rPr>
      <w:t>Midodrine Medical Valley, tabletter 2,5 mg og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079D" w14:textId="77777777" w:rsidR="00272F48" w:rsidRDefault="00272F48">
      <w:r>
        <w:separator/>
      </w:r>
    </w:p>
  </w:footnote>
  <w:footnote w:type="continuationSeparator" w:id="0">
    <w:p w14:paraId="71B35867" w14:textId="77777777" w:rsidR="00272F48" w:rsidRDefault="0027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295"/>
    <w:multiLevelType w:val="hybridMultilevel"/>
    <w:tmpl w:val="268E9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8C2E6A"/>
    <w:multiLevelType w:val="hybridMultilevel"/>
    <w:tmpl w:val="CA42F0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48"/>
    <w:rsid w:val="000259B9"/>
    <w:rsid w:val="000376C5"/>
    <w:rsid w:val="00041491"/>
    <w:rsid w:val="00050D16"/>
    <w:rsid w:val="000730CA"/>
    <w:rsid w:val="00074F2A"/>
    <w:rsid w:val="000A1CA8"/>
    <w:rsid w:val="000A466B"/>
    <w:rsid w:val="000B058C"/>
    <w:rsid w:val="000D68B0"/>
    <w:rsid w:val="000E4EE6"/>
    <w:rsid w:val="001454E2"/>
    <w:rsid w:val="001A6F3D"/>
    <w:rsid w:val="00206CE8"/>
    <w:rsid w:val="0021526C"/>
    <w:rsid w:val="00272F48"/>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F25C3"/>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60397"/>
    <w:rsid w:val="00A6664A"/>
    <w:rsid w:val="00B003BF"/>
    <w:rsid w:val="00B373D7"/>
    <w:rsid w:val="00B55271"/>
    <w:rsid w:val="00BB69A7"/>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27A6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7986"/>
  <w15:chartTrackingRefBased/>
  <w15:docId w15:val="{F9B55F49-1CCF-40AF-934C-1A4046B2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A6F3D"/>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2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433541">
      <w:bodyDiv w:val="1"/>
      <w:marLeft w:val="0"/>
      <w:marRight w:val="0"/>
      <w:marTop w:val="0"/>
      <w:marBottom w:val="0"/>
      <w:divBdr>
        <w:top w:val="none" w:sz="0" w:space="0" w:color="auto"/>
        <w:left w:val="none" w:sz="0" w:space="0" w:color="auto"/>
        <w:bottom w:val="none" w:sz="0" w:space="0" w:color="auto"/>
        <w:right w:val="none" w:sz="0" w:space="0" w:color="auto"/>
      </w:divBdr>
    </w:div>
    <w:div w:id="180554057">
      <w:bodyDiv w:val="1"/>
      <w:marLeft w:val="0"/>
      <w:marRight w:val="0"/>
      <w:marTop w:val="0"/>
      <w:marBottom w:val="0"/>
      <w:divBdr>
        <w:top w:val="none" w:sz="0" w:space="0" w:color="auto"/>
        <w:left w:val="none" w:sz="0" w:space="0" w:color="auto"/>
        <w:bottom w:val="none" w:sz="0" w:space="0" w:color="auto"/>
        <w:right w:val="none" w:sz="0" w:space="0" w:color="auto"/>
      </w:divBdr>
    </w:div>
    <w:div w:id="342170067">
      <w:bodyDiv w:val="1"/>
      <w:marLeft w:val="0"/>
      <w:marRight w:val="0"/>
      <w:marTop w:val="0"/>
      <w:marBottom w:val="0"/>
      <w:divBdr>
        <w:top w:val="none" w:sz="0" w:space="0" w:color="auto"/>
        <w:left w:val="none" w:sz="0" w:space="0" w:color="auto"/>
        <w:bottom w:val="none" w:sz="0" w:space="0" w:color="auto"/>
        <w:right w:val="none" w:sz="0" w:space="0" w:color="auto"/>
      </w:divBdr>
    </w:div>
    <w:div w:id="407117408">
      <w:bodyDiv w:val="1"/>
      <w:marLeft w:val="0"/>
      <w:marRight w:val="0"/>
      <w:marTop w:val="0"/>
      <w:marBottom w:val="0"/>
      <w:divBdr>
        <w:top w:val="none" w:sz="0" w:space="0" w:color="auto"/>
        <w:left w:val="none" w:sz="0" w:space="0" w:color="auto"/>
        <w:bottom w:val="none" w:sz="0" w:space="0" w:color="auto"/>
        <w:right w:val="none" w:sz="0" w:space="0" w:color="auto"/>
      </w:divBdr>
    </w:div>
    <w:div w:id="521287385">
      <w:bodyDiv w:val="1"/>
      <w:marLeft w:val="0"/>
      <w:marRight w:val="0"/>
      <w:marTop w:val="0"/>
      <w:marBottom w:val="0"/>
      <w:divBdr>
        <w:top w:val="none" w:sz="0" w:space="0" w:color="auto"/>
        <w:left w:val="none" w:sz="0" w:space="0" w:color="auto"/>
        <w:bottom w:val="none" w:sz="0" w:space="0" w:color="auto"/>
        <w:right w:val="none" w:sz="0" w:space="0" w:color="auto"/>
      </w:divBdr>
    </w:div>
    <w:div w:id="593590562">
      <w:bodyDiv w:val="1"/>
      <w:marLeft w:val="0"/>
      <w:marRight w:val="0"/>
      <w:marTop w:val="0"/>
      <w:marBottom w:val="0"/>
      <w:divBdr>
        <w:top w:val="none" w:sz="0" w:space="0" w:color="auto"/>
        <w:left w:val="none" w:sz="0" w:space="0" w:color="auto"/>
        <w:bottom w:val="none" w:sz="0" w:space="0" w:color="auto"/>
        <w:right w:val="none" w:sz="0" w:space="0" w:color="auto"/>
      </w:divBdr>
    </w:div>
    <w:div w:id="772361463">
      <w:bodyDiv w:val="1"/>
      <w:marLeft w:val="0"/>
      <w:marRight w:val="0"/>
      <w:marTop w:val="0"/>
      <w:marBottom w:val="0"/>
      <w:divBdr>
        <w:top w:val="none" w:sz="0" w:space="0" w:color="auto"/>
        <w:left w:val="none" w:sz="0" w:space="0" w:color="auto"/>
        <w:bottom w:val="none" w:sz="0" w:space="0" w:color="auto"/>
        <w:right w:val="none" w:sz="0" w:space="0" w:color="auto"/>
      </w:divBdr>
    </w:div>
    <w:div w:id="773793876">
      <w:bodyDiv w:val="1"/>
      <w:marLeft w:val="0"/>
      <w:marRight w:val="0"/>
      <w:marTop w:val="0"/>
      <w:marBottom w:val="0"/>
      <w:divBdr>
        <w:top w:val="none" w:sz="0" w:space="0" w:color="auto"/>
        <w:left w:val="none" w:sz="0" w:space="0" w:color="auto"/>
        <w:bottom w:val="none" w:sz="0" w:space="0" w:color="auto"/>
        <w:right w:val="none" w:sz="0" w:space="0" w:color="auto"/>
      </w:divBdr>
    </w:div>
    <w:div w:id="854196840">
      <w:bodyDiv w:val="1"/>
      <w:marLeft w:val="0"/>
      <w:marRight w:val="0"/>
      <w:marTop w:val="0"/>
      <w:marBottom w:val="0"/>
      <w:divBdr>
        <w:top w:val="none" w:sz="0" w:space="0" w:color="auto"/>
        <w:left w:val="none" w:sz="0" w:space="0" w:color="auto"/>
        <w:bottom w:val="none" w:sz="0" w:space="0" w:color="auto"/>
        <w:right w:val="none" w:sz="0" w:space="0" w:color="auto"/>
      </w:divBdr>
    </w:div>
    <w:div w:id="918562790">
      <w:bodyDiv w:val="1"/>
      <w:marLeft w:val="0"/>
      <w:marRight w:val="0"/>
      <w:marTop w:val="0"/>
      <w:marBottom w:val="0"/>
      <w:divBdr>
        <w:top w:val="none" w:sz="0" w:space="0" w:color="auto"/>
        <w:left w:val="none" w:sz="0" w:space="0" w:color="auto"/>
        <w:bottom w:val="none" w:sz="0" w:space="0" w:color="auto"/>
        <w:right w:val="none" w:sz="0" w:space="0" w:color="auto"/>
      </w:divBdr>
    </w:div>
    <w:div w:id="965743606">
      <w:bodyDiv w:val="1"/>
      <w:marLeft w:val="0"/>
      <w:marRight w:val="0"/>
      <w:marTop w:val="0"/>
      <w:marBottom w:val="0"/>
      <w:divBdr>
        <w:top w:val="none" w:sz="0" w:space="0" w:color="auto"/>
        <w:left w:val="none" w:sz="0" w:space="0" w:color="auto"/>
        <w:bottom w:val="none" w:sz="0" w:space="0" w:color="auto"/>
        <w:right w:val="none" w:sz="0" w:space="0" w:color="auto"/>
      </w:divBdr>
    </w:div>
    <w:div w:id="1218080502">
      <w:bodyDiv w:val="1"/>
      <w:marLeft w:val="0"/>
      <w:marRight w:val="0"/>
      <w:marTop w:val="0"/>
      <w:marBottom w:val="0"/>
      <w:divBdr>
        <w:top w:val="none" w:sz="0" w:space="0" w:color="auto"/>
        <w:left w:val="none" w:sz="0" w:space="0" w:color="auto"/>
        <w:bottom w:val="none" w:sz="0" w:space="0" w:color="auto"/>
        <w:right w:val="none" w:sz="0" w:space="0" w:color="auto"/>
      </w:divBdr>
    </w:div>
    <w:div w:id="1425762676">
      <w:bodyDiv w:val="1"/>
      <w:marLeft w:val="0"/>
      <w:marRight w:val="0"/>
      <w:marTop w:val="0"/>
      <w:marBottom w:val="0"/>
      <w:divBdr>
        <w:top w:val="none" w:sz="0" w:space="0" w:color="auto"/>
        <w:left w:val="none" w:sz="0" w:space="0" w:color="auto"/>
        <w:bottom w:val="none" w:sz="0" w:space="0" w:color="auto"/>
        <w:right w:val="none" w:sz="0" w:space="0" w:color="auto"/>
      </w:divBdr>
    </w:div>
    <w:div w:id="1455175732">
      <w:bodyDiv w:val="1"/>
      <w:marLeft w:val="0"/>
      <w:marRight w:val="0"/>
      <w:marTop w:val="0"/>
      <w:marBottom w:val="0"/>
      <w:divBdr>
        <w:top w:val="none" w:sz="0" w:space="0" w:color="auto"/>
        <w:left w:val="none" w:sz="0" w:space="0" w:color="auto"/>
        <w:bottom w:val="none" w:sz="0" w:space="0" w:color="auto"/>
        <w:right w:val="none" w:sz="0" w:space="0" w:color="auto"/>
      </w:divBdr>
    </w:div>
    <w:div w:id="1708290975">
      <w:bodyDiv w:val="1"/>
      <w:marLeft w:val="0"/>
      <w:marRight w:val="0"/>
      <w:marTop w:val="0"/>
      <w:marBottom w:val="0"/>
      <w:divBdr>
        <w:top w:val="none" w:sz="0" w:space="0" w:color="auto"/>
        <w:left w:val="none" w:sz="0" w:space="0" w:color="auto"/>
        <w:bottom w:val="none" w:sz="0" w:space="0" w:color="auto"/>
        <w:right w:val="none" w:sz="0" w:space="0" w:color="auto"/>
      </w:divBdr>
    </w:div>
    <w:div w:id="1736774858">
      <w:bodyDiv w:val="1"/>
      <w:marLeft w:val="0"/>
      <w:marRight w:val="0"/>
      <w:marTop w:val="0"/>
      <w:marBottom w:val="0"/>
      <w:divBdr>
        <w:top w:val="none" w:sz="0" w:space="0" w:color="auto"/>
        <w:left w:val="none" w:sz="0" w:space="0" w:color="auto"/>
        <w:bottom w:val="none" w:sz="0" w:space="0" w:color="auto"/>
        <w:right w:val="none" w:sz="0" w:space="0" w:color="auto"/>
      </w:divBdr>
    </w:div>
    <w:div w:id="1857647259">
      <w:bodyDiv w:val="1"/>
      <w:marLeft w:val="0"/>
      <w:marRight w:val="0"/>
      <w:marTop w:val="0"/>
      <w:marBottom w:val="0"/>
      <w:divBdr>
        <w:top w:val="none" w:sz="0" w:space="0" w:color="auto"/>
        <w:left w:val="none" w:sz="0" w:space="0" w:color="auto"/>
        <w:bottom w:val="none" w:sz="0" w:space="0" w:color="auto"/>
        <w:right w:val="none" w:sz="0" w:space="0" w:color="auto"/>
      </w:divBdr>
    </w:div>
    <w:div w:id="1911889306">
      <w:bodyDiv w:val="1"/>
      <w:marLeft w:val="0"/>
      <w:marRight w:val="0"/>
      <w:marTop w:val="0"/>
      <w:marBottom w:val="0"/>
      <w:divBdr>
        <w:top w:val="none" w:sz="0" w:space="0" w:color="auto"/>
        <w:left w:val="none" w:sz="0" w:space="0" w:color="auto"/>
        <w:bottom w:val="none" w:sz="0" w:space="0" w:color="auto"/>
        <w:right w:val="none" w:sz="0" w:space="0" w:color="auto"/>
      </w:divBdr>
    </w:div>
    <w:div w:id="2092696797">
      <w:bodyDiv w:val="1"/>
      <w:marLeft w:val="0"/>
      <w:marRight w:val="0"/>
      <w:marTop w:val="0"/>
      <w:marBottom w:val="0"/>
      <w:divBdr>
        <w:top w:val="none" w:sz="0" w:space="0" w:color="auto"/>
        <w:left w:val="none" w:sz="0" w:space="0" w:color="auto"/>
        <w:bottom w:val="none" w:sz="0" w:space="0" w:color="auto"/>
        <w:right w:val="none" w:sz="0" w:space="0" w:color="auto"/>
      </w:divBdr>
    </w:div>
    <w:div w:id="21083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10</Pages>
  <Words>2664</Words>
  <Characters>17024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2023073242, MT</dc:description>
  <cp:lastModifiedBy>Gitte Jørgensen</cp:lastModifiedBy>
  <cp:revision>8</cp:revision>
  <cp:lastPrinted>2012-08-22T08:53:00Z</cp:lastPrinted>
  <dcterms:created xsi:type="dcterms:W3CDTF">2025-04-15T11:08:00Z</dcterms:created>
  <dcterms:modified xsi:type="dcterms:W3CDTF">2025-04-22T11:11:00Z</dcterms:modified>
</cp:coreProperties>
</file>