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B11E7" w14:textId="64C60856" w:rsidR="009260DE" w:rsidRPr="00390D7F" w:rsidRDefault="0021526C" w:rsidP="00390D7F">
      <w:pPr>
        <w:rPr>
          <w:b/>
          <w:sz w:val="24"/>
          <w:szCs w:val="24"/>
        </w:rPr>
      </w:pPr>
      <w:r w:rsidRPr="00390D7F">
        <w:rPr>
          <w:noProof/>
          <w:sz w:val="24"/>
          <w:szCs w:val="24"/>
          <w:lang w:eastAsia="da-DK"/>
        </w:rPr>
        <w:drawing>
          <wp:anchor distT="0" distB="0" distL="114300" distR="114300" simplePos="0" relativeHeight="251658240" behindDoc="0" locked="0" layoutInCell="1" allowOverlap="1" wp14:anchorId="368D57FD" wp14:editId="677549B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390D7F">
        <w:rPr>
          <w:sz w:val="24"/>
          <w:szCs w:val="24"/>
        </w:rPr>
        <w:br w:type="textWrapping" w:clear="all"/>
      </w:r>
    </w:p>
    <w:p w14:paraId="011A83CB" w14:textId="3A3317FC" w:rsidR="009260DE" w:rsidRPr="00390D7F" w:rsidRDefault="009260DE" w:rsidP="009260DE">
      <w:pPr>
        <w:pStyle w:val="Titel"/>
        <w:tabs>
          <w:tab w:val="right" w:pos="9356"/>
        </w:tabs>
        <w:jc w:val="left"/>
        <w:rPr>
          <w:b w:val="0"/>
          <w:szCs w:val="24"/>
          <w:lang w:eastAsia="en-US"/>
        </w:rPr>
      </w:pPr>
      <w:r w:rsidRPr="00390D7F">
        <w:rPr>
          <w:b w:val="0"/>
          <w:szCs w:val="24"/>
          <w:lang w:eastAsia="en-US"/>
        </w:rPr>
        <w:tab/>
      </w:r>
      <w:r w:rsidR="00C470DA">
        <w:rPr>
          <w:szCs w:val="24"/>
        </w:rPr>
        <w:t>2</w:t>
      </w:r>
      <w:r w:rsidR="003A01B0">
        <w:rPr>
          <w:szCs w:val="24"/>
        </w:rPr>
        <w:t>2</w:t>
      </w:r>
      <w:r w:rsidR="00C470DA">
        <w:rPr>
          <w:szCs w:val="24"/>
        </w:rPr>
        <w:t xml:space="preserve">. </w:t>
      </w:r>
      <w:r w:rsidR="003A01B0">
        <w:rPr>
          <w:szCs w:val="24"/>
        </w:rPr>
        <w:t>januar</w:t>
      </w:r>
      <w:r w:rsidR="00C470DA">
        <w:rPr>
          <w:szCs w:val="24"/>
        </w:rPr>
        <w:t xml:space="preserve"> 202</w:t>
      </w:r>
      <w:r w:rsidR="003A01B0">
        <w:rPr>
          <w:szCs w:val="24"/>
        </w:rPr>
        <w:t>5</w:t>
      </w:r>
    </w:p>
    <w:p w14:paraId="713EB10D" w14:textId="77777777" w:rsidR="009260DE" w:rsidRPr="00390D7F" w:rsidRDefault="009260DE" w:rsidP="009260DE">
      <w:pPr>
        <w:pStyle w:val="Titel"/>
        <w:tabs>
          <w:tab w:val="left" w:pos="8222"/>
        </w:tabs>
        <w:jc w:val="left"/>
        <w:rPr>
          <w:b w:val="0"/>
          <w:szCs w:val="24"/>
        </w:rPr>
      </w:pPr>
    </w:p>
    <w:p w14:paraId="0D1B234F" w14:textId="77777777" w:rsidR="009260DE" w:rsidRPr="00390D7F" w:rsidRDefault="009260DE" w:rsidP="009260DE">
      <w:pPr>
        <w:pStyle w:val="Titel"/>
        <w:jc w:val="left"/>
        <w:rPr>
          <w:b w:val="0"/>
          <w:szCs w:val="24"/>
        </w:rPr>
      </w:pPr>
    </w:p>
    <w:p w14:paraId="652635C9" w14:textId="77777777" w:rsidR="009260DE" w:rsidRPr="00390D7F" w:rsidRDefault="009260DE" w:rsidP="009260DE">
      <w:pPr>
        <w:pStyle w:val="Titel"/>
        <w:jc w:val="left"/>
        <w:rPr>
          <w:b w:val="0"/>
          <w:szCs w:val="24"/>
        </w:rPr>
      </w:pPr>
    </w:p>
    <w:p w14:paraId="05EA40AE" w14:textId="77777777" w:rsidR="009260DE" w:rsidRPr="00390D7F" w:rsidRDefault="009260DE" w:rsidP="009260DE">
      <w:pPr>
        <w:jc w:val="center"/>
        <w:rPr>
          <w:b/>
          <w:sz w:val="24"/>
          <w:szCs w:val="24"/>
        </w:rPr>
      </w:pPr>
      <w:r w:rsidRPr="00390D7F">
        <w:rPr>
          <w:b/>
          <w:sz w:val="24"/>
          <w:szCs w:val="24"/>
        </w:rPr>
        <w:t>PRODUKTRESUMÉ</w:t>
      </w:r>
    </w:p>
    <w:p w14:paraId="06C012D4" w14:textId="77777777" w:rsidR="009260DE" w:rsidRPr="00390D7F" w:rsidRDefault="009260DE" w:rsidP="009260DE">
      <w:pPr>
        <w:jc w:val="center"/>
        <w:rPr>
          <w:b/>
          <w:sz w:val="24"/>
          <w:szCs w:val="24"/>
        </w:rPr>
      </w:pPr>
    </w:p>
    <w:p w14:paraId="119F0AA9" w14:textId="77777777" w:rsidR="009260DE" w:rsidRPr="00390D7F" w:rsidRDefault="009260DE" w:rsidP="009260DE">
      <w:pPr>
        <w:jc w:val="center"/>
        <w:rPr>
          <w:b/>
          <w:sz w:val="24"/>
          <w:szCs w:val="24"/>
        </w:rPr>
      </w:pPr>
      <w:r w:rsidRPr="00390D7F">
        <w:rPr>
          <w:b/>
          <w:sz w:val="24"/>
          <w:szCs w:val="24"/>
        </w:rPr>
        <w:t>for</w:t>
      </w:r>
    </w:p>
    <w:p w14:paraId="1D68BF5A" w14:textId="77777777" w:rsidR="000B058C" w:rsidRPr="00390D7F" w:rsidRDefault="000B058C" w:rsidP="009260DE">
      <w:pPr>
        <w:jc w:val="center"/>
        <w:rPr>
          <w:b/>
          <w:sz w:val="24"/>
          <w:szCs w:val="24"/>
        </w:rPr>
      </w:pPr>
    </w:p>
    <w:p w14:paraId="56819DE2" w14:textId="3D28FE9B" w:rsidR="009260DE" w:rsidRPr="00390D7F" w:rsidRDefault="00725D7C" w:rsidP="009260DE">
      <w:pPr>
        <w:jc w:val="center"/>
        <w:rPr>
          <w:b/>
          <w:sz w:val="24"/>
          <w:szCs w:val="24"/>
        </w:rPr>
      </w:pPr>
      <w:proofErr w:type="spellStart"/>
      <w:r w:rsidRPr="00390D7F">
        <w:rPr>
          <w:b/>
          <w:sz w:val="24"/>
          <w:szCs w:val="24"/>
        </w:rPr>
        <w:t>Midodrine</w:t>
      </w:r>
      <w:proofErr w:type="spellEnd"/>
      <w:r w:rsidRPr="00390D7F">
        <w:rPr>
          <w:b/>
          <w:sz w:val="24"/>
          <w:szCs w:val="24"/>
        </w:rPr>
        <w:t xml:space="preserve"> "</w:t>
      </w:r>
      <w:proofErr w:type="spellStart"/>
      <w:r w:rsidRPr="00390D7F">
        <w:rPr>
          <w:b/>
          <w:sz w:val="24"/>
          <w:szCs w:val="24"/>
        </w:rPr>
        <w:t>Tillomed</w:t>
      </w:r>
      <w:proofErr w:type="spellEnd"/>
      <w:r w:rsidRPr="00390D7F">
        <w:rPr>
          <w:b/>
          <w:sz w:val="24"/>
          <w:szCs w:val="24"/>
        </w:rPr>
        <w:t>", tabletter</w:t>
      </w:r>
      <w:r w:rsidR="00073786" w:rsidRPr="00390D7F">
        <w:rPr>
          <w:b/>
          <w:sz w:val="24"/>
          <w:szCs w:val="24"/>
        </w:rPr>
        <w:t xml:space="preserve"> 5 mg</w:t>
      </w:r>
    </w:p>
    <w:p w14:paraId="4592DE2A" w14:textId="77777777" w:rsidR="009260DE" w:rsidRPr="00390D7F" w:rsidRDefault="009260DE" w:rsidP="009260DE">
      <w:pPr>
        <w:jc w:val="both"/>
        <w:rPr>
          <w:sz w:val="24"/>
          <w:szCs w:val="24"/>
        </w:rPr>
      </w:pPr>
    </w:p>
    <w:p w14:paraId="2E61BCC9" w14:textId="77777777" w:rsidR="009260DE" w:rsidRPr="00390D7F" w:rsidRDefault="009260DE" w:rsidP="009260DE">
      <w:pPr>
        <w:jc w:val="both"/>
        <w:rPr>
          <w:sz w:val="24"/>
          <w:szCs w:val="24"/>
        </w:rPr>
      </w:pPr>
    </w:p>
    <w:p w14:paraId="76944874" w14:textId="77777777" w:rsidR="009260DE" w:rsidRPr="00390D7F" w:rsidRDefault="009260DE" w:rsidP="009260DE">
      <w:pPr>
        <w:tabs>
          <w:tab w:val="left" w:pos="851"/>
        </w:tabs>
        <w:ind w:left="851" w:hanging="851"/>
        <w:rPr>
          <w:b/>
          <w:sz w:val="24"/>
          <w:szCs w:val="24"/>
        </w:rPr>
      </w:pPr>
      <w:r w:rsidRPr="00390D7F">
        <w:rPr>
          <w:b/>
          <w:sz w:val="24"/>
          <w:szCs w:val="24"/>
        </w:rPr>
        <w:t>0.</w:t>
      </w:r>
      <w:r w:rsidRPr="00390D7F">
        <w:rPr>
          <w:b/>
          <w:sz w:val="24"/>
          <w:szCs w:val="24"/>
        </w:rPr>
        <w:tab/>
        <w:t>D.SP.NR.</w:t>
      </w:r>
    </w:p>
    <w:p w14:paraId="31AC7763" w14:textId="199F9CEE" w:rsidR="009260DE" w:rsidRPr="00390D7F" w:rsidRDefault="00725D7C" w:rsidP="009260DE">
      <w:pPr>
        <w:tabs>
          <w:tab w:val="left" w:pos="851"/>
        </w:tabs>
        <w:ind w:left="851"/>
        <w:rPr>
          <w:sz w:val="24"/>
          <w:szCs w:val="24"/>
        </w:rPr>
      </w:pPr>
      <w:r w:rsidRPr="00390D7F">
        <w:rPr>
          <w:sz w:val="24"/>
          <w:szCs w:val="24"/>
        </w:rPr>
        <w:t>33129</w:t>
      </w:r>
    </w:p>
    <w:p w14:paraId="406CE483" w14:textId="77777777" w:rsidR="009260DE" w:rsidRPr="00390D7F" w:rsidRDefault="009260DE" w:rsidP="009260DE">
      <w:pPr>
        <w:tabs>
          <w:tab w:val="left" w:pos="851"/>
        </w:tabs>
        <w:ind w:left="851"/>
        <w:rPr>
          <w:sz w:val="24"/>
          <w:szCs w:val="24"/>
        </w:rPr>
      </w:pPr>
    </w:p>
    <w:p w14:paraId="2C873D5F" w14:textId="77777777" w:rsidR="009260DE" w:rsidRPr="00390D7F" w:rsidRDefault="009260DE" w:rsidP="009260DE">
      <w:pPr>
        <w:tabs>
          <w:tab w:val="left" w:pos="851"/>
        </w:tabs>
        <w:ind w:left="851" w:hanging="851"/>
        <w:rPr>
          <w:b/>
          <w:sz w:val="24"/>
          <w:szCs w:val="24"/>
        </w:rPr>
      </w:pPr>
      <w:r w:rsidRPr="00390D7F">
        <w:rPr>
          <w:b/>
          <w:sz w:val="24"/>
          <w:szCs w:val="24"/>
        </w:rPr>
        <w:t>1.</w:t>
      </w:r>
      <w:r w:rsidRPr="00390D7F">
        <w:rPr>
          <w:b/>
          <w:sz w:val="24"/>
          <w:szCs w:val="24"/>
        </w:rPr>
        <w:tab/>
        <w:t>LÆGEMIDLETS NAVN</w:t>
      </w:r>
    </w:p>
    <w:p w14:paraId="5B4A3FCD" w14:textId="3D304C43" w:rsidR="009260DE" w:rsidRPr="00390D7F" w:rsidRDefault="00725D7C" w:rsidP="009260DE">
      <w:pPr>
        <w:tabs>
          <w:tab w:val="left" w:pos="851"/>
        </w:tabs>
        <w:ind w:left="851"/>
        <w:rPr>
          <w:sz w:val="24"/>
          <w:szCs w:val="24"/>
        </w:rPr>
      </w:pPr>
      <w:proofErr w:type="spellStart"/>
      <w:r w:rsidRPr="00390D7F">
        <w:rPr>
          <w:sz w:val="24"/>
          <w:szCs w:val="24"/>
        </w:rPr>
        <w:t>Midodrine</w:t>
      </w:r>
      <w:proofErr w:type="spellEnd"/>
      <w:r w:rsidRPr="00390D7F">
        <w:rPr>
          <w:sz w:val="24"/>
          <w:szCs w:val="24"/>
        </w:rPr>
        <w:t xml:space="preserve"> "</w:t>
      </w:r>
      <w:proofErr w:type="spellStart"/>
      <w:r w:rsidRPr="00390D7F">
        <w:rPr>
          <w:sz w:val="24"/>
          <w:szCs w:val="24"/>
        </w:rPr>
        <w:t>Tillomed</w:t>
      </w:r>
      <w:proofErr w:type="spellEnd"/>
      <w:r w:rsidRPr="00390D7F">
        <w:rPr>
          <w:sz w:val="24"/>
          <w:szCs w:val="24"/>
        </w:rPr>
        <w:t>"</w:t>
      </w:r>
    </w:p>
    <w:p w14:paraId="4A7E7097" w14:textId="77777777" w:rsidR="009260DE" w:rsidRPr="00390D7F" w:rsidRDefault="009260DE" w:rsidP="009260DE">
      <w:pPr>
        <w:tabs>
          <w:tab w:val="left" w:pos="851"/>
        </w:tabs>
        <w:ind w:left="851"/>
        <w:rPr>
          <w:sz w:val="24"/>
          <w:szCs w:val="24"/>
        </w:rPr>
      </w:pPr>
    </w:p>
    <w:p w14:paraId="6FB237E1" w14:textId="77777777" w:rsidR="009260DE" w:rsidRPr="00390D7F" w:rsidRDefault="009260DE" w:rsidP="009260DE">
      <w:pPr>
        <w:tabs>
          <w:tab w:val="left" w:pos="851"/>
        </w:tabs>
        <w:ind w:left="851" w:hanging="851"/>
        <w:rPr>
          <w:b/>
          <w:sz w:val="24"/>
          <w:szCs w:val="24"/>
        </w:rPr>
      </w:pPr>
      <w:r w:rsidRPr="00390D7F">
        <w:rPr>
          <w:b/>
          <w:sz w:val="24"/>
          <w:szCs w:val="24"/>
        </w:rPr>
        <w:t>2.</w:t>
      </w:r>
      <w:r w:rsidRPr="00390D7F">
        <w:rPr>
          <w:b/>
          <w:sz w:val="24"/>
          <w:szCs w:val="24"/>
        </w:rPr>
        <w:tab/>
        <w:t>KVALITATIV OG KVANTITATIV SAMMENSÆTNING</w:t>
      </w:r>
    </w:p>
    <w:p w14:paraId="0E1FEA6B" w14:textId="77777777" w:rsidR="00936E13" w:rsidRPr="00390D7F" w:rsidRDefault="00936E13" w:rsidP="000A03A5">
      <w:pPr>
        <w:ind w:left="851"/>
        <w:rPr>
          <w:sz w:val="24"/>
          <w:szCs w:val="24"/>
          <w:lang w:eastAsia="en-GB"/>
        </w:rPr>
      </w:pPr>
      <w:r w:rsidRPr="00390D7F">
        <w:rPr>
          <w:sz w:val="24"/>
          <w:szCs w:val="24"/>
        </w:rPr>
        <w:t xml:space="preserve">Hver tablet indeholder 5 mg </w:t>
      </w:r>
      <w:proofErr w:type="spellStart"/>
      <w:r w:rsidRPr="00390D7F">
        <w:rPr>
          <w:sz w:val="24"/>
          <w:szCs w:val="24"/>
        </w:rPr>
        <w:t>midodrinhydrochlorid</w:t>
      </w:r>
      <w:proofErr w:type="spellEnd"/>
      <w:r w:rsidRPr="00390D7F">
        <w:rPr>
          <w:sz w:val="24"/>
          <w:szCs w:val="24"/>
        </w:rPr>
        <w:t>.</w:t>
      </w:r>
    </w:p>
    <w:p w14:paraId="15C0E067" w14:textId="77777777" w:rsidR="00390D7F" w:rsidRPr="00390D7F" w:rsidRDefault="00390D7F" w:rsidP="000A03A5">
      <w:pPr>
        <w:ind w:left="851"/>
        <w:rPr>
          <w:color w:val="000000"/>
          <w:sz w:val="24"/>
          <w:szCs w:val="24"/>
          <w:u w:val="single"/>
        </w:rPr>
      </w:pPr>
    </w:p>
    <w:p w14:paraId="7970CD08" w14:textId="4E3D03A0" w:rsidR="00936E13" w:rsidRPr="00390D7F" w:rsidRDefault="00936E13" w:rsidP="000A03A5">
      <w:pPr>
        <w:ind w:left="851"/>
        <w:rPr>
          <w:color w:val="000000"/>
          <w:sz w:val="24"/>
          <w:szCs w:val="24"/>
        </w:rPr>
      </w:pPr>
      <w:r w:rsidRPr="00390D7F">
        <w:rPr>
          <w:color w:val="000000"/>
          <w:sz w:val="24"/>
          <w:szCs w:val="24"/>
          <w:u w:val="single"/>
        </w:rPr>
        <w:t>Hjælpestoffer, som behandleren skal være opmærksom på:</w:t>
      </w:r>
    </w:p>
    <w:p w14:paraId="777694A7" w14:textId="77777777" w:rsidR="00936E13" w:rsidRPr="00390D7F" w:rsidRDefault="00936E13" w:rsidP="000A03A5">
      <w:pPr>
        <w:ind w:left="851"/>
        <w:rPr>
          <w:color w:val="000000"/>
          <w:sz w:val="24"/>
          <w:szCs w:val="24"/>
        </w:rPr>
      </w:pPr>
      <w:r w:rsidRPr="00390D7F">
        <w:rPr>
          <w:color w:val="000000"/>
          <w:sz w:val="24"/>
          <w:szCs w:val="24"/>
        </w:rPr>
        <w:t xml:space="preserve">Hver tablet indeholder 0,1 mg Sunset Yellow </w:t>
      </w:r>
      <w:proofErr w:type="gramStart"/>
      <w:r w:rsidRPr="00390D7F">
        <w:rPr>
          <w:color w:val="000000"/>
          <w:sz w:val="24"/>
          <w:szCs w:val="24"/>
        </w:rPr>
        <w:t>FCF aluminium</w:t>
      </w:r>
      <w:proofErr w:type="gramEnd"/>
      <w:r w:rsidRPr="00390D7F">
        <w:rPr>
          <w:color w:val="000000"/>
          <w:sz w:val="24"/>
          <w:szCs w:val="24"/>
        </w:rPr>
        <w:t xml:space="preserve"> </w:t>
      </w:r>
      <w:proofErr w:type="spellStart"/>
      <w:r w:rsidRPr="00390D7F">
        <w:rPr>
          <w:color w:val="000000"/>
          <w:sz w:val="24"/>
          <w:szCs w:val="24"/>
        </w:rPr>
        <w:t>lake</w:t>
      </w:r>
      <w:proofErr w:type="spellEnd"/>
      <w:r w:rsidRPr="00390D7F">
        <w:rPr>
          <w:color w:val="000000"/>
          <w:sz w:val="24"/>
          <w:szCs w:val="24"/>
        </w:rPr>
        <w:t xml:space="preserve"> (E110).</w:t>
      </w:r>
    </w:p>
    <w:p w14:paraId="7A73ADFA" w14:textId="77777777" w:rsidR="00174897" w:rsidRDefault="00174897" w:rsidP="000A03A5">
      <w:pPr>
        <w:ind w:left="851"/>
        <w:rPr>
          <w:sz w:val="24"/>
          <w:szCs w:val="24"/>
        </w:rPr>
      </w:pPr>
    </w:p>
    <w:p w14:paraId="1B31C87A" w14:textId="173F823A" w:rsidR="00936E13" w:rsidRPr="00390D7F" w:rsidRDefault="00936E13" w:rsidP="000A03A5">
      <w:pPr>
        <w:ind w:left="851"/>
        <w:rPr>
          <w:sz w:val="24"/>
          <w:szCs w:val="24"/>
        </w:rPr>
      </w:pPr>
      <w:r w:rsidRPr="00390D7F">
        <w:rPr>
          <w:sz w:val="24"/>
          <w:szCs w:val="24"/>
        </w:rPr>
        <w:t>Alle hjælpestoffer er anført under pkt. 6.1.</w:t>
      </w:r>
    </w:p>
    <w:p w14:paraId="3774498A" w14:textId="77777777" w:rsidR="009260DE" w:rsidRPr="00390D7F" w:rsidRDefault="009260DE" w:rsidP="000A03A5">
      <w:pPr>
        <w:ind w:left="851"/>
        <w:rPr>
          <w:sz w:val="24"/>
          <w:szCs w:val="24"/>
        </w:rPr>
      </w:pPr>
    </w:p>
    <w:p w14:paraId="03360482" w14:textId="77777777" w:rsidR="009260DE" w:rsidRPr="00390D7F" w:rsidRDefault="009260DE" w:rsidP="009260DE">
      <w:pPr>
        <w:tabs>
          <w:tab w:val="left" w:pos="851"/>
        </w:tabs>
        <w:ind w:left="851" w:hanging="851"/>
        <w:rPr>
          <w:b/>
          <w:sz w:val="24"/>
          <w:szCs w:val="24"/>
        </w:rPr>
      </w:pPr>
      <w:r w:rsidRPr="00390D7F">
        <w:rPr>
          <w:b/>
          <w:sz w:val="24"/>
          <w:szCs w:val="24"/>
        </w:rPr>
        <w:t>3.</w:t>
      </w:r>
      <w:r w:rsidRPr="00390D7F">
        <w:rPr>
          <w:b/>
          <w:sz w:val="24"/>
          <w:szCs w:val="24"/>
        </w:rPr>
        <w:tab/>
        <w:t>LÆGEMIDDELFORM</w:t>
      </w:r>
    </w:p>
    <w:p w14:paraId="19C69A46" w14:textId="77777777" w:rsidR="00174897" w:rsidRPr="00AB4DCE" w:rsidRDefault="00174897" w:rsidP="00174897">
      <w:pPr>
        <w:ind w:left="851"/>
        <w:rPr>
          <w:sz w:val="24"/>
          <w:szCs w:val="24"/>
          <w:lang w:eastAsia="en-GB"/>
        </w:rPr>
      </w:pPr>
      <w:r w:rsidRPr="00AB4DCE">
        <w:rPr>
          <w:sz w:val="24"/>
          <w:szCs w:val="24"/>
        </w:rPr>
        <w:t>Tablet</w:t>
      </w:r>
      <w:r>
        <w:rPr>
          <w:sz w:val="24"/>
          <w:szCs w:val="24"/>
        </w:rPr>
        <w:t>ter</w:t>
      </w:r>
    </w:p>
    <w:p w14:paraId="2A706102" w14:textId="77777777" w:rsidR="00174897" w:rsidRDefault="00174897" w:rsidP="000A03A5">
      <w:pPr>
        <w:ind w:left="851"/>
        <w:rPr>
          <w:sz w:val="24"/>
          <w:szCs w:val="24"/>
        </w:rPr>
      </w:pPr>
    </w:p>
    <w:p w14:paraId="53817610" w14:textId="73193E1A" w:rsidR="00936E13" w:rsidRPr="00390D7F" w:rsidRDefault="00936E13" w:rsidP="000A03A5">
      <w:pPr>
        <w:ind w:left="851"/>
        <w:rPr>
          <w:sz w:val="24"/>
          <w:szCs w:val="24"/>
          <w:lang w:eastAsia="en-IE"/>
        </w:rPr>
      </w:pPr>
      <w:r w:rsidRPr="00390D7F">
        <w:rPr>
          <w:sz w:val="24"/>
          <w:szCs w:val="24"/>
        </w:rPr>
        <w:t>Lys orangefarvede, runde tabletter med delekærv præget med ‘H’ over delekærven og ‘P’ under delekærven på den ene side og ‘505’ på den anden side. Tablettens diameter er 7,10 mm ± 0,2 mm.</w:t>
      </w:r>
    </w:p>
    <w:p w14:paraId="6874F8CD" w14:textId="77777777" w:rsidR="00152FB6" w:rsidRDefault="00152FB6" w:rsidP="000A03A5">
      <w:pPr>
        <w:ind w:left="851"/>
        <w:rPr>
          <w:sz w:val="24"/>
          <w:szCs w:val="24"/>
        </w:rPr>
      </w:pPr>
    </w:p>
    <w:p w14:paraId="289B2226" w14:textId="248DA162" w:rsidR="00936E13" w:rsidRPr="00390D7F" w:rsidRDefault="00936E13" w:rsidP="000A03A5">
      <w:pPr>
        <w:ind w:left="851"/>
        <w:rPr>
          <w:sz w:val="24"/>
          <w:szCs w:val="24"/>
        </w:rPr>
      </w:pPr>
      <w:r w:rsidRPr="00390D7F">
        <w:rPr>
          <w:sz w:val="24"/>
          <w:szCs w:val="24"/>
        </w:rPr>
        <w:t>Tabletten kan deles i to lige store doser.</w:t>
      </w:r>
    </w:p>
    <w:p w14:paraId="208AD3BD" w14:textId="77777777" w:rsidR="009260DE" w:rsidRPr="00390D7F" w:rsidRDefault="009260DE" w:rsidP="009260DE">
      <w:pPr>
        <w:tabs>
          <w:tab w:val="left" w:pos="851"/>
        </w:tabs>
        <w:ind w:left="851"/>
        <w:rPr>
          <w:sz w:val="24"/>
          <w:szCs w:val="24"/>
        </w:rPr>
      </w:pPr>
    </w:p>
    <w:p w14:paraId="08E9B48F" w14:textId="77777777" w:rsidR="009260DE" w:rsidRPr="00390D7F" w:rsidRDefault="009260DE" w:rsidP="009260DE">
      <w:pPr>
        <w:tabs>
          <w:tab w:val="left" w:pos="851"/>
        </w:tabs>
        <w:ind w:left="851"/>
        <w:rPr>
          <w:sz w:val="24"/>
          <w:szCs w:val="24"/>
        </w:rPr>
      </w:pPr>
    </w:p>
    <w:p w14:paraId="08C07C96" w14:textId="77777777" w:rsidR="009260DE" w:rsidRPr="00390D7F" w:rsidRDefault="009260DE" w:rsidP="009260DE">
      <w:pPr>
        <w:tabs>
          <w:tab w:val="left" w:pos="851"/>
        </w:tabs>
        <w:ind w:left="851" w:hanging="851"/>
        <w:rPr>
          <w:b/>
          <w:sz w:val="24"/>
          <w:szCs w:val="24"/>
        </w:rPr>
      </w:pPr>
      <w:r w:rsidRPr="00390D7F">
        <w:rPr>
          <w:b/>
          <w:sz w:val="24"/>
          <w:szCs w:val="24"/>
        </w:rPr>
        <w:t>4.</w:t>
      </w:r>
      <w:r w:rsidRPr="00390D7F">
        <w:rPr>
          <w:b/>
          <w:sz w:val="24"/>
          <w:szCs w:val="24"/>
        </w:rPr>
        <w:tab/>
        <w:t>KLINISKE OPLYSNINGER</w:t>
      </w:r>
    </w:p>
    <w:p w14:paraId="5B784787" w14:textId="77777777" w:rsidR="009260DE" w:rsidRPr="00390D7F" w:rsidRDefault="009260DE" w:rsidP="009260DE">
      <w:pPr>
        <w:tabs>
          <w:tab w:val="left" w:pos="851"/>
        </w:tabs>
        <w:ind w:left="851"/>
        <w:rPr>
          <w:b/>
          <w:sz w:val="24"/>
          <w:szCs w:val="24"/>
        </w:rPr>
      </w:pPr>
    </w:p>
    <w:p w14:paraId="305CF95C" w14:textId="77777777" w:rsidR="009260DE" w:rsidRPr="00390D7F" w:rsidRDefault="009260DE" w:rsidP="009260DE">
      <w:pPr>
        <w:tabs>
          <w:tab w:val="left" w:pos="851"/>
        </w:tabs>
        <w:ind w:left="851" w:hanging="851"/>
        <w:rPr>
          <w:b/>
          <w:sz w:val="24"/>
          <w:szCs w:val="24"/>
          <w:u w:val="single"/>
        </w:rPr>
      </w:pPr>
      <w:r w:rsidRPr="00390D7F">
        <w:rPr>
          <w:b/>
          <w:sz w:val="24"/>
          <w:szCs w:val="24"/>
        </w:rPr>
        <w:t>4.1</w:t>
      </w:r>
      <w:r w:rsidRPr="00390D7F">
        <w:rPr>
          <w:b/>
          <w:sz w:val="24"/>
          <w:szCs w:val="24"/>
        </w:rPr>
        <w:tab/>
        <w:t>Terapeutiske indikationer</w:t>
      </w:r>
    </w:p>
    <w:p w14:paraId="72FF0240" w14:textId="77777777" w:rsidR="00936E13" w:rsidRPr="00390D7F" w:rsidRDefault="00936E13" w:rsidP="000A03A5">
      <w:pPr>
        <w:ind w:left="851"/>
        <w:rPr>
          <w:sz w:val="24"/>
          <w:szCs w:val="24"/>
          <w:lang w:eastAsia="en-GB"/>
        </w:rPr>
      </w:pPr>
      <w:r w:rsidRPr="00390D7F">
        <w:rPr>
          <w:sz w:val="24"/>
          <w:szCs w:val="24"/>
        </w:rPr>
        <w:t xml:space="preserve">Til brug til behandling af svær </w:t>
      </w:r>
      <w:proofErr w:type="spellStart"/>
      <w:r w:rsidRPr="00390D7F">
        <w:rPr>
          <w:sz w:val="24"/>
          <w:szCs w:val="24"/>
        </w:rPr>
        <w:t>ortostatisk</w:t>
      </w:r>
      <w:proofErr w:type="spellEnd"/>
      <w:r w:rsidRPr="00390D7F">
        <w:rPr>
          <w:sz w:val="24"/>
          <w:szCs w:val="24"/>
        </w:rPr>
        <w:t xml:space="preserve"> hypotension på grund af dysfunktion i det autonome nervesystem, når </w:t>
      </w:r>
      <w:proofErr w:type="spellStart"/>
      <w:r w:rsidRPr="00390D7F">
        <w:rPr>
          <w:sz w:val="24"/>
          <w:szCs w:val="24"/>
        </w:rPr>
        <w:t>korrigerbare</w:t>
      </w:r>
      <w:proofErr w:type="spellEnd"/>
      <w:r w:rsidRPr="00390D7F">
        <w:rPr>
          <w:sz w:val="24"/>
          <w:szCs w:val="24"/>
        </w:rPr>
        <w:t xml:space="preserve"> faktorer er blevet udelukket. </w:t>
      </w:r>
    </w:p>
    <w:p w14:paraId="492CD225" w14:textId="77777777" w:rsidR="009260DE" w:rsidRPr="00390D7F" w:rsidRDefault="009260DE" w:rsidP="009260DE">
      <w:pPr>
        <w:tabs>
          <w:tab w:val="left" w:pos="851"/>
        </w:tabs>
        <w:ind w:left="851"/>
        <w:rPr>
          <w:sz w:val="24"/>
          <w:szCs w:val="24"/>
        </w:rPr>
      </w:pPr>
    </w:p>
    <w:p w14:paraId="5786B007" w14:textId="77777777" w:rsidR="009260DE" w:rsidRPr="00390D7F" w:rsidRDefault="009260DE" w:rsidP="009260DE">
      <w:pPr>
        <w:tabs>
          <w:tab w:val="left" w:pos="851"/>
        </w:tabs>
        <w:ind w:left="851" w:hanging="851"/>
        <w:rPr>
          <w:b/>
          <w:sz w:val="24"/>
          <w:szCs w:val="24"/>
        </w:rPr>
      </w:pPr>
      <w:r w:rsidRPr="00390D7F">
        <w:rPr>
          <w:b/>
          <w:sz w:val="24"/>
          <w:szCs w:val="24"/>
        </w:rPr>
        <w:t>4.2</w:t>
      </w:r>
      <w:r w:rsidRPr="00390D7F">
        <w:rPr>
          <w:b/>
          <w:sz w:val="24"/>
          <w:szCs w:val="24"/>
        </w:rPr>
        <w:tab/>
        <w:t xml:space="preserve">Dosering og </w:t>
      </w:r>
      <w:r w:rsidR="002C1EC0" w:rsidRPr="00390D7F">
        <w:rPr>
          <w:b/>
          <w:sz w:val="24"/>
          <w:szCs w:val="24"/>
        </w:rPr>
        <w:t>administration</w:t>
      </w:r>
    </w:p>
    <w:p w14:paraId="5CB7C07F" w14:textId="77777777" w:rsidR="00152FB6" w:rsidRDefault="00152FB6" w:rsidP="000A03A5">
      <w:pPr>
        <w:ind w:left="851"/>
        <w:rPr>
          <w:sz w:val="24"/>
          <w:szCs w:val="24"/>
        </w:rPr>
      </w:pPr>
    </w:p>
    <w:p w14:paraId="2B23DB83" w14:textId="6A79C642" w:rsidR="00936E13" w:rsidRPr="00152FB6" w:rsidRDefault="00936E13" w:rsidP="000A03A5">
      <w:pPr>
        <w:ind w:left="851"/>
        <w:rPr>
          <w:sz w:val="24"/>
          <w:szCs w:val="24"/>
          <w:u w:val="single"/>
          <w:lang w:eastAsia="en-GB"/>
        </w:rPr>
      </w:pPr>
      <w:r w:rsidRPr="00152FB6">
        <w:rPr>
          <w:sz w:val="24"/>
          <w:szCs w:val="24"/>
          <w:u w:val="single"/>
        </w:rPr>
        <w:t>Dosering:</w:t>
      </w:r>
    </w:p>
    <w:p w14:paraId="19A901BD" w14:textId="77777777" w:rsidR="00936E13" w:rsidRPr="00390D7F" w:rsidRDefault="00936E13" w:rsidP="000A03A5">
      <w:pPr>
        <w:ind w:left="851"/>
        <w:rPr>
          <w:sz w:val="24"/>
          <w:szCs w:val="24"/>
        </w:rPr>
      </w:pPr>
      <w:r w:rsidRPr="00390D7F">
        <w:rPr>
          <w:sz w:val="24"/>
          <w:szCs w:val="24"/>
        </w:rPr>
        <w:t xml:space="preserve">Den normale initialdosis er 2,5 mg </w:t>
      </w:r>
      <w:proofErr w:type="spellStart"/>
      <w:r w:rsidRPr="00390D7F">
        <w:rPr>
          <w:sz w:val="24"/>
          <w:szCs w:val="24"/>
        </w:rPr>
        <w:t>midodrinhydrochlorid</w:t>
      </w:r>
      <w:proofErr w:type="spellEnd"/>
      <w:r w:rsidRPr="00390D7F">
        <w:rPr>
          <w:sz w:val="24"/>
          <w:szCs w:val="24"/>
        </w:rPr>
        <w:t xml:space="preserve"> 2-3 gange dagligt. Denne dosis kan øges ugentligt i små trin, indtil der opnås et optimalt respons. Vedligeholdelsesdosen </w:t>
      </w:r>
      <w:r w:rsidRPr="00390D7F">
        <w:rPr>
          <w:sz w:val="24"/>
          <w:szCs w:val="24"/>
        </w:rPr>
        <w:lastRenderedPageBreak/>
        <w:t>skal fastsættes individuelt for hver enkelt patient med henblik på at opnå optimal terapeutisk virkning og samtidig minimere bivirkningerne.</w:t>
      </w:r>
    </w:p>
    <w:p w14:paraId="65BCEACB" w14:textId="77777777" w:rsidR="00152FB6" w:rsidRDefault="00152FB6" w:rsidP="000A03A5">
      <w:pPr>
        <w:ind w:left="851"/>
        <w:rPr>
          <w:sz w:val="24"/>
          <w:szCs w:val="24"/>
        </w:rPr>
      </w:pPr>
    </w:p>
    <w:p w14:paraId="03B47EA3" w14:textId="10609EE8" w:rsidR="00936E13" w:rsidRPr="00390D7F" w:rsidRDefault="00936E13" w:rsidP="000A03A5">
      <w:pPr>
        <w:ind w:left="851"/>
        <w:rPr>
          <w:sz w:val="24"/>
          <w:szCs w:val="24"/>
        </w:rPr>
      </w:pPr>
      <w:r w:rsidRPr="00390D7F">
        <w:rPr>
          <w:sz w:val="24"/>
          <w:szCs w:val="24"/>
        </w:rPr>
        <w:t xml:space="preserve">Den maksimale daglige dosis er 30 mg </w:t>
      </w:r>
      <w:proofErr w:type="spellStart"/>
      <w:r w:rsidRPr="00390D7F">
        <w:rPr>
          <w:sz w:val="24"/>
          <w:szCs w:val="24"/>
        </w:rPr>
        <w:t>midodrinhydrochlorid</w:t>
      </w:r>
      <w:proofErr w:type="spellEnd"/>
      <w:r w:rsidRPr="00390D7F">
        <w:rPr>
          <w:sz w:val="24"/>
          <w:szCs w:val="24"/>
        </w:rPr>
        <w:t xml:space="preserve"> opdelt i 3 enkeltdoser, og denne grænse må kun overskrides i helt særlige tilfælde.</w:t>
      </w:r>
    </w:p>
    <w:p w14:paraId="5870DD2B" w14:textId="77777777" w:rsidR="00152FB6" w:rsidRDefault="00152FB6" w:rsidP="000A03A5">
      <w:pPr>
        <w:ind w:left="851"/>
        <w:rPr>
          <w:sz w:val="24"/>
          <w:szCs w:val="24"/>
        </w:rPr>
      </w:pPr>
    </w:p>
    <w:p w14:paraId="3E6AF7ED" w14:textId="00DE542A" w:rsidR="00936E13" w:rsidRPr="00390D7F" w:rsidRDefault="00936E13" w:rsidP="000A03A5">
      <w:pPr>
        <w:ind w:left="851"/>
        <w:rPr>
          <w:sz w:val="24"/>
          <w:szCs w:val="24"/>
        </w:rPr>
      </w:pPr>
      <w:proofErr w:type="spellStart"/>
      <w:r w:rsidRPr="00390D7F">
        <w:rPr>
          <w:sz w:val="24"/>
          <w:szCs w:val="24"/>
        </w:rPr>
        <w:t>Midodrine</w:t>
      </w:r>
      <w:proofErr w:type="spellEnd"/>
      <w:r w:rsidRPr="00390D7F">
        <w:rPr>
          <w:sz w:val="24"/>
          <w:szCs w:val="24"/>
        </w:rPr>
        <w:t xml:space="preserve"> </w:t>
      </w:r>
      <w:r w:rsidR="00A6464A">
        <w:rPr>
          <w:sz w:val="24"/>
          <w:szCs w:val="24"/>
        </w:rPr>
        <w:t>"</w:t>
      </w:r>
      <w:proofErr w:type="spellStart"/>
      <w:r w:rsidR="00A6464A">
        <w:rPr>
          <w:sz w:val="24"/>
          <w:szCs w:val="24"/>
        </w:rPr>
        <w:t>Tillomed</w:t>
      </w:r>
      <w:proofErr w:type="spellEnd"/>
      <w:r w:rsidR="00A6464A">
        <w:rPr>
          <w:sz w:val="24"/>
          <w:szCs w:val="24"/>
        </w:rPr>
        <w:t>"</w:t>
      </w:r>
      <w:r w:rsidRPr="00390D7F">
        <w:rPr>
          <w:sz w:val="24"/>
          <w:szCs w:val="24"/>
        </w:rPr>
        <w:t xml:space="preserve"> skal tages om dagen, når patienten udfører sine daglige aktiviteter i opretstående stilling. Der foreslås en doseringsplan med 3-4 timers intervaller. Den sidste daglige dosis skal tages mindst fire timer før sengetid for at reducere risikoen for hypertension i liggende stilling. Blodtrykket i liggende og siddende stilling skal overvåges regelmæssigt ved begyndelsen af behandlingen (mindst to gange om ugen). Behandlingen med </w:t>
      </w:r>
      <w:proofErr w:type="spellStart"/>
      <w:r w:rsidRPr="00390D7F">
        <w:rPr>
          <w:sz w:val="24"/>
          <w:szCs w:val="24"/>
        </w:rPr>
        <w:t>Midodrine</w:t>
      </w:r>
      <w:proofErr w:type="spellEnd"/>
      <w:r w:rsidRPr="00390D7F">
        <w:rPr>
          <w:sz w:val="24"/>
          <w:szCs w:val="24"/>
        </w:rPr>
        <w:t xml:space="preserve"> </w:t>
      </w:r>
      <w:r w:rsidR="00A6464A">
        <w:rPr>
          <w:sz w:val="24"/>
          <w:szCs w:val="24"/>
        </w:rPr>
        <w:t>"</w:t>
      </w:r>
      <w:proofErr w:type="spellStart"/>
      <w:r w:rsidR="00A6464A">
        <w:rPr>
          <w:sz w:val="24"/>
          <w:szCs w:val="24"/>
        </w:rPr>
        <w:t>Tillomed</w:t>
      </w:r>
      <w:proofErr w:type="spellEnd"/>
      <w:r w:rsidR="00A6464A">
        <w:rPr>
          <w:sz w:val="24"/>
          <w:szCs w:val="24"/>
        </w:rPr>
        <w:t>"</w:t>
      </w:r>
      <w:r w:rsidRPr="00390D7F">
        <w:rPr>
          <w:sz w:val="24"/>
          <w:szCs w:val="24"/>
        </w:rPr>
        <w:t xml:space="preserve"> skal afbrydes, hvis hypertension i liggende stilling er signifikant overdreven.</w:t>
      </w:r>
    </w:p>
    <w:p w14:paraId="7750CA48" w14:textId="77777777" w:rsidR="00152FB6" w:rsidRDefault="00152FB6" w:rsidP="000A03A5">
      <w:pPr>
        <w:ind w:left="851"/>
        <w:rPr>
          <w:sz w:val="24"/>
          <w:szCs w:val="24"/>
        </w:rPr>
      </w:pPr>
    </w:p>
    <w:p w14:paraId="28B6083B" w14:textId="439BDDD9" w:rsidR="00936E13" w:rsidRPr="00390D7F" w:rsidRDefault="00936E13" w:rsidP="000A03A5">
      <w:pPr>
        <w:ind w:left="851"/>
        <w:rPr>
          <w:sz w:val="24"/>
          <w:szCs w:val="24"/>
        </w:rPr>
      </w:pPr>
      <w:proofErr w:type="spellStart"/>
      <w:r w:rsidRPr="00390D7F">
        <w:rPr>
          <w:sz w:val="24"/>
          <w:szCs w:val="24"/>
        </w:rPr>
        <w:t>Midodrine</w:t>
      </w:r>
      <w:proofErr w:type="spellEnd"/>
      <w:r w:rsidRPr="00390D7F">
        <w:rPr>
          <w:sz w:val="24"/>
          <w:szCs w:val="24"/>
        </w:rPr>
        <w:t xml:space="preserve"> </w:t>
      </w:r>
      <w:r w:rsidR="00A6464A">
        <w:rPr>
          <w:sz w:val="24"/>
          <w:szCs w:val="24"/>
        </w:rPr>
        <w:t>"</w:t>
      </w:r>
      <w:proofErr w:type="spellStart"/>
      <w:r w:rsidR="00A6464A">
        <w:rPr>
          <w:sz w:val="24"/>
          <w:szCs w:val="24"/>
        </w:rPr>
        <w:t>Tillomed</w:t>
      </w:r>
      <w:proofErr w:type="spellEnd"/>
      <w:r w:rsidR="00A6464A">
        <w:rPr>
          <w:sz w:val="24"/>
          <w:szCs w:val="24"/>
        </w:rPr>
        <w:t>"</w:t>
      </w:r>
      <w:r w:rsidRPr="00390D7F">
        <w:rPr>
          <w:sz w:val="24"/>
          <w:szCs w:val="24"/>
        </w:rPr>
        <w:t xml:space="preserve"> skal tages med en tilstrækkelig mængde væske. De kan tages sammen med mad. Behandlingens varighed baseres på sygdommens udvikling. </w:t>
      </w:r>
    </w:p>
    <w:p w14:paraId="0559CB04" w14:textId="77777777" w:rsidR="00152FB6" w:rsidRDefault="00152FB6" w:rsidP="000A03A5">
      <w:pPr>
        <w:ind w:left="851"/>
        <w:rPr>
          <w:sz w:val="24"/>
          <w:szCs w:val="24"/>
        </w:rPr>
      </w:pPr>
    </w:p>
    <w:p w14:paraId="6A667DB2" w14:textId="716D3366" w:rsidR="00936E13" w:rsidRPr="00152FB6" w:rsidRDefault="00936E13" w:rsidP="000A03A5">
      <w:pPr>
        <w:ind w:left="851"/>
        <w:rPr>
          <w:sz w:val="24"/>
          <w:szCs w:val="24"/>
          <w:u w:val="single"/>
        </w:rPr>
      </w:pPr>
      <w:r w:rsidRPr="00152FB6">
        <w:rPr>
          <w:sz w:val="24"/>
          <w:szCs w:val="24"/>
          <w:u w:val="single"/>
        </w:rPr>
        <w:t>Særlige populationer</w:t>
      </w:r>
    </w:p>
    <w:p w14:paraId="78F113B1" w14:textId="77777777" w:rsidR="00936E13" w:rsidRPr="00390D7F" w:rsidRDefault="00936E13" w:rsidP="000A03A5">
      <w:pPr>
        <w:ind w:left="851"/>
        <w:rPr>
          <w:i/>
          <w:iCs/>
          <w:sz w:val="24"/>
          <w:szCs w:val="24"/>
        </w:rPr>
      </w:pPr>
      <w:r w:rsidRPr="00390D7F">
        <w:rPr>
          <w:i/>
          <w:sz w:val="24"/>
          <w:szCs w:val="24"/>
        </w:rPr>
        <w:t>Pædiatrisk population</w:t>
      </w:r>
    </w:p>
    <w:p w14:paraId="538D5B12" w14:textId="77777777" w:rsidR="00936E13" w:rsidRPr="00390D7F" w:rsidRDefault="00936E13" w:rsidP="000A03A5">
      <w:pPr>
        <w:ind w:left="851"/>
        <w:rPr>
          <w:sz w:val="24"/>
          <w:szCs w:val="24"/>
        </w:rPr>
      </w:pPr>
      <w:r w:rsidRPr="00390D7F">
        <w:rPr>
          <w:sz w:val="24"/>
          <w:szCs w:val="24"/>
        </w:rPr>
        <w:t>Bør ikke anvendes til børn.</w:t>
      </w:r>
    </w:p>
    <w:p w14:paraId="5C19B638" w14:textId="77777777" w:rsidR="00152FB6" w:rsidRDefault="00152FB6" w:rsidP="000A03A5">
      <w:pPr>
        <w:ind w:left="851"/>
        <w:rPr>
          <w:i/>
          <w:sz w:val="24"/>
          <w:szCs w:val="24"/>
        </w:rPr>
      </w:pPr>
    </w:p>
    <w:p w14:paraId="70EB9F6C" w14:textId="60CE0EC6" w:rsidR="00936E13" w:rsidRPr="00390D7F" w:rsidRDefault="00936E13" w:rsidP="000A03A5">
      <w:pPr>
        <w:ind w:left="851"/>
        <w:rPr>
          <w:i/>
          <w:iCs/>
          <w:sz w:val="24"/>
          <w:szCs w:val="24"/>
        </w:rPr>
      </w:pPr>
      <w:r w:rsidRPr="00390D7F">
        <w:rPr>
          <w:i/>
          <w:sz w:val="24"/>
          <w:szCs w:val="24"/>
        </w:rPr>
        <w:t>Ældre patienter</w:t>
      </w:r>
    </w:p>
    <w:p w14:paraId="1A4FE2EE" w14:textId="77777777" w:rsidR="00936E13" w:rsidRPr="00390D7F" w:rsidRDefault="00936E13" w:rsidP="000A03A5">
      <w:pPr>
        <w:ind w:left="851"/>
        <w:rPr>
          <w:sz w:val="24"/>
          <w:szCs w:val="24"/>
        </w:rPr>
      </w:pPr>
      <w:r w:rsidRPr="00390D7F">
        <w:rPr>
          <w:sz w:val="24"/>
          <w:szCs w:val="24"/>
        </w:rPr>
        <w:t>Selv om der ikke er noget, der tyder på at doseringskravene er forskellige hos ældre, anbefales det, at behandlingen indledes med en lav dosis, og at dosis øges ved forsigtig titrering i forhold til patientens kliniske tilstand.</w:t>
      </w:r>
    </w:p>
    <w:p w14:paraId="05C17F22" w14:textId="77777777" w:rsidR="00936E13" w:rsidRPr="00390D7F" w:rsidRDefault="00936E13" w:rsidP="000A03A5">
      <w:pPr>
        <w:ind w:left="851"/>
        <w:rPr>
          <w:sz w:val="24"/>
          <w:szCs w:val="24"/>
        </w:rPr>
      </w:pPr>
      <w:r w:rsidRPr="00390D7F">
        <w:rPr>
          <w:sz w:val="24"/>
          <w:szCs w:val="24"/>
        </w:rPr>
        <w:t xml:space="preserve">Administration af </w:t>
      </w:r>
      <w:proofErr w:type="spellStart"/>
      <w:r w:rsidRPr="00390D7F">
        <w:rPr>
          <w:sz w:val="24"/>
          <w:szCs w:val="24"/>
        </w:rPr>
        <w:t>midodrin</w:t>
      </w:r>
      <w:proofErr w:type="spellEnd"/>
      <w:r w:rsidRPr="00390D7F">
        <w:rPr>
          <w:sz w:val="24"/>
          <w:szCs w:val="24"/>
        </w:rPr>
        <w:t xml:space="preserve"> skal øjeblikkeligt afbrydes og den behandlende læge adviseres, hvis blodtrykket i en af de to stillinger stiger til over 180/100 eller betragtes som klinisk signifikant.</w:t>
      </w:r>
    </w:p>
    <w:p w14:paraId="2E034EF5" w14:textId="77777777" w:rsidR="00152FB6" w:rsidRDefault="00152FB6" w:rsidP="000A03A5">
      <w:pPr>
        <w:ind w:left="851"/>
        <w:rPr>
          <w:i/>
          <w:sz w:val="24"/>
          <w:szCs w:val="24"/>
        </w:rPr>
      </w:pPr>
    </w:p>
    <w:p w14:paraId="6B36F771" w14:textId="61705896" w:rsidR="00936E13" w:rsidRPr="00390D7F" w:rsidRDefault="00936E13" w:rsidP="000A03A5">
      <w:pPr>
        <w:ind w:left="851"/>
        <w:rPr>
          <w:i/>
          <w:iCs/>
          <w:sz w:val="24"/>
          <w:szCs w:val="24"/>
        </w:rPr>
      </w:pPr>
      <w:r w:rsidRPr="00390D7F">
        <w:rPr>
          <w:i/>
          <w:sz w:val="24"/>
          <w:szCs w:val="24"/>
        </w:rPr>
        <w:t>Patienter med nedsat nyrefunktion.</w:t>
      </w:r>
    </w:p>
    <w:p w14:paraId="36BF9DD1" w14:textId="77777777" w:rsidR="00936E13" w:rsidRPr="00390D7F" w:rsidRDefault="00936E13" w:rsidP="000A03A5">
      <w:pPr>
        <w:ind w:left="851"/>
        <w:rPr>
          <w:sz w:val="24"/>
          <w:szCs w:val="24"/>
        </w:rPr>
      </w:pPr>
      <w:r w:rsidRPr="00390D7F">
        <w:rPr>
          <w:sz w:val="24"/>
          <w:szCs w:val="24"/>
        </w:rPr>
        <w:t xml:space="preserve">Der er ingen specifikke studier, der har fokuseret på en mulig reduktion af dosis til patienter med nedsat nyrefunktion. </w:t>
      </w:r>
      <w:proofErr w:type="spellStart"/>
      <w:r w:rsidRPr="00390D7F">
        <w:rPr>
          <w:sz w:val="24"/>
          <w:szCs w:val="24"/>
        </w:rPr>
        <w:t>Midodrin</w:t>
      </w:r>
      <w:proofErr w:type="spellEnd"/>
      <w:r w:rsidRPr="00390D7F">
        <w:rPr>
          <w:sz w:val="24"/>
          <w:szCs w:val="24"/>
        </w:rPr>
        <w:t xml:space="preserve"> er sædvanligvis kontraindiceret hos patienter med akut nyresygdom og svært nedsat nyrefunktion (se pkt. 4.3).</w:t>
      </w:r>
    </w:p>
    <w:p w14:paraId="15D1B6CA" w14:textId="77777777" w:rsidR="00152FB6" w:rsidRDefault="00152FB6" w:rsidP="000A03A5">
      <w:pPr>
        <w:ind w:left="851"/>
        <w:rPr>
          <w:i/>
          <w:sz w:val="24"/>
          <w:szCs w:val="24"/>
        </w:rPr>
      </w:pPr>
    </w:p>
    <w:p w14:paraId="701626D3" w14:textId="4FF8C606" w:rsidR="00936E13" w:rsidRPr="00390D7F" w:rsidRDefault="00936E13" w:rsidP="000A03A5">
      <w:pPr>
        <w:ind w:left="851"/>
        <w:rPr>
          <w:i/>
          <w:iCs/>
          <w:sz w:val="24"/>
          <w:szCs w:val="24"/>
        </w:rPr>
      </w:pPr>
      <w:r w:rsidRPr="00390D7F">
        <w:rPr>
          <w:i/>
          <w:sz w:val="24"/>
          <w:szCs w:val="24"/>
        </w:rPr>
        <w:t>Patienter med nedsat leverfunktion</w:t>
      </w:r>
    </w:p>
    <w:p w14:paraId="1CDC6CEF" w14:textId="77777777" w:rsidR="00936E13" w:rsidRPr="00390D7F" w:rsidRDefault="00936E13" w:rsidP="000A03A5">
      <w:pPr>
        <w:ind w:left="851"/>
        <w:rPr>
          <w:sz w:val="24"/>
          <w:szCs w:val="24"/>
        </w:rPr>
      </w:pPr>
      <w:r w:rsidRPr="00390D7F">
        <w:rPr>
          <w:sz w:val="24"/>
          <w:szCs w:val="24"/>
        </w:rPr>
        <w:t>Der er ikke udført specifikke studier med denne patientpopulation.</w:t>
      </w:r>
    </w:p>
    <w:p w14:paraId="7B74774F" w14:textId="77777777" w:rsidR="009260DE" w:rsidRPr="00390D7F" w:rsidRDefault="009260DE" w:rsidP="009260DE">
      <w:pPr>
        <w:tabs>
          <w:tab w:val="left" w:pos="851"/>
        </w:tabs>
        <w:ind w:left="851"/>
        <w:rPr>
          <w:sz w:val="24"/>
          <w:szCs w:val="24"/>
        </w:rPr>
      </w:pPr>
    </w:p>
    <w:p w14:paraId="3E120A09" w14:textId="77777777" w:rsidR="009260DE" w:rsidRPr="00390D7F" w:rsidRDefault="009260DE" w:rsidP="009260DE">
      <w:pPr>
        <w:tabs>
          <w:tab w:val="left" w:pos="851"/>
        </w:tabs>
        <w:ind w:left="851" w:hanging="851"/>
        <w:rPr>
          <w:b/>
          <w:sz w:val="24"/>
          <w:szCs w:val="24"/>
        </w:rPr>
      </w:pPr>
      <w:r w:rsidRPr="00390D7F">
        <w:rPr>
          <w:b/>
          <w:sz w:val="24"/>
          <w:szCs w:val="24"/>
        </w:rPr>
        <w:t>4.3</w:t>
      </w:r>
      <w:r w:rsidRPr="00390D7F">
        <w:rPr>
          <w:b/>
          <w:sz w:val="24"/>
          <w:szCs w:val="24"/>
        </w:rPr>
        <w:tab/>
        <w:t>Kontraindikationer</w:t>
      </w:r>
    </w:p>
    <w:p w14:paraId="3E21B255" w14:textId="77777777" w:rsidR="00936E13" w:rsidRPr="00390D7F" w:rsidRDefault="00936E13" w:rsidP="000A03A5">
      <w:pPr>
        <w:pStyle w:val="Listeafsnit"/>
        <w:numPr>
          <w:ilvl w:val="0"/>
          <w:numId w:val="8"/>
        </w:numPr>
        <w:ind w:left="1276" w:hanging="425"/>
        <w:rPr>
          <w:sz w:val="24"/>
          <w:szCs w:val="24"/>
          <w:lang w:eastAsia="en-GB"/>
        </w:rPr>
      </w:pPr>
      <w:r w:rsidRPr="00390D7F">
        <w:rPr>
          <w:sz w:val="24"/>
          <w:szCs w:val="24"/>
        </w:rPr>
        <w:t>Overfølsomhed over for det aktive stof eller over for et eller flere af hjælpestofferne anført i pkt. 6.1.</w:t>
      </w:r>
    </w:p>
    <w:p w14:paraId="2DC33B2D" w14:textId="77777777" w:rsidR="00936E13" w:rsidRPr="00390D7F" w:rsidRDefault="00936E13" w:rsidP="000A03A5">
      <w:pPr>
        <w:pStyle w:val="Listeafsnit"/>
        <w:numPr>
          <w:ilvl w:val="0"/>
          <w:numId w:val="8"/>
        </w:numPr>
        <w:ind w:left="1276" w:hanging="425"/>
        <w:rPr>
          <w:sz w:val="24"/>
          <w:szCs w:val="24"/>
        </w:rPr>
      </w:pPr>
      <w:r w:rsidRPr="00390D7F">
        <w:rPr>
          <w:sz w:val="24"/>
          <w:szCs w:val="24"/>
        </w:rPr>
        <w:t>Hypertension</w:t>
      </w:r>
    </w:p>
    <w:p w14:paraId="35C1EE16" w14:textId="77777777" w:rsidR="00936E13" w:rsidRPr="00390D7F" w:rsidRDefault="00936E13" w:rsidP="000A03A5">
      <w:pPr>
        <w:pStyle w:val="Listeafsnit"/>
        <w:numPr>
          <w:ilvl w:val="0"/>
          <w:numId w:val="8"/>
        </w:numPr>
        <w:ind w:left="1276" w:hanging="425"/>
        <w:rPr>
          <w:sz w:val="24"/>
          <w:szCs w:val="24"/>
        </w:rPr>
      </w:pPr>
      <w:r w:rsidRPr="00390D7F">
        <w:rPr>
          <w:sz w:val="24"/>
          <w:szCs w:val="24"/>
        </w:rPr>
        <w:t>Alvorlig organisk hjertesygdom eller kongestiv hjerteinsufficiens</w:t>
      </w:r>
    </w:p>
    <w:p w14:paraId="6BD7996E" w14:textId="77777777" w:rsidR="00936E13" w:rsidRPr="00390D7F" w:rsidRDefault="00936E13" w:rsidP="000A03A5">
      <w:pPr>
        <w:pStyle w:val="Listeafsnit"/>
        <w:numPr>
          <w:ilvl w:val="0"/>
          <w:numId w:val="8"/>
        </w:numPr>
        <w:ind w:left="1276" w:hanging="425"/>
        <w:rPr>
          <w:sz w:val="24"/>
          <w:szCs w:val="24"/>
        </w:rPr>
      </w:pPr>
      <w:proofErr w:type="spellStart"/>
      <w:r w:rsidRPr="00390D7F">
        <w:rPr>
          <w:sz w:val="24"/>
          <w:szCs w:val="24"/>
        </w:rPr>
        <w:t>Thyreotoksikose</w:t>
      </w:r>
      <w:proofErr w:type="spellEnd"/>
    </w:p>
    <w:p w14:paraId="49261030" w14:textId="77777777" w:rsidR="00936E13" w:rsidRPr="00390D7F" w:rsidRDefault="00936E13" w:rsidP="000A03A5">
      <w:pPr>
        <w:pStyle w:val="Listeafsnit"/>
        <w:numPr>
          <w:ilvl w:val="0"/>
          <w:numId w:val="8"/>
        </w:numPr>
        <w:ind w:left="1276" w:hanging="425"/>
        <w:rPr>
          <w:sz w:val="24"/>
          <w:szCs w:val="24"/>
        </w:rPr>
      </w:pPr>
      <w:proofErr w:type="spellStart"/>
      <w:r w:rsidRPr="00390D7F">
        <w:rPr>
          <w:sz w:val="24"/>
          <w:szCs w:val="24"/>
        </w:rPr>
        <w:t>Fæochromocytom</w:t>
      </w:r>
      <w:proofErr w:type="spellEnd"/>
    </w:p>
    <w:p w14:paraId="5447EBC3" w14:textId="77777777" w:rsidR="00936E13" w:rsidRPr="00390D7F" w:rsidRDefault="00936E13" w:rsidP="000A03A5">
      <w:pPr>
        <w:pStyle w:val="Listeafsnit"/>
        <w:numPr>
          <w:ilvl w:val="0"/>
          <w:numId w:val="8"/>
        </w:numPr>
        <w:ind w:left="1276" w:hanging="425"/>
        <w:rPr>
          <w:sz w:val="24"/>
          <w:szCs w:val="24"/>
        </w:rPr>
      </w:pPr>
      <w:r w:rsidRPr="00390D7F">
        <w:rPr>
          <w:sz w:val="24"/>
          <w:szCs w:val="24"/>
        </w:rPr>
        <w:t xml:space="preserve">Akut </w:t>
      </w:r>
      <w:proofErr w:type="spellStart"/>
      <w:r w:rsidRPr="00390D7F">
        <w:rPr>
          <w:sz w:val="24"/>
          <w:szCs w:val="24"/>
        </w:rPr>
        <w:t>nefritis</w:t>
      </w:r>
      <w:proofErr w:type="spellEnd"/>
    </w:p>
    <w:p w14:paraId="662C6803" w14:textId="77777777" w:rsidR="00936E13" w:rsidRPr="00390D7F" w:rsidRDefault="00936E13" w:rsidP="000A03A5">
      <w:pPr>
        <w:pStyle w:val="Listeafsnit"/>
        <w:numPr>
          <w:ilvl w:val="0"/>
          <w:numId w:val="8"/>
        </w:numPr>
        <w:ind w:left="1276" w:hanging="425"/>
        <w:rPr>
          <w:sz w:val="24"/>
          <w:szCs w:val="24"/>
        </w:rPr>
      </w:pPr>
      <w:r w:rsidRPr="00390D7F">
        <w:rPr>
          <w:sz w:val="24"/>
          <w:szCs w:val="24"/>
        </w:rPr>
        <w:t>Akut nyresygdom</w:t>
      </w:r>
    </w:p>
    <w:p w14:paraId="509F2291" w14:textId="77777777" w:rsidR="00936E13" w:rsidRPr="00390D7F" w:rsidRDefault="00936E13" w:rsidP="000A03A5">
      <w:pPr>
        <w:pStyle w:val="Listeafsnit"/>
        <w:numPr>
          <w:ilvl w:val="0"/>
          <w:numId w:val="8"/>
        </w:numPr>
        <w:ind w:left="1276" w:hanging="425"/>
        <w:rPr>
          <w:sz w:val="24"/>
          <w:szCs w:val="24"/>
        </w:rPr>
      </w:pPr>
      <w:r w:rsidRPr="00390D7F">
        <w:rPr>
          <w:sz w:val="24"/>
          <w:szCs w:val="24"/>
        </w:rPr>
        <w:t>Svært nedsat nyrefunktion (</w:t>
      </w:r>
      <w:proofErr w:type="spellStart"/>
      <w:r w:rsidRPr="00390D7F">
        <w:rPr>
          <w:sz w:val="24"/>
          <w:szCs w:val="24"/>
        </w:rPr>
        <w:t>kreatininclearance</w:t>
      </w:r>
      <w:proofErr w:type="spellEnd"/>
      <w:r w:rsidRPr="00390D7F">
        <w:rPr>
          <w:sz w:val="24"/>
          <w:szCs w:val="24"/>
        </w:rPr>
        <w:t xml:space="preserve"> &lt; 30 ml/min)</w:t>
      </w:r>
    </w:p>
    <w:p w14:paraId="03FDE899" w14:textId="77777777" w:rsidR="00936E13" w:rsidRPr="00390D7F" w:rsidRDefault="00936E13" w:rsidP="000A03A5">
      <w:pPr>
        <w:pStyle w:val="Listeafsnit"/>
        <w:numPr>
          <w:ilvl w:val="0"/>
          <w:numId w:val="8"/>
        </w:numPr>
        <w:ind w:left="1276" w:hanging="425"/>
        <w:rPr>
          <w:sz w:val="24"/>
          <w:szCs w:val="24"/>
        </w:rPr>
      </w:pPr>
      <w:r w:rsidRPr="00390D7F">
        <w:rPr>
          <w:sz w:val="24"/>
          <w:szCs w:val="24"/>
        </w:rPr>
        <w:t>Prostatahypertrofi med øget residualurinvolumen</w:t>
      </w:r>
    </w:p>
    <w:p w14:paraId="3ED0F9D8" w14:textId="77777777" w:rsidR="00936E13" w:rsidRPr="00390D7F" w:rsidRDefault="00936E13" w:rsidP="000A03A5">
      <w:pPr>
        <w:pStyle w:val="Listeafsnit"/>
        <w:numPr>
          <w:ilvl w:val="0"/>
          <w:numId w:val="8"/>
        </w:numPr>
        <w:ind w:left="1276" w:hanging="425"/>
        <w:rPr>
          <w:sz w:val="24"/>
          <w:szCs w:val="24"/>
        </w:rPr>
      </w:pPr>
      <w:proofErr w:type="spellStart"/>
      <w:r w:rsidRPr="00390D7F">
        <w:rPr>
          <w:sz w:val="24"/>
          <w:szCs w:val="24"/>
        </w:rPr>
        <w:t>Proliferativ</w:t>
      </w:r>
      <w:proofErr w:type="spellEnd"/>
      <w:r w:rsidRPr="00390D7F">
        <w:rPr>
          <w:sz w:val="24"/>
          <w:szCs w:val="24"/>
        </w:rPr>
        <w:t xml:space="preserve"> diabetisk </w:t>
      </w:r>
      <w:proofErr w:type="spellStart"/>
      <w:r w:rsidRPr="00390D7F">
        <w:rPr>
          <w:sz w:val="24"/>
          <w:szCs w:val="24"/>
        </w:rPr>
        <w:t>retinopati</w:t>
      </w:r>
      <w:proofErr w:type="spellEnd"/>
    </w:p>
    <w:p w14:paraId="720D9926" w14:textId="77777777" w:rsidR="00936E13" w:rsidRPr="00390D7F" w:rsidRDefault="00936E13" w:rsidP="000A03A5">
      <w:pPr>
        <w:pStyle w:val="Listeafsnit"/>
        <w:numPr>
          <w:ilvl w:val="0"/>
          <w:numId w:val="8"/>
        </w:numPr>
        <w:ind w:left="1276" w:hanging="425"/>
        <w:rPr>
          <w:sz w:val="24"/>
          <w:szCs w:val="24"/>
        </w:rPr>
      </w:pPr>
      <w:r w:rsidRPr="00390D7F">
        <w:rPr>
          <w:sz w:val="24"/>
          <w:szCs w:val="24"/>
        </w:rPr>
        <w:t>Urinretention</w:t>
      </w:r>
    </w:p>
    <w:p w14:paraId="0EB9442A" w14:textId="77777777" w:rsidR="00936E13" w:rsidRPr="00390D7F" w:rsidRDefault="00936E13" w:rsidP="000A03A5">
      <w:pPr>
        <w:pStyle w:val="Listeafsnit"/>
        <w:numPr>
          <w:ilvl w:val="0"/>
          <w:numId w:val="8"/>
        </w:numPr>
        <w:ind w:left="1276" w:hanging="425"/>
        <w:rPr>
          <w:sz w:val="24"/>
          <w:szCs w:val="24"/>
        </w:rPr>
      </w:pPr>
      <w:proofErr w:type="spellStart"/>
      <w:r w:rsidRPr="00390D7F">
        <w:rPr>
          <w:sz w:val="24"/>
          <w:szCs w:val="24"/>
        </w:rPr>
        <w:t>Hyperthyroidisme</w:t>
      </w:r>
      <w:proofErr w:type="spellEnd"/>
    </w:p>
    <w:p w14:paraId="7478AE63" w14:textId="77777777" w:rsidR="00936E13" w:rsidRPr="00390D7F" w:rsidRDefault="00936E13" w:rsidP="000A03A5">
      <w:pPr>
        <w:pStyle w:val="Listeafsnit"/>
        <w:numPr>
          <w:ilvl w:val="0"/>
          <w:numId w:val="8"/>
        </w:numPr>
        <w:ind w:left="1276" w:hanging="425"/>
        <w:rPr>
          <w:sz w:val="24"/>
          <w:szCs w:val="24"/>
        </w:rPr>
      </w:pPr>
      <w:r w:rsidRPr="00390D7F">
        <w:rPr>
          <w:sz w:val="24"/>
          <w:szCs w:val="24"/>
        </w:rPr>
        <w:lastRenderedPageBreak/>
        <w:t xml:space="preserve">Snævervinklet </w:t>
      </w:r>
      <w:proofErr w:type="spellStart"/>
      <w:r w:rsidRPr="00390D7F">
        <w:rPr>
          <w:sz w:val="24"/>
          <w:szCs w:val="24"/>
        </w:rPr>
        <w:t>glaukom</w:t>
      </w:r>
      <w:proofErr w:type="spellEnd"/>
    </w:p>
    <w:p w14:paraId="54C6EF78" w14:textId="77777777" w:rsidR="00936E13" w:rsidRPr="00390D7F" w:rsidRDefault="00936E13" w:rsidP="000A03A5">
      <w:pPr>
        <w:pStyle w:val="Listeafsnit"/>
        <w:numPr>
          <w:ilvl w:val="0"/>
          <w:numId w:val="8"/>
        </w:numPr>
        <w:ind w:left="1276" w:hanging="425"/>
        <w:rPr>
          <w:sz w:val="24"/>
          <w:szCs w:val="24"/>
        </w:rPr>
      </w:pPr>
      <w:proofErr w:type="spellStart"/>
      <w:r w:rsidRPr="00390D7F">
        <w:rPr>
          <w:sz w:val="24"/>
          <w:szCs w:val="24"/>
        </w:rPr>
        <w:t>Oblitererende</w:t>
      </w:r>
      <w:proofErr w:type="spellEnd"/>
      <w:r w:rsidRPr="00390D7F">
        <w:rPr>
          <w:sz w:val="24"/>
          <w:szCs w:val="24"/>
        </w:rPr>
        <w:t xml:space="preserve"> eller spastisk karsygdom (f.eks. </w:t>
      </w:r>
      <w:proofErr w:type="spellStart"/>
      <w:r w:rsidRPr="00390D7F">
        <w:rPr>
          <w:sz w:val="24"/>
          <w:szCs w:val="24"/>
        </w:rPr>
        <w:t>cerebrovaskulære</w:t>
      </w:r>
      <w:proofErr w:type="spellEnd"/>
      <w:r w:rsidRPr="00390D7F">
        <w:rPr>
          <w:sz w:val="24"/>
          <w:szCs w:val="24"/>
        </w:rPr>
        <w:t xml:space="preserve"> </w:t>
      </w:r>
      <w:proofErr w:type="spellStart"/>
      <w:r w:rsidRPr="00390D7F">
        <w:rPr>
          <w:sz w:val="24"/>
          <w:szCs w:val="24"/>
        </w:rPr>
        <w:t>okklusioner</w:t>
      </w:r>
      <w:proofErr w:type="spellEnd"/>
      <w:r w:rsidRPr="00390D7F">
        <w:rPr>
          <w:sz w:val="24"/>
          <w:szCs w:val="24"/>
        </w:rPr>
        <w:t xml:space="preserve"> og -spasmer)</w:t>
      </w:r>
    </w:p>
    <w:p w14:paraId="6EDDB0D2" w14:textId="77777777" w:rsidR="00936E13" w:rsidRPr="00390D7F" w:rsidRDefault="00936E13" w:rsidP="000A03A5">
      <w:pPr>
        <w:pStyle w:val="Listeafsnit"/>
        <w:numPr>
          <w:ilvl w:val="0"/>
          <w:numId w:val="8"/>
        </w:numPr>
        <w:ind w:left="1276" w:hanging="425"/>
        <w:rPr>
          <w:sz w:val="24"/>
          <w:szCs w:val="24"/>
        </w:rPr>
      </w:pPr>
      <w:proofErr w:type="spellStart"/>
      <w:r w:rsidRPr="00390D7F">
        <w:rPr>
          <w:sz w:val="24"/>
          <w:szCs w:val="24"/>
        </w:rPr>
        <w:t>Vasovagal</w:t>
      </w:r>
      <w:proofErr w:type="spellEnd"/>
      <w:r w:rsidRPr="00390D7F">
        <w:rPr>
          <w:sz w:val="24"/>
          <w:szCs w:val="24"/>
        </w:rPr>
        <w:t xml:space="preserve"> hypotension</w:t>
      </w:r>
    </w:p>
    <w:p w14:paraId="0CB97778" w14:textId="77777777" w:rsidR="009260DE" w:rsidRPr="00390D7F" w:rsidRDefault="009260DE" w:rsidP="009260DE">
      <w:pPr>
        <w:tabs>
          <w:tab w:val="left" w:pos="851"/>
        </w:tabs>
        <w:ind w:left="851"/>
        <w:rPr>
          <w:sz w:val="24"/>
          <w:szCs w:val="24"/>
        </w:rPr>
      </w:pPr>
    </w:p>
    <w:p w14:paraId="4228FB9A" w14:textId="77777777" w:rsidR="009260DE" w:rsidRPr="00390D7F" w:rsidRDefault="009260DE" w:rsidP="009260DE">
      <w:pPr>
        <w:tabs>
          <w:tab w:val="left" w:pos="851"/>
        </w:tabs>
        <w:ind w:left="851" w:hanging="851"/>
        <w:rPr>
          <w:b/>
          <w:sz w:val="24"/>
          <w:szCs w:val="24"/>
        </w:rPr>
      </w:pPr>
      <w:r w:rsidRPr="00390D7F">
        <w:rPr>
          <w:b/>
          <w:sz w:val="24"/>
          <w:szCs w:val="24"/>
        </w:rPr>
        <w:t>4.4</w:t>
      </w:r>
      <w:r w:rsidRPr="00390D7F">
        <w:rPr>
          <w:b/>
          <w:sz w:val="24"/>
          <w:szCs w:val="24"/>
        </w:rPr>
        <w:tab/>
        <w:t>Særlige advarsler og forsigtighedsregler vedrørende brugen</w:t>
      </w:r>
    </w:p>
    <w:p w14:paraId="0857CAEA" w14:textId="77777777" w:rsidR="00FD425A" w:rsidRPr="00390D7F" w:rsidRDefault="00FD425A" w:rsidP="000A03A5">
      <w:pPr>
        <w:ind w:left="851"/>
        <w:rPr>
          <w:sz w:val="24"/>
          <w:szCs w:val="24"/>
          <w:lang w:eastAsia="en-GB"/>
        </w:rPr>
      </w:pPr>
      <w:r w:rsidRPr="00390D7F">
        <w:rPr>
          <w:sz w:val="24"/>
          <w:szCs w:val="24"/>
        </w:rPr>
        <w:t xml:space="preserve">Regelmæssig overvågning af blodtryk i liggende og stående stilling er nødvendig under behandlingen med </w:t>
      </w:r>
      <w:proofErr w:type="spellStart"/>
      <w:r w:rsidRPr="00390D7F">
        <w:rPr>
          <w:sz w:val="24"/>
          <w:szCs w:val="24"/>
        </w:rPr>
        <w:t>midodrin</w:t>
      </w:r>
      <w:proofErr w:type="spellEnd"/>
      <w:r w:rsidRPr="00390D7F">
        <w:rPr>
          <w:sz w:val="24"/>
          <w:szCs w:val="24"/>
        </w:rPr>
        <w:t xml:space="preserve"> tabletter. Patienter med diabetes mellitus, som udviser forhøjede blodtryksniveauer i liggende stilling på grund af underliggende neurologiske lidelser (diabetisk autonom </w:t>
      </w:r>
      <w:proofErr w:type="spellStart"/>
      <w:r w:rsidRPr="00390D7F">
        <w:rPr>
          <w:sz w:val="24"/>
          <w:szCs w:val="24"/>
        </w:rPr>
        <w:t>neuropati</w:t>
      </w:r>
      <w:proofErr w:type="spellEnd"/>
      <w:r w:rsidRPr="00390D7F">
        <w:rPr>
          <w:sz w:val="24"/>
          <w:szCs w:val="24"/>
        </w:rPr>
        <w:t xml:space="preserve">), kan opleve hypertension i liggende stilling ved behandling med </w:t>
      </w:r>
      <w:proofErr w:type="spellStart"/>
      <w:r w:rsidRPr="00390D7F">
        <w:rPr>
          <w:sz w:val="24"/>
          <w:szCs w:val="24"/>
        </w:rPr>
        <w:t>midodrin</w:t>
      </w:r>
      <w:proofErr w:type="spellEnd"/>
      <w:r w:rsidRPr="00390D7F">
        <w:rPr>
          <w:sz w:val="24"/>
          <w:szCs w:val="24"/>
        </w:rPr>
        <w:t xml:space="preserve"> tabletter. Derfor skal der udvises særlig forsigtighed. </w:t>
      </w:r>
    </w:p>
    <w:p w14:paraId="19D94503" w14:textId="77777777" w:rsidR="00152FB6" w:rsidRDefault="00152FB6" w:rsidP="000A03A5">
      <w:pPr>
        <w:ind w:left="851"/>
        <w:rPr>
          <w:sz w:val="24"/>
          <w:szCs w:val="24"/>
        </w:rPr>
      </w:pPr>
    </w:p>
    <w:p w14:paraId="2B1030FA" w14:textId="295E185C" w:rsidR="00FD425A" w:rsidRPr="00390D7F" w:rsidRDefault="00FD425A" w:rsidP="000A03A5">
      <w:pPr>
        <w:ind w:left="851"/>
        <w:rPr>
          <w:sz w:val="24"/>
          <w:szCs w:val="24"/>
        </w:rPr>
      </w:pPr>
      <w:r w:rsidRPr="00390D7F">
        <w:rPr>
          <w:sz w:val="24"/>
          <w:szCs w:val="24"/>
        </w:rPr>
        <w:t xml:space="preserve">Enhver mulig skade på patienten skal udelukkes før behandlingen med </w:t>
      </w:r>
      <w:proofErr w:type="spellStart"/>
      <w:r w:rsidRPr="00390D7F">
        <w:rPr>
          <w:sz w:val="24"/>
          <w:szCs w:val="24"/>
        </w:rPr>
        <w:t>midodrin</w:t>
      </w:r>
      <w:proofErr w:type="spellEnd"/>
      <w:r w:rsidRPr="00390D7F">
        <w:rPr>
          <w:sz w:val="24"/>
          <w:szCs w:val="24"/>
        </w:rPr>
        <w:t xml:space="preserve"> tabletter igangsættes. Patienten skal anmodes om at indberette symptomer på hypertension i liggende stilling, såsom hjertebanken, hovedpine og sløret syn til den behandlende læge, og patienten skal rådes til øjeblikkeligt at seponere lægemidlet. </w:t>
      </w:r>
    </w:p>
    <w:p w14:paraId="1029D1F5" w14:textId="77777777" w:rsidR="00152FB6" w:rsidRDefault="00152FB6" w:rsidP="000A03A5">
      <w:pPr>
        <w:ind w:left="851"/>
        <w:rPr>
          <w:sz w:val="24"/>
          <w:szCs w:val="24"/>
        </w:rPr>
      </w:pPr>
    </w:p>
    <w:p w14:paraId="2733A29D" w14:textId="3F39316C" w:rsidR="00FD425A" w:rsidRPr="00390D7F" w:rsidRDefault="00FD425A" w:rsidP="000A03A5">
      <w:pPr>
        <w:ind w:left="851"/>
        <w:rPr>
          <w:sz w:val="24"/>
          <w:szCs w:val="24"/>
        </w:rPr>
      </w:pPr>
      <w:r w:rsidRPr="00390D7F">
        <w:rPr>
          <w:sz w:val="24"/>
          <w:szCs w:val="24"/>
        </w:rPr>
        <w:t xml:space="preserve">I sådanne tilfælde skal dosis justeres eller behandlingen med </w:t>
      </w:r>
      <w:proofErr w:type="spellStart"/>
      <w:r w:rsidRPr="00390D7F">
        <w:rPr>
          <w:sz w:val="24"/>
          <w:szCs w:val="24"/>
        </w:rPr>
        <w:t>midodrinhydrochlorid</w:t>
      </w:r>
      <w:proofErr w:type="spellEnd"/>
      <w:r w:rsidRPr="00390D7F">
        <w:rPr>
          <w:sz w:val="24"/>
          <w:szCs w:val="24"/>
        </w:rPr>
        <w:t xml:space="preserve"> afbrydes. Hypertension i liggende stilling kan også kontrolleres ved at hæve hovedenden.</w:t>
      </w:r>
    </w:p>
    <w:p w14:paraId="02F238EE" w14:textId="77777777" w:rsidR="00FD425A" w:rsidRPr="00390D7F" w:rsidRDefault="00FD425A" w:rsidP="000A03A5">
      <w:pPr>
        <w:ind w:left="851"/>
        <w:rPr>
          <w:sz w:val="24"/>
          <w:szCs w:val="24"/>
        </w:rPr>
      </w:pPr>
      <w:r w:rsidRPr="00390D7F">
        <w:rPr>
          <w:sz w:val="24"/>
          <w:szCs w:val="24"/>
        </w:rPr>
        <w:t xml:space="preserve">Behandlingen bør ikke fortsættes hos patienter, der lider af kraftige udsving i blodtrykket, når de tager </w:t>
      </w:r>
      <w:proofErr w:type="spellStart"/>
      <w:r w:rsidRPr="00390D7F">
        <w:rPr>
          <w:sz w:val="24"/>
          <w:szCs w:val="24"/>
        </w:rPr>
        <w:t>midodrin</w:t>
      </w:r>
      <w:proofErr w:type="spellEnd"/>
      <w:r w:rsidRPr="00390D7F">
        <w:rPr>
          <w:sz w:val="24"/>
          <w:szCs w:val="24"/>
        </w:rPr>
        <w:t xml:space="preserve"> tabletter. </w:t>
      </w:r>
    </w:p>
    <w:p w14:paraId="768106D1" w14:textId="77777777" w:rsidR="00152FB6" w:rsidRDefault="00152FB6" w:rsidP="000A03A5">
      <w:pPr>
        <w:ind w:left="851"/>
        <w:rPr>
          <w:sz w:val="24"/>
          <w:szCs w:val="24"/>
        </w:rPr>
      </w:pPr>
    </w:p>
    <w:p w14:paraId="217EB869" w14:textId="4FC5E8CE" w:rsidR="00FD425A" w:rsidRPr="00390D7F" w:rsidRDefault="00FD425A" w:rsidP="000A03A5">
      <w:pPr>
        <w:ind w:left="851"/>
        <w:rPr>
          <w:sz w:val="24"/>
          <w:szCs w:val="24"/>
        </w:rPr>
      </w:pPr>
      <w:r w:rsidRPr="00390D7F">
        <w:rPr>
          <w:sz w:val="24"/>
          <w:szCs w:val="24"/>
        </w:rPr>
        <w:t xml:space="preserve">Patienter, som tager </w:t>
      </w:r>
      <w:proofErr w:type="spellStart"/>
      <w:r w:rsidRPr="00390D7F">
        <w:rPr>
          <w:sz w:val="24"/>
          <w:szCs w:val="24"/>
        </w:rPr>
        <w:t>midodrin</w:t>
      </w:r>
      <w:proofErr w:type="spellEnd"/>
      <w:r w:rsidRPr="00390D7F">
        <w:rPr>
          <w:sz w:val="24"/>
          <w:szCs w:val="24"/>
        </w:rPr>
        <w:t xml:space="preserve">, skal undgå samtidig brug af andre </w:t>
      </w:r>
      <w:proofErr w:type="spellStart"/>
      <w:r w:rsidRPr="00390D7F">
        <w:rPr>
          <w:sz w:val="24"/>
          <w:szCs w:val="24"/>
        </w:rPr>
        <w:t>adrenerge</w:t>
      </w:r>
      <w:proofErr w:type="spellEnd"/>
      <w:r w:rsidRPr="00390D7F">
        <w:rPr>
          <w:sz w:val="24"/>
          <w:szCs w:val="24"/>
        </w:rPr>
        <w:t xml:space="preserve"> </w:t>
      </w:r>
      <w:proofErr w:type="spellStart"/>
      <w:r w:rsidRPr="00390D7F">
        <w:rPr>
          <w:sz w:val="24"/>
          <w:szCs w:val="24"/>
        </w:rPr>
        <w:t>sympatomimetika</w:t>
      </w:r>
      <w:proofErr w:type="spellEnd"/>
      <w:r w:rsidRPr="00390D7F">
        <w:rPr>
          <w:sz w:val="24"/>
          <w:szCs w:val="24"/>
        </w:rPr>
        <w:t xml:space="preserve"> herunder midler købt i håndkøb (se pkt. 4.5).</w:t>
      </w:r>
    </w:p>
    <w:p w14:paraId="533EB8BD" w14:textId="77777777" w:rsidR="00152FB6" w:rsidRDefault="00152FB6" w:rsidP="000A03A5">
      <w:pPr>
        <w:ind w:left="851"/>
        <w:rPr>
          <w:sz w:val="24"/>
          <w:szCs w:val="24"/>
        </w:rPr>
      </w:pPr>
    </w:p>
    <w:p w14:paraId="15756599" w14:textId="4EEF73EA" w:rsidR="00FD425A" w:rsidRPr="00390D7F" w:rsidRDefault="00FD425A" w:rsidP="000A03A5">
      <w:pPr>
        <w:ind w:left="851"/>
        <w:rPr>
          <w:sz w:val="24"/>
          <w:szCs w:val="24"/>
        </w:rPr>
      </w:pPr>
      <w:r w:rsidRPr="00390D7F">
        <w:rPr>
          <w:sz w:val="24"/>
          <w:szCs w:val="24"/>
        </w:rPr>
        <w:t xml:space="preserve">Hjertefrekvensen kan blive langsommere efter administration af </w:t>
      </w:r>
      <w:proofErr w:type="spellStart"/>
      <w:r w:rsidRPr="00390D7F">
        <w:rPr>
          <w:sz w:val="24"/>
          <w:szCs w:val="24"/>
        </w:rPr>
        <w:t>midodrin</w:t>
      </w:r>
      <w:proofErr w:type="spellEnd"/>
      <w:r w:rsidRPr="00390D7F">
        <w:rPr>
          <w:sz w:val="24"/>
          <w:szCs w:val="24"/>
        </w:rPr>
        <w:t xml:space="preserve"> primært på grund af </w:t>
      </w:r>
      <w:proofErr w:type="spellStart"/>
      <w:r w:rsidRPr="00390D7F">
        <w:rPr>
          <w:sz w:val="24"/>
          <w:szCs w:val="24"/>
        </w:rPr>
        <w:t>vagusrefleks</w:t>
      </w:r>
      <w:proofErr w:type="spellEnd"/>
      <w:r w:rsidRPr="00390D7F">
        <w:rPr>
          <w:sz w:val="24"/>
          <w:szCs w:val="24"/>
        </w:rPr>
        <w:t xml:space="preserve">. Der skal derfor udvises stor forsigtighed, når det tages sammen med andre midler, der direkte eller indirekte reducerer hjertefrekvensen (se også pkt. 4.5) f.eks. digitalis, betablokkere, psykofarmaka (specifikt tricykliske </w:t>
      </w:r>
      <w:proofErr w:type="spellStart"/>
      <w:r w:rsidRPr="00390D7F">
        <w:rPr>
          <w:sz w:val="24"/>
          <w:szCs w:val="24"/>
        </w:rPr>
        <w:t>antidepressiva</w:t>
      </w:r>
      <w:proofErr w:type="spellEnd"/>
      <w:r w:rsidRPr="00390D7F">
        <w:rPr>
          <w:sz w:val="24"/>
          <w:szCs w:val="24"/>
        </w:rPr>
        <w:t xml:space="preserve">, </w:t>
      </w:r>
      <w:proofErr w:type="spellStart"/>
      <w:r w:rsidRPr="00390D7F">
        <w:rPr>
          <w:sz w:val="24"/>
          <w:szCs w:val="24"/>
        </w:rPr>
        <w:t>phenothiaziner</w:t>
      </w:r>
      <w:proofErr w:type="spellEnd"/>
      <w:r w:rsidRPr="00390D7F">
        <w:rPr>
          <w:sz w:val="24"/>
          <w:szCs w:val="24"/>
        </w:rPr>
        <w:t xml:space="preserve"> og atypiske antipsykotika). Patienter, der oplever tegn eller symptomer, der tyder på bradykardi (langsom puls, øget svimmelhed, synkope, opmærksomhed om hjertets aktivitet) skal rådes til at seponere </w:t>
      </w:r>
      <w:proofErr w:type="spellStart"/>
      <w:r w:rsidRPr="00390D7F">
        <w:rPr>
          <w:sz w:val="24"/>
          <w:szCs w:val="24"/>
        </w:rPr>
        <w:t>midodrin</w:t>
      </w:r>
      <w:proofErr w:type="spellEnd"/>
      <w:r w:rsidRPr="00390D7F">
        <w:rPr>
          <w:sz w:val="24"/>
          <w:szCs w:val="24"/>
        </w:rPr>
        <w:t>.</w:t>
      </w:r>
    </w:p>
    <w:p w14:paraId="0A907333" w14:textId="77777777" w:rsidR="00152FB6" w:rsidRDefault="00152FB6" w:rsidP="000A03A5">
      <w:pPr>
        <w:ind w:left="851"/>
        <w:rPr>
          <w:sz w:val="24"/>
          <w:szCs w:val="24"/>
        </w:rPr>
      </w:pPr>
    </w:p>
    <w:p w14:paraId="53C753B5" w14:textId="2842179C" w:rsidR="00FD425A" w:rsidRPr="00390D7F" w:rsidRDefault="00FD425A" w:rsidP="000A03A5">
      <w:pPr>
        <w:ind w:left="851"/>
        <w:rPr>
          <w:sz w:val="24"/>
          <w:szCs w:val="24"/>
        </w:rPr>
      </w:pPr>
      <w:r w:rsidRPr="00390D7F">
        <w:rPr>
          <w:sz w:val="24"/>
          <w:szCs w:val="24"/>
        </w:rPr>
        <w:t xml:space="preserve">Brugen af </w:t>
      </w:r>
      <w:proofErr w:type="spellStart"/>
      <w:r w:rsidRPr="00390D7F">
        <w:rPr>
          <w:sz w:val="24"/>
          <w:szCs w:val="24"/>
        </w:rPr>
        <w:t>midodrin</w:t>
      </w:r>
      <w:proofErr w:type="spellEnd"/>
      <w:r w:rsidRPr="00390D7F">
        <w:rPr>
          <w:sz w:val="24"/>
          <w:szCs w:val="24"/>
        </w:rPr>
        <w:t xml:space="preserve"> hos patienter, der har øget risiko for eller lider af </w:t>
      </w:r>
      <w:proofErr w:type="spellStart"/>
      <w:r w:rsidRPr="00390D7F">
        <w:rPr>
          <w:sz w:val="24"/>
          <w:szCs w:val="24"/>
        </w:rPr>
        <w:t>glaukom</w:t>
      </w:r>
      <w:proofErr w:type="spellEnd"/>
      <w:r w:rsidRPr="00390D7F">
        <w:rPr>
          <w:sz w:val="24"/>
          <w:szCs w:val="24"/>
        </w:rPr>
        <w:t xml:space="preserve">/forhøjet </w:t>
      </w:r>
      <w:proofErr w:type="spellStart"/>
      <w:r w:rsidRPr="00390D7F">
        <w:rPr>
          <w:sz w:val="24"/>
          <w:szCs w:val="24"/>
        </w:rPr>
        <w:t>intraokulært</w:t>
      </w:r>
      <w:proofErr w:type="spellEnd"/>
      <w:r w:rsidRPr="00390D7F">
        <w:rPr>
          <w:sz w:val="24"/>
          <w:szCs w:val="24"/>
        </w:rPr>
        <w:t xml:space="preserve"> tryk, eller som er i behandling med </w:t>
      </w:r>
      <w:proofErr w:type="spellStart"/>
      <w:r w:rsidRPr="00390D7F">
        <w:rPr>
          <w:sz w:val="24"/>
          <w:szCs w:val="24"/>
        </w:rPr>
        <w:t>mineralkortikoider</w:t>
      </w:r>
      <w:proofErr w:type="spellEnd"/>
      <w:r w:rsidRPr="00390D7F">
        <w:rPr>
          <w:sz w:val="24"/>
          <w:szCs w:val="24"/>
        </w:rPr>
        <w:t>/</w:t>
      </w:r>
      <w:proofErr w:type="spellStart"/>
      <w:r w:rsidRPr="00390D7F">
        <w:rPr>
          <w:sz w:val="24"/>
          <w:szCs w:val="24"/>
        </w:rPr>
        <w:t>fludrocortisonacetat</w:t>
      </w:r>
      <w:proofErr w:type="spellEnd"/>
      <w:r w:rsidRPr="00390D7F">
        <w:rPr>
          <w:sz w:val="24"/>
          <w:szCs w:val="24"/>
        </w:rPr>
        <w:t xml:space="preserve"> (som kan øge det </w:t>
      </w:r>
      <w:proofErr w:type="spellStart"/>
      <w:r w:rsidRPr="00390D7F">
        <w:rPr>
          <w:sz w:val="24"/>
          <w:szCs w:val="24"/>
        </w:rPr>
        <w:t>intraokulære</w:t>
      </w:r>
      <w:proofErr w:type="spellEnd"/>
      <w:r w:rsidRPr="00390D7F">
        <w:rPr>
          <w:sz w:val="24"/>
          <w:szCs w:val="24"/>
        </w:rPr>
        <w:t xml:space="preserve"> tryk) skal undgås eller overvåges meget nøje.</w:t>
      </w:r>
    </w:p>
    <w:p w14:paraId="317F35CF" w14:textId="77777777" w:rsidR="00152FB6" w:rsidRDefault="00152FB6" w:rsidP="000A03A5">
      <w:pPr>
        <w:ind w:left="851"/>
        <w:rPr>
          <w:sz w:val="24"/>
          <w:szCs w:val="24"/>
        </w:rPr>
      </w:pPr>
    </w:p>
    <w:p w14:paraId="20E31847" w14:textId="62A00F7E" w:rsidR="00FD425A" w:rsidRPr="00390D7F" w:rsidRDefault="00FD425A" w:rsidP="000A03A5">
      <w:pPr>
        <w:ind w:left="851"/>
        <w:rPr>
          <w:sz w:val="24"/>
          <w:szCs w:val="24"/>
        </w:rPr>
      </w:pPr>
      <w:r w:rsidRPr="00390D7F">
        <w:rPr>
          <w:sz w:val="24"/>
          <w:szCs w:val="24"/>
        </w:rPr>
        <w:t xml:space="preserve">Det tilrådes at overvåge nyrefunktionen og blodtrykket i tilfælde af langtidsbehandling med </w:t>
      </w:r>
      <w:proofErr w:type="spellStart"/>
      <w:r w:rsidRPr="00390D7F">
        <w:rPr>
          <w:sz w:val="24"/>
          <w:szCs w:val="24"/>
        </w:rPr>
        <w:t>midodrin</w:t>
      </w:r>
      <w:proofErr w:type="spellEnd"/>
      <w:r w:rsidRPr="00390D7F">
        <w:rPr>
          <w:sz w:val="24"/>
          <w:szCs w:val="24"/>
        </w:rPr>
        <w:t xml:space="preserve"> tabletter. De tilgængelige data for patienter med nedsat leverfunktion er utilstrækkelige. Det anbefales derfor at overvåge leverfunktionen før og under behandlingen med </w:t>
      </w:r>
      <w:proofErr w:type="spellStart"/>
      <w:r w:rsidRPr="00390D7F">
        <w:rPr>
          <w:sz w:val="24"/>
          <w:szCs w:val="24"/>
        </w:rPr>
        <w:t>midodrin</w:t>
      </w:r>
      <w:proofErr w:type="spellEnd"/>
      <w:r w:rsidRPr="00390D7F">
        <w:rPr>
          <w:sz w:val="24"/>
          <w:szCs w:val="24"/>
        </w:rPr>
        <w:t xml:space="preserve"> tabletter. </w:t>
      </w:r>
    </w:p>
    <w:p w14:paraId="468E696C" w14:textId="77777777" w:rsidR="009260DE" w:rsidRPr="00390D7F" w:rsidRDefault="009260DE" w:rsidP="009260DE">
      <w:pPr>
        <w:tabs>
          <w:tab w:val="left" w:pos="851"/>
        </w:tabs>
        <w:ind w:left="851"/>
        <w:rPr>
          <w:sz w:val="24"/>
          <w:szCs w:val="24"/>
        </w:rPr>
      </w:pPr>
    </w:p>
    <w:p w14:paraId="606F2D66" w14:textId="77777777" w:rsidR="009260DE" w:rsidRPr="00390D7F" w:rsidRDefault="009260DE" w:rsidP="009260DE">
      <w:pPr>
        <w:tabs>
          <w:tab w:val="left" w:pos="851"/>
        </w:tabs>
        <w:ind w:left="851" w:hanging="851"/>
        <w:rPr>
          <w:b/>
          <w:sz w:val="24"/>
          <w:szCs w:val="24"/>
        </w:rPr>
      </w:pPr>
      <w:r w:rsidRPr="00390D7F">
        <w:rPr>
          <w:b/>
          <w:sz w:val="24"/>
          <w:szCs w:val="24"/>
        </w:rPr>
        <w:t>4.5</w:t>
      </w:r>
      <w:r w:rsidRPr="00390D7F">
        <w:rPr>
          <w:b/>
          <w:sz w:val="24"/>
          <w:szCs w:val="24"/>
        </w:rPr>
        <w:tab/>
        <w:t>Interaktion med andre lægemidler og andre former for interaktion</w:t>
      </w:r>
    </w:p>
    <w:p w14:paraId="181C608C" w14:textId="6C4B0AA4" w:rsidR="00FD425A" w:rsidRPr="00390D7F" w:rsidRDefault="00FD425A" w:rsidP="000A03A5">
      <w:pPr>
        <w:ind w:left="851"/>
        <w:rPr>
          <w:sz w:val="24"/>
          <w:szCs w:val="24"/>
        </w:rPr>
      </w:pPr>
      <w:proofErr w:type="spellStart"/>
      <w:r w:rsidRPr="00390D7F">
        <w:rPr>
          <w:sz w:val="24"/>
          <w:szCs w:val="24"/>
        </w:rPr>
        <w:t>Midodrinhydrochlorid</w:t>
      </w:r>
      <w:proofErr w:type="spellEnd"/>
      <w:r w:rsidRPr="00390D7F">
        <w:rPr>
          <w:sz w:val="24"/>
          <w:szCs w:val="24"/>
        </w:rPr>
        <w:t xml:space="preserve"> er en </w:t>
      </w:r>
      <w:proofErr w:type="spellStart"/>
      <w:r w:rsidRPr="00390D7F">
        <w:rPr>
          <w:sz w:val="24"/>
          <w:szCs w:val="24"/>
        </w:rPr>
        <w:t>cytokrom</w:t>
      </w:r>
      <w:proofErr w:type="spellEnd"/>
      <w:r w:rsidRPr="00390D7F">
        <w:rPr>
          <w:sz w:val="24"/>
          <w:szCs w:val="24"/>
        </w:rPr>
        <w:t xml:space="preserve"> P450 CYP2D6-hæmmer og kan derfor påvirke </w:t>
      </w:r>
      <w:proofErr w:type="spellStart"/>
      <w:r w:rsidRPr="00390D7F">
        <w:rPr>
          <w:sz w:val="24"/>
          <w:szCs w:val="24"/>
        </w:rPr>
        <w:t>metaboliseringen</w:t>
      </w:r>
      <w:proofErr w:type="spellEnd"/>
      <w:r w:rsidRPr="00390D7F">
        <w:rPr>
          <w:sz w:val="24"/>
          <w:szCs w:val="24"/>
        </w:rPr>
        <w:t xml:space="preserve"> af andre lægemidler (f.eks. </w:t>
      </w:r>
      <w:proofErr w:type="spellStart"/>
      <w:r w:rsidRPr="00390D7F">
        <w:rPr>
          <w:sz w:val="24"/>
          <w:szCs w:val="24"/>
        </w:rPr>
        <w:t>perphenazin</w:t>
      </w:r>
      <w:proofErr w:type="spellEnd"/>
      <w:r w:rsidRPr="00390D7F">
        <w:rPr>
          <w:sz w:val="24"/>
          <w:szCs w:val="24"/>
        </w:rPr>
        <w:t xml:space="preserve">, </w:t>
      </w:r>
      <w:proofErr w:type="spellStart"/>
      <w:r w:rsidRPr="00390D7F">
        <w:rPr>
          <w:sz w:val="24"/>
          <w:szCs w:val="24"/>
        </w:rPr>
        <w:t>amiodaron</w:t>
      </w:r>
      <w:proofErr w:type="spellEnd"/>
      <w:r w:rsidRPr="00390D7F">
        <w:rPr>
          <w:sz w:val="24"/>
          <w:szCs w:val="24"/>
        </w:rPr>
        <w:t xml:space="preserve">, </w:t>
      </w:r>
      <w:proofErr w:type="spellStart"/>
      <w:r w:rsidRPr="00390D7F">
        <w:rPr>
          <w:sz w:val="24"/>
          <w:szCs w:val="24"/>
        </w:rPr>
        <w:t>metoclopramid</w:t>
      </w:r>
      <w:proofErr w:type="spellEnd"/>
      <w:r w:rsidRPr="00390D7F">
        <w:rPr>
          <w:sz w:val="24"/>
          <w:szCs w:val="24"/>
        </w:rPr>
        <w:t xml:space="preserve">), som </w:t>
      </w:r>
      <w:proofErr w:type="spellStart"/>
      <w:r w:rsidRPr="00390D7F">
        <w:rPr>
          <w:sz w:val="24"/>
          <w:szCs w:val="24"/>
        </w:rPr>
        <w:t>metaboliseres</w:t>
      </w:r>
      <w:proofErr w:type="spellEnd"/>
      <w:r w:rsidRPr="00390D7F">
        <w:rPr>
          <w:sz w:val="24"/>
          <w:szCs w:val="24"/>
        </w:rPr>
        <w:t xml:space="preserve"> via dette </w:t>
      </w:r>
      <w:proofErr w:type="spellStart"/>
      <w:r w:rsidRPr="00390D7F">
        <w:rPr>
          <w:sz w:val="24"/>
          <w:szCs w:val="24"/>
        </w:rPr>
        <w:t>cytokrom</w:t>
      </w:r>
      <w:proofErr w:type="spellEnd"/>
      <w:r w:rsidRPr="00390D7F">
        <w:rPr>
          <w:sz w:val="24"/>
          <w:szCs w:val="24"/>
        </w:rPr>
        <w:t xml:space="preserve"> 450-isoenzym. Dette kan føre til forhøjet systemisk eksponering og en kraftigere virkning af dette lægemiddel.</w:t>
      </w:r>
    </w:p>
    <w:p w14:paraId="15E42167" w14:textId="3446636B" w:rsidR="00174897" w:rsidRDefault="00174897">
      <w:pPr>
        <w:rPr>
          <w:sz w:val="24"/>
          <w:szCs w:val="24"/>
          <w:lang w:eastAsia="en-GB"/>
        </w:rPr>
      </w:pPr>
      <w:r>
        <w:rPr>
          <w:sz w:val="24"/>
          <w:szCs w:val="24"/>
          <w:lang w:eastAsia="en-GB"/>
        </w:rPr>
        <w:br w:type="page"/>
      </w:r>
    </w:p>
    <w:p w14:paraId="0B60C39C" w14:textId="77777777" w:rsidR="000A03A5" w:rsidRPr="00390D7F" w:rsidRDefault="000A03A5" w:rsidP="000A03A5">
      <w:pPr>
        <w:ind w:left="851"/>
        <w:rPr>
          <w:sz w:val="24"/>
          <w:szCs w:val="24"/>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3"/>
        <w:gridCol w:w="4475"/>
      </w:tblGrid>
      <w:tr w:rsidR="00FD425A" w:rsidRPr="00390D7F" w14:paraId="2FC288DF" w14:textId="77777777" w:rsidTr="000A03A5">
        <w:tc>
          <w:tcPr>
            <w:tcW w:w="2676" w:type="pct"/>
            <w:tcBorders>
              <w:top w:val="single" w:sz="4" w:space="0" w:color="auto"/>
              <w:left w:val="single" w:sz="4" w:space="0" w:color="auto"/>
              <w:bottom w:val="single" w:sz="4" w:space="0" w:color="auto"/>
              <w:right w:val="single" w:sz="4" w:space="0" w:color="auto"/>
            </w:tcBorders>
            <w:hideMark/>
          </w:tcPr>
          <w:p w14:paraId="13B098FA" w14:textId="77777777" w:rsidR="00FD425A" w:rsidRPr="00390D7F" w:rsidRDefault="00FD425A" w:rsidP="000A03A5">
            <w:pPr>
              <w:rPr>
                <w:sz w:val="24"/>
                <w:szCs w:val="24"/>
              </w:rPr>
            </w:pPr>
            <w:r w:rsidRPr="00390D7F">
              <w:rPr>
                <w:sz w:val="24"/>
                <w:szCs w:val="24"/>
              </w:rPr>
              <w:t xml:space="preserve">Tricykliske </w:t>
            </w:r>
            <w:proofErr w:type="spellStart"/>
            <w:r w:rsidRPr="00390D7F">
              <w:rPr>
                <w:sz w:val="24"/>
                <w:szCs w:val="24"/>
              </w:rPr>
              <w:t>antidepressiva</w:t>
            </w:r>
            <w:proofErr w:type="spellEnd"/>
            <w:r w:rsidRPr="00390D7F">
              <w:rPr>
                <w:sz w:val="24"/>
                <w:szCs w:val="24"/>
              </w:rPr>
              <w:t>, alfa-</w:t>
            </w:r>
            <w:proofErr w:type="spellStart"/>
            <w:r w:rsidRPr="00390D7F">
              <w:rPr>
                <w:sz w:val="24"/>
                <w:szCs w:val="24"/>
              </w:rPr>
              <w:t>sympatomimetika</w:t>
            </w:r>
            <w:proofErr w:type="spellEnd"/>
            <w:r w:rsidRPr="00390D7F">
              <w:rPr>
                <w:sz w:val="24"/>
                <w:szCs w:val="24"/>
              </w:rPr>
              <w:t xml:space="preserve">, </w:t>
            </w:r>
            <w:proofErr w:type="spellStart"/>
            <w:r w:rsidRPr="00390D7F">
              <w:rPr>
                <w:sz w:val="24"/>
                <w:szCs w:val="24"/>
              </w:rPr>
              <w:t>thyreoideahormoner</w:t>
            </w:r>
            <w:proofErr w:type="spellEnd"/>
            <w:r w:rsidRPr="00390D7F">
              <w:rPr>
                <w:sz w:val="24"/>
                <w:szCs w:val="24"/>
              </w:rPr>
              <w:t>, antihistaminer, MAO-</w:t>
            </w:r>
            <w:proofErr w:type="spellStart"/>
            <w:r w:rsidRPr="00390D7F">
              <w:rPr>
                <w:sz w:val="24"/>
                <w:szCs w:val="24"/>
              </w:rPr>
              <w:t>hæmmere</w:t>
            </w:r>
            <w:proofErr w:type="spellEnd"/>
            <w:r w:rsidRPr="00390D7F">
              <w:rPr>
                <w:sz w:val="24"/>
                <w:szCs w:val="24"/>
              </w:rPr>
              <w:t xml:space="preserve"> </w:t>
            </w:r>
          </w:p>
        </w:tc>
        <w:tc>
          <w:tcPr>
            <w:tcW w:w="2324" w:type="pct"/>
            <w:tcBorders>
              <w:top w:val="single" w:sz="4" w:space="0" w:color="auto"/>
              <w:left w:val="single" w:sz="4" w:space="0" w:color="auto"/>
              <w:bottom w:val="single" w:sz="4" w:space="0" w:color="auto"/>
              <w:right w:val="single" w:sz="4" w:space="0" w:color="auto"/>
            </w:tcBorders>
            <w:hideMark/>
          </w:tcPr>
          <w:p w14:paraId="78E9788C" w14:textId="77777777" w:rsidR="00FD425A" w:rsidRPr="00390D7F" w:rsidRDefault="00FD425A" w:rsidP="000A03A5">
            <w:pPr>
              <w:rPr>
                <w:sz w:val="24"/>
                <w:szCs w:val="24"/>
              </w:rPr>
            </w:pPr>
            <w:r w:rsidRPr="00390D7F">
              <w:rPr>
                <w:sz w:val="24"/>
                <w:szCs w:val="24"/>
              </w:rPr>
              <w:t xml:space="preserve">Øget </w:t>
            </w:r>
            <w:proofErr w:type="spellStart"/>
            <w:r w:rsidRPr="00390D7F">
              <w:rPr>
                <w:sz w:val="24"/>
                <w:szCs w:val="24"/>
              </w:rPr>
              <w:t>sympatomimetisk</w:t>
            </w:r>
            <w:proofErr w:type="spellEnd"/>
            <w:r w:rsidRPr="00390D7F">
              <w:rPr>
                <w:sz w:val="24"/>
                <w:szCs w:val="24"/>
              </w:rPr>
              <w:t xml:space="preserve"> aktivitet (uønsket høj stigning i blodtrykket). Samtidig brug frarådes.</w:t>
            </w:r>
          </w:p>
        </w:tc>
      </w:tr>
      <w:tr w:rsidR="00FD425A" w:rsidRPr="00390D7F" w14:paraId="4F33B4DB" w14:textId="77777777" w:rsidTr="000A03A5">
        <w:tc>
          <w:tcPr>
            <w:tcW w:w="2676" w:type="pct"/>
            <w:tcBorders>
              <w:top w:val="single" w:sz="4" w:space="0" w:color="auto"/>
              <w:left w:val="single" w:sz="4" w:space="0" w:color="auto"/>
              <w:bottom w:val="single" w:sz="4" w:space="0" w:color="auto"/>
              <w:right w:val="single" w:sz="4" w:space="0" w:color="auto"/>
            </w:tcBorders>
            <w:hideMark/>
          </w:tcPr>
          <w:p w14:paraId="5509B026" w14:textId="77777777" w:rsidR="00FD425A" w:rsidRPr="00390D7F" w:rsidRDefault="00FD425A" w:rsidP="000A03A5">
            <w:pPr>
              <w:rPr>
                <w:sz w:val="24"/>
                <w:szCs w:val="24"/>
              </w:rPr>
            </w:pPr>
            <w:r w:rsidRPr="00390D7F">
              <w:rPr>
                <w:sz w:val="24"/>
                <w:szCs w:val="24"/>
              </w:rPr>
              <w:t>Alfa- og beta-receptorblokkere</w:t>
            </w:r>
          </w:p>
        </w:tc>
        <w:tc>
          <w:tcPr>
            <w:tcW w:w="2324" w:type="pct"/>
            <w:tcBorders>
              <w:top w:val="single" w:sz="4" w:space="0" w:color="auto"/>
              <w:left w:val="single" w:sz="4" w:space="0" w:color="auto"/>
              <w:bottom w:val="single" w:sz="4" w:space="0" w:color="auto"/>
              <w:right w:val="single" w:sz="4" w:space="0" w:color="auto"/>
            </w:tcBorders>
            <w:hideMark/>
          </w:tcPr>
          <w:p w14:paraId="6FB7732D" w14:textId="77777777" w:rsidR="00FD425A" w:rsidRPr="00390D7F" w:rsidRDefault="00FD425A" w:rsidP="000A03A5">
            <w:pPr>
              <w:rPr>
                <w:sz w:val="24"/>
                <w:szCs w:val="24"/>
              </w:rPr>
            </w:pPr>
            <w:proofErr w:type="spellStart"/>
            <w:r w:rsidRPr="00390D7F">
              <w:rPr>
                <w:sz w:val="24"/>
                <w:szCs w:val="24"/>
              </w:rPr>
              <w:t>Midodrinhydrochlorids</w:t>
            </w:r>
            <w:proofErr w:type="spellEnd"/>
            <w:r w:rsidRPr="00390D7F">
              <w:rPr>
                <w:sz w:val="24"/>
                <w:szCs w:val="24"/>
              </w:rPr>
              <w:t xml:space="preserve"> blodtryksforhøjende virkning kan </w:t>
            </w:r>
            <w:proofErr w:type="spellStart"/>
            <w:r w:rsidRPr="00390D7F">
              <w:rPr>
                <w:sz w:val="24"/>
                <w:szCs w:val="24"/>
              </w:rPr>
              <w:t>antagoniseres</w:t>
            </w:r>
            <w:proofErr w:type="spellEnd"/>
            <w:r w:rsidRPr="00390D7F">
              <w:rPr>
                <w:sz w:val="24"/>
                <w:szCs w:val="24"/>
              </w:rPr>
              <w:t xml:space="preserve"> med alfa-receptorblokkere (f.eks. </w:t>
            </w:r>
            <w:proofErr w:type="spellStart"/>
            <w:r w:rsidRPr="00390D7F">
              <w:rPr>
                <w:sz w:val="24"/>
                <w:szCs w:val="24"/>
              </w:rPr>
              <w:t>prazosin</w:t>
            </w:r>
            <w:proofErr w:type="spellEnd"/>
            <w:r w:rsidRPr="00390D7F">
              <w:rPr>
                <w:sz w:val="24"/>
                <w:szCs w:val="24"/>
              </w:rPr>
              <w:t xml:space="preserve"> eller </w:t>
            </w:r>
            <w:proofErr w:type="spellStart"/>
            <w:r w:rsidRPr="00390D7F">
              <w:rPr>
                <w:sz w:val="24"/>
                <w:szCs w:val="24"/>
              </w:rPr>
              <w:t>phentolamin</w:t>
            </w:r>
            <w:proofErr w:type="spellEnd"/>
            <w:r w:rsidRPr="00390D7F">
              <w:rPr>
                <w:sz w:val="24"/>
                <w:szCs w:val="24"/>
              </w:rPr>
              <w:t>). Den hjerterytmenedsættende virkning af beta-</w:t>
            </w:r>
            <w:proofErr w:type="spellStart"/>
            <w:r w:rsidRPr="00390D7F">
              <w:rPr>
                <w:sz w:val="24"/>
                <w:szCs w:val="24"/>
              </w:rPr>
              <w:t>blokkere</w:t>
            </w:r>
            <w:proofErr w:type="spellEnd"/>
            <w:r w:rsidRPr="00390D7F">
              <w:rPr>
                <w:sz w:val="24"/>
                <w:szCs w:val="24"/>
              </w:rPr>
              <w:t xml:space="preserve"> kan forstærkes af </w:t>
            </w:r>
            <w:proofErr w:type="spellStart"/>
            <w:r w:rsidRPr="00390D7F">
              <w:rPr>
                <w:sz w:val="24"/>
                <w:szCs w:val="24"/>
              </w:rPr>
              <w:t>midodrinhydrochlorid</w:t>
            </w:r>
            <w:proofErr w:type="spellEnd"/>
            <w:r w:rsidRPr="00390D7F">
              <w:rPr>
                <w:sz w:val="24"/>
                <w:szCs w:val="24"/>
              </w:rPr>
              <w:t xml:space="preserve">. </w:t>
            </w:r>
          </w:p>
          <w:p w14:paraId="6BCA693A" w14:textId="77777777" w:rsidR="00FD425A" w:rsidRPr="00390D7F" w:rsidRDefault="00FD425A" w:rsidP="000A03A5">
            <w:pPr>
              <w:rPr>
                <w:sz w:val="24"/>
                <w:szCs w:val="24"/>
              </w:rPr>
            </w:pPr>
            <w:r w:rsidRPr="00390D7F">
              <w:rPr>
                <w:sz w:val="24"/>
                <w:szCs w:val="24"/>
              </w:rPr>
              <w:t xml:space="preserve">Samtidig brug af alfa- og beta-receptorblokkere (som nedsætter hjerterytmen) og </w:t>
            </w:r>
            <w:proofErr w:type="spellStart"/>
            <w:r w:rsidRPr="00390D7F">
              <w:rPr>
                <w:sz w:val="24"/>
                <w:szCs w:val="24"/>
              </w:rPr>
              <w:t>midodrin</w:t>
            </w:r>
            <w:proofErr w:type="spellEnd"/>
            <w:r w:rsidRPr="00390D7F">
              <w:rPr>
                <w:sz w:val="24"/>
                <w:szCs w:val="24"/>
              </w:rPr>
              <w:t xml:space="preserve"> kræver omhyggelig overvågning.  </w:t>
            </w:r>
          </w:p>
        </w:tc>
      </w:tr>
      <w:tr w:rsidR="00FD425A" w:rsidRPr="00390D7F" w14:paraId="749BCA6C" w14:textId="77777777" w:rsidTr="000A03A5">
        <w:tc>
          <w:tcPr>
            <w:tcW w:w="2676" w:type="pct"/>
            <w:tcBorders>
              <w:top w:val="single" w:sz="4" w:space="0" w:color="auto"/>
              <w:left w:val="single" w:sz="4" w:space="0" w:color="auto"/>
              <w:bottom w:val="single" w:sz="4" w:space="0" w:color="auto"/>
              <w:right w:val="single" w:sz="4" w:space="0" w:color="auto"/>
            </w:tcBorders>
            <w:hideMark/>
          </w:tcPr>
          <w:p w14:paraId="0DAE06DC" w14:textId="77777777" w:rsidR="00FD425A" w:rsidRPr="00390D7F" w:rsidRDefault="00FD425A" w:rsidP="000A03A5">
            <w:pPr>
              <w:rPr>
                <w:sz w:val="24"/>
                <w:szCs w:val="24"/>
              </w:rPr>
            </w:pPr>
            <w:r w:rsidRPr="00390D7F">
              <w:rPr>
                <w:sz w:val="24"/>
                <w:szCs w:val="24"/>
              </w:rPr>
              <w:t>Hjerteglykosider</w:t>
            </w:r>
          </w:p>
        </w:tc>
        <w:tc>
          <w:tcPr>
            <w:tcW w:w="2324" w:type="pct"/>
            <w:tcBorders>
              <w:top w:val="single" w:sz="4" w:space="0" w:color="auto"/>
              <w:left w:val="single" w:sz="4" w:space="0" w:color="auto"/>
              <w:bottom w:val="single" w:sz="4" w:space="0" w:color="auto"/>
              <w:right w:val="single" w:sz="4" w:space="0" w:color="auto"/>
            </w:tcBorders>
            <w:hideMark/>
          </w:tcPr>
          <w:p w14:paraId="6849DC78" w14:textId="77777777" w:rsidR="00FD425A" w:rsidRPr="00390D7F" w:rsidRDefault="00FD425A" w:rsidP="000A03A5">
            <w:pPr>
              <w:rPr>
                <w:sz w:val="24"/>
                <w:szCs w:val="24"/>
              </w:rPr>
            </w:pPr>
            <w:r w:rsidRPr="00390D7F">
              <w:rPr>
                <w:sz w:val="24"/>
                <w:szCs w:val="24"/>
              </w:rPr>
              <w:t xml:space="preserve">Refleksbradykardi udløst af </w:t>
            </w:r>
            <w:proofErr w:type="spellStart"/>
            <w:r w:rsidRPr="00390D7F">
              <w:rPr>
                <w:sz w:val="24"/>
                <w:szCs w:val="24"/>
              </w:rPr>
              <w:t>midodrinhydrochlorid</w:t>
            </w:r>
            <w:proofErr w:type="spellEnd"/>
            <w:r w:rsidRPr="00390D7F">
              <w:rPr>
                <w:sz w:val="24"/>
                <w:szCs w:val="24"/>
              </w:rPr>
              <w:t xml:space="preserve"> kan forstærkes af glykosidernes bradykardiske virkning. Derfor frarådes samtidig brug. </w:t>
            </w:r>
          </w:p>
        </w:tc>
      </w:tr>
      <w:tr w:rsidR="00FD425A" w:rsidRPr="00390D7F" w14:paraId="52958A05" w14:textId="77777777" w:rsidTr="000A03A5">
        <w:trPr>
          <w:trHeight w:val="2330"/>
        </w:trPr>
        <w:tc>
          <w:tcPr>
            <w:tcW w:w="2676" w:type="pct"/>
            <w:tcBorders>
              <w:top w:val="single" w:sz="4" w:space="0" w:color="auto"/>
              <w:left w:val="single" w:sz="4" w:space="0" w:color="auto"/>
              <w:bottom w:val="single" w:sz="4" w:space="0" w:color="auto"/>
              <w:right w:val="single" w:sz="4" w:space="0" w:color="auto"/>
            </w:tcBorders>
            <w:hideMark/>
          </w:tcPr>
          <w:p w14:paraId="17B1817B" w14:textId="77777777" w:rsidR="00FD425A" w:rsidRPr="00390D7F" w:rsidRDefault="00FD425A" w:rsidP="000A03A5">
            <w:pPr>
              <w:rPr>
                <w:sz w:val="24"/>
                <w:szCs w:val="24"/>
              </w:rPr>
            </w:pPr>
            <w:proofErr w:type="spellStart"/>
            <w:r w:rsidRPr="00390D7F">
              <w:rPr>
                <w:sz w:val="24"/>
                <w:szCs w:val="24"/>
              </w:rPr>
              <w:t>Sekalealkaloider</w:t>
            </w:r>
            <w:proofErr w:type="spellEnd"/>
            <w:r w:rsidRPr="00390D7F">
              <w:rPr>
                <w:sz w:val="24"/>
                <w:szCs w:val="24"/>
              </w:rPr>
              <w:t xml:space="preserve"> </w:t>
            </w:r>
          </w:p>
        </w:tc>
        <w:tc>
          <w:tcPr>
            <w:tcW w:w="2324" w:type="pct"/>
            <w:tcBorders>
              <w:top w:val="single" w:sz="4" w:space="0" w:color="auto"/>
              <w:left w:val="single" w:sz="4" w:space="0" w:color="auto"/>
              <w:bottom w:val="single" w:sz="4" w:space="0" w:color="auto"/>
              <w:right w:val="single" w:sz="4" w:space="0" w:color="auto"/>
            </w:tcBorders>
            <w:hideMark/>
          </w:tcPr>
          <w:p w14:paraId="0FC1030F" w14:textId="77777777" w:rsidR="00FD425A" w:rsidRPr="00390D7F" w:rsidRDefault="00FD425A" w:rsidP="000A03A5">
            <w:pPr>
              <w:rPr>
                <w:sz w:val="24"/>
                <w:szCs w:val="24"/>
              </w:rPr>
            </w:pPr>
            <w:r w:rsidRPr="00390D7F">
              <w:rPr>
                <w:sz w:val="24"/>
                <w:szCs w:val="24"/>
              </w:rPr>
              <w:t xml:space="preserve">Forringelse af det perifere blodkredsløb. </w:t>
            </w:r>
          </w:p>
          <w:p w14:paraId="7A9F12D7" w14:textId="77777777" w:rsidR="00FD425A" w:rsidRPr="00390D7F" w:rsidRDefault="00FD425A" w:rsidP="000A03A5">
            <w:pPr>
              <w:rPr>
                <w:sz w:val="24"/>
                <w:szCs w:val="24"/>
              </w:rPr>
            </w:pPr>
            <w:r w:rsidRPr="00390D7F">
              <w:rPr>
                <w:sz w:val="24"/>
                <w:szCs w:val="24"/>
              </w:rPr>
              <w:t xml:space="preserve">Patienten kan opleve en stigning i blodtrykket og nedsat </w:t>
            </w:r>
            <w:proofErr w:type="spellStart"/>
            <w:r w:rsidRPr="00390D7F">
              <w:rPr>
                <w:sz w:val="24"/>
                <w:szCs w:val="24"/>
              </w:rPr>
              <w:t>blodflow</w:t>
            </w:r>
            <w:proofErr w:type="spellEnd"/>
            <w:r w:rsidRPr="00390D7F">
              <w:rPr>
                <w:sz w:val="24"/>
                <w:szCs w:val="24"/>
              </w:rPr>
              <w:t xml:space="preserve"> til organer og hænder/fødder.</w:t>
            </w:r>
          </w:p>
          <w:p w14:paraId="43A2AB61" w14:textId="77777777" w:rsidR="00FD425A" w:rsidRPr="00390D7F" w:rsidRDefault="00FD425A" w:rsidP="000A03A5">
            <w:pPr>
              <w:rPr>
                <w:sz w:val="24"/>
                <w:szCs w:val="24"/>
              </w:rPr>
            </w:pPr>
            <w:r w:rsidRPr="00390D7F">
              <w:rPr>
                <w:sz w:val="24"/>
                <w:szCs w:val="24"/>
              </w:rPr>
              <w:t>Undgå samtidig brug af lægemidler, som øger blodtrykket. Hvis samtidig anvendelse ikke kan undgås, skal blodtrykket overvåges nøje.</w:t>
            </w:r>
          </w:p>
        </w:tc>
      </w:tr>
      <w:tr w:rsidR="00FD425A" w:rsidRPr="00390D7F" w14:paraId="44CD9B7C" w14:textId="77777777" w:rsidTr="000A03A5">
        <w:tc>
          <w:tcPr>
            <w:tcW w:w="2676" w:type="pct"/>
            <w:tcBorders>
              <w:top w:val="single" w:sz="4" w:space="0" w:color="auto"/>
              <w:left w:val="single" w:sz="4" w:space="0" w:color="auto"/>
              <w:bottom w:val="single" w:sz="4" w:space="0" w:color="auto"/>
              <w:right w:val="single" w:sz="4" w:space="0" w:color="auto"/>
            </w:tcBorders>
            <w:hideMark/>
          </w:tcPr>
          <w:p w14:paraId="4DDCBD3A" w14:textId="77777777" w:rsidR="00FD425A" w:rsidRPr="00390D7F" w:rsidRDefault="00FD425A" w:rsidP="000A03A5">
            <w:pPr>
              <w:rPr>
                <w:sz w:val="24"/>
                <w:szCs w:val="24"/>
              </w:rPr>
            </w:pPr>
            <w:proofErr w:type="spellStart"/>
            <w:r w:rsidRPr="00390D7F">
              <w:rPr>
                <w:sz w:val="24"/>
                <w:szCs w:val="24"/>
              </w:rPr>
              <w:t>Kortikosteroidpræparater</w:t>
            </w:r>
            <w:proofErr w:type="spellEnd"/>
          </w:p>
        </w:tc>
        <w:tc>
          <w:tcPr>
            <w:tcW w:w="2324" w:type="pct"/>
            <w:tcBorders>
              <w:top w:val="single" w:sz="4" w:space="0" w:color="auto"/>
              <w:left w:val="single" w:sz="4" w:space="0" w:color="auto"/>
              <w:bottom w:val="single" w:sz="4" w:space="0" w:color="auto"/>
              <w:right w:val="single" w:sz="4" w:space="0" w:color="auto"/>
            </w:tcBorders>
            <w:hideMark/>
          </w:tcPr>
          <w:p w14:paraId="28544AFD" w14:textId="77777777" w:rsidR="00FD425A" w:rsidRPr="00390D7F" w:rsidRDefault="00FD425A" w:rsidP="000A03A5">
            <w:pPr>
              <w:rPr>
                <w:sz w:val="24"/>
                <w:szCs w:val="24"/>
              </w:rPr>
            </w:pPr>
            <w:r w:rsidRPr="00390D7F">
              <w:rPr>
                <w:sz w:val="24"/>
                <w:szCs w:val="24"/>
              </w:rPr>
              <w:t xml:space="preserve">Patienter, som behandles med </w:t>
            </w:r>
            <w:proofErr w:type="spellStart"/>
            <w:r w:rsidRPr="00390D7F">
              <w:rPr>
                <w:sz w:val="24"/>
                <w:szCs w:val="24"/>
              </w:rPr>
              <w:t>midodrin</w:t>
            </w:r>
            <w:proofErr w:type="spellEnd"/>
            <w:r w:rsidRPr="00390D7F">
              <w:rPr>
                <w:sz w:val="24"/>
                <w:szCs w:val="24"/>
              </w:rPr>
              <w:t xml:space="preserve"> i kombination med </w:t>
            </w:r>
            <w:proofErr w:type="spellStart"/>
            <w:r w:rsidRPr="00390D7F">
              <w:rPr>
                <w:sz w:val="24"/>
                <w:szCs w:val="24"/>
              </w:rPr>
              <w:t>mineralkortikoider</w:t>
            </w:r>
            <w:proofErr w:type="spellEnd"/>
            <w:r w:rsidRPr="00390D7F">
              <w:rPr>
                <w:sz w:val="24"/>
                <w:szCs w:val="24"/>
              </w:rPr>
              <w:t xml:space="preserve"> eller </w:t>
            </w:r>
            <w:proofErr w:type="spellStart"/>
            <w:r w:rsidRPr="00390D7F">
              <w:rPr>
                <w:sz w:val="24"/>
                <w:szCs w:val="24"/>
              </w:rPr>
              <w:t>glukokortikoider</w:t>
            </w:r>
            <w:proofErr w:type="spellEnd"/>
            <w:r w:rsidRPr="00390D7F">
              <w:rPr>
                <w:sz w:val="24"/>
                <w:szCs w:val="24"/>
              </w:rPr>
              <w:t xml:space="preserve"> (f.eks. </w:t>
            </w:r>
            <w:proofErr w:type="spellStart"/>
            <w:r w:rsidRPr="00390D7F">
              <w:rPr>
                <w:sz w:val="24"/>
                <w:szCs w:val="24"/>
              </w:rPr>
              <w:t>fludrocortison</w:t>
            </w:r>
            <w:proofErr w:type="spellEnd"/>
            <w:r w:rsidRPr="00390D7F">
              <w:rPr>
                <w:sz w:val="24"/>
                <w:szCs w:val="24"/>
              </w:rPr>
              <w:t xml:space="preserve">), kan have øget risiko for </w:t>
            </w:r>
            <w:proofErr w:type="spellStart"/>
            <w:r w:rsidRPr="00390D7F">
              <w:rPr>
                <w:sz w:val="24"/>
                <w:szCs w:val="24"/>
              </w:rPr>
              <w:t>glaukom</w:t>
            </w:r>
            <w:proofErr w:type="spellEnd"/>
            <w:r w:rsidRPr="00390D7F">
              <w:rPr>
                <w:sz w:val="24"/>
                <w:szCs w:val="24"/>
              </w:rPr>
              <w:t xml:space="preserve">/forhøjet </w:t>
            </w:r>
            <w:proofErr w:type="spellStart"/>
            <w:r w:rsidRPr="00390D7F">
              <w:rPr>
                <w:sz w:val="24"/>
                <w:szCs w:val="24"/>
              </w:rPr>
              <w:t>intraokulært</w:t>
            </w:r>
            <w:proofErr w:type="spellEnd"/>
            <w:r w:rsidRPr="00390D7F">
              <w:rPr>
                <w:sz w:val="24"/>
                <w:szCs w:val="24"/>
              </w:rPr>
              <w:t xml:space="preserve"> tryk og skal overvåges nøje. </w:t>
            </w:r>
            <w:proofErr w:type="spellStart"/>
            <w:r w:rsidRPr="00390D7F">
              <w:rPr>
                <w:sz w:val="24"/>
                <w:szCs w:val="24"/>
              </w:rPr>
              <w:t>Midodrin</w:t>
            </w:r>
            <w:proofErr w:type="spellEnd"/>
            <w:r w:rsidRPr="00390D7F">
              <w:rPr>
                <w:sz w:val="24"/>
                <w:szCs w:val="24"/>
              </w:rPr>
              <w:t xml:space="preserve"> kan forstærke eller øge den mulige </w:t>
            </w:r>
            <w:proofErr w:type="spellStart"/>
            <w:r w:rsidRPr="00390D7F">
              <w:rPr>
                <w:sz w:val="24"/>
                <w:szCs w:val="24"/>
              </w:rPr>
              <w:t>hypertensive</w:t>
            </w:r>
            <w:proofErr w:type="spellEnd"/>
            <w:r w:rsidRPr="00390D7F">
              <w:rPr>
                <w:sz w:val="24"/>
                <w:szCs w:val="24"/>
              </w:rPr>
              <w:t xml:space="preserve"> virkning af </w:t>
            </w:r>
            <w:proofErr w:type="spellStart"/>
            <w:r w:rsidRPr="00390D7F">
              <w:rPr>
                <w:sz w:val="24"/>
                <w:szCs w:val="24"/>
              </w:rPr>
              <w:t>kortikosteroidpræparater</w:t>
            </w:r>
            <w:proofErr w:type="spellEnd"/>
            <w:r w:rsidRPr="00390D7F">
              <w:rPr>
                <w:sz w:val="24"/>
                <w:szCs w:val="24"/>
              </w:rPr>
              <w:t>.</w:t>
            </w:r>
          </w:p>
        </w:tc>
      </w:tr>
    </w:tbl>
    <w:p w14:paraId="00D707C8" w14:textId="77777777" w:rsidR="009260DE" w:rsidRPr="00390D7F" w:rsidRDefault="009260DE" w:rsidP="009260DE">
      <w:pPr>
        <w:tabs>
          <w:tab w:val="left" w:pos="851"/>
        </w:tabs>
        <w:ind w:left="851"/>
        <w:rPr>
          <w:sz w:val="24"/>
          <w:szCs w:val="24"/>
        </w:rPr>
      </w:pPr>
    </w:p>
    <w:p w14:paraId="54522825" w14:textId="77777777" w:rsidR="009260DE" w:rsidRPr="00390D7F" w:rsidRDefault="009260DE" w:rsidP="009260DE">
      <w:pPr>
        <w:tabs>
          <w:tab w:val="left" w:pos="851"/>
        </w:tabs>
        <w:ind w:left="851" w:hanging="851"/>
        <w:rPr>
          <w:b/>
          <w:sz w:val="24"/>
          <w:szCs w:val="24"/>
        </w:rPr>
      </w:pPr>
      <w:r w:rsidRPr="00390D7F">
        <w:rPr>
          <w:b/>
          <w:sz w:val="24"/>
          <w:szCs w:val="24"/>
        </w:rPr>
        <w:t>4.6</w:t>
      </w:r>
      <w:r w:rsidRPr="00390D7F">
        <w:rPr>
          <w:b/>
          <w:sz w:val="24"/>
          <w:szCs w:val="24"/>
        </w:rPr>
        <w:tab/>
      </w:r>
      <w:r w:rsidR="0071241E" w:rsidRPr="00390D7F">
        <w:rPr>
          <w:b/>
          <w:sz w:val="24"/>
          <w:szCs w:val="24"/>
        </w:rPr>
        <w:t>Fertilitet, g</w:t>
      </w:r>
      <w:r w:rsidRPr="00390D7F">
        <w:rPr>
          <w:b/>
          <w:sz w:val="24"/>
          <w:szCs w:val="24"/>
        </w:rPr>
        <w:t>raviditet og amning</w:t>
      </w:r>
    </w:p>
    <w:p w14:paraId="42B98C5F" w14:textId="77777777" w:rsidR="00FD425A" w:rsidRPr="00390D7F" w:rsidRDefault="00FD425A" w:rsidP="000A03A5">
      <w:pPr>
        <w:ind w:left="851"/>
        <w:rPr>
          <w:sz w:val="24"/>
          <w:szCs w:val="24"/>
          <w:lang w:eastAsia="en-IE"/>
        </w:rPr>
      </w:pPr>
      <w:r w:rsidRPr="00390D7F">
        <w:rPr>
          <w:sz w:val="24"/>
          <w:szCs w:val="24"/>
        </w:rPr>
        <w:t xml:space="preserve">Der er ingen data fra anvendelse af </w:t>
      </w:r>
      <w:proofErr w:type="spellStart"/>
      <w:r w:rsidRPr="00390D7F">
        <w:rPr>
          <w:sz w:val="24"/>
          <w:szCs w:val="24"/>
        </w:rPr>
        <w:t>midodrin</w:t>
      </w:r>
      <w:proofErr w:type="spellEnd"/>
      <w:r w:rsidRPr="00390D7F">
        <w:rPr>
          <w:sz w:val="24"/>
          <w:szCs w:val="24"/>
        </w:rPr>
        <w:t xml:space="preserve"> til gravide kvinder. Dyreforsøg har påvist reproduktionstoksicitet (se pkt. 5.3). </w:t>
      </w:r>
    </w:p>
    <w:p w14:paraId="634AEF47" w14:textId="77777777" w:rsidR="00FD425A" w:rsidRPr="00390D7F" w:rsidRDefault="00FD425A" w:rsidP="000A03A5">
      <w:pPr>
        <w:ind w:left="851"/>
        <w:rPr>
          <w:sz w:val="24"/>
          <w:szCs w:val="24"/>
        </w:rPr>
      </w:pPr>
      <w:proofErr w:type="spellStart"/>
      <w:r w:rsidRPr="00390D7F">
        <w:rPr>
          <w:sz w:val="24"/>
          <w:szCs w:val="24"/>
        </w:rPr>
        <w:t>Midodrin</w:t>
      </w:r>
      <w:proofErr w:type="spellEnd"/>
      <w:r w:rsidRPr="00390D7F">
        <w:rPr>
          <w:sz w:val="24"/>
          <w:szCs w:val="24"/>
        </w:rPr>
        <w:t xml:space="preserve"> bør ikke anvendes under graviditeten og til kvinder i den fertile alder, som ikke anvender sikker </w:t>
      </w:r>
      <w:proofErr w:type="spellStart"/>
      <w:r w:rsidRPr="00390D7F">
        <w:rPr>
          <w:sz w:val="24"/>
          <w:szCs w:val="24"/>
        </w:rPr>
        <w:t>kontraception</w:t>
      </w:r>
      <w:proofErr w:type="spellEnd"/>
      <w:r w:rsidRPr="00390D7F">
        <w:rPr>
          <w:sz w:val="24"/>
          <w:szCs w:val="24"/>
        </w:rPr>
        <w:t>. En kvinde, som bliver gravid under behandlingen, skal øjeblikkeligt have behandlingen afbrudt, så snart graviditeten er bekræftet.</w:t>
      </w:r>
    </w:p>
    <w:p w14:paraId="4AA4C4A6" w14:textId="77777777" w:rsidR="00152FB6" w:rsidRDefault="00152FB6" w:rsidP="000A03A5">
      <w:pPr>
        <w:ind w:left="851"/>
        <w:rPr>
          <w:sz w:val="24"/>
          <w:szCs w:val="24"/>
          <w:u w:val="single"/>
        </w:rPr>
      </w:pPr>
    </w:p>
    <w:p w14:paraId="4CCA5DAB" w14:textId="7840024A" w:rsidR="00FD425A" w:rsidRPr="00390D7F" w:rsidRDefault="00FD425A" w:rsidP="000A03A5">
      <w:pPr>
        <w:ind w:left="851"/>
        <w:rPr>
          <w:sz w:val="24"/>
          <w:szCs w:val="24"/>
          <w:u w:val="single"/>
        </w:rPr>
      </w:pPr>
      <w:r w:rsidRPr="00390D7F">
        <w:rPr>
          <w:sz w:val="24"/>
          <w:szCs w:val="24"/>
          <w:u w:val="single"/>
        </w:rPr>
        <w:t>Amning</w:t>
      </w:r>
    </w:p>
    <w:p w14:paraId="0A785206" w14:textId="77777777" w:rsidR="00FD425A" w:rsidRPr="00390D7F" w:rsidRDefault="00FD425A" w:rsidP="000A03A5">
      <w:pPr>
        <w:ind w:left="851"/>
        <w:rPr>
          <w:rFonts w:eastAsia="SimSun"/>
          <w:color w:val="000000"/>
          <w:sz w:val="24"/>
          <w:szCs w:val="24"/>
        </w:rPr>
      </w:pPr>
      <w:r w:rsidRPr="00390D7F">
        <w:rPr>
          <w:sz w:val="24"/>
          <w:szCs w:val="24"/>
        </w:rPr>
        <w:t xml:space="preserve">Det er ukendt, om </w:t>
      </w:r>
      <w:proofErr w:type="spellStart"/>
      <w:r w:rsidRPr="00390D7F">
        <w:rPr>
          <w:sz w:val="24"/>
          <w:szCs w:val="24"/>
        </w:rPr>
        <w:t>midodrin</w:t>
      </w:r>
      <w:proofErr w:type="spellEnd"/>
      <w:r w:rsidRPr="00390D7F">
        <w:rPr>
          <w:sz w:val="24"/>
          <w:szCs w:val="24"/>
        </w:rPr>
        <w:t xml:space="preserve">/metabolitter udskilles i human mælk. </w:t>
      </w:r>
      <w:r w:rsidRPr="00390D7F">
        <w:rPr>
          <w:color w:val="000000"/>
          <w:sz w:val="24"/>
          <w:szCs w:val="24"/>
        </w:rPr>
        <w:t xml:space="preserve">En risiko for nyfødte/spædbørn kan ikke udelukkes. </w:t>
      </w:r>
      <w:proofErr w:type="spellStart"/>
      <w:r w:rsidRPr="00390D7F">
        <w:rPr>
          <w:color w:val="000000"/>
          <w:sz w:val="24"/>
          <w:szCs w:val="24"/>
        </w:rPr>
        <w:t>Midodrin</w:t>
      </w:r>
      <w:proofErr w:type="spellEnd"/>
      <w:r w:rsidRPr="00390D7F">
        <w:rPr>
          <w:color w:val="000000"/>
          <w:sz w:val="24"/>
          <w:szCs w:val="24"/>
        </w:rPr>
        <w:t xml:space="preserve"> må ikke anvendes under amning.</w:t>
      </w:r>
    </w:p>
    <w:p w14:paraId="627141E6" w14:textId="77777777" w:rsidR="009260DE" w:rsidRPr="00390D7F" w:rsidRDefault="009260DE" w:rsidP="009260DE">
      <w:pPr>
        <w:tabs>
          <w:tab w:val="left" w:pos="851"/>
        </w:tabs>
        <w:ind w:left="851"/>
        <w:rPr>
          <w:sz w:val="24"/>
          <w:szCs w:val="24"/>
        </w:rPr>
      </w:pPr>
    </w:p>
    <w:p w14:paraId="2DFA0313" w14:textId="77777777" w:rsidR="009260DE" w:rsidRPr="00390D7F" w:rsidRDefault="009260DE" w:rsidP="009260DE">
      <w:pPr>
        <w:tabs>
          <w:tab w:val="left" w:pos="851"/>
        </w:tabs>
        <w:ind w:left="851" w:hanging="851"/>
        <w:rPr>
          <w:b/>
          <w:sz w:val="24"/>
          <w:szCs w:val="24"/>
        </w:rPr>
      </w:pPr>
      <w:r w:rsidRPr="00390D7F">
        <w:rPr>
          <w:b/>
          <w:sz w:val="24"/>
          <w:szCs w:val="24"/>
        </w:rPr>
        <w:t>4.7</w:t>
      </w:r>
      <w:r w:rsidRPr="00390D7F">
        <w:rPr>
          <w:b/>
          <w:sz w:val="24"/>
          <w:szCs w:val="24"/>
        </w:rPr>
        <w:tab/>
        <w:t xml:space="preserve">Virkning på evnen til at føre motorkøretøj </w:t>
      </w:r>
      <w:r w:rsidR="0071241E" w:rsidRPr="00390D7F">
        <w:rPr>
          <w:b/>
          <w:sz w:val="24"/>
          <w:szCs w:val="24"/>
        </w:rPr>
        <w:t>og</w:t>
      </w:r>
      <w:r w:rsidRPr="00390D7F">
        <w:rPr>
          <w:b/>
          <w:sz w:val="24"/>
          <w:szCs w:val="24"/>
        </w:rPr>
        <w:t xml:space="preserve"> betjene maskiner</w:t>
      </w:r>
    </w:p>
    <w:p w14:paraId="48DD48EE" w14:textId="77777777" w:rsidR="00152FB6" w:rsidRDefault="00152FB6" w:rsidP="000A03A5">
      <w:pPr>
        <w:ind w:left="851"/>
        <w:rPr>
          <w:sz w:val="24"/>
          <w:szCs w:val="24"/>
        </w:rPr>
      </w:pPr>
      <w:r>
        <w:rPr>
          <w:sz w:val="24"/>
          <w:szCs w:val="24"/>
        </w:rPr>
        <w:t>Ikke mærkning.</w:t>
      </w:r>
    </w:p>
    <w:p w14:paraId="2EA2DE80" w14:textId="3EC39E51" w:rsidR="00FD425A" w:rsidRPr="00390D7F" w:rsidRDefault="00FD425A" w:rsidP="000A03A5">
      <w:pPr>
        <w:ind w:left="851"/>
        <w:rPr>
          <w:sz w:val="24"/>
          <w:szCs w:val="24"/>
          <w:lang w:eastAsia="en-GB"/>
        </w:rPr>
      </w:pPr>
      <w:r w:rsidRPr="00390D7F">
        <w:rPr>
          <w:sz w:val="24"/>
          <w:szCs w:val="24"/>
        </w:rPr>
        <w:t xml:space="preserve">Patienter, som oplever svimmelhed eller </w:t>
      </w:r>
      <w:proofErr w:type="spellStart"/>
      <w:r w:rsidRPr="00390D7F">
        <w:rPr>
          <w:sz w:val="24"/>
          <w:szCs w:val="24"/>
        </w:rPr>
        <w:t>ørhed</w:t>
      </w:r>
      <w:proofErr w:type="spellEnd"/>
      <w:r w:rsidRPr="00390D7F">
        <w:rPr>
          <w:sz w:val="24"/>
          <w:szCs w:val="24"/>
        </w:rPr>
        <w:t xml:space="preserve">, mens de får </w:t>
      </w:r>
      <w:proofErr w:type="spellStart"/>
      <w:r w:rsidRPr="00390D7F">
        <w:rPr>
          <w:sz w:val="24"/>
          <w:szCs w:val="24"/>
        </w:rPr>
        <w:t>Midodrine</w:t>
      </w:r>
      <w:proofErr w:type="spellEnd"/>
      <w:r w:rsidRPr="00390D7F">
        <w:rPr>
          <w:sz w:val="24"/>
          <w:szCs w:val="24"/>
        </w:rPr>
        <w:t xml:space="preserve"> </w:t>
      </w:r>
      <w:r w:rsidR="00A6464A">
        <w:rPr>
          <w:sz w:val="24"/>
          <w:szCs w:val="24"/>
        </w:rPr>
        <w:t>"</w:t>
      </w:r>
      <w:proofErr w:type="spellStart"/>
      <w:r w:rsidR="00A6464A">
        <w:rPr>
          <w:sz w:val="24"/>
          <w:szCs w:val="24"/>
        </w:rPr>
        <w:t>Tillomed</w:t>
      </w:r>
      <w:proofErr w:type="spellEnd"/>
      <w:r w:rsidR="00A6464A">
        <w:rPr>
          <w:sz w:val="24"/>
          <w:szCs w:val="24"/>
        </w:rPr>
        <w:t>"</w:t>
      </w:r>
      <w:r w:rsidRPr="00390D7F">
        <w:rPr>
          <w:sz w:val="24"/>
          <w:szCs w:val="24"/>
        </w:rPr>
        <w:t xml:space="preserve"> skal afholde sig fra at betjene maskiner.</w:t>
      </w:r>
    </w:p>
    <w:p w14:paraId="2E567500" w14:textId="1A3CF2F1" w:rsidR="00174897" w:rsidRDefault="00174897">
      <w:pPr>
        <w:rPr>
          <w:sz w:val="24"/>
          <w:szCs w:val="24"/>
        </w:rPr>
      </w:pPr>
      <w:r>
        <w:rPr>
          <w:sz w:val="24"/>
          <w:szCs w:val="24"/>
        </w:rPr>
        <w:br w:type="page"/>
      </w:r>
    </w:p>
    <w:p w14:paraId="2F40D507" w14:textId="77777777" w:rsidR="009260DE" w:rsidRPr="00390D7F" w:rsidRDefault="009260DE" w:rsidP="009260DE">
      <w:pPr>
        <w:tabs>
          <w:tab w:val="left" w:pos="851"/>
        </w:tabs>
        <w:ind w:left="851"/>
        <w:rPr>
          <w:sz w:val="24"/>
          <w:szCs w:val="24"/>
        </w:rPr>
      </w:pPr>
    </w:p>
    <w:p w14:paraId="45D3439C" w14:textId="77777777" w:rsidR="009260DE" w:rsidRPr="00390D7F" w:rsidRDefault="009260DE" w:rsidP="009260DE">
      <w:pPr>
        <w:tabs>
          <w:tab w:val="left" w:pos="851"/>
        </w:tabs>
        <w:ind w:left="851" w:hanging="851"/>
        <w:rPr>
          <w:b/>
          <w:sz w:val="24"/>
          <w:szCs w:val="24"/>
        </w:rPr>
      </w:pPr>
      <w:r w:rsidRPr="00390D7F">
        <w:rPr>
          <w:b/>
          <w:sz w:val="24"/>
          <w:szCs w:val="24"/>
        </w:rPr>
        <w:t>4.8</w:t>
      </w:r>
      <w:r w:rsidRPr="00390D7F">
        <w:rPr>
          <w:b/>
          <w:sz w:val="24"/>
          <w:szCs w:val="24"/>
        </w:rPr>
        <w:tab/>
        <w:t>Bivirkninger</w:t>
      </w:r>
    </w:p>
    <w:p w14:paraId="443B2682" w14:textId="1E03F1B8" w:rsidR="00FD425A" w:rsidRPr="00390D7F" w:rsidRDefault="00FD425A" w:rsidP="00152FB6">
      <w:pPr>
        <w:tabs>
          <w:tab w:val="left" w:pos="2977"/>
        </w:tabs>
        <w:ind w:left="851"/>
        <w:jc w:val="both"/>
        <w:rPr>
          <w:sz w:val="24"/>
          <w:szCs w:val="24"/>
        </w:rPr>
      </w:pPr>
      <w:r w:rsidRPr="00390D7F">
        <w:rPr>
          <w:sz w:val="24"/>
          <w:szCs w:val="24"/>
        </w:rPr>
        <w:t>De følgende hyppighedskategorier anvendes til evalueringen af bivirkninger:</w:t>
      </w:r>
    </w:p>
    <w:p w14:paraId="0EB54A6F" w14:textId="7E074FAD" w:rsidR="000A03A5" w:rsidRPr="00390D7F" w:rsidRDefault="000A03A5" w:rsidP="00152FB6">
      <w:pPr>
        <w:tabs>
          <w:tab w:val="left" w:pos="2977"/>
        </w:tabs>
        <w:ind w:left="851"/>
        <w:rPr>
          <w:sz w:val="24"/>
          <w:szCs w:val="24"/>
        </w:rPr>
      </w:pPr>
      <w:bookmarkStart w:id="0" w:name="OLE_LINK2"/>
      <w:r w:rsidRPr="00390D7F">
        <w:rPr>
          <w:sz w:val="24"/>
          <w:szCs w:val="24"/>
        </w:rPr>
        <w:t xml:space="preserve">Meget almindelig </w:t>
      </w:r>
      <w:r w:rsidR="00152FB6">
        <w:rPr>
          <w:sz w:val="24"/>
          <w:szCs w:val="24"/>
        </w:rPr>
        <w:tab/>
      </w:r>
      <w:r w:rsidRPr="00390D7F">
        <w:rPr>
          <w:sz w:val="24"/>
          <w:szCs w:val="24"/>
        </w:rPr>
        <w:t>(≥ 1/10)</w:t>
      </w:r>
    </w:p>
    <w:p w14:paraId="5BF52B83" w14:textId="79888BD1" w:rsidR="000A03A5" w:rsidRPr="00390D7F" w:rsidRDefault="000A03A5" w:rsidP="00152FB6">
      <w:pPr>
        <w:tabs>
          <w:tab w:val="left" w:pos="2977"/>
        </w:tabs>
        <w:ind w:left="851"/>
        <w:rPr>
          <w:sz w:val="24"/>
          <w:szCs w:val="24"/>
        </w:rPr>
      </w:pPr>
      <w:r w:rsidRPr="00390D7F">
        <w:rPr>
          <w:sz w:val="24"/>
          <w:szCs w:val="24"/>
        </w:rPr>
        <w:t xml:space="preserve">Almindelig </w:t>
      </w:r>
      <w:r w:rsidR="00152FB6">
        <w:rPr>
          <w:sz w:val="24"/>
          <w:szCs w:val="24"/>
        </w:rPr>
        <w:tab/>
      </w:r>
      <w:r w:rsidRPr="00390D7F">
        <w:rPr>
          <w:sz w:val="24"/>
          <w:szCs w:val="24"/>
        </w:rPr>
        <w:t>(≥ 1/100 til &lt; 1/10)</w:t>
      </w:r>
    </w:p>
    <w:p w14:paraId="67931A5A" w14:textId="0668C764" w:rsidR="000A03A5" w:rsidRPr="00390D7F" w:rsidRDefault="000A03A5" w:rsidP="00152FB6">
      <w:pPr>
        <w:tabs>
          <w:tab w:val="left" w:pos="2977"/>
        </w:tabs>
        <w:ind w:left="851"/>
        <w:rPr>
          <w:sz w:val="24"/>
          <w:szCs w:val="24"/>
        </w:rPr>
      </w:pPr>
      <w:r w:rsidRPr="00390D7F">
        <w:rPr>
          <w:sz w:val="24"/>
          <w:szCs w:val="24"/>
        </w:rPr>
        <w:t xml:space="preserve">Ikke almindelig </w:t>
      </w:r>
      <w:r w:rsidR="00152FB6">
        <w:rPr>
          <w:sz w:val="24"/>
          <w:szCs w:val="24"/>
        </w:rPr>
        <w:tab/>
      </w:r>
      <w:r w:rsidRPr="00390D7F">
        <w:rPr>
          <w:sz w:val="24"/>
          <w:szCs w:val="24"/>
        </w:rPr>
        <w:t>(≥ 1/1.000 til &lt; 1/100)</w:t>
      </w:r>
    </w:p>
    <w:p w14:paraId="1166DFC4" w14:textId="7CB6018B" w:rsidR="000A03A5" w:rsidRPr="00390D7F" w:rsidRDefault="000A03A5" w:rsidP="00152FB6">
      <w:pPr>
        <w:tabs>
          <w:tab w:val="left" w:pos="2977"/>
        </w:tabs>
        <w:ind w:left="851"/>
        <w:rPr>
          <w:sz w:val="24"/>
          <w:szCs w:val="24"/>
        </w:rPr>
      </w:pPr>
      <w:bookmarkStart w:id="1" w:name="OLE_LINK1"/>
      <w:r w:rsidRPr="00390D7F">
        <w:rPr>
          <w:sz w:val="24"/>
          <w:szCs w:val="24"/>
        </w:rPr>
        <w:t>Sjælden</w:t>
      </w:r>
      <w:r w:rsidRPr="00390D7F">
        <w:rPr>
          <w:sz w:val="24"/>
          <w:szCs w:val="24"/>
          <w:lang w:val="el-GR"/>
        </w:rPr>
        <w:t xml:space="preserve"> </w:t>
      </w:r>
      <w:r w:rsidR="00152FB6">
        <w:rPr>
          <w:sz w:val="24"/>
          <w:szCs w:val="24"/>
          <w:lang w:val="el-GR"/>
        </w:rPr>
        <w:tab/>
      </w:r>
      <w:r w:rsidRPr="00390D7F">
        <w:rPr>
          <w:sz w:val="24"/>
          <w:szCs w:val="24"/>
          <w:lang w:val="el-GR"/>
        </w:rPr>
        <w:t>(</w:t>
      </w:r>
      <w:r w:rsidRPr="00390D7F">
        <w:rPr>
          <w:sz w:val="24"/>
          <w:szCs w:val="24"/>
        </w:rPr>
        <w:t xml:space="preserve">≥ </w:t>
      </w:r>
      <w:r w:rsidRPr="00390D7F">
        <w:rPr>
          <w:sz w:val="24"/>
          <w:szCs w:val="24"/>
          <w:lang w:val="el-GR"/>
        </w:rPr>
        <w:t>1/10</w:t>
      </w:r>
      <w:r w:rsidRPr="00390D7F">
        <w:rPr>
          <w:sz w:val="24"/>
          <w:szCs w:val="24"/>
        </w:rPr>
        <w:t>.</w:t>
      </w:r>
      <w:r w:rsidRPr="00390D7F">
        <w:rPr>
          <w:sz w:val="24"/>
          <w:szCs w:val="24"/>
          <w:lang w:val="el-GR"/>
        </w:rPr>
        <w:t>000</w:t>
      </w:r>
      <w:r w:rsidRPr="00390D7F">
        <w:rPr>
          <w:sz w:val="24"/>
          <w:szCs w:val="24"/>
        </w:rPr>
        <w:t xml:space="preserve"> til</w:t>
      </w:r>
      <w:r w:rsidRPr="00390D7F">
        <w:rPr>
          <w:sz w:val="24"/>
          <w:szCs w:val="24"/>
          <w:lang w:val="el-GR"/>
        </w:rPr>
        <w:t xml:space="preserve"> </w:t>
      </w:r>
      <w:r w:rsidRPr="00390D7F">
        <w:rPr>
          <w:sz w:val="24"/>
          <w:szCs w:val="24"/>
        </w:rPr>
        <w:t xml:space="preserve">&lt; </w:t>
      </w:r>
      <w:r w:rsidRPr="00390D7F">
        <w:rPr>
          <w:sz w:val="24"/>
          <w:szCs w:val="24"/>
          <w:lang w:val="el-GR"/>
        </w:rPr>
        <w:t>1/1</w:t>
      </w:r>
      <w:r w:rsidRPr="00390D7F">
        <w:rPr>
          <w:sz w:val="24"/>
          <w:szCs w:val="24"/>
        </w:rPr>
        <w:t>.</w:t>
      </w:r>
      <w:r w:rsidRPr="00390D7F">
        <w:rPr>
          <w:sz w:val="24"/>
          <w:szCs w:val="24"/>
          <w:lang w:val="el-GR"/>
        </w:rPr>
        <w:t>000)</w:t>
      </w:r>
    </w:p>
    <w:bookmarkEnd w:id="1"/>
    <w:p w14:paraId="7A4A43F2" w14:textId="77777777" w:rsidR="00152FB6" w:rsidRDefault="000A03A5" w:rsidP="00152FB6">
      <w:pPr>
        <w:tabs>
          <w:tab w:val="left" w:pos="2977"/>
        </w:tabs>
        <w:ind w:left="851"/>
        <w:rPr>
          <w:sz w:val="24"/>
          <w:szCs w:val="24"/>
        </w:rPr>
      </w:pPr>
      <w:r w:rsidRPr="00390D7F">
        <w:rPr>
          <w:sz w:val="24"/>
          <w:szCs w:val="24"/>
        </w:rPr>
        <w:t xml:space="preserve">Meget sjælden </w:t>
      </w:r>
      <w:r w:rsidR="00152FB6">
        <w:rPr>
          <w:sz w:val="24"/>
          <w:szCs w:val="24"/>
        </w:rPr>
        <w:tab/>
      </w:r>
      <w:r w:rsidRPr="00390D7F">
        <w:rPr>
          <w:sz w:val="24"/>
          <w:szCs w:val="24"/>
        </w:rPr>
        <w:t>(&lt; 1/10.000)</w:t>
      </w:r>
    </w:p>
    <w:p w14:paraId="68C33B48" w14:textId="4CD115F8" w:rsidR="000A03A5" w:rsidRPr="00390D7F" w:rsidRDefault="00152FB6" w:rsidP="00152FB6">
      <w:pPr>
        <w:tabs>
          <w:tab w:val="left" w:pos="2977"/>
        </w:tabs>
        <w:ind w:left="851"/>
        <w:rPr>
          <w:sz w:val="24"/>
          <w:szCs w:val="24"/>
          <w:lang w:eastAsia="en-GB"/>
        </w:rPr>
      </w:pPr>
      <w:r>
        <w:rPr>
          <w:sz w:val="24"/>
          <w:szCs w:val="24"/>
        </w:rPr>
        <w:t>I</w:t>
      </w:r>
      <w:r w:rsidR="000A03A5" w:rsidRPr="00390D7F">
        <w:rPr>
          <w:sz w:val="24"/>
          <w:szCs w:val="24"/>
        </w:rPr>
        <w:t>kke kendt</w:t>
      </w:r>
      <w:r>
        <w:rPr>
          <w:sz w:val="24"/>
          <w:szCs w:val="24"/>
        </w:rPr>
        <w:tab/>
      </w:r>
      <w:r>
        <w:t>Hyppigheden kan ikke estimeres ud fra forhåndenværende data</w:t>
      </w:r>
      <w:bookmarkEnd w:id="0"/>
    </w:p>
    <w:p w14:paraId="62CFD8E3" w14:textId="77777777" w:rsidR="000A03A5" w:rsidRPr="00390D7F" w:rsidRDefault="000A03A5" w:rsidP="00FD425A">
      <w:pPr>
        <w:jc w:val="both"/>
        <w:rPr>
          <w:sz w:val="24"/>
          <w:szCs w:val="24"/>
          <w:lang w:eastAsia="en-GB"/>
        </w:rPr>
      </w:pPr>
    </w:p>
    <w:tbl>
      <w:tblPr>
        <w:tblW w:w="5151" w:type="pct"/>
        <w:tblLook w:val="04A0" w:firstRow="1" w:lastRow="0" w:firstColumn="1" w:lastColumn="0" w:noHBand="0" w:noVBand="1"/>
      </w:tblPr>
      <w:tblGrid>
        <w:gridCol w:w="1716"/>
        <w:gridCol w:w="1081"/>
        <w:gridCol w:w="1853"/>
        <w:gridCol w:w="1853"/>
        <w:gridCol w:w="1246"/>
        <w:gridCol w:w="978"/>
        <w:gridCol w:w="1192"/>
      </w:tblGrid>
      <w:tr w:rsidR="00152FB6" w:rsidRPr="00152FB6" w14:paraId="02C20DD2" w14:textId="77777777" w:rsidTr="00152FB6">
        <w:tc>
          <w:tcPr>
            <w:tcW w:w="865" w:type="pct"/>
            <w:tcBorders>
              <w:top w:val="single" w:sz="4" w:space="0" w:color="auto"/>
              <w:left w:val="single" w:sz="4" w:space="0" w:color="auto"/>
              <w:bottom w:val="single" w:sz="4" w:space="0" w:color="auto"/>
              <w:right w:val="single" w:sz="4" w:space="0" w:color="auto"/>
            </w:tcBorders>
            <w:hideMark/>
          </w:tcPr>
          <w:p w14:paraId="59E17C16" w14:textId="77777777" w:rsidR="00FD425A" w:rsidRPr="00152FB6" w:rsidRDefault="00FD425A" w:rsidP="000A03A5">
            <w:pPr>
              <w:rPr>
                <w:b/>
                <w:bCs/>
                <w:sz w:val="22"/>
                <w:szCs w:val="22"/>
              </w:rPr>
            </w:pPr>
            <w:r w:rsidRPr="00152FB6">
              <w:rPr>
                <w:b/>
                <w:sz w:val="22"/>
                <w:szCs w:val="22"/>
              </w:rPr>
              <w:t>Systemorganklasse</w:t>
            </w:r>
          </w:p>
        </w:tc>
        <w:tc>
          <w:tcPr>
            <w:tcW w:w="545" w:type="pct"/>
            <w:tcBorders>
              <w:top w:val="single" w:sz="4" w:space="0" w:color="auto"/>
              <w:left w:val="single" w:sz="4" w:space="0" w:color="auto"/>
              <w:bottom w:val="single" w:sz="4" w:space="0" w:color="auto"/>
              <w:right w:val="single" w:sz="4" w:space="0" w:color="auto"/>
            </w:tcBorders>
            <w:hideMark/>
          </w:tcPr>
          <w:p w14:paraId="3A622F22" w14:textId="77777777" w:rsidR="00FD425A" w:rsidRPr="00152FB6" w:rsidRDefault="00FD425A" w:rsidP="000A03A5">
            <w:pPr>
              <w:rPr>
                <w:b/>
                <w:sz w:val="22"/>
                <w:szCs w:val="22"/>
              </w:rPr>
            </w:pPr>
            <w:r w:rsidRPr="00152FB6">
              <w:rPr>
                <w:b/>
                <w:sz w:val="22"/>
                <w:szCs w:val="22"/>
              </w:rPr>
              <w:t>Meget almindelig</w:t>
            </w:r>
          </w:p>
        </w:tc>
        <w:tc>
          <w:tcPr>
            <w:tcW w:w="934" w:type="pct"/>
            <w:tcBorders>
              <w:top w:val="single" w:sz="4" w:space="0" w:color="auto"/>
              <w:left w:val="single" w:sz="4" w:space="0" w:color="auto"/>
              <w:bottom w:val="single" w:sz="4" w:space="0" w:color="auto"/>
              <w:right w:val="single" w:sz="4" w:space="0" w:color="auto"/>
            </w:tcBorders>
          </w:tcPr>
          <w:p w14:paraId="63B70EB4" w14:textId="77777777" w:rsidR="00FD425A" w:rsidRPr="00152FB6" w:rsidRDefault="00FD425A" w:rsidP="000A03A5">
            <w:pPr>
              <w:rPr>
                <w:b/>
                <w:sz w:val="22"/>
                <w:szCs w:val="22"/>
              </w:rPr>
            </w:pPr>
            <w:r w:rsidRPr="00152FB6">
              <w:rPr>
                <w:b/>
                <w:sz w:val="22"/>
                <w:szCs w:val="22"/>
              </w:rPr>
              <w:t>Almindelig</w:t>
            </w:r>
          </w:p>
          <w:p w14:paraId="00BC0A0D" w14:textId="77777777" w:rsidR="00FD425A" w:rsidRPr="00152FB6" w:rsidRDefault="00FD425A" w:rsidP="000A03A5">
            <w:pPr>
              <w:rPr>
                <w:b/>
                <w:sz w:val="22"/>
                <w:szCs w:val="22"/>
              </w:rPr>
            </w:pPr>
          </w:p>
        </w:tc>
        <w:tc>
          <w:tcPr>
            <w:tcW w:w="934" w:type="pct"/>
            <w:tcBorders>
              <w:top w:val="single" w:sz="4" w:space="0" w:color="auto"/>
              <w:left w:val="single" w:sz="4" w:space="0" w:color="auto"/>
              <w:bottom w:val="single" w:sz="4" w:space="0" w:color="auto"/>
              <w:right w:val="single" w:sz="4" w:space="0" w:color="auto"/>
            </w:tcBorders>
          </w:tcPr>
          <w:p w14:paraId="48DA5576" w14:textId="77777777" w:rsidR="00FD425A" w:rsidRPr="00152FB6" w:rsidRDefault="00FD425A" w:rsidP="000A03A5">
            <w:pPr>
              <w:rPr>
                <w:b/>
                <w:sz w:val="22"/>
                <w:szCs w:val="22"/>
              </w:rPr>
            </w:pPr>
            <w:r w:rsidRPr="00152FB6">
              <w:rPr>
                <w:b/>
                <w:sz w:val="22"/>
                <w:szCs w:val="22"/>
              </w:rPr>
              <w:t>Ikke almindelig</w:t>
            </w:r>
          </w:p>
          <w:p w14:paraId="7B0D674E" w14:textId="77777777" w:rsidR="00FD425A" w:rsidRPr="00152FB6" w:rsidRDefault="00FD425A" w:rsidP="000A03A5">
            <w:pPr>
              <w:rPr>
                <w:b/>
                <w:sz w:val="22"/>
                <w:szCs w:val="22"/>
              </w:rPr>
            </w:pPr>
          </w:p>
        </w:tc>
        <w:tc>
          <w:tcPr>
            <w:tcW w:w="628" w:type="pct"/>
            <w:tcBorders>
              <w:top w:val="single" w:sz="4" w:space="0" w:color="auto"/>
              <w:left w:val="single" w:sz="4" w:space="0" w:color="auto"/>
              <w:bottom w:val="single" w:sz="4" w:space="0" w:color="auto"/>
              <w:right w:val="single" w:sz="4" w:space="0" w:color="auto"/>
            </w:tcBorders>
          </w:tcPr>
          <w:p w14:paraId="4C412607" w14:textId="77777777" w:rsidR="00FD425A" w:rsidRPr="00152FB6" w:rsidRDefault="00FD425A" w:rsidP="000A03A5">
            <w:pPr>
              <w:rPr>
                <w:b/>
                <w:sz w:val="22"/>
                <w:szCs w:val="22"/>
              </w:rPr>
            </w:pPr>
            <w:r w:rsidRPr="00152FB6">
              <w:rPr>
                <w:b/>
                <w:sz w:val="22"/>
                <w:szCs w:val="22"/>
              </w:rPr>
              <w:t>Sjælden</w:t>
            </w:r>
          </w:p>
          <w:p w14:paraId="7A5CBCC5" w14:textId="77777777" w:rsidR="00FD425A" w:rsidRPr="00152FB6" w:rsidRDefault="00FD425A" w:rsidP="000A03A5">
            <w:pPr>
              <w:rPr>
                <w:b/>
                <w:sz w:val="22"/>
                <w:szCs w:val="22"/>
              </w:rPr>
            </w:pPr>
          </w:p>
        </w:tc>
        <w:tc>
          <w:tcPr>
            <w:tcW w:w="493" w:type="pct"/>
            <w:tcBorders>
              <w:top w:val="single" w:sz="4" w:space="0" w:color="auto"/>
              <w:left w:val="single" w:sz="4" w:space="0" w:color="auto"/>
              <w:bottom w:val="single" w:sz="4" w:space="0" w:color="auto"/>
              <w:right w:val="single" w:sz="4" w:space="0" w:color="auto"/>
            </w:tcBorders>
            <w:hideMark/>
          </w:tcPr>
          <w:p w14:paraId="52C2D6CA" w14:textId="77777777" w:rsidR="00FD425A" w:rsidRPr="00152FB6" w:rsidRDefault="00FD425A" w:rsidP="000A03A5">
            <w:pPr>
              <w:rPr>
                <w:b/>
                <w:sz w:val="22"/>
                <w:szCs w:val="22"/>
              </w:rPr>
            </w:pPr>
            <w:r w:rsidRPr="00152FB6">
              <w:rPr>
                <w:b/>
                <w:sz w:val="22"/>
                <w:szCs w:val="22"/>
              </w:rPr>
              <w:t>Meget sjælden</w:t>
            </w:r>
          </w:p>
        </w:tc>
        <w:tc>
          <w:tcPr>
            <w:tcW w:w="602" w:type="pct"/>
            <w:tcBorders>
              <w:top w:val="single" w:sz="4" w:space="0" w:color="auto"/>
              <w:left w:val="single" w:sz="4" w:space="0" w:color="auto"/>
              <w:bottom w:val="single" w:sz="4" w:space="0" w:color="auto"/>
              <w:right w:val="single" w:sz="4" w:space="0" w:color="auto"/>
            </w:tcBorders>
          </w:tcPr>
          <w:p w14:paraId="17B6DBBA" w14:textId="77777777" w:rsidR="00FD425A" w:rsidRPr="00152FB6" w:rsidRDefault="00FD425A" w:rsidP="000A03A5">
            <w:pPr>
              <w:rPr>
                <w:b/>
                <w:sz w:val="22"/>
                <w:szCs w:val="22"/>
              </w:rPr>
            </w:pPr>
            <w:r w:rsidRPr="00152FB6">
              <w:rPr>
                <w:b/>
                <w:sz w:val="22"/>
                <w:szCs w:val="22"/>
              </w:rPr>
              <w:t>Ikke kendt</w:t>
            </w:r>
          </w:p>
          <w:p w14:paraId="5D1827F7" w14:textId="77777777" w:rsidR="00FD425A" w:rsidRPr="00152FB6" w:rsidRDefault="00FD425A" w:rsidP="000A03A5">
            <w:pPr>
              <w:rPr>
                <w:b/>
                <w:sz w:val="22"/>
                <w:szCs w:val="22"/>
              </w:rPr>
            </w:pPr>
          </w:p>
        </w:tc>
      </w:tr>
      <w:tr w:rsidR="00152FB6" w:rsidRPr="00152FB6" w14:paraId="71B86C88" w14:textId="77777777" w:rsidTr="00152FB6">
        <w:tc>
          <w:tcPr>
            <w:tcW w:w="865" w:type="pct"/>
            <w:tcBorders>
              <w:top w:val="single" w:sz="4" w:space="0" w:color="auto"/>
              <w:left w:val="single" w:sz="4" w:space="0" w:color="auto"/>
              <w:bottom w:val="single" w:sz="4" w:space="0" w:color="auto"/>
              <w:right w:val="single" w:sz="4" w:space="0" w:color="auto"/>
            </w:tcBorders>
            <w:hideMark/>
          </w:tcPr>
          <w:p w14:paraId="6998D1A8" w14:textId="77777777" w:rsidR="00FD425A" w:rsidRPr="00152FB6" w:rsidRDefault="00FD425A" w:rsidP="000A03A5">
            <w:pPr>
              <w:rPr>
                <w:b/>
                <w:bCs/>
                <w:sz w:val="22"/>
                <w:szCs w:val="22"/>
              </w:rPr>
            </w:pPr>
            <w:r w:rsidRPr="00152FB6">
              <w:rPr>
                <w:b/>
                <w:sz w:val="22"/>
                <w:szCs w:val="22"/>
              </w:rPr>
              <w:t>Psykiske forstyrrelser</w:t>
            </w:r>
          </w:p>
        </w:tc>
        <w:tc>
          <w:tcPr>
            <w:tcW w:w="545" w:type="pct"/>
            <w:tcBorders>
              <w:top w:val="single" w:sz="4" w:space="0" w:color="auto"/>
              <w:left w:val="single" w:sz="4" w:space="0" w:color="auto"/>
              <w:bottom w:val="single" w:sz="4" w:space="0" w:color="auto"/>
              <w:right w:val="single" w:sz="4" w:space="0" w:color="auto"/>
            </w:tcBorders>
          </w:tcPr>
          <w:p w14:paraId="26B005DB" w14:textId="77777777" w:rsidR="00FD425A" w:rsidRPr="00152FB6" w:rsidRDefault="00FD425A" w:rsidP="000A03A5">
            <w:pPr>
              <w:rPr>
                <w:sz w:val="22"/>
                <w:szCs w:val="22"/>
              </w:rPr>
            </w:pPr>
          </w:p>
        </w:tc>
        <w:tc>
          <w:tcPr>
            <w:tcW w:w="934" w:type="pct"/>
            <w:tcBorders>
              <w:top w:val="single" w:sz="4" w:space="0" w:color="auto"/>
              <w:left w:val="single" w:sz="4" w:space="0" w:color="auto"/>
              <w:bottom w:val="single" w:sz="4" w:space="0" w:color="auto"/>
              <w:right w:val="single" w:sz="4" w:space="0" w:color="auto"/>
            </w:tcBorders>
          </w:tcPr>
          <w:p w14:paraId="49DD7BA6" w14:textId="77777777" w:rsidR="00FD425A" w:rsidRPr="00152FB6" w:rsidRDefault="00FD425A" w:rsidP="000A03A5">
            <w:pPr>
              <w:rPr>
                <w:sz w:val="22"/>
                <w:szCs w:val="22"/>
              </w:rPr>
            </w:pPr>
          </w:p>
        </w:tc>
        <w:tc>
          <w:tcPr>
            <w:tcW w:w="934" w:type="pct"/>
            <w:tcBorders>
              <w:top w:val="single" w:sz="4" w:space="0" w:color="auto"/>
              <w:left w:val="single" w:sz="4" w:space="0" w:color="auto"/>
              <w:bottom w:val="single" w:sz="4" w:space="0" w:color="auto"/>
              <w:right w:val="single" w:sz="4" w:space="0" w:color="auto"/>
            </w:tcBorders>
            <w:hideMark/>
          </w:tcPr>
          <w:p w14:paraId="58EC640D" w14:textId="6843DE52" w:rsidR="00FD425A" w:rsidRPr="00152FB6" w:rsidRDefault="00FD425A" w:rsidP="00152FB6">
            <w:pPr>
              <w:rPr>
                <w:sz w:val="22"/>
                <w:szCs w:val="22"/>
              </w:rPr>
            </w:pPr>
            <w:r w:rsidRPr="00152FB6">
              <w:rPr>
                <w:sz w:val="22"/>
                <w:szCs w:val="22"/>
              </w:rPr>
              <w:t>søvnforstyrrelser, søvnløshed</w:t>
            </w:r>
          </w:p>
        </w:tc>
        <w:tc>
          <w:tcPr>
            <w:tcW w:w="628" w:type="pct"/>
            <w:tcBorders>
              <w:top w:val="single" w:sz="4" w:space="0" w:color="auto"/>
              <w:left w:val="single" w:sz="4" w:space="0" w:color="auto"/>
              <w:bottom w:val="single" w:sz="4" w:space="0" w:color="auto"/>
              <w:right w:val="single" w:sz="4" w:space="0" w:color="auto"/>
            </w:tcBorders>
          </w:tcPr>
          <w:p w14:paraId="7FC73790" w14:textId="77777777" w:rsidR="00FD425A" w:rsidRPr="00152FB6" w:rsidRDefault="00FD425A" w:rsidP="000A03A5">
            <w:pPr>
              <w:rPr>
                <w:sz w:val="22"/>
                <w:szCs w:val="22"/>
              </w:rPr>
            </w:pPr>
          </w:p>
        </w:tc>
        <w:tc>
          <w:tcPr>
            <w:tcW w:w="493" w:type="pct"/>
            <w:tcBorders>
              <w:top w:val="single" w:sz="4" w:space="0" w:color="auto"/>
              <w:left w:val="single" w:sz="4" w:space="0" w:color="auto"/>
              <w:bottom w:val="single" w:sz="4" w:space="0" w:color="auto"/>
              <w:right w:val="single" w:sz="4" w:space="0" w:color="auto"/>
            </w:tcBorders>
          </w:tcPr>
          <w:p w14:paraId="18AB7E49" w14:textId="77777777" w:rsidR="00FD425A" w:rsidRPr="00152FB6" w:rsidRDefault="00FD425A" w:rsidP="000A03A5">
            <w:pPr>
              <w:rPr>
                <w:sz w:val="22"/>
                <w:szCs w:val="22"/>
              </w:rPr>
            </w:pPr>
          </w:p>
        </w:tc>
        <w:tc>
          <w:tcPr>
            <w:tcW w:w="602" w:type="pct"/>
            <w:tcBorders>
              <w:top w:val="single" w:sz="4" w:space="0" w:color="auto"/>
              <w:left w:val="single" w:sz="4" w:space="0" w:color="auto"/>
              <w:bottom w:val="single" w:sz="4" w:space="0" w:color="auto"/>
              <w:right w:val="single" w:sz="4" w:space="0" w:color="auto"/>
            </w:tcBorders>
            <w:hideMark/>
          </w:tcPr>
          <w:p w14:paraId="06186A73" w14:textId="77777777" w:rsidR="00FD425A" w:rsidRPr="00152FB6" w:rsidRDefault="00FD425A" w:rsidP="000A03A5">
            <w:pPr>
              <w:rPr>
                <w:sz w:val="22"/>
                <w:szCs w:val="22"/>
              </w:rPr>
            </w:pPr>
            <w:r w:rsidRPr="00152FB6">
              <w:rPr>
                <w:sz w:val="22"/>
                <w:szCs w:val="22"/>
              </w:rPr>
              <w:t>Angst, konfusion</w:t>
            </w:r>
          </w:p>
        </w:tc>
      </w:tr>
      <w:tr w:rsidR="00152FB6" w:rsidRPr="00152FB6" w14:paraId="5AABB7EE" w14:textId="77777777" w:rsidTr="00152FB6">
        <w:tc>
          <w:tcPr>
            <w:tcW w:w="865" w:type="pct"/>
            <w:tcBorders>
              <w:top w:val="single" w:sz="4" w:space="0" w:color="auto"/>
              <w:left w:val="single" w:sz="4" w:space="0" w:color="auto"/>
              <w:bottom w:val="single" w:sz="4" w:space="0" w:color="auto"/>
              <w:right w:val="single" w:sz="4" w:space="0" w:color="auto"/>
            </w:tcBorders>
            <w:hideMark/>
          </w:tcPr>
          <w:p w14:paraId="4B28846F" w14:textId="77777777" w:rsidR="00FD425A" w:rsidRPr="00152FB6" w:rsidRDefault="00FD425A" w:rsidP="000A03A5">
            <w:pPr>
              <w:rPr>
                <w:b/>
                <w:bCs/>
                <w:sz w:val="22"/>
                <w:szCs w:val="22"/>
              </w:rPr>
            </w:pPr>
            <w:r w:rsidRPr="00152FB6">
              <w:rPr>
                <w:b/>
                <w:sz w:val="22"/>
                <w:szCs w:val="22"/>
              </w:rPr>
              <w:t>Nervesystemet</w:t>
            </w:r>
          </w:p>
        </w:tc>
        <w:tc>
          <w:tcPr>
            <w:tcW w:w="545" w:type="pct"/>
            <w:tcBorders>
              <w:top w:val="single" w:sz="4" w:space="0" w:color="auto"/>
              <w:left w:val="single" w:sz="4" w:space="0" w:color="auto"/>
              <w:bottom w:val="single" w:sz="4" w:space="0" w:color="auto"/>
              <w:right w:val="single" w:sz="4" w:space="0" w:color="auto"/>
            </w:tcBorders>
          </w:tcPr>
          <w:p w14:paraId="6C6D66DF" w14:textId="77777777" w:rsidR="00FD425A" w:rsidRPr="00152FB6" w:rsidRDefault="00FD425A" w:rsidP="000A03A5">
            <w:pPr>
              <w:rPr>
                <w:sz w:val="22"/>
                <w:szCs w:val="22"/>
              </w:rPr>
            </w:pPr>
          </w:p>
        </w:tc>
        <w:tc>
          <w:tcPr>
            <w:tcW w:w="934" w:type="pct"/>
            <w:tcBorders>
              <w:top w:val="single" w:sz="4" w:space="0" w:color="auto"/>
              <w:left w:val="single" w:sz="4" w:space="0" w:color="auto"/>
              <w:bottom w:val="single" w:sz="4" w:space="0" w:color="auto"/>
              <w:right w:val="single" w:sz="4" w:space="0" w:color="auto"/>
            </w:tcBorders>
            <w:hideMark/>
          </w:tcPr>
          <w:p w14:paraId="3C105CF7" w14:textId="77777777" w:rsidR="00FD425A" w:rsidRPr="00152FB6" w:rsidRDefault="00FD425A" w:rsidP="000A03A5">
            <w:pPr>
              <w:rPr>
                <w:sz w:val="22"/>
                <w:szCs w:val="22"/>
              </w:rPr>
            </w:pPr>
            <w:proofErr w:type="spellStart"/>
            <w:r w:rsidRPr="00152FB6">
              <w:rPr>
                <w:sz w:val="22"/>
                <w:szCs w:val="22"/>
              </w:rPr>
              <w:t>Paræstesi</w:t>
            </w:r>
            <w:proofErr w:type="spellEnd"/>
            <w:r w:rsidRPr="00152FB6">
              <w:rPr>
                <w:sz w:val="22"/>
                <w:szCs w:val="22"/>
              </w:rPr>
              <w:t xml:space="preserve"> </w:t>
            </w:r>
          </w:p>
        </w:tc>
        <w:tc>
          <w:tcPr>
            <w:tcW w:w="934" w:type="pct"/>
            <w:tcBorders>
              <w:top w:val="single" w:sz="4" w:space="0" w:color="auto"/>
              <w:left w:val="single" w:sz="4" w:space="0" w:color="auto"/>
              <w:bottom w:val="single" w:sz="4" w:space="0" w:color="auto"/>
              <w:right w:val="single" w:sz="4" w:space="0" w:color="auto"/>
            </w:tcBorders>
            <w:hideMark/>
          </w:tcPr>
          <w:p w14:paraId="5ACB558F" w14:textId="77777777" w:rsidR="00FD425A" w:rsidRPr="00152FB6" w:rsidRDefault="00FD425A" w:rsidP="000A03A5">
            <w:pPr>
              <w:rPr>
                <w:sz w:val="22"/>
                <w:szCs w:val="22"/>
              </w:rPr>
            </w:pPr>
            <w:r w:rsidRPr="00152FB6">
              <w:rPr>
                <w:sz w:val="22"/>
                <w:szCs w:val="22"/>
              </w:rPr>
              <w:t>Hovedpine, rastløshed, pirrelighed, irritation</w:t>
            </w:r>
          </w:p>
        </w:tc>
        <w:tc>
          <w:tcPr>
            <w:tcW w:w="628" w:type="pct"/>
            <w:tcBorders>
              <w:top w:val="single" w:sz="4" w:space="0" w:color="auto"/>
              <w:left w:val="single" w:sz="4" w:space="0" w:color="auto"/>
              <w:bottom w:val="single" w:sz="4" w:space="0" w:color="auto"/>
              <w:right w:val="single" w:sz="4" w:space="0" w:color="auto"/>
            </w:tcBorders>
            <w:hideMark/>
          </w:tcPr>
          <w:p w14:paraId="459E2305" w14:textId="77777777" w:rsidR="00FD425A" w:rsidRPr="00152FB6" w:rsidRDefault="00FD425A" w:rsidP="000A03A5">
            <w:pPr>
              <w:rPr>
                <w:sz w:val="22"/>
                <w:szCs w:val="22"/>
              </w:rPr>
            </w:pPr>
            <w:r w:rsidRPr="00152FB6">
              <w:rPr>
                <w:sz w:val="22"/>
                <w:szCs w:val="22"/>
              </w:rPr>
              <w:t xml:space="preserve">Svimmelhed eller </w:t>
            </w:r>
            <w:proofErr w:type="spellStart"/>
            <w:r w:rsidRPr="00152FB6">
              <w:rPr>
                <w:sz w:val="22"/>
                <w:szCs w:val="22"/>
              </w:rPr>
              <w:t>ørhed</w:t>
            </w:r>
            <w:proofErr w:type="spellEnd"/>
          </w:p>
        </w:tc>
        <w:tc>
          <w:tcPr>
            <w:tcW w:w="493" w:type="pct"/>
            <w:tcBorders>
              <w:top w:val="single" w:sz="4" w:space="0" w:color="auto"/>
              <w:left w:val="single" w:sz="4" w:space="0" w:color="auto"/>
              <w:bottom w:val="single" w:sz="4" w:space="0" w:color="auto"/>
              <w:right w:val="single" w:sz="4" w:space="0" w:color="auto"/>
            </w:tcBorders>
          </w:tcPr>
          <w:p w14:paraId="5EB24903" w14:textId="77777777" w:rsidR="00FD425A" w:rsidRPr="00152FB6" w:rsidRDefault="00FD425A" w:rsidP="000A03A5">
            <w:pPr>
              <w:rPr>
                <w:sz w:val="22"/>
                <w:szCs w:val="22"/>
              </w:rPr>
            </w:pPr>
          </w:p>
        </w:tc>
        <w:tc>
          <w:tcPr>
            <w:tcW w:w="602" w:type="pct"/>
            <w:tcBorders>
              <w:top w:val="single" w:sz="4" w:space="0" w:color="auto"/>
              <w:left w:val="single" w:sz="4" w:space="0" w:color="auto"/>
              <w:bottom w:val="single" w:sz="4" w:space="0" w:color="auto"/>
              <w:right w:val="single" w:sz="4" w:space="0" w:color="auto"/>
            </w:tcBorders>
          </w:tcPr>
          <w:p w14:paraId="78A7DBE4" w14:textId="77777777" w:rsidR="00FD425A" w:rsidRPr="00152FB6" w:rsidRDefault="00FD425A" w:rsidP="000A03A5">
            <w:pPr>
              <w:rPr>
                <w:sz w:val="22"/>
                <w:szCs w:val="22"/>
              </w:rPr>
            </w:pPr>
          </w:p>
        </w:tc>
      </w:tr>
      <w:tr w:rsidR="00152FB6" w:rsidRPr="00152FB6" w14:paraId="1EB5CDC8" w14:textId="77777777" w:rsidTr="00152FB6">
        <w:tc>
          <w:tcPr>
            <w:tcW w:w="865" w:type="pct"/>
            <w:tcBorders>
              <w:top w:val="single" w:sz="4" w:space="0" w:color="auto"/>
              <w:left w:val="single" w:sz="4" w:space="0" w:color="auto"/>
              <w:bottom w:val="single" w:sz="4" w:space="0" w:color="auto"/>
              <w:right w:val="single" w:sz="4" w:space="0" w:color="auto"/>
            </w:tcBorders>
            <w:hideMark/>
          </w:tcPr>
          <w:p w14:paraId="08BC1A47" w14:textId="77777777" w:rsidR="00FD425A" w:rsidRPr="00152FB6" w:rsidRDefault="00FD425A" w:rsidP="000A03A5">
            <w:pPr>
              <w:rPr>
                <w:b/>
                <w:bCs/>
                <w:sz w:val="22"/>
                <w:szCs w:val="22"/>
              </w:rPr>
            </w:pPr>
            <w:r w:rsidRPr="00152FB6">
              <w:rPr>
                <w:b/>
                <w:sz w:val="22"/>
                <w:szCs w:val="22"/>
              </w:rPr>
              <w:t>Øjne</w:t>
            </w:r>
          </w:p>
        </w:tc>
        <w:tc>
          <w:tcPr>
            <w:tcW w:w="545" w:type="pct"/>
            <w:tcBorders>
              <w:top w:val="single" w:sz="4" w:space="0" w:color="auto"/>
              <w:left w:val="single" w:sz="4" w:space="0" w:color="auto"/>
              <w:bottom w:val="single" w:sz="4" w:space="0" w:color="auto"/>
              <w:right w:val="single" w:sz="4" w:space="0" w:color="auto"/>
            </w:tcBorders>
          </w:tcPr>
          <w:p w14:paraId="3348D017" w14:textId="77777777" w:rsidR="00FD425A" w:rsidRPr="00152FB6" w:rsidRDefault="00FD425A" w:rsidP="000A03A5">
            <w:pPr>
              <w:rPr>
                <w:sz w:val="22"/>
                <w:szCs w:val="22"/>
              </w:rPr>
            </w:pPr>
          </w:p>
        </w:tc>
        <w:tc>
          <w:tcPr>
            <w:tcW w:w="934" w:type="pct"/>
            <w:tcBorders>
              <w:top w:val="single" w:sz="4" w:space="0" w:color="auto"/>
              <w:left w:val="single" w:sz="4" w:space="0" w:color="auto"/>
              <w:bottom w:val="single" w:sz="4" w:space="0" w:color="auto"/>
              <w:right w:val="single" w:sz="4" w:space="0" w:color="auto"/>
            </w:tcBorders>
          </w:tcPr>
          <w:p w14:paraId="0B63C1F9" w14:textId="77777777" w:rsidR="00FD425A" w:rsidRPr="00152FB6" w:rsidRDefault="00FD425A" w:rsidP="000A03A5">
            <w:pPr>
              <w:rPr>
                <w:sz w:val="22"/>
                <w:szCs w:val="22"/>
              </w:rPr>
            </w:pPr>
          </w:p>
        </w:tc>
        <w:tc>
          <w:tcPr>
            <w:tcW w:w="934" w:type="pct"/>
            <w:tcBorders>
              <w:top w:val="single" w:sz="4" w:space="0" w:color="auto"/>
              <w:left w:val="single" w:sz="4" w:space="0" w:color="auto"/>
              <w:bottom w:val="single" w:sz="4" w:space="0" w:color="auto"/>
              <w:right w:val="single" w:sz="4" w:space="0" w:color="auto"/>
            </w:tcBorders>
          </w:tcPr>
          <w:p w14:paraId="0D15291A" w14:textId="77777777" w:rsidR="00FD425A" w:rsidRPr="00152FB6" w:rsidRDefault="00FD425A" w:rsidP="000A03A5">
            <w:pPr>
              <w:rPr>
                <w:sz w:val="22"/>
                <w:szCs w:val="22"/>
              </w:rPr>
            </w:pPr>
          </w:p>
        </w:tc>
        <w:tc>
          <w:tcPr>
            <w:tcW w:w="628" w:type="pct"/>
            <w:tcBorders>
              <w:top w:val="single" w:sz="4" w:space="0" w:color="auto"/>
              <w:left w:val="single" w:sz="4" w:space="0" w:color="auto"/>
              <w:bottom w:val="single" w:sz="4" w:space="0" w:color="auto"/>
              <w:right w:val="single" w:sz="4" w:space="0" w:color="auto"/>
            </w:tcBorders>
            <w:hideMark/>
          </w:tcPr>
          <w:p w14:paraId="7FD69465" w14:textId="77777777" w:rsidR="00FD425A" w:rsidRPr="00152FB6" w:rsidRDefault="00FD425A" w:rsidP="000A03A5">
            <w:pPr>
              <w:rPr>
                <w:sz w:val="22"/>
                <w:szCs w:val="22"/>
              </w:rPr>
            </w:pPr>
            <w:r w:rsidRPr="00152FB6">
              <w:rPr>
                <w:sz w:val="22"/>
                <w:szCs w:val="22"/>
              </w:rPr>
              <w:t>Synsforstyrrelse</w:t>
            </w:r>
          </w:p>
        </w:tc>
        <w:tc>
          <w:tcPr>
            <w:tcW w:w="493" w:type="pct"/>
            <w:tcBorders>
              <w:top w:val="single" w:sz="4" w:space="0" w:color="auto"/>
              <w:left w:val="single" w:sz="4" w:space="0" w:color="auto"/>
              <w:bottom w:val="single" w:sz="4" w:space="0" w:color="auto"/>
              <w:right w:val="single" w:sz="4" w:space="0" w:color="auto"/>
            </w:tcBorders>
          </w:tcPr>
          <w:p w14:paraId="6607F19B" w14:textId="77777777" w:rsidR="00FD425A" w:rsidRPr="00152FB6" w:rsidRDefault="00FD425A" w:rsidP="000A03A5">
            <w:pPr>
              <w:rPr>
                <w:sz w:val="22"/>
                <w:szCs w:val="22"/>
              </w:rPr>
            </w:pPr>
          </w:p>
        </w:tc>
        <w:tc>
          <w:tcPr>
            <w:tcW w:w="602" w:type="pct"/>
            <w:tcBorders>
              <w:top w:val="single" w:sz="4" w:space="0" w:color="auto"/>
              <w:left w:val="single" w:sz="4" w:space="0" w:color="auto"/>
              <w:bottom w:val="single" w:sz="4" w:space="0" w:color="auto"/>
              <w:right w:val="single" w:sz="4" w:space="0" w:color="auto"/>
            </w:tcBorders>
            <w:hideMark/>
          </w:tcPr>
          <w:p w14:paraId="59CCBE85" w14:textId="77777777" w:rsidR="00FD425A" w:rsidRPr="00152FB6" w:rsidRDefault="00FD425A" w:rsidP="000A03A5">
            <w:pPr>
              <w:rPr>
                <w:sz w:val="22"/>
                <w:szCs w:val="22"/>
              </w:rPr>
            </w:pPr>
            <w:r w:rsidRPr="00152FB6">
              <w:rPr>
                <w:sz w:val="22"/>
                <w:szCs w:val="22"/>
              </w:rPr>
              <w:t>Øget tåreflåd</w:t>
            </w:r>
          </w:p>
        </w:tc>
      </w:tr>
      <w:tr w:rsidR="00152FB6" w:rsidRPr="00152FB6" w14:paraId="2E6AAEAB" w14:textId="77777777" w:rsidTr="00152FB6">
        <w:tc>
          <w:tcPr>
            <w:tcW w:w="865" w:type="pct"/>
            <w:tcBorders>
              <w:top w:val="single" w:sz="4" w:space="0" w:color="auto"/>
              <w:left w:val="single" w:sz="4" w:space="0" w:color="auto"/>
              <w:bottom w:val="single" w:sz="4" w:space="0" w:color="auto"/>
              <w:right w:val="single" w:sz="4" w:space="0" w:color="auto"/>
            </w:tcBorders>
            <w:hideMark/>
          </w:tcPr>
          <w:p w14:paraId="3FA446DA" w14:textId="77777777" w:rsidR="00FD425A" w:rsidRPr="00152FB6" w:rsidRDefault="00FD425A" w:rsidP="000A03A5">
            <w:pPr>
              <w:rPr>
                <w:b/>
                <w:bCs/>
                <w:sz w:val="22"/>
                <w:szCs w:val="22"/>
              </w:rPr>
            </w:pPr>
            <w:r w:rsidRPr="00152FB6">
              <w:rPr>
                <w:b/>
                <w:sz w:val="22"/>
                <w:szCs w:val="22"/>
              </w:rPr>
              <w:t>Hjerte</w:t>
            </w:r>
          </w:p>
        </w:tc>
        <w:tc>
          <w:tcPr>
            <w:tcW w:w="545" w:type="pct"/>
            <w:tcBorders>
              <w:top w:val="single" w:sz="4" w:space="0" w:color="auto"/>
              <w:left w:val="single" w:sz="4" w:space="0" w:color="auto"/>
              <w:bottom w:val="single" w:sz="4" w:space="0" w:color="auto"/>
              <w:right w:val="single" w:sz="4" w:space="0" w:color="auto"/>
            </w:tcBorders>
          </w:tcPr>
          <w:p w14:paraId="1C3EE0D4" w14:textId="77777777" w:rsidR="00FD425A" w:rsidRPr="00152FB6" w:rsidRDefault="00FD425A" w:rsidP="000A03A5">
            <w:pPr>
              <w:rPr>
                <w:sz w:val="22"/>
                <w:szCs w:val="22"/>
              </w:rPr>
            </w:pPr>
          </w:p>
        </w:tc>
        <w:tc>
          <w:tcPr>
            <w:tcW w:w="934" w:type="pct"/>
            <w:tcBorders>
              <w:top w:val="single" w:sz="4" w:space="0" w:color="auto"/>
              <w:left w:val="single" w:sz="4" w:space="0" w:color="auto"/>
              <w:bottom w:val="single" w:sz="4" w:space="0" w:color="auto"/>
              <w:right w:val="single" w:sz="4" w:space="0" w:color="auto"/>
            </w:tcBorders>
          </w:tcPr>
          <w:p w14:paraId="3343F15E" w14:textId="77777777" w:rsidR="00FD425A" w:rsidRPr="00152FB6" w:rsidRDefault="00FD425A" w:rsidP="000A03A5">
            <w:pPr>
              <w:rPr>
                <w:sz w:val="22"/>
                <w:szCs w:val="22"/>
              </w:rPr>
            </w:pPr>
          </w:p>
        </w:tc>
        <w:tc>
          <w:tcPr>
            <w:tcW w:w="934" w:type="pct"/>
            <w:tcBorders>
              <w:top w:val="single" w:sz="4" w:space="0" w:color="auto"/>
              <w:left w:val="single" w:sz="4" w:space="0" w:color="auto"/>
              <w:bottom w:val="single" w:sz="4" w:space="0" w:color="auto"/>
              <w:right w:val="single" w:sz="4" w:space="0" w:color="auto"/>
            </w:tcBorders>
            <w:hideMark/>
          </w:tcPr>
          <w:p w14:paraId="508F8082" w14:textId="77777777" w:rsidR="00FD425A" w:rsidRPr="00152FB6" w:rsidRDefault="00FD425A" w:rsidP="000A03A5">
            <w:pPr>
              <w:rPr>
                <w:sz w:val="22"/>
                <w:szCs w:val="22"/>
              </w:rPr>
            </w:pPr>
            <w:r w:rsidRPr="00152FB6">
              <w:rPr>
                <w:sz w:val="22"/>
                <w:szCs w:val="22"/>
              </w:rPr>
              <w:t xml:space="preserve">Refleksbradykardi, </w:t>
            </w:r>
            <w:proofErr w:type="spellStart"/>
            <w:r w:rsidRPr="00152FB6">
              <w:rPr>
                <w:sz w:val="22"/>
                <w:szCs w:val="22"/>
              </w:rPr>
              <w:t>palpitationer</w:t>
            </w:r>
            <w:proofErr w:type="spellEnd"/>
            <w:r w:rsidRPr="00152FB6">
              <w:rPr>
                <w:sz w:val="22"/>
                <w:szCs w:val="22"/>
              </w:rPr>
              <w:t xml:space="preserve">, </w:t>
            </w:r>
            <w:proofErr w:type="spellStart"/>
            <w:r w:rsidRPr="00152FB6">
              <w:rPr>
                <w:sz w:val="22"/>
                <w:szCs w:val="22"/>
              </w:rPr>
              <w:t>ventrikulær</w:t>
            </w:r>
            <w:proofErr w:type="spellEnd"/>
            <w:r w:rsidRPr="00152FB6">
              <w:rPr>
                <w:sz w:val="22"/>
                <w:szCs w:val="22"/>
              </w:rPr>
              <w:t xml:space="preserve"> </w:t>
            </w:r>
            <w:proofErr w:type="spellStart"/>
            <w:r w:rsidRPr="00152FB6">
              <w:rPr>
                <w:sz w:val="22"/>
                <w:szCs w:val="22"/>
              </w:rPr>
              <w:t>arytmi</w:t>
            </w:r>
            <w:proofErr w:type="spellEnd"/>
            <w:r w:rsidRPr="00152FB6">
              <w:rPr>
                <w:sz w:val="22"/>
                <w:szCs w:val="22"/>
              </w:rPr>
              <w:t xml:space="preserve">, </w:t>
            </w:r>
            <w:proofErr w:type="spellStart"/>
            <w:r w:rsidRPr="00152FB6">
              <w:rPr>
                <w:sz w:val="22"/>
                <w:szCs w:val="22"/>
              </w:rPr>
              <w:t>takykardi</w:t>
            </w:r>
            <w:proofErr w:type="spellEnd"/>
          </w:p>
        </w:tc>
        <w:tc>
          <w:tcPr>
            <w:tcW w:w="628" w:type="pct"/>
            <w:tcBorders>
              <w:top w:val="single" w:sz="4" w:space="0" w:color="auto"/>
              <w:left w:val="single" w:sz="4" w:space="0" w:color="auto"/>
              <w:bottom w:val="single" w:sz="4" w:space="0" w:color="auto"/>
              <w:right w:val="single" w:sz="4" w:space="0" w:color="auto"/>
            </w:tcBorders>
            <w:hideMark/>
          </w:tcPr>
          <w:p w14:paraId="2C41E181" w14:textId="77777777" w:rsidR="00FD425A" w:rsidRPr="00152FB6" w:rsidRDefault="00FD425A" w:rsidP="000A03A5">
            <w:pPr>
              <w:rPr>
                <w:sz w:val="22"/>
                <w:szCs w:val="22"/>
              </w:rPr>
            </w:pPr>
            <w:r w:rsidRPr="00152FB6">
              <w:rPr>
                <w:sz w:val="22"/>
                <w:szCs w:val="22"/>
              </w:rPr>
              <w:t>Brystsmerter</w:t>
            </w:r>
          </w:p>
        </w:tc>
        <w:tc>
          <w:tcPr>
            <w:tcW w:w="493" w:type="pct"/>
            <w:tcBorders>
              <w:top w:val="single" w:sz="4" w:space="0" w:color="auto"/>
              <w:left w:val="single" w:sz="4" w:space="0" w:color="auto"/>
              <w:bottom w:val="single" w:sz="4" w:space="0" w:color="auto"/>
              <w:right w:val="single" w:sz="4" w:space="0" w:color="auto"/>
            </w:tcBorders>
          </w:tcPr>
          <w:p w14:paraId="7674E960" w14:textId="77777777" w:rsidR="00FD425A" w:rsidRPr="00152FB6" w:rsidRDefault="00FD425A" w:rsidP="000A03A5">
            <w:pPr>
              <w:rPr>
                <w:sz w:val="22"/>
                <w:szCs w:val="22"/>
              </w:rPr>
            </w:pPr>
          </w:p>
        </w:tc>
        <w:tc>
          <w:tcPr>
            <w:tcW w:w="602" w:type="pct"/>
            <w:tcBorders>
              <w:top w:val="single" w:sz="4" w:space="0" w:color="auto"/>
              <w:left w:val="single" w:sz="4" w:space="0" w:color="auto"/>
              <w:bottom w:val="single" w:sz="4" w:space="0" w:color="auto"/>
              <w:right w:val="single" w:sz="4" w:space="0" w:color="auto"/>
            </w:tcBorders>
          </w:tcPr>
          <w:p w14:paraId="7E2A0E11" w14:textId="77777777" w:rsidR="00FD425A" w:rsidRPr="00152FB6" w:rsidRDefault="00FD425A" w:rsidP="000A03A5">
            <w:pPr>
              <w:rPr>
                <w:sz w:val="22"/>
                <w:szCs w:val="22"/>
              </w:rPr>
            </w:pPr>
          </w:p>
        </w:tc>
      </w:tr>
      <w:tr w:rsidR="00152FB6" w:rsidRPr="00152FB6" w14:paraId="31689F32" w14:textId="77777777" w:rsidTr="00152FB6">
        <w:tc>
          <w:tcPr>
            <w:tcW w:w="865" w:type="pct"/>
            <w:tcBorders>
              <w:top w:val="single" w:sz="4" w:space="0" w:color="auto"/>
              <w:left w:val="single" w:sz="4" w:space="0" w:color="auto"/>
              <w:bottom w:val="single" w:sz="4" w:space="0" w:color="auto"/>
              <w:right w:val="single" w:sz="4" w:space="0" w:color="auto"/>
            </w:tcBorders>
            <w:hideMark/>
          </w:tcPr>
          <w:p w14:paraId="4DBB9FC6" w14:textId="77777777" w:rsidR="00FD425A" w:rsidRPr="00152FB6" w:rsidRDefault="00FD425A" w:rsidP="000A03A5">
            <w:pPr>
              <w:rPr>
                <w:b/>
                <w:bCs/>
                <w:sz w:val="22"/>
                <w:szCs w:val="22"/>
              </w:rPr>
            </w:pPr>
            <w:proofErr w:type="spellStart"/>
            <w:r w:rsidRPr="00152FB6">
              <w:rPr>
                <w:b/>
                <w:sz w:val="22"/>
                <w:szCs w:val="22"/>
              </w:rPr>
              <w:t>Vaskulære</w:t>
            </w:r>
            <w:proofErr w:type="spellEnd"/>
            <w:r w:rsidRPr="00152FB6">
              <w:rPr>
                <w:b/>
                <w:sz w:val="22"/>
                <w:szCs w:val="22"/>
              </w:rPr>
              <w:t xml:space="preserve"> sygdomme</w:t>
            </w:r>
          </w:p>
        </w:tc>
        <w:tc>
          <w:tcPr>
            <w:tcW w:w="545" w:type="pct"/>
            <w:tcBorders>
              <w:top w:val="single" w:sz="4" w:space="0" w:color="auto"/>
              <w:left w:val="single" w:sz="4" w:space="0" w:color="auto"/>
              <w:bottom w:val="single" w:sz="4" w:space="0" w:color="auto"/>
              <w:right w:val="single" w:sz="4" w:space="0" w:color="auto"/>
            </w:tcBorders>
          </w:tcPr>
          <w:p w14:paraId="31ED5DF9" w14:textId="77777777" w:rsidR="00FD425A" w:rsidRPr="00152FB6" w:rsidRDefault="00FD425A" w:rsidP="000A03A5">
            <w:pPr>
              <w:rPr>
                <w:sz w:val="22"/>
                <w:szCs w:val="22"/>
              </w:rPr>
            </w:pPr>
          </w:p>
        </w:tc>
        <w:tc>
          <w:tcPr>
            <w:tcW w:w="934" w:type="pct"/>
            <w:tcBorders>
              <w:top w:val="single" w:sz="4" w:space="0" w:color="auto"/>
              <w:left w:val="single" w:sz="4" w:space="0" w:color="auto"/>
              <w:bottom w:val="single" w:sz="4" w:space="0" w:color="auto"/>
              <w:right w:val="single" w:sz="4" w:space="0" w:color="auto"/>
            </w:tcBorders>
            <w:hideMark/>
          </w:tcPr>
          <w:p w14:paraId="7A3AFAA3" w14:textId="77777777" w:rsidR="00FD425A" w:rsidRPr="00152FB6" w:rsidRDefault="00FD425A" w:rsidP="000A03A5">
            <w:pPr>
              <w:rPr>
                <w:sz w:val="22"/>
                <w:szCs w:val="22"/>
              </w:rPr>
            </w:pPr>
            <w:r w:rsidRPr="00152FB6">
              <w:rPr>
                <w:sz w:val="22"/>
                <w:szCs w:val="22"/>
              </w:rPr>
              <w:t>Hypertension i liggende stilling (blodtryk ≥ 180/110 </w:t>
            </w:r>
            <w:proofErr w:type="spellStart"/>
            <w:r w:rsidRPr="00152FB6">
              <w:rPr>
                <w:sz w:val="22"/>
                <w:szCs w:val="22"/>
              </w:rPr>
              <w:t>mmHg</w:t>
            </w:r>
            <w:proofErr w:type="spellEnd"/>
            <w:r w:rsidRPr="00152FB6">
              <w:rPr>
                <w:sz w:val="22"/>
                <w:szCs w:val="22"/>
              </w:rPr>
              <w:t>) ved daglige doser på mere end 30 mg</w:t>
            </w:r>
          </w:p>
        </w:tc>
        <w:tc>
          <w:tcPr>
            <w:tcW w:w="934" w:type="pct"/>
            <w:tcBorders>
              <w:top w:val="single" w:sz="4" w:space="0" w:color="auto"/>
              <w:left w:val="single" w:sz="4" w:space="0" w:color="auto"/>
              <w:bottom w:val="single" w:sz="4" w:space="0" w:color="auto"/>
              <w:right w:val="single" w:sz="4" w:space="0" w:color="auto"/>
            </w:tcBorders>
            <w:hideMark/>
          </w:tcPr>
          <w:p w14:paraId="43AE2F9B" w14:textId="77777777" w:rsidR="00FD425A" w:rsidRPr="00152FB6" w:rsidRDefault="00FD425A" w:rsidP="000A03A5">
            <w:pPr>
              <w:rPr>
                <w:sz w:val="22"/>
                <w:szCs w:val="22"/>
              </w:rPr>
            </w:pPr>
            <w:r w:rsidRPr="00152FB6">
              <w:rPr>
                <w:sz w:val="22"/>
                <w:szCs w:val="22"/>
              </w:rPr>
              <w:t>Hypertension i liggende stilling (blodtryk ≥ 180/110 </w:t>
            </w:r>
            <w:proofErr w:type="spellStart"/>
            <w:r w:rsidRPr="00152FB6">
              <w:rPr>
                <w:sz w:val="22"/>
                <w:szCs w:val="22"/>
              </w:rPr>
              <w:t>mmHg</w:t>
            </w:r>
            <w:proofErr w:type="spellEnd"/>
            <w:r w:rsidRPr="00152FB6">
              <w:rPr>
                <w:sz w:val="22"/>
                <w:szCs w:val="22"/>
              </w:rPr>
              <w:t>) ved daglige doser på op til 7,5 mg</w:t>
            </w:r>
          </w:p>
        </w:tc>
        <w:tc>
          <w:tcPr>
            <w:tcW w:w="628" w:type="pct"/>
            <w:tcBorders>
              <w:top w:val="single" w:sz="4" w:space="0" w:color="auto"/>
              <w:left w:val="single" w:sz="4" w:space="0" w:color="auto"/>
              <w:bottom w:val="single" w:sz="4" w:space="0" w:color="auto"/>
              <w:right w:val="single" w:sz="4" w:space="0" w:color="auto"/>
            </w:tcBorders>
            <w:hideMark/>
          </w:tcPr>
          <w:p w14:paraId="0C6538D6" w14:textId="77777777" w:rsidR="00FD425A" w:rsidRPr="00152FB6" w:rsidRDefault="00FD425A" w:rsidP="000A03A5">
            <w:pPr>
              <w:rPr>
                <w:sz w:val="22"/>
                <w:szCs w:val="22"/>
              </w:rPr>
            </w:pPr>
            <w:proofErr w:type="spellStart"/>
            <w:r w:rsidRPr="00152FB6">
              <w:rPr>
                <w:sz w:val="22"/>
                <w:szCs w:val="22"/>
              </w:rPr>
              <w:t>Cerebrovaskulært</w:t>
            </w:r>
            <w:proofErr w:type="spellEnd"/>
            <w:r w:rsidRPr="00152FB6">
              <w:rPr>
                <w:sz w:val="22"/>
                <w:szCs w:val="22"/>
              </w:rPr>
              <w:t xml:space="preserve"> attak</w:t>
            </w:r>
          </w:p>
        </w:tc>
        <w:tc>
          <w:tcPr>
            <w:tcW w:w="493" w:type="pct"/>
            <w:tcBorders>
              <w:top w:val="single" w:sz="4" w:space="0" w:color="auto"/>
              <w:left w:val="single" w:sz="4" w:space="0" w:color="auto"/>
              <w:bottom w:val="single" w:sz="4" w:space="0" w:color="auto"/>
              <w:right w:val="single" w:sz="4" w:space="0" w:color="auto"/>
            </w:tcBorders>
          </w:tcPr>
          <w:p w14:paraId="22420FF5" w14:textId="77777777" w:rsidR="00FD425A" w:rsidRPr="00152FB6" w:rsidRDefault="00FD425A" w:rsidP="000A03A5">
            <w:pPr>
              <w:rPr>
                <w:sz w:val="22"/>
                <w:szCs w:val="22"/>
              </w:rPr>
            </w:pPr>
          </w:p>
        </w:tc>
        <w:tc>
          <w:tcPr>
            <w:tcW w:w="602" w:type="pct"/>
            <w:tcBorders>
              <w:top w:val="single" w:sz="4" w:space="0" w:color="auto"/>
              <w:left w:val="single" w:sz="4" w:space="0" w:color="auto"/>
              <w:bottom w:val="single" w:sz="4" w:space="0" w:color="auto"/>
              <w:right w:val="single" w:sz="4" w:space="0" w:color="auto"/>
            </w:tcBorders>
          </w:tcPr>
          <w:p w14:paraId="5B6AF5E8" w14:textId="77777777" w:rsidR="00FD425A" w:rsidRPr="00152FB6" w:rsidRDefault="00FD425A" w:rsidP="000A03A5">
            <w:pPr>
              <w:rPr>
                <w:sz w:val="22"/>
                <w:szCs w:val="22"/>
              </w:rPr>
            </w:pPr>
          </w:p>
        </w:tc>
      </w:tr>
      <w:tr w:rsidR="00152FB6" w:rsidRPr="00152FB6" w14:paraId="60834E9B" w14:textId="77777777" w:rsidTr="00152FB6">
        <w:tc>
          <w:tcPr>
            <w:tcW w:w="865" w:type="pct"/>
            <w:tcBorders>
              <w:top w:val="single" w:sz="4" w:space="0" w:color="auto"/>
              <w:left w:val="single" w:sz="4" w:space="0" w:color="auto"/>
              <w:bottom w:val="single" w:sz="4" w:space="0" w:color="auto"/>
              <w:right w:val="single" w:sz="4" w:space="0" w:color="auto"/>
            </w:tcBorders>
            <w:hideMark/>
          </w:tcPr>
          <w:p w14:paraId="15B019CF" w14:textId="77777777" w:rsidR="00FD425A" w:rsidRPr="00152FB6" w:rsidRDefault="00FD425A" w:rsidP="000A03A5">
            <w:pPr>
              <w:rPr>
                <w:b/>
                <w:bCs/>
                <w:sz w:val="22"/>
                <w:szCs w:val="22"/>
              </w:rPr>
            </w:pPr>
            <w:r w:rsidRPr="00152FB6">
              <w:rPr>
                <w:b/>
                <w:sz w:val="22"/>
                <w:szCs w:val="22"/>
              </w:rPr>
              <w:t>Mave-tarm-kanalen</w:t>
            </w:r>
          </w:p>
        </w:tc>
        <w:tc>
          <w:tcPr>
            <w:tcW w:w="545" w:type="pct"/>
            <w:tcBorders>
              <w:top w:val="single" w:sz="4" w:space="0" w:color="auto"/>
              <w:left w:val="single" w:sz="4" w:space="0" w:color="auto"/>
              <w:bottom w:val="single" w:sz="4" w:space="0" w:color="auto"/>
              <w:right w:val="single" w:sz="4" w:space="0" w:color="auto"/>
            </w:tcBorders>
          </w:tcPr>
          <w:p w14:paraId="1FDAC91B" w14:textId="77777777" w:rsidR="00FD425A" w:rsidRPr="00152FB6" w:rsidRDefault="00FD425A" w:rsidP="000A03A5">
            <w:pPr>
              <w:rPr>
                <w:sz w:val="22"/>
                <w:szCs w:val="22"/>
              </w:rPr>
            </w:pPr>
          </w:p>
        </w:tc>
        <w:tc>
          <w:tcPr>
            <w:tcW w:w="934" w:type="pct"/>
            <w:tcBorders>
              <w:top w:val="single" w:sz="4" w:space="0" w:color="auto"/>
              <w:left w:val="single" w:sz="4" w:space="0" w:color="auto"/>
              <w:bottom w:val="single" w:sz="4" w:space="0" w:color="auto"/>
              <w:right w:val="single" w:sz="4" w:space="0" w:color="auto"/>
            </w:tcBorders>
            <w:hideMark/>
          </w:tcPr>
          <w:p w14:paraId="2761DF69" w14:textId="77777777" w:rsidR="00FD425A" w:rsidRPr="00152FB6" w:rsidRDefault="00FD425A" w:rsidP="000A03A5">
            <w:pPr>
              <w:rPr>
                <w:sz w:val="22"/>
                <w:szCs w:val="22"/>
              </w:rPr>
            </w:pPr>
            <w:r w:rsidRPr="00152FB6">
              <w:rPr>
                <w:sz w:val="22"/>
                <w:szCs w:val="22"/>
              </w:rPr>
              <w:t xml:space="preserve">Kvalme, opkastning, </w:t>
            </w:r>
            <w:proofErr w:type="spellStart"/>
            <w:r w:rsidRPr="00152FB6">
              <w:rPr>
                <w:sz w:val="22"/>
                <w:szCs w:val="22"/>
              </w:rPr>
              <w:t>stomatitis</w:t>
            </w:r>
            <w:proofErr w:type="spellEnd"/>
            <w:r w:rsidRPr="00152FB6">
              <w:rPr>
                <w:sz w:val="22"/>
                <w:szCs w:val="22"/>
              </w:rPr>
              <w:t>, dyspepsi</w:t>
            </w:r>
          </w:p>
        </w:tc>
        <w:tc>
          <w:tcPr>
            <w:tcW w:w="934" w:type="pct"/>
            <w:tcBorders>
              <w:top w:val="single" w:sz="4" w:space="0" w:color="auto"/>
              <w:left w:val="single" w:sz="4" w:space="0" w:color="auto"/>
              <w:bottom w:val="single" w:sz="4" w:space="0" w:color="auto"/>
              <w:right w:val="single" w:sz="4" w:space="0" w:color="auto"/>
            </w:tcBorders>
            <w:hideMark/>
          </w:tcPr>
          <w:p w14:paraId="70C4875F" w14:textId="77777777" w:rsidR="00FD425A" w:rsidRPr="00152FB6" w:rsidRDefault="00FD425A" w:rsidP="000A03A5">
            <w:pPr>
              <w:rPr>
                <w:sz w:val="22"/>
                <w:szCs w:val="22"/>
              </w:rPr>
            </w:pPr>
            <w:proofErr w:type="spellStart"/>
            <w:r w:rsidRPr="00152FB6">
              <w:rPr>
                <w:sz w:val="22"/>
                <w:szCs w:val="22"/>
              </w:rPr>
              <w:t>Abdominalsmerter</w:t>
            </w:r>
            <w:proofErr w:type="spellEnd"/>
          </w:p>
        </w:tc>
        <w:tc>
          <w:tcPr>
            <w:tcW w:w="628" w:type="pct"/>
            <w:tcBorders>
              <w:top w:val="single" w:sz="4" w:space="0" w:color="auto"/>
              <w:left w:val="single" w:sz="4" w:space="0" w:color="auto"/>
              <w:bottom w:val="single" w:sz="4" w:space="0" w:color="auto"/>
              <w:right w:val="single" w:sz="4" w:space="0" w:color="auto"/>
            </w:tcBorders>
          </w:tcPr>
          <w:p w14:paraId="3E8A4B9C" w14:textId="77777777" w:rsidR="00FD425A" w:rsidRPr="00152FB6" w:rsidRDefault="00FD425A" w:rsidP="000A03A5">
            <w:pPr>
              <w:rPr>
                <w:sz w:val="22"/>
                <w:szCs w:val="22"/>
              </w:rPr>
            </w:pPr>
          </w:p>
        </w:tc>
        <w:tc>
          <w:tcPr>
            <w:tcW w:w="493" w:type="pct"/>
            <w:tcBorders>
              <w:top w:val="single" w:sz="4" w:space="0" w:color="auto"/>
              <w:left w:val="single" w:sz="4" w:space="0" w:color="auto"/>
              <w:bottom w:val="single" w:sz="4" w:space="0" w:color="auto"/>
              <w:right w:val="single" w:sz="4" w:space="0" w:color="auto"/>
            </w:tcBorders>
          </w:tcPr>
          <w:p w14:paraId="5A838280" w14:textId="77777777" w:rsidR="00FD425A" w:rsidRPr="00152FB6" w:rsidRDefault="00FD425A" w:rsidP="000A03A5">
            <w:pPr>
              <w:rPr>
                <w:sz w:val="22"/>
                <w:szCs w:val="22"/>
              </w:rPr>
            </w:pPr>
          </w:p>
        </w:tc>
        <w:tc>
          <w:tcPr>
            <w:tcW w:w="602" w:type="pct"/>
            <w:tcBorders>
              <w:top w:val="single" w:sz="4" w:space="0" w:color="auto"/>
              <w:left w:val="single" w:sz="4" w:space="0" w:color="auto"/>
              <w:bottom w:val="single" w:sz="4" w:space="0" w:color="auto"/>
              <w:right w:val="single" w:sz="4" w:space="0" w:color="auto"/>
            </w:tcBorders>
            <w:hideMark/>
          </w:tcPr>
          <w:p w14:paraId="023258BF" w14:textId="77777777" w:rsidR="00FD425A" w:rsidRPr="00152FB6" w:rsidRDefault="00FD425A" w:rsidP="000A03A5">
            <w:pPr>
              <w:rPr>
                <w:sz w:val="22"/>
                <w:szCs w:val="22"/>
              </w:rPr>
            </w:pPr>
            <w:r w:rsidRPr="00152FB6">
              <w:rPr>
                <w:sz w:val="22"/>
                <w:szCs w:val="22"/>
              </w:rPr>
              <w:t>Diarré</w:t>
            </w:r>
          </w:p>
        </w:tc>
      </w:tr>
      <w:tr w:rsidR="00152FB6" w:rsidRPr="00152FB6" w14:paraId="0DA3A2BA" w14:textId="77777777" w:rsidTr="00152FB6">
        <w:tc>
          <w:tcPr>
            <w:tcW w:w="865" w:type="pct"/>
            <w:tcBorders>
              <w:top w:val="single" w:sz="4" w:space="0" w:color="auto"/>
              <w:left w:val="single" w:sz="4" w:space="0" w:color="auto"/>
              <w:bottom w:val="single" w:sz="4" w:space="0" w:color="auto"/>
              <w:right w:val="single" w:sz="4" w:space="0" w:color="auto"/>
            </w:tcBorders>
            <w:hideMark/>
          </w:tcPr>
          <w:p w14:paraId="286B8B7F" w14:textId="77777777" w:rsidR="00FD425A" w:rsidRPr="00152FB6" w:rsidRDefault="00FD425A" w:rsidP="000A03A5">
            <w:pPr>
              <w:rPr>
                <w:b/>
                <w:bCs/>
                <w:sz w:val="22"/>
                <w:szCs w:val="22"/>
              </w:rPr>
            </w:pPr>
            <w:r w:rsidRPr="00152FB6">
              <w:rPr>
                <w:b/>
                <w:sz w:val="22"/>
                <w:szCs w:val="22"/>
              </w:rPr>
              <w:t>Lever og galdeveje</w:t>
            </w:r>
          </w:p>
        </w:tc>
        <w:tc>
          <w:tcPr>
            <w:tcW w:w="545" w:type="pct"/>
            <w:tcBorders>
              <w:top w:val="single" w:sz="4" w:space="0" w:color="auto"/>
              <w:left w:val="single" w:sz="4" w:space="0" w:color="auto"/>
              <w:bottom w:val="single" w:sz="4" w:space="0" w:color="auto"/>
              <w:right w:val="single" w:sz="4" w:space="0" w:color="auto"/>
            </w:tcBorders>
          </w:tcPr>
          <w:p w14:paraId="40D342EE" w14:textId="77777777" w:rsidR="00FD425A" w:rsidRPr="00152FB6" w:rsidRDefault="00FD425A" w:rsidP="000A03A5">
            <w:pPr>
              <w:rPr>
                <w:sz w:val="22"/>
                <w:szCs w:val="22"/>
              </w:rPr>
            </w:pPr>
          </w:p>
        </w:tc>
        <w:tc>
          <w:tcPr>
            <w:tcW w:w="934" w:type="pct"/>
            <w:tcBorders>
              <w:top w:val="single" w:sz="4" w:space="0" w:color="auto"/>
              <w:left w:val="single" w:sz="4" w:space="0" w:color="auto"/>
              <w:bottom w:val="single" w:sz="4" w:space="0" w:color="auto"/>
              <w:right w:val="single" w:sz="4" w:space="0" w:color="auto"/>
            </w:tcBorders>
          </w:tcPr>
          <w:p w14:paraId="03BB7C5B" w14:textId="77777777" w:rsidR="00FD425A" w:rsidRPr="00152FB6" w:rsidRDefault="00FD425A" w:rsidP="000A03A5">
            <w:pPr>
              <w:rPr>
                <w:sz w:val="22"/>
                <w:szCs w:val="22"/>
              </w:rPr>
            </w:pPr>
          </w:p>
        </w:tc>
        <w:tc>
          <w:tcPr>
            <w:tcW w:w="934" w:type="pct"/>
            <w:tcBorders>
              <w:top w:val="single" w:sz="4" w:space="0" w:color="auto"/>
              <w:left w:val="single" w:sz="4" w:space="0" w:color="auto"/>
              <w:bottom w:val="single" w:sz="4" w:space="0" w:color="auto"/>
              <w:right w:val="single" w:sz="4" w:space="0" w:color="auto"/>
            </w:tcBorders>
          </w:tcPr>
          <w:p w14:paraId="4A9E6502" w14:textId="77777777" w:rsidR="00FD425A" w:rsidRPr="00152FB6" w:rsidRDefault="00FD425A" w:rsidP="000A03A5">
            <w:pPr>
              <w:rPr>
                <w:sz w:val="22"/>
                <w:szCs w:val="22"/>
              </w:rPr>
            </w:pPr>
          </w:p>
        </w:tc>
        <w:tc>
          <w:tcPr>
            <w:tcW w:w="628" w:type="pct"/>
            <w:tcBorders>
              <w:top w:val="single" w:sz="4" w:space="0" w:color="auto"/>
              <w:left w:val="single" w:sz="4" w:space="0" w:color="auto"/>
              <w:bottom w:val="single" w:sz="4" w:space="0" w:color="auto"/>
              <w:right w:val="single" w:sz="4" w:space="0" w:color="auto"/>
            </w:tcBorders>
            <w:hideMark/>
          </w:tcPr>
          <w:p w14:paraId="3995CF2D" w14:textId="77777777" w:rsidR="00FD425A" w:rsidRPr="00152FB6" w:rsidRDefault="00FD425A" w:rsidP="000A03A5">
            <w:pPr>
              <w:rPr>
                <w:sz w:val="22"/>
                <w:szCs w:val="22"/>
              </w:rPr>
            </w:pPr>
            <w:r w:rsidRPr="00152FB6">
              <w:rPr>
                <w:sz w:val="22"/>
                <w:szCs w:val="22"/>
              </w:rPr>
              <w:t>Unormal leverfunktion, forhøjede leverenzymer</w:t>
            </w:r>
          </w:p>
        </w:tc>
        <w:tc>
          <w:tcPr>
            <w:tcW w:w="493" w:type="pct"/>
            <w:tcBorders>
              <w:top w:val="single" w:sz="4" w:space="0" w:color="auto"/>
              <w:left w:val="single" w:sz="4" w:space="0" w:color="auto"/>
              <w:bottom w:val="single" w:sz="4" w:space="0" w:color="auto"/>
              <w:right w:val="single" w:sz="4" w:space="0" w:color="auto"/>
            </w:tcBorders>
          </w:tcPr>
          <w:p w14:paraId="4339B5D5" w14:textId="77777777" w:rsidR="00FD425A" w:rsidRPr="00152FB6" w:rsidRDefault="00FD425A" w:rsidP="000A03A5">
            <w:pPr>
              <w:rPr>
                <w:sz w:val="22"/>
                <w:szCs w:val="22"/>
              </w:rPr>
            </w:pPr>
          </w:p>
        </w:tc>
        <w:tc>
          <w:tcPr>
            <w:tcW w:w="602" w:type="pct"/>
            <w:tcBorders>
              <w:top w:val="single" w:sz="4" w:space="0" w:color="auto"/>
              <w:left w:val="single" w:sz="4" w:space="0" w:color="auto"/>
              <w:bottom w:val="single" w:sz="4" w:space="0" w:color="auto"/>
              <w:right w:val="single" w:sz="4" w:space="0" w:color="auto"/>
            </w:tcBorders>
          </w:tcPr>
          <w:p w14:paraId="180186F8" w14:textId="77777777" w:rsidR="00FD425A" w:rsidRPr="00152FB6" w:rsidRDefault="00FD425A" w:rsidP="000A03A5">
            <w:pPr>
              <w:rPr>
                <w:sz w:val="22"/>
                <w:szCs w:val="22"/>
              </w:rPr>
            </w:pPr>
          </w:p>
        </w:tc>
      </w:tr>
      <w:tr w:rsidR="00152FB6" w:rsidRPr="00152FB6" w14:paraId="09D5648A" w14:textId="77777777" w:rsidTr="00152FB6">
        <w:tc>
          <w:tcPr>
            <w:tcW w:w="865" w:type="pct"/>
            <w:tcBorders>
              <w:top w:val="single" w:sz="4" w:space="0" w:color="auto"/>
              <w:left w:val="single" w:sz="4" w:space="0" w:color="auto"/>
              <w:bottom w:val="single" w:sz="4" w:space="0" w:color="auto"/>
              <w:right w:val="single" w:sz="4" w:space="0" w:color="auto"/>
            </w:tcBorders>
            <w:hideMark/>
          </w:tcPr>
          <w:p w14:paraId="59A669BF" w14:textId="77777777" w:rsidR="00FD425A" w:rsidRPr="00152FB6" w:rsidRDefault="00FD425A" w:rsidP="000A03A5">
            <w:pPr>
              <w:rPr>
                <w:b/>
                <w:bCs/>
                <w:sz w:val="22"/>
                <w:szCs w:val="22"/>
              </w:rPr>
            </w:pPr>
            <w:r w:rsidRPr="00152FB6">
              <w:rPr>
                <w:b/>
                <w:sz w:val="22"/>
                <w:szCs w:val="22"/>
              </w:rPr>
              <w:t>Hud og subkutane væv</w:t>
            </w:r>
          </w:p>
        </w:tc>
        <w:tc>
          <w:tcPr>
            <w:tcW w:w="545" w:type="pct"/>
            <w:tcBorders>
              <w:top w:val="single" w:sz="4" w:space="0" w:color="auto"/>
              <w:left w:val="single" w:sz="4" w:space="0" w:color="auto"/>
              <w:bottom w:val="single" w:sz="4" w:space="0" w:color="auto"/>
              <w:right w:val="single" w:sz="4" w:space="0" w:color="auto"/>
            </w:tcBorders>
            <w:hideMark/>
          </w:tcPr>
          <w:p w14:paraId="6033BCB8" w14:textId="77777777" w:rsidR="00FD425A" w:rsidRPr="00152FB6" w:rsidRDefault="00FD425A" w:rsidP="000A03A5">
            <w:pPr>
              <w:rPr>
                <w:sz w:val="22"/>
                <w:szCs w:val="22"/>
              </w:rPr>
            </w:pPr>
            <w:proofErr w:type="spellStart"/>
            <w:r w:rsidRPr="00152FB6">
              <w:rPr>
                <w:sz w:val="22"/>
                <w:szCs w:val="22"/>
              </w:rPr>
              <w:t>Piloerektion</w:t>
            </w:r>
            <w:proofErr w:type="spellEnd"/>
            <w:r w:rsidRPr="00152FB6">
              <w:rPr>
                <w:sz w:val="22"/>
                <w:szCs w:val="22"/>
              </w:rPr>
              <w:t xml:space="preserve"> (gåsehud), </w:t>
            </w:r>
          </w:p>
        </w:tc>
        <w:tc>
          <w:tcPr>
            <w:tcW w:w="934" w:type="pct"/>
            <w:tcBorders>
              <w:top w:val="single" w:sz="4" w:space="0" w:color="auto"/>
              <w:left w:val="single" w:sz="4" w:space="0" w:color="auto"/>
              <w:bottom w:val="single" w:sz="4" w:space="0" w:color="auto"/>
              <w:right w:val="single" w:sz="4" w:space="0" w:color="auto"/>
            </w:tcBorders>
            <w:hideMark/>
          </w:tcPr>
          <w:p w14:paraId="3BDBD41B" w14:textId="77777777" w:rsidR="00FD425A" w:rsidRPr="00152FB6" w:rsidRDefault="00FD425A" w:rsidP="000A03A5">
            <w:pPr>
              <w:rPr>
                <w:sz w:val="22"/>
                <w:szCs w:val="22"/>
              </w:rPr>
            </w:pPr>
            <w:r w:rsidRPr="00152FB6">
              <w:rPr>
                <w:sz w:val="22"/>
                <w:szCs w:val="22"/>
              </w:rPr>
              <w:t xml:space="preserve">Kuldegysninger, hududslæt, </w:t>
            </w:r>
            <w:proofErr w:type="spellStart"/>
            <w:r w:rsidRPr="00152FB6">
              <w:rPr>
                <w:sz w:val="22"/>
                <w:szCs w:val="22"/>
              </w:rPr>
              <w:t>pruritus</w:t>
            </w:r>
            <w:proofErr w:type="spellEnd"/>
            <w:r w:rsidRPr="00152FB6">
              <w:rPr>
                <w:sz w:val="22"/>
                <w:szCs w:val="22"/>
              </w:rPr>
              <w:t xml:space="preserve"> (især i hovedbunden), rødme</w:t>
            </w:r>
          </w:p>
        </w:tc>
        <w:tc>
          <w:tcPr>
            <w:tcW w:w="934" w:type="pct"/>
            <w:tcBorders>
              <w:top w:val="single" w:sz="4" w:space="0" w:color="auto"/>
              <w:left w:val="single" w:sz="4" w:space="0" w:color="auto"/>
              <w:bottom w:val="single" w:sz="4" w:space="0" w:color="auto"/>
              <w:right w:val="single" w:sz="4" w:space="0" w:color="auto"/>
            </w:tcBorders>
          </w:tcPr>
          <w:p w14:paraId="7B64F3E9" w14:textId="77777777" w:rsidR="00FD425A" w:rsidRPr="00152FB6" w:rsidRDefault="00FD425A" w:rsidP="000A03A5">
            <w:pPr>
              <w:rPr>
                <w:sz w:val="22"/>
                <w:szCs w:val="22"/>
              </w:rPr>
            </w:pPr>
          </w:p>
        </w:tc>
        <w:tc>
          <w:tcPr>
            <w:tcW w:w="628" w:type="pct"/>
            <w:tcBorders>
              <w:top w:val="single" w:sz="4" w:space="0" w:color="auto"/>
              <w:left w:val="single" w:sz="4" w:space="0" w:color="auto"/>
              <w:bottom w:val="single" w:sz="4" w:space="0" w:color="auto"/>
              <w:right w:val="single" w:sz="4" w:space="0" w:color="auto"/>
            </w:tcBorders>
          </w:tcPr>
          <w:p w14:paraId="6AEE2542" w14:textId="77777777" w:rsidR="00FD425A" w:rsidRPr="00152FB6" w:rsidRDefault="00FD425A" w:rsidP="000A03A5">
            <w:pPr>
              <w:rPr>
                <w:sz w:val="22"/>
                <w:szCs w:val="22"/>
              </w:rPr>
            </w:pPr>
          </w:p>
        </w:tc>
        <w:tc>
          <w:tcPr>
            <w:tcW w:w="493" w:type="pct"/>
            <w:tcBorders>
              <w:top w:val="single" w:sz="4" w:space="0" w:color="auto"/>
              <w:left w:val="single" w:sz="4" w:space="0" w:color="auto"/>
              <w:bottom w:val="single" w:sz="4" w:space="0" w:color="auto"/>
              <w:right w:val="single" w:sz="4" w:space="0" w:color="auto"/>
            </w:tcBorders>
          </w:tcPr>
          <w:p w14:paraId="4D18394E" w14:textId="77777777" w:rsidR="00FD425A" w:rsidRPr="00152FB6" w:rsidRDefault="00FD425A" w:rsidP="000A03A5">
            <w:pPr>
              <w:rPr>
                <w:sz w:val="22"/>
                <w:szCs w:val="22"/>
              </w:rPr>
            </w:pPr>
          </w:p>
        </w:tc>
        <w:tc>
          <w:tcPr>
            <w:tcW w:w="602" w:type="pct"/>
            <w:tcBorders>
              <w:top w:val="single" w:sz="4" w:space="0" w:color="auto"/>
              <w:left w:val="single" w:sz="4" w:space="0" w:color="auto"/>
              <w:bottom w:val="single" w:sz="4" w:space="0" w:color="auto"/>
              <w:right w:val="single" w:sz="4" w:space="0" w:color="auto"/>
            </w:tcBorders>
          </w:tcPr>
          <w:p w14:paraId="355B4791" w14:textId="77777777" w:rsidR="00FD425A" w:rsidRPr="00152FB6" w:rsidRDefault="00FD425A" w:rsidP="000A03A5">
            <w:pPr>
              <w:rPr>
                <w:sz w:val="22"/>
                <w:szCs w:val="22"/>
              </w:rPr>
            </w:pPr>
          </w:p>
        </w:tc>
      </w:tr>
      <w:tr w:rsidR="00152FB6" w:rsidRPr="00152FB6" w14:paraId="1F1CA42B" w14:textId="77777777" w:rsidTr="00152FB6">
        <w:tc>
          <w:tcPr>
            <w:tcW w:w="865" w:type="pct"/>
            <w:tcBorders>
              <w:top w:val="single" w:sz="4" w:space="0" w:color="auto"/>
              <w:left w:val="single" w:sz="4" w:space="0" w:color="auto"/>
              <w:bottom w:val="single" w:sz="4" w:space="0" w:color="auto"/>
              <w:right w:val="single" w:sz="4" w:space="0" w:color="auto"/>
            </w:tcBorders>
            <w:hideMark/>
          </w:tcPr>
          <w:p w14:paraId="5A7EB3F5" w14:textId="77777777" w:rsidR="00FD425A" w:rsidRPr="00152FB6" w:rsidRDefault="00FD425A" w:rsidP="000A03A5">
            <w:pPr>
              <w:rPr>
                <w:b/>
                <w:bCs/>
                <w:sz w:val="22"/>
                <w:szCs w:val="22"/>
              </w:rPr>
            </w:pPr>
            <w:r w:rsidRPr="00152FB6">
              <w:rPr>
                <w:b/>
                <w:sz w:val="22"/>
                <w:szCs w:val="22"/>
              </w:rPr>
              <w:t>Nyrer og urinveje</w:t>
            </w:r>
          </w:p>
        </w:tc>
        <w:tc>
          <w:tcPr>
            <w:tcW w:w="545" w:type="pct"/>
            <w:tcBorders>
              <w:top w:val="single" w:sz="4" w:space="0" w:color="auto"/>
              <w:left w:val="single" w:sz="4" w:space="0" w:color="auto"/>
              <w:bottom w:val="single" w:sz="4" w:space="0" w:color="auto"/>
              <w:right w:val="single" w:sz="4" w:space="0" w:color="auto"/>
            </w:tcBorders>
            <w:hideMark/>
          </w:tcPr>
          <w:p w14:paraId="49CAB630" w14:textId="77777777" w:rsidR="00FD425A" w:rsidRPr="00152FB6" w:rsidRDefault="00FD425A" w:rsidP="000A03A5">
            <w:pPr>
              <w:rPr>
                <w:sz w:val="22"/>
                <w:szCs w:val="22"/>
              </w:rPr>
            </w:pPr>
            <w:proofErr w:type="spellStart"/>
            <w:r w:rsidRPr="00152FB6">
              <w:rPr>
                <w:sz w:val="22"/>
                <w:szCs w:val="22"/>
              </w:rPr>
              <w:t>Dysuri</w:t>
            </w:r>
            <w:proofErr w:type="spellEnd"/>
            <w:r w:rsidRPr="00152FB6">
              <w:rPr>
                <w:sz w:val="22"/>
                <w:szCs w:val="22"/>
              </w:rPr>
              <w:t xml:space="preserve"> </w:t>
            </w:r>
          </w:p>
        </w:tc>
        <w:tc>
          <w:tcPr>
            <w:tcW w:w="934" w:type="pct"/>
            <w:tcBorders>
              <w:top w:val="single" w:sz="4" w:space="0" w:color="auto"/>
              <w:left w:val="single" w:sz="4" w:space="0" w:color="auto"/>
              <w:bottom w:val="single" w:sz="4" w:space="0" w:color="auto"/>
              <w:right w:val="single" w:sz="4" w:space="0" w:color="auto"/>
            </w:tcBorders>
            <w:hideMark/>
          </w:tcPr>
          <w:p w14:paraId="00BC36C5" w14:textId="77777777" w:rsidR="00FD425A" w:rsidRPr="00152FB6" w:rsidRDefault="00FD425A" w:rsidP="000A03A5">
            <w:pPr>
              <w:rPr>
                <w:sz w:val="22"/>
                <w:szCs w:val="22"/>
              </w:rPr>
            </w:pPr>
            <w:r w:rsidRPr="00152FB6">
              <w:rPr>
                <w:sz w:val="22"/>
                <w:szCs w:val="22"/>
              </w:rPr>
              <w:t>Urinretention</w:t>
            </w:r>
          </w:p>
        </w:tc>
        <w:tc>
          <w:tcPr>
            <w:tcW w:w="934" w:type="pct"/>
            <w:tcBorders>
              <w:top w:val="single" w:sz="4" w:space="0" w:color="auto"/>
              <w:left w:val="single" w:sz="4" w:space="0" w:color="auto"/>
              <w:bottom w:val="single" w:sz="4" w:space="0" w:color="auto"/>
              <w:right w:val="single" w:sz="4" w:space="0" w:color="auto"/>
            </w:tcBorders>
            <w:hideMark/>
          </w:tcPr>
          <w:p w14:paraId="4F8DC32F" w14:textId="77777777" w:rsidR="00FD425A" w:rsidRPr="00152FB6" w:rsidRDefault="00FD425A" w:rsidP="000A03A5">
            <w:pPr>
              <w:rPr>
                <w:sz w:val="22"/>
                <w:szCs w:val="22"/>
              </w:rPr>
            </w:pPr>
            <w:r w:rsidRPr="00152FB6">
              <w:rPr>
                <w:sz w:val="22"/>
                <w:szCs w:val="22"/>
              </w:rPr>
              <w:t>Stærk vandladningstrang</w:t>
            </w:r>
          </w:p>
        </w:tc>
        <w:tc>
          <w:tcPr>
            <w:tcW w:w="628" w:type="pct"/>
            <w:tcBorders>
              <w:top w:val="single" w:sz="4" w:space="0" w:color="auto"/>
              <w:left w:val="single" w:sz="4" w:space="0" w:color="auto"/>
              <w:bottom w:val="single" w:sz="4" w:space="0" w:color="auto"/>
              <w:right w:val="single" w:sz="4" w:space="0" w:color="auto"/>
            </w:tcBorders>
          </w:tcPr>
          <w:p w14:paraId="0C85D4F2" w14:textId="77777777" w:rsidR="00FD425A" w:rsidRPr="00152FB6" w:rsidRDefault="00FD425A" w:rsidP="000A03A5">
            <w:pPr>
              <w:rPr>
                <w:sz w:val="22"/>
                <w:szCs w:val="22"/>
              </w:rPr>
            </w:pPr>
          </w:p>
        </w:tc>
        <w:tc>
          <w:tcPr>
            <w:tcW w:w="493" w:type="pct"/>
            <w:tcBorders>
              <w:top w:val="single" w:sz="4" w:space="0" w:color="auto"/>
              <w:left w:val="single" w:sz="4" w:space="0" w:color="auto"/>
              <w:bottom w:val="single" w:sz="4" w:space="0" w:color="auto"/>
              <w:right w:val="single" w:sz="4" w:space="0" w:color="auto"/>
            </w:tcBorders>
          </w:tcPr>
          <w:p w14:paraId="0546F1F4" w14:textId="77777777" w:rsidR="00FD425A" w:rsidRPr="00152FB6" w:rsidRDefault="00FD425A" w:rsidP="000A03A5">
            <w:pPr>
              <w:rPr>
                <w:sz w:val="22"/>
                <w:szCs w:val="22"/>
              </w:rPr>
            </w:pPr>
          </w:p>
        </w:tc>
        <w:tc>
          <w:tcPr>
            <w:tcW w:w="602" w:type="pct"/>
            <w:tcBorders>
              <w:top w:val="single" w:sz="4" w:space="0" w:color="auto"/>
              <w:left w:val="single" w:sz="4" w:space="0" w:color="auto"/>
              <w:bottom w:val="single" w:sz="4" w:space="0" w:color="auto"/>
              <w:right w:val="single" w:sz="4" w:space="0" w:color="auto"/>
            </w:tcBorders>
          </w:tcPr>
          <w:p w14:paraId="0DBCCD4C" w14:textId="77777777" w:rsidR="00FD425A" w:rsidRPr="00152FB6" w:rsidRDefault="00FD425A" w:rsidP="000A03A5">
            <w:pPr>
              <w:rPr>
                <w:sz w:val="22"/>
                <w:szCs w:val="22"/>
              </w:rPr>
            </w:pPr>
          </w:p>
        </w:tc>
      </w:tr>
    </w:tbl>
    <w:p w14:paraId="39C2C6D8" w14:textId="77777777" w:rsidR="00FD425A" w:rsidRPr="00390D7F" w:rsidRDefault="00FD425A" w:rsidP="00FD425A">
      <w:pPr>
        <w:autoSpaceDE w:val="0"/>
        <w:autoSpaceDN w:val="0"/>
        <w:adjustRightInd w:val="0"/>
        <w:jc w:val="both"/>
        <w:rPr>
          <w:sz w:val="24"/>
          <w:szCs w:val="24"/>
          <w:u w:val="single"/>
        </w:rPr>
      </w:pPr>
    </w:p>
    <w:p w14:paraId="7EC19079" w14:textId="77777777" w:rsidR="000A03A5" w:rsidRPr="00390D7F" w:rsidRDefault="000A03A5" w:rsidP="000A03A5">
      <w:pPr>
        <w:autoSpaceDE w:val="0"/>
        <w:autoSpaceDN w:val="0"/>
        <w:ind w:left="851"/>
        <w:rPr>
          <w:sz w:val="24"/>
          <w:szCs w:val="24"/>
          <w:u w:val="single"/>
        </w:rPr>
      </w:pPr>
      <w:r w:rsidRPr="00390D7F">
        <w:rPr>
          <w:sz w:val="24"/>
          <w:szCs w:val="24"/>
          <w:u w:val="single"/>
        </w:rPr>
        <w:t>Indberetning af formodede bivirkninger</w:t>
      </w:r>
    </w:p>
    <w:p w14:paraId="62D070F5" w14:textId="77777777" w:rsidR="000A03A5" w:rsidRPr="00390D7F" w:rsidRDefault="000A03A5" w:rsidP="000A03A5">
      <w:pPr>
        <w:ind w:left="851"/>
        <w:rPr>
          <w:sz w:val="24"/>
          <w:szCs w:val="24"/>
        </w:rPr>
      </w:pPr>
      <w:r w:rsidRPr="00390D7F">
        <w:rPr>
          <w:sz w:val="24"/>
          <w:szCs w:val="24"/>
        </w:rPr>
        <w:t>Når lægemidlet er godkendt, er indberetning af formodede bivirkninger vigtig. Det muliggør løbende overvågning af benefit/</w:t>
      </w:r>
      <w:proofErr w:type="spellStart"/>
      <w:r w:rsidRPr="00390D7F">
        <w:rPr>
          <w:sz w:val="24"/>
          <w:szCs w:val="24"/>
        </w:rPr>
        <w:t>risk</w:t>
      </w:r>
      <w:proofErr w:type="spellEnd"/>
      <w:r w:rsidRPr="00390D7F">
        <w:rPr>
          <w:sz w:val="24"/>
          <w:szCs w:val="24"/>
        </w:rPr>
        <w:t>-forholdet for lægemidlet. Sundhedspersoner anmodes om at indberette alle formodede bivirkninger via:</w:t>
      </w:r>
    </w:p>
    <w:p w14:paraId="718A62B5" w14:textId="77777777" w:rsidR="000A03A5" w:rsidRPr="00390D7F" w:rsidRDefault="000A03A5" w:rsidP="000A03A5">
      <w:pPr>
        <w:tabs>
          <w:tab w:val="left" w:pos="2440"/>
        </w:tabs>
        <w:ind w:left="851"/>
        <w:rPr>
          <w:sz w:val="24"/>
          <w:szCs w:val="24"/>
        </w:rPr>
      </w:pPr>
    </w:p>
    <w:p w14:paraId="64F9B5AF" w14:textId="77777777" w:rsidR="000A03A5" w:rsidRPr="00390D7F" w:rsidRDefault="000A03A5" w:rsidP="000A03A5">
      <w:pPr>
        <w:ind w:left="851"/>
        <w:rPr>
          <w:sz w:val="24"/>
          <w:szCs w:val="24"/>
        </w:rPr>
      </w:pPr>
      <w:r w:rsidRPr="00390D7F">
        <w:rPr>
          <w:sz w:val="24"/>
          <w:szCs w:val="24"/>
        </w:rPr>
        <w:t>Lægemiddelstyrelsen</w:t>
      </w:r>
    </w:p>
    <w:p w14:paraId="5ABBE532" w14:textId="77777777" w:rsidR="000A03A5" w:rsidRPr="00390D7F" w:rsidRDefault="000A03A5" w:rsidP="000A03A5">
      <w:pPr>
        <w:ind w:left="851"/>
        <w:rPr>
          <w:sz w:val="24"/>
          <w:szCs w:val="24"/>
        </w:rPr>
      </w:pPr>
      <w:r w:rsidRPr="00390D7F">
        <w:rPr>
          <w:sz w:val="24"/>
          <w:szCs w:val="24"/>
        </w:rPr>
        <w:t>Axel Heides Gade 1</w:t>
      </w:r>
    </w:p>
    <w:p w14:paraId="75549B35" w14:textId="77777777" w:rsidR="000A03A5" w:rsidRPr="00390D7F" w:rsidRDefault="000A03A5" w:rsidP="000A03A5">
      <w:pPr>
        <w:ind w:left="851"/>
        <w:rPr>
          <w:sz w:val="24"/>
          <w:szCs w:val="24"/>
        </w:rPr>
      </w:pPr>
      <w:r w:rsidRPr="00390D7F">
        <w:rPr>
          <w:sz w:val="24"/>
          <w:szCs w:val="24"/>
        </w:rPr>
        <w:t>DK-2300 København S</w:t>
      </w:r>
    </w:p>
    <w:p w14:paraId="49D33D9C" w14:textId="77777777" w:rsidR="000A03A5" w:rsidRPr="00390D7F" w:rsidRDefault="000A03A5" w:rsidP="000A03A5">
      <w:pPr>
        <w:ind w:left="851"/>
        <w:rPr>
          <w:sz w:val="24"/>
          <w:szCs w:val="24"/>
        </w:rPr>
      </w:pPr>
      <w:r w:rsidRPr="00390D7F">
        <w:rPr>
          <w:sz w:val="24"/>
          <w:szCs w:val="24"/>
        </w:rPr>
        <w:lastRenderedPageBreak/>
        <w:t xml:space="preserve">Websted: </w:t>
      </w:r>
      <w:hyperlink r:id="rId8" w:history="1">
        <w:r w:rsidRPr="00390D7F">
          <w:rPr>
            <w:rStyle w:val="Hyperlink"/>
            <w:sz w:val="24"/>
            <w:szCs w:val="24"/>
          </w:rPr>
          <w:t>www.meldenbivirkning.dk</w:t>
        </w:r>
      </w:hyperlink>
    </w:p>
    <w:p w14:paraId="22FC6094" w14:textId="77777777" w:rsidR="009260DE" w:rsidRPr="00390D7F" w:rsidRDefault="009260DE" w:rsidP="00A10294">
      <w:pPr>
        <w:tabs>
          <w:tab w:val="left" w:pos="851"/>
        </w:tabs>
        <w:ind w:left="851"/>
        <w:rPr>
          <w:sz w:val="24"/>
          <w:szCs w:val="24"/>
        </w:rPr>
      </w:pPr>
    </w:p>
    <w:p w14:paraId="4711DAF1" w14:textId="77777777" w:rsidR="009260DE" w:rsidRPr="00390D7F" w:rsidRDefault="009260DE" w:rsidP="009260DE">
      <w:pPr>
        <w:tabs>
          <w:tab w:val="left" w:pos="851"/>
        </w:tabs>
        <w:ind w:left="851" w:hanging="851"/>
        <w:rPr>
          <w:b/>
          <w:sz w:val="24"/>
          <w:szCs w:val="24"/>
        </w:rPr>
      </w:pPr>
      <w:r w:rsidRPr="00390D7F">
        <w:rPr>
          <w:b/>
          <w:sz w:val="24"/>
          <w:szCs w:val="24"/>
        </w:rPr>
        <w:t>4.9</w:t>
      </w:r>
      <w:r w:rsidRPr="00390D7F">
        <w:rPr>
          <w:b/>
          <w:sz w:val="24"/>
          <w:szCs w:val="24"/>
        </w:rPr>
        <w:tab/>
        <w:t>Overdosering</w:t>
      </w:r>
    </w:p>
    <w:p w14:paraId="29B9BFF6" w14:textId="77777777" w:rsidR="00FD425A" w:rsidRPr="00390D7F" w:rsidRDefault="00FD425A" w:rsidP="000A03A5">
      <w:pPr>
        <w:ind w:left="851"/>
        <w:rPr>
          <w:sz w:val="24"/>
          <w:szCs w:val="24"/>
          <w:lang w:eastAsia="en-GB"/>
        </w:rPr>
      </w:pPr>
      <w:r w:rsidRPr="00390D7F">
        <w:rPr>
          <w:sz w:val="24"/>
          <w:szCs w:val="24"/>
        </w:rPr>
        <w:t xml:space="preserve">Overdosering af </w:t>
      </w:r>
      <w:proofErr w:type="spellStart"/>
      <w:r w:rsidRPr="00390D7F">
        <w:rPr>
          <w:sz w:val="24"/>
          <w:szCs w:val="24"/>
        </w:rPr>
        <w:t>midodrin</w:t>
      </w:r>
      <w:proofErr w:type="spellEnd"/>
      <w:r w:rsidRPr="00390D7F">
        <w:rPr>
          <w:sz w:val="24"/>
          <w:szCs w:val="24"/>
        </w:rPr>
        <w:t xml:space="preserve"> fremkalder </w:t>
      </w:r>
      <w:proofErr w:type="spellStart"/>
      <w:r w:rsidRPr="00390D7F">
        <w:rPr>
          <w:sz w:val="24"/>
          <w:szCs w:val="24"/>
        </w:rPr>
        <w:t>piloerektion</w:t>
      </w:r>
      <w:proofErr w:type="spellEnd"/>
      <w:r w:rsidRPr="00390D7F">
        <w:rPr>
          <w:sz w:val="24"/>
          <w:szCs w:val="24"/>
        </w:rPr>
        <w:t>, kuldefølelse, stærk vandladningstrang, hypertension og bradykardi.</w:t>
      </w:r>
    </w:p>
    <w:p w14:paraId="56060BD2" w14:textId="77777777" w:rsidR="00FD425A" w:rsidRPr="00390D7F" w:rsidRDefault="00FD425A" w:rsidP="000A03A5">
      <w:pPr>
        <w:ind w:left="851"/>
        <w:rPr>
          <w:sz w:val="24"/>
          <w:szCs w:val="24"/>
        </w:rPr>
      </w:pPr>
      <w:r w:rsidRPr="00390D7F">
        <w:rPr>
          <w:sz w:val="24"/>
          <w:szCs w:val="24"/>
        </w:rPr>
        <w:t>Disse virkninger kan modvirkes ved at inducere opkastning og ved administration af alfa-</w:t>
      </w:r>
      <w:proofErr w:type="spellStart"/>
      <w:r w:rsidRPr="00390D7F">
        <w:rPr>
          <w:sz w:val="24"/>
          <w:szCs w:val="24"/>
        </w:rPr>
        <w:t>sympatolytika</w:t>
      </w:r>
      <w:proofErr w:type="spellEnd"/>
      <w:r w:rsidRPr="00390D7F">
        <w:rPr>
          <w:sz w:val="24"/>
          <w:szCs w:val="24"/>
        </w:rPr>
        <w:t xml:space="preserve">. I tilfælde af markant bradykardi kan der gives atropin ved sædvanlig dosis. Ved </w:t>
      </w:r>
      <w:proofErr w:type="spellStart"/>
      <w:r w:rsidRPr="00390D7F">
        <w:rPr>
          <w:sz w:val="24"/>
          <w:szCs w:val="24"/>
        </w:rPr>
        <w:t>exanthem</w:t>
      </w:r>
      <w:proofErr w:type="spellEnd"/>
      <w:r w:rsidRPr="00390D7F">
        <w:rPr>
          <w:sz w:val="24"/>
          <w:szCs w:val="24"/>
        </w:rPr>
        <w:t xml:space="preserve"> skal der administreres H-1 antihistaminer.</w:t>
      </w:r>
    </w:p>
    <w:p w14:paraId="4D763FCF" w14:textId="77777777" w:rsidR="00152FB6" w:rsidRDefault="00152FB6" w:rsidP="000A03A5">
      <w:pPr>
        <w:ind w:left="851"/>
        <w:rPr>
          <w:sz w:val="24"/>
          <w:szCs w:val="24"/>
        </w:rPr>
      </w:pPr>
    </w:p>
    <w:p w14:paraId="41004DC2" w14:textId="0EB4E9B3" w:rsidR="00FD425A" w:rsidRPr="00390D7F" w:rsidRDefault="00FD425A" w:rsidP="000A03A5">
      <w:pPr>
        <w:ind w:left="851"/>
        <w:rPr>
          <w:sz w:val="24"/>
          <w:szCs w:val="24"/>
        </w:rPr>
      </w:pPr>
      <w:r w:rsidRPr="00390D7F">
        <w:rPr>
          <w:sz w:val="24"/>
          <w:szCs w:val="24"/>
        </w:rPr>
        <w:t xml:space="preserve">Den aktive </w:t>
      </w:r>
      <w:proofErr w:type="spellStart"/>
      <w:r w:rsidRPr="00390D7F">
        <w:rPr>
          <w:sz w:val="24"/>
          <w:szCs w:val="24"/>
        </w:rPr>
        <w:t>metabollit</w:t>
      </w:r>
      <w:proofErr w:type="spellEnd"/>
      <w:r w:rsidRPr="00390D7F">
        <w:rPr>
          <w:sz w:val="24"/>
          <w:szCs w:val="24"/>
        </w:rPr>
        <w:t xml:space="preserve">, </w:t>
      </w:r>
      <w:proofErr w:type="spellStart"/>
      <w:r w:rsidRPr="00390D7F">
        <w:rPr>
          <w:sz w:val="24"/>
          <w:szCs w:val="24"/>
        </w:rPr>
        <w:t>desglymidodrin</w:t>
      </w:r>
      <w:proofErr w:type="spellEnd"/>
      <w:r w:rsidRPr="00390D7F">
        <w:rPr>
          <w:sz w:val="24"/>
          <w:szCs w:val="24"/>
        </w:rPr>
        <w:t xml:space="preserve">, er </w:t>
      </w:r>
      <w:proofErr w:type="spellStart"/>
      <w:r w:rsidRPr="00390D7F">
        <w:rPr>
          <w:sz w:val="24"/>
          <w:szCs w:val="24"/>
        </w:rPr>
        <w:t>dialyserbar</w:t>
      </w:r>
      <w:proofErr w:type="spellEnd"/>
      <w:r w:rsidRPr="00390D7F">
        <w:rPr>
          <w:sz w:val="24"/>
          <w:szCs w:val="24"/>
        </w:rPr>
        <w:t>.</w:t>
      </w:r>
    </w:p>
    <w:p w14:paraId="6209ED0D" w14:textId="77777777" w:rsidR="009260DE" w:rsidRPr="00390D7F" w:rsidRDefault="009260DE" w:rsidP="009260DE">
      <w:pPr>
        <w:tabs>
          <w:tab w:val="left" w:pos="851"/>
        </w:tabs>
        <w:ind w:left="851"/>
        <w:rPr>
          <w:sz w:val="24"/>
          <w:szCs w:val="24"/>
        </w:rPr>
      </w:pPr>
    </w:p>
    <w:p w14:paraId="31D7E75C" w14:textId="77777777" w:rsidR="009260DE" w:rsidRPr="00390D7F" w:rsidRDefault="009260DE" w:rsidP="009260DE">
      <w:pPr>
        <w:tabs>
          <w:tab w:val="left" w:pos="851"/>
        </w:tabs>
        <w:ind w:left="851" w:hanging="851"/>
        <w:rPr>
          <w:b/>
          <w:sz w:val="24"/>
          <w:szCs w:val="24"/>
        </w:rPr>
      </w:pPr>
      <w:r w:rsidRPr="00390D7F">
        <w:rPr>
          <w:b/>
          <w:sz w:val="24"/>
          <w:szCs w:val="24"/>
        </w:rPr>
        <w:t>4.10</w:t>
      </w:r>
      <w:r w:rsidRPr="00390D7F">
        <w:rPr>
          <w:b/>
          <w:sz w:val="24"/>
          <w:szCs w:val="24"/>
        </w:rPr>
        <w:tab/>
        <w:t>Udlevering</w:t>
      </w:r>
    </w:p>
    <w:p w14:paraId="42D393E1" w14:textId="6537FFB4" w:rsidR="009260DE" w:rsidRPr="00390D7F" w:rsidRDefault="00FD425A" w:rsidP="009260DE">
      <w:pPr>
        <w:tabs>
          <w:tab w:val="left" w:pos="851"/>
        </w:tabs>
        <w:ind w:left="851"/>
        <w:rPr>
          <w:sz w:val="24"/>
          <w:szCs w:val="24"/>
        </w:rPr>
      </w:pPr>
      <w:r w:rsidRPr="00390D7F">
        <w:rPr>
          <w:sz w:val="24"/>
          <w:szCs w:val="24"/>
        </w:rPr>
        <w:t>B</w:t>
      </w:r>
    </w:p>
    <w:p w14:paraId="49DD0850" w14:textId="77777777" w:rsidR="009260DE" w:rsidRPr="00390D7F" w:rsidRDefault="009260DE" w:rsidP="009260DE">
      <w:pPr>
        <w:tabs>
          <w:tab w:val="left" w:pos="851"/>
        </w:tabs>
        <w:ind w:left="851"/>
        <w:rPr>
          <w:sz w:val="24"/>
          <w:szCs w:val="24"/>
        </w:rPr>
      </w:pPr>
    </w:p>
    <w:p w14:paraId="3F94BC48" w14:textId="77777777" w:rsidR="009260DE" w:rsidRPr="00390D7F" w:rsidRDefault="009260DE" w:rsidP="009260DE">
      <w:pPr>
        <w:tabs>
          <w:tab w:val="left" w:pos="851"/>
        </w:tabs>
        <w:ind w:left="851"/>
        <w:rPr>
          <w:sz w:val="24"/>
          <w:szCs w:val="24"/>
        </w:rPr>
      </w:pPr>
    </w:p>
    <w:p w14:paraId="4807DA1E" w14:textId="77777777" w:rsidR="009260DE" w:rsidRPr="00390D7F" w:rsidRDefault="009260DE" w:rsidP="009260DE">
      <w:pPr>
        <w:tabs>
          <w:tab w:val="left" w:pos="851"/>
        </w:tabs>
        <w:ind w:left="851" w:hanging="851"/>
        <w:rPr>
          <w:b/>
          <w:sz w:val="24"/>
          <w:szCs w:val="24"/>
        </w:rPr>
      </w:pPr>
      <w:r w:rsidRPr="00390D7F">
        <w:rPr>
          <w:b/>
          <w:sz w:val="24"/>
          <w:szCs w:val="24"/>
        </w:rPr>
        <w:t>5.</w:t>
      </w:r>
      <w:r w:rsidRPr="00390D7F">
        <w:rPr>
          <w:b/>
          <w:sz w:val="24"/>
          <w:szCs w:val="24"/>
        </w:rPr>
        <w:tab/>
        <w:t>FARMAKOLOGISKE EGENSKABER</w:t>
      </w:r>
    </w:p>
    <w:p w14:paraId="70478112" w14:textId="77777777" w:rsidR="009260DE" w:rsidRPr="00390D7F" w:rsidRDefault="009260DE" w:rsidP="009260DE">
      <w:pPr>
        <w:tabs>
          <w:tab w:val="left" w:pos="851"/>
        </w:tabs>
        <w:ind w:left="851"/>
        <w:rPr>
          <w:sz w:val="24"/>
          <w:szCs w:val="24"/>
        </w:rPr>
      </w:pPr>
    </w:p>
    <w:p w14:paraId="022F7705" w14:textId="77777777" w:rsidR="009260DE" w:rsidRPr="00390D7F" w:rsidRDefault="009260DE" w:rsidP="009260DE">
      <w:pPr>
        <w:tabs>
          <w:tab w:val="num" w:pos="851"/>
        </w:tabs>
        <w:ind w:left="851" w:hanging="851"/>
        <w:rPr>
          <w:b/>
          <w:sz w:val="24"/>
          <w:szCs w:val="24"/>
        </w:rPr>
      </w:pPr>
      <w:r w:rsidRPr="00390D7F">
        <w:rPr>
          <w:b/>
          <w:sz w:val="24"/>
          <w:szCs w:val="24"/>
        </w:rPr>
        <w:t>5.1</w:t>
      </w:r>
      <w:r w:rsidRPr="00390D7F">
        <w:rPr>
          <w:b/>
          <w:sz w:val="24"/>
          <w:szCs w:val="24"/>
        </w:rPr>
        <w:tab/>
      </w:r>
      <w:proofErr w:type="spellStart"/>
      <w:r w:rsidRPr="00390D7F">
        <w:rPr>
          <w:b/>
          <w:sz w:val="24"/>
          <w:szCs w:val="24"/>
        </w:rPr>
        <w:t>Farmakodynamiske</w:t>
      </w:r>
      <w:proofErr w:type="spellEnd"/>
      <w:r w:rsidRPr="00390D7F">
        <w:rPr>
          <w:b/>
          <w:sz w:val="24"/>
          <w:szCs w:val="24"/>
        </w:rPr>
        <w:t xml:space="preserve"> egenskaber</w:t>
      </w:r>
    </w:p>
    <w:p w14:paraId="0B269C27" w14:textId="77777777" w:rsidR="00152FB6" w:rsidRDefault="00FD425A" w:rsidP="000A03A5">
      <w:pPr>
        <w:ind w:left="851"/>
        <w:rPr>
          <w:sz w:val="24"/>
          <w:szCs w:val="24"/>
        </w:rPr>
      </w:pPr>
      <w:proofErr w:type="spellStart"/>
      <w:r w:rsidRPr="00390D7F">
        <w:rPr>
          <w:sz w:val="24"/>
          <w:szCs w:val="24"/>
        </w:rPr>
        <w:t>Farmakoterapeutisk</w:t>
      </w:r>
      <w:proofErr w:type="spellEnd"/>
      <w:r w:rsidRPr="00390D7F">
        <w:rPr>
          <w:sz w:val="24"/>
          <w:szCs w:val="24"/>
        </w:rPr>
        <w:t xml:space="preserve"> klassifikation: Hjertestimulerende midler </w:t>
      </w:r>
      <w:proofErr w:type="spellStart"/>
      <w:r w:rsidRPr="00390D7F">
        <w:rPr>
          <w:sz w:val="24"/>
          <w:szCs w:val="24"/>
        </w:rPr>
        <w:t>excl</w:t>
      </w:r>
      <w:proofErr w:type="spellEnd"/>
      <w:r w:rsidRPr="00390D7F">
        <w:rPr>
          <w:sz w:val="24"/>
          <w:szCs w:val="24"/>
        </w:rPr>
        <w:t xml:space="preserve">. </w:t>
      </w:r>
      <w:proofErr w:type="spellStart"/>
      <w:r w:rsidRPr="00390D7F">
        <w:rPr>
          <w:sz w:val="24"/>
          <w:szCs w:val="24"/>
        </w:rPr>
        <w:t>hjerteglycosider</w:t>
      </w:r>
      <w:proofErr w:type="spellEnd"/>
      <w:r w:rsidRPr="00390D7F">
        <w:rPr>
          <w:sz w:val="24"/>
          <w:szCs w:val="24"/>
        </w:rPr>
        <w:t xml:space="preserve">, </w:t>
      </w:r>
      <w:proofErr w:type="spellStart"/>
      <w:r w:rsidRPr="00390D7F">
        <w:rPr>
          <w:sz w:val="24"/>
          <w:szCs w:val="24"/>
        </w:rPr>
        <w:t>midodrin</w:t>
      </w:r>
      <w:proofErr w:type="spellEnd"/>
      <w:r w:rsidR="00152FB6">
        <w:rPr>
          <w:sz w:val="24"/>
          <w:szCs w:val="24"/>
        </w:rPr>
        <w:t xml:space="preserve">, </w:t>
      </w:r>
      <w:r w:rsidRPr="00390D7F">
        <w:rPr>
          <w:sz w:val="24"/>
          <w:szCs w:val="24"/>
        </w:rPr>
        <w:t>ATC-kode: C01CA17</w:t>
      </w:r>
      <w:r w:rsidR="00152FB6">
        <w:rPr>
          <w:sz w:val="24"/>
          <w:szCs w:val="24"/>
        </w:rPr>
        <w:t>.</w:t>
      </w:r>
    </w:p>
    <w:p w14:paraId="58A17F5F" w14:textId="77777777" w:rsidR="00152FB6" w:rsidRDefault="00152FB6" w:rsidP="000A03A5">
      <w:pPr>
        <w:ind w:left="851"/>
        <w:rPr>
          <w:sz w:val="24"/>
          <w:szCs w:val="24"/>
          <w:u w:val="single"/>
        </w:rPr>
      </w:pPr>
    </w:p>
    <w:p w14:paraId="5D52F79F" w14:textId="63413BD6" w:rsidR="00FD425A" w:rsidRPr="00390D7F" w:rsidRDefault="00FD425A" w:rsidP="000A03A5">
      <w:pPr>
        <w:ind w:left="851"/>
        <w:rPr>
          <w:bCs/>
          <w:sz w:val="24"/>
          <w:szCs w:val="24"/>
          <w:u w:val="single"/>
        </w:rPr>
      </w:pPr>
      <w:r w:rsidRPr="00390D7F">
        <w:rPr>
          <w:sz w:val="24"/>
          <w:szCs w:val="24"/>
          <w:u w:val="single"/>
        </w:rPr>
        <w:t>Virkningsmekanisme</w:t>
      </w:r>
    </w:p>
    <w:p w14:paraId="52F2884B" w14:textId="77777777" w:rsidR="00FD425A" w:rsidRPr="00390D7F" w:rsidRDefault="00FD425A" w:rsidP="000A03A5">
      <w:pPr>
        <w:ind w:left="851"/>
        <w:rPr>
          <w:sz w:val="24"/>
          <w:szCs w:val="24"/>
        </w:rPr>
      </w:pPr>
      <w:r w:rsidRPr="00390D7F">
        <w:rPr>
          <w:sz w:val="24"/>
          <w:szCs w:val="24"/>
        </w:rPr>
        <w:t>Det alfa-</w:t>
      </w:r>
      <w:proofErr w:type="spellStart"/>
      <w:r w:rsidRPr="00390D7F">
        <w:rPr>
          <w:sz w:val="24"/>
          <w:szCs w:val="24"/>
        </w:rPr>
        <w:t>sympatomimetiske</w:t>
      </w:r>
      <w:proofErr w:type="spellEnd"/>
      <w:r w:rsidRPr="00390D7F">
        <w:rPr>
          <w:sz w:val="24"/>
          <w:szCs w:val="24"/>
        </w:rPr>
        <w:t xml:space="preserve"> lægemiddel </w:t>
      </w:r>
      <w:proofErr w:type="spellStart"/>
      <w:r w:rsidRPr="00390D7F">
        <w:rPr>
          <w:sz w:val="24"/>
          <w:szCs w:val="24"/>
        </w:rPr>
        <w:t>midodrinhydrochlorid</w:t>
      </w:r>
      <w:proofErr w:type="spellEnd"/>
      <w:r w:rsidRPr="00390D7F">
        <w:rPr>
          <w:sz w:val="24"/>
          <w:szCs w:val="24"/>
        </w:rPr>
        <w:t xml:space="preserve"> er </w:t>
      </w:r>
      <w:proofErr w:type="gramStart"/>
      <w:r w:rsidRPr="00390D7F">
        <w:rPr>
          <w:sz w:val="24"/>
          <w:szCs w:val="24"/>
        </w:rPr>
        <w:t>et prodrug</w:t>
      </w:r>
      <w:proofErr w:type="gramEnd"/>
      <w:r w:rsidRPr="00390D7F">
        <w:rPr>
          <w:sz w:val="24"/>
          <w:szCs w:val="24"/>
        </w:rPr>
        <w:t xml:space="preserve">, som konverteres til den farmakologisk aktive metabolit </w:t>
      </w:r>
      <w:proofErr w:type="spellStart"/>
      <w:r w:rsidRPr="00390D7F">
        <w:rPr>
          <w:sz w:val="24"/>
          <w:szCs w:val="24"/>
        </w:rPr>
        <w:t>desglymidodrin</w:t>
      </w:r>
      <w:proofErr w:type="spellEnd"/>
      <w:r w:rsidRPr="00390D7F">
        <w:rPr>
          <w:sz w:val="24"/>
          <w:szCs w:val="24"/>
        </w:rPr>
        <w:t xml:space="preserve"> i forskellige væv.</w:t>
      </w:r>
    </w:p>
    <w:p w14:paraId="0B9CC52E" w14:textId="77777777" w:rsidR="00152FB6" w:rsidRDefault="00152FB6" w:rsidP="000A03A5">
      <w:pPr>
        <w:ind w:left="851"/>
        <w:rPr>
          <w:sz w:val="24"/>
          <w:szCs w:val="24"/>
          <w:u w:val="single"/>
        </w:rPr>
      </w:pPr>
    </w:p>
    <w:p w14:paraId="3D6396EA" w14:textId="46A0384D" w:rsidR="00FD425A" w:rsidRPr="00390D7F" w:rsidRDefault="00FD425A" w:rsidP="000A03A5">
      <w:pPr>
        <w:ind w:left="851"/>
        <w:rPr>
          <w:bCs/>
          <w:sz w:val="24"/>
          <w:szCs w:val="24"/>
          <w:u w:val="single"/>
        </w:rPr>
      </w:pPr>
      <w:proofErr w:type="spellStart"/>
      <w:r w:rsidRPr="00390D7F">
        <w:rPr>
          <w:sz w:val="24"/>
          <w:szCs w:val="24"/>
          <w:u w:val="single"/>
        </w:rPr>
        <w:t>Farmakodynamiske</w:t>
      </w:r>
      <w:proofErr w:type="spellEnd"/>
      <w:r w:rsidRPr="00390D7F">
        <w:rPr>
          <w:sz w:val="24"/>
          <w:szCs w:val="24"/>
          <w:u w:val="single"/>
        </w:rPr>
        <w:t xml:space="preserve"> reaktioner</w:t>
      </w:r>
    </w:p>
    <w:p w14:paraId="30A1578A" w14:textId="77777777" w:rsidR="00FD425A" w:rsidRPr="00390D7F" w:rsidRDefault="00FD425A" w:rsidP="000A03A5">
      <w:pPr>
        <w:ind w:left="851"/>
        <w:rPr>
          <w:bCs/>
          <w:sz w:val="24"/>
          <w:szCs w:val="24"/>
        </w:rPr>
      </w:pPr>
      <w:proofErr w:type="spellStart"/>
      <w:r w:rsidRPr="00390D7F">
        <w:rPr>
          <w:sz w:val="24"/>
          <w:szCs w:val="24"/>
        </w:rPr>
        <w:t>Desglymidodrin</w:t>
      </w:r>
      <w:proofErr w:type="spellEnd"/>
      <w:r w:rsidRPr="00390D7F">
        <w:rPr>
          <w:sz w:val="24"/>
          <w:szCs w:val="24"/>
        </w:rPr>
        <w:t xml:space="preserve"> er en selektiv alfa-1-adrenoreceptoragonist. Dets indvirkning på hjertekredsløbssystemet skyldes hovedsageligt forhøjelsen af det systoliske og diastoliske blodtryk. Denne forhøjelse af blodtrykket forekommer på grund af arteriel og venøs </w:t>
      </w:r>
      <w:proofErr w:type="spellStart"/>
      <w:r w:rsidRPr="00390D7F">
        <w:rPr>
          <w:sz w:val="24"/>
          <w:szCs w:val="24"/>
        </w:rPr>
        <w:t>vasokonstriktion</w:t>
      </w:r>
      <w:proofErr w:type="spellEnd"/>
      <w:r w:rsidRPr="00390D7F">
        <w:rPr>
          <w:sz w:val="24"/>
          <w:szCs w:val="24"/>
        </w:rPr>
        <w:t xml:space="preserve">. </w:t>
      </w:r>
      <w:proofErr w:type="spellStart"/>
      <w:r w:rsidRPr="00390D7F">
        <w:rPr>
          <w:sz w:val="24"/>
          <w:szCs w:val="24"/>
        </w:rPr>
        <w:t>Midodrinhydrochlorid</w:t>
      </w:r>
      <w:proofErr w:type="spellEnd"/>
      <w:r w:rsidRPr="00390D7F">
        <w:rPr>
          <w:sz w:val="24"/>
          <w:szCs w:val="24"/>
        </w:rPr>
        <w:t xml:space="preserve"> stimulerer alfa-receptorerne i blæren, hvilket dernæst er forbundet med en øget </w:t>
      </w:r>
      <w:proofErr w:type="spellStart"/>
      <w:r w:rsidRPr="00390D7F">
        <w:rPr>
          <w:sz w:val="24"/>
          <w:szCs w:val="24"/>
        </w:rPr>
        <w:t>tonus</w:t>
      </w:r>
      <w:proofErr w:type="spellEnd"/>
      <w:r w:rsidRPr="00390D7F">
        <w:rPr>
          <w:sz w:val="24"/>
          <w:szCs w:val="24"/>
        </w:rPr>
        <w:t xml:space="preserve"> i blærens lukkemuskel og forsinket tømning af blæren.</w:t>
      </w:r>
    </w:p>
    <w:p w14:paraId="784C0F01" w14:textId="77777777" w:rsidR="009260DE" w:rsidRPr="00390D7F" w:rsidRDefault="009260DE" w:rsidP="009260DE">
      <w:pPr>
        <w:tabs>
          <w:tab w:val="left" w:pos="851"/>
        </w:tabs>
        <w:ind w:left="851"/>
        <w:rPr>
          <w:sz w:val="24"/>
          <w:szCs w:val="24"/>
        </w:rPr>
      </w:pPr>
    </w:p>
    <w:p w14:paraId="18E8985F" w14:textId="77777777" w:rsidR="009260DE" w:rsidRPr="00390D7F" w:rsidRDefault="009260DE" w:rsidP="009260DE">
      <w:pPr>
        <w:tabs>
          <w:tab w:val="left" w:pos="851"/>
        </w:tabs>
        <w:ind w:left="851" w:hanging="851"/>
        <w:rPr>
          <w:b/>
          <w:sz w:val="24"/>
          <w:szCs w:val="24"/>
        </w:rPr>
      </w:pPr>
      <w:r w:rsidRPr="00390D7F">
        <w:rPr>
          <w:b/>
          <w:sz w:val="24"/>
          <w:szCs w:val="24"/>
        </w:rPr>
        <w:t>5.2</w:t>
      </w:r>
      <w:r w:rsidRPr="00390D7F">
        <w:rPr>
          <w:b/>
          <w:sz w:val="24"/>
          <w:szCs w:val="24"/>
        </w:rPr>
        <w:tab/>
      </w:r>
      <w:proofErr w:type="spellStart"/>
      <w:r w:rsidRPr="00390D7F">
        <w:rPr>
          <w:b/>
          <w:sz w:val="24"/>
          <w:szCs w:val="24"/>
        </w:rPr>
        <w:t>Farmakokinetiske</w:t>
      </w:r>
      <w:proofErr w:type="spellEnd"/>
      <w:r w:rsidRPr="00390D7F">
        <w:rPr>
          <w:b/>
          <w:sz w:val="24"/>
          <w:szCs w:val="24"/>
        </w:rPr>
        <w:t xml:space="preserve"> egenskaber</w:t>
      </w:r>
    </w:p>
    <w:p w14:paraId="331E4785" w14:textId="77777777" w:rsidR="00152FB6" w:rsidRDefault="00152FB6" w:rsidP="000A03A5">
      <w:pPr>
        <w:ind w:left="851"/>
        <w:rPr>
          <w:sz w:val="24"/>
          <w:szCs w:val="24"/>
        </w:rPr>
      </w:pPr>
    </w:p>
    <w:p w14:paraId="1646F80B" w14:textId="18453C12" w:rsidR="00FD425A" w:rsidRPr="00152FB6" w:rsidRDefault="00FD425A" w:rsidP="000A03A5">
      <w:pPr>
        <w:ind w:left="851"/>
        <w:rPr>
          <w:bCs/>
          <w:sz w:val="24"/>
          <w:szCs w:val="24"/>
          <w:u w:val="single"/>
          <w:lang w:eastAsia="en-GB"/>
        </w:rPr>
      </w:pPr>
      <w:r w:rsidRPr="00152FB6">
        <w:rPr>
          <w:sz w:val="24"/>
          <w:szCs w:val="24"/>
          <w:u w:val="single"/>
        </w:rPr>
        <w:t>Absorption</w:t>
      </w:r>
    </w:p>
    <w:p w14:paraId="3BA67512" w14:textId="77777777" w:rsidR="00FD425A" w:rsidRPr="00390D7F" w:rsidRDefault="00FD425A" w:rsidP="000A03A5">
      <w:pPr>
        <w:ind w:left="851"/>
        <w:rPr>
          <w:bCs/>
          <w:sz w:val="24"/>
          <w:szCs w:val="24"/>
        </w:rPr>
      </w:pPr>
      <w:r w:rsidRPr="00390D7F">
        <w:rPr>
          <w:sz w:val="24"/>
          <w:szCs w:val="24"/>
        </w:rPr>
        <w:t xml:space="preserve">Efter oral administration af en dosis på 2,5 mg, absorberes </w:t>
      </w:r>
      <w:proofErr w:type="spellStart"/>
      <w:r w:rsidRPr="00390D7F">
        <w:rPr>
          <w:sz w:val="24"/>
          <w:szCs w:val="24"/>
        </w:rPr>
        <w:t>midodrinhydrochlorid</w:t>
      </w:r>
      <w:proofErr w:type="spellEnd"/>
      <w:r w:rsidRPr="00390D7F">
        <w:rPr>
          <w:sz w:val="24"/>
          <w:szCs w:val="24"/>
        </w:rPr>
        <w:t xml:space="preserve"> hurtigt og komplet, og når sin maksimale plasmakoncentration efter cirka 20-30 minutter (</w:t>
      </w:r>
      <w:proofErr w:type="spellStart"/>
      <w:r w:rsidRPr="00390D7F">
        <w:rPr>
          <w:sz w:val="24"/>
          <w:szCs w:val="24"/>
        </w:rPr>
        <w:t>C</w:t>
      </w:r>
      <w:r w:rsidRPr="00390D7F">
        <w:rPr>
          <w:sz w:val="24"/>
          <w:szCs w:val="24"/>
          <w:vertAlign w:val="subscript"/>
        </w:rPr>
        <w:t>max</w:t>
      </w:r>
      <w:proofErr w:type="spellEnd"/>
      <w:r w:rsidRPr="00390D7F">
        <w:rPr>
          <w:sz w:val="24"/>
          <w:szCs w:val="24"/>
        </w:rPr>
        <w:t xml:space="preserve"> ca. 0,01 mg/l, </w:t>
      </w:r>
      <w:proofErr w:type="spellStart"/>
      <w:r w:rsidRPr="00390D7F">
        <w:rPr>
          <w:sz w:val="24"/>
          <w:szCs w:val="24"/>
        </w:rPr>
        <w:t>t</w:t>
      </w:r>
      <w:r w:rsidRPr="00390D7F">
        <w:rPr>
          <w:sz w:val="24"/>
          <w:szCs w:val="24"/>
          <w:vertAlign w:val="subscript"/>
        </w:rPr>
        <w:t>max</w:t>
      </w:r>
      <w:proofErr w:type="spellEnd"/>
      <w:r w:rsidRPr="00390D7F">
        <w:rPr>
          <w:sz w:val="24"/>
          <w:szCs w:val="24"/>
        </w:rPr>
        <w:t xml:space="preserve"> &lt; 30 min). </w:t>
      </w:r>
      <w:proofErr w:type="spellStart"/>
      <w:r w:rsidRPr="00390D7F">
        <w:rPr>
          <w:sz w:val="24"/>
          <w:szCs w:val="24"/>
        </w:rPr>
        <w:t>Prodruget</w:t>
      </w:r>
      <w:proofErr w:type="spellEnd"/>
      <w:r w:rsidRPr="00390D7F">
        <w:rPr>
          <w:sz w:val="24"/>
          <w:szCs w:val="24"/>
        </w:rPr>
        <w:t xml:space="preserve"> </w:t>
      </w:r>
      <w:proofErr w:type="spellStart"/>
      <w:r w:rsidRPr="00390D7F">
        <w:rPr>
          <w:sz w:val="24"/>
          <w:szCs w:val="24"/>
        </w:rPr>
        <w:t>midodrinhydrochlorid</w:t>
      </w:r>
      <w:proofErr w:type="spellEnd"/>
      <w:r w:rsidRPr="00390D7F">
        <w:rPr>
          <w:sz w:val="24"/>
          <w:szCs w:val="24"/>
        </w:rPr>
        <w:t xml:space="preserve"> konverteres enzymatisk i forskellige væv (også i leveren) til den aktive metabolit </w:t>
      </w:r>
      <w:proofErr w:type="spellStart"/>
      <w:r w:rsidRPr="00390D7F">
        <w:rPr>
          <w:sz w:val="24"/>
          <w:szCs w:val="24"/>
        </w:rPr>
        <w:t>desglymidodrin</w:t>
      </w:r>
      <w:proofErr w:type="spellEnd"/>
      <w:r w:rsidRPr="00390D7F">
        <w:rPr>
          <w:sz w:val="24"/>
          <w:szCs w:val="24"/>
        </w:rPr>
        <w:t xml:space="preserve">. </w:t>
      </w:r>
      <w:proofErr w:type="spellStart"/>
      <w:r w:rsidRPr="00390D7F">
        <w:rPr>
          <w:sz w:val="24"/>
          <w:szCs w:val="24"/>
        </w:rPr>
        <w:t>Midodrinhydrochlorids</w:t>
      </w:r>
      <w:proofErr w:type="spellEnd"/>
      <w:r w:rsidRPr="00390D7F">
        <w:rPr>
          <w:sz w:val="24"/>
          <w:szCs w:val="24"/>
        </w:rPr>
        <w:t xml:space="preserve"> (og </w:t>
      </w:r>
      <w:proofErr w:type="spellStart"/>
      <w:r w:rsidRPr="00390D7F">
        <w:rPr>
          <w:sz w:val="24"/>
          <w:szCs w:val="24"/>
        </w:rPr>
        <w:t>desglymidodrins</w:t>
      </w:r>
      <w:proofErr w:type="spellEnd"/>
      <w:r w:rsidRPr="00390D7F">
        <w:rPr>
          <w:sz w:val="24"/>
          <w:szCs w:val="24"/>
        </w:rPr>
        <w:t>) absolutte biotilgængelighed når 93 % efter oral administration.</w:t>
      </w:r>
    </w:p>
    <w:p w14:paraId="49637CA2" w14:textId="77777777" w:rsidR="00152FB6" w:rsidRDefault="00152FB6" w:rsidP="000A03A5">
      <w:pPr>
        <w:ind w:left="851"/>
        <w:rPr>
          <w:sz w:val="24"/>
          <w:szCs w:val="24"/>
        </w:rPr>
      </w:pPr>
    </w:p>
    <w:p w14:paraId="7BE5FA6B" w14:textId="2BAA9003" w:rsidR="00FD425A" w:rsidRPr="00390D7F" w:rsidRDefault="00FD425A" w:rsidP="000A03A5">
      <w:pPr>
        <w:ind w:left="851"/>
        <w:rPr>
          <w:bCs/>
          <w:sz w:val="24"/>
          <w:szCs w:val="24"/>
        </w:rPr>
      </w:pPr>
      <w:r w:rsidRPr="00390D7F">
        <w:rPr>
          <w:sz w:val="24"/>
          <w:szCs w:val="24"/>
        </w:rPr>
        <w:t xml:space="preserve">AUC og </w:t>
      </w:r>
      <w:proofErr w:type="spellStart"/>
      <w:r w:rsidRPr="00390D7F">
        <w:rPr>
          <w:sz w:val="24"/>
          <w:szCs w:val="24"/>
        </w:rPr>
        <w:t>C</w:t>
      </w:r>
      <w:r w:rsidRPr="00390D7F">
        <w:rPr>
          <w:sz w:val="24"/>
          <w:szCs w:val="24"/>
          <w:vertAlign w:val="subscript"/>
        </w:rPr>
        <w:t>max</w:t>
      </w:r>
      <w:proofErr w:type="spellEnd"/>
      <w:r w:rsidRPr="00390D7F">
        <w:rPr>
          <w:sz w:val="24"/>
          <w:szCs w:val="24"/>
        </w:rPr>
        <w:t xml:space="preserve"> stiger proportionalt med doserne i doseringsintervallet 2,5-22,5 mg. Administration sammen med mad øger AUC med cirka 25 %, og </w:t>
      </w:r>
      <w:proofErr w:type="spellStart"/>
      <w:r w:rsidRPr="00390D7F">
        <w:rPr>
          <w:sz w:val="24"/>
          <w:szCs w:val="24"/>
        </w:rPr>
        <w:t>C</w:t>
      </w:r>
      <w:r w:rsidRPr="00390D7F">
        <w:rPr>
          <w:sz w:val="24"/>
          <w:szCs w:val="24"/>
          <w:vertAlign w:val="subscript"/>
        </w:rPr>
        <w:t>max</w:t>
      </w:r>
      <w:proofErr w:type="spellEnd"/>
      <w:r w:rsidRPr="00390D7F">
        <w:rPr>
          <w:sz w:val="24"/>
          <w:szCs w:val="24"/>
        </w:rPr>
        <w:t xml:space="preserve"> falder med cirka 30 %. </w:t>
      </w:r>
      <w:proofErr w:type="spellStart"/>
      <w:r w:rsidRPr="00390D7F">
        <w:rPr>
          <w:sz w:val="24"/>
          <w:szCs w:val="24"/>
        </w:rPr>
        <w:t>Desglymidodrins</w:t>
      </w:r>
      <w:proofErr w:type="spellEnd"/>
      <w:r w:rsidRPr="00390D7F">
        <w:rPr>
          <w:sz w:val="24"/>
          <w:szCs w:val="24"/>
        </w:rPr>
        <w:t xml:space="preserve"> farmakokinetik påvirkes ikke.</w:t>
      </w:r>
    </w:p>
    <w:p w14:paraId="12EC32DE" w14:textId="77777777" w:rsidR="00152FB6" w:rsidRDefault="00152FB6" w:rsidP="000A03A5">
      <w:pPr>
        <w:ind w:left="851"/>
        <w:rPr>
          <w:sz w:val="24"/>
          <w:szCs w:val="24"/>
        </w:rPr>
      </w:pPr>
    </w:p>
    <w:p w14:paraId="40C4D4A1" w14:textId="08B13FE0" w:rsidR="00FD425A" w:rsidRPr="00390D7F" w:rsidRDefault="00FD425A" w:rsidP="000A03A5">
      <w:pPr>
        <w:ind w:left="851"/>
        <w:rPr>
          <w:sz w:val="24"/>
          <w:szCs w:val="24"/>
        </w:rPr>
      </w:pPr>
      <w:r w:rsidRPr="00390D7F">
        <w:rPr>
          <w:sz w:val="24"/>
          <w:szCs w:val="24"/>
        </w:rPr>
        <w:t xml:space="preserve">Efter oral administration af en dosis på 5-10 mg </w:t>
      </w:r>
      <w:proofErr w:type="spellStart"/>
      <w:r w:rsidRPr="00390D7F">
        <w:rPr>
          <w:sz w:val="24"/>
          <w:szCs w:val="24"/>
        </w:rPr>
        <w:t>midodrinhydrochlorid</w:t>
      </w:r>
      <w:proofErr w:type="spellEnd"/>
      <w:r w:rsidRPr="00390D7F">
        <w:rPr>
          <w:sz w:val="24"/>
          <w:szCs w:val="24"/>
        </w:rPr>
        <w:t xml:space="preserve"> til fastende patienter med </w:t>
      </w:r>
      <w:proofErr w:type="spellStart"/>
      <w:r w:rsidRPr="00390D7F">
        <w:rPr>
          <w:sz w:val="24"/>
          <w:szCs w:val="24"/>
        </w:rPr>
        <w:t>ortostatisk</w:t>
      </w:r>
      <w:proofErr w:type="spellEnd"/>
      <w:r w:rsidRPr="00390D7F">
        <w:rPr>
          <w:sz w:val="24"/>
          <w:szCs w:val="24"/>
        </w:rPr>
        <w:t xml:space="preserve"> hypertension når </w:t>
      </w:r>
      <w:proofErr w:type="spellStart"/>
      <w:r w:rsidRPr="00390D7F">
        <w:rPr>
          <w:sz w:val="24"/>
          <w:szCs w:val="24"/>
        </w:rPr>
        <w:t>desglymidodrin</w:t>
      </w:r>
      <w:proofErr w:type="spellEnd"/>
      <w:r w:rsidRPr="00390D7F">
        <w:rPr>
          <w:sz w:val="24"/>
          <w:szCs w:val="24"/>
        </w:rPr>
        <w:t xml:space="preserve"> sin højeste koncentration i plasma (0,027 mg/l) ca. 1 t efter den orale administration (</w:t>
      </w:r>
      <w:proofErr w:type="spellStart"/>
      <w:r w:rsidRPr="00390D7F">
        <w:rPr>
          <w:sz w:val="24"/>
          <w:szCs w:val="24"/>
        </w:rPr>
        <w:t>t</w:t>
      </w:r>
      <w:r w:rsidRPr="00390D7F">
        <w:rPr>
          <w:sz w:val="24"/>
          <w:szCs w:val="24"/>
          <w:vertAlign w:val="subscript"/>
        </w:rPr>
        <w:t>max</w:t>
      </w:r>
      <w:proofErr w:type="spellEnd"/>
      <w:r w:rsidRPr="00390D7F">
        <w:rPr>
          <w:sz w:val="24"/>
          <w:szCs w:val="24"/>
        </w:rPr>
        <w:t xml:space="preserve"> = 1,1 t) og efter intravenøs injektion inden for en periode på 60-120 min.</w:t>
      </w:r>
    </w:p>
    <w:p w14:paraId="5AC096F7" w14:textId="65394056" w:rsidR="00174897" w:rsidRDefault="00174897">
      <w:pPr>
        <w:rPr>
          <w:sz w:val="24"/>
          <w:szCs w:val="24"/>
        </w:rPr>
      </w:pPr>
      <w:r>
        <w:rPr>
          <w:sz w:val="24"/>
          <w:szCs w:val="24"/>
        </w:rPr>
        <w:br w:type="page"/>
      </w:r>
    </w:p>
    <w:p w14:paraId="6066186E" w14:textId="77777777" w:rsidR="00152FB6" w:rsidRDefault="00152FB6" w:rsidP="000A03A5">
      <w:pPr>
        <w:ind w:left="851"/>
        <w:rPr>
          <w:sz w:val="24"/>
          <w:szCs w:val="24"/>
        </w:rPr>
      </w:pPr>
    </w:p>
    <w:p w14:paraId="5A1E04C5" w14:textId="0A6834DC" w:rsidR="00FD425A" w:rsidRPr="00152FB6" w:rsidRDefault="00FD425A" w:rsidP="000A03A5">
      <w:pPr>
        <w:ind w:left="851"/>
        <w:rPr>
          <w:bCs/>
          <w:sz w:val="24"/>
          <w:szCs w:val="24"/>
          <w:u w:val="single"/>
        </w:rPr>
      </w:pPr>
      <w:r w:rsidRPr="00152FB6">
        <w:rPr>
          <w:sz w:val="24"/>
          <w:szCs w:val="24"/>
          <w:u w:val="single"/>
        </w:rPr>
        <w:t>Fordeling</w:t>
      </w:r>
    </w:p>
    <w:p w14:paraId="4CA9E311" w14:textId="77777777" w:rsidR="00FD425A" w:rsidRPr="00390D7F" w:rsidRDefault="00FD425A" w:rsidP="000A03A5">
      <w:pPr>
        <w:ind w:left="851"/>
        <w:rPr>
          <w:sz w:val="24"/>
          <w:szCs w:val="24"/>
        </w:rPr>
      </w:pPr>
      <w:r w:rsidRPr="00390D7F">
        <w:rPr>
          <w:sz w:val="24"/>
          <w:szCs w:val="24"/>
        </w:rPr>
        <w:t xml:space="preserve">Fordelingen af </w:t>
      </w:r>
      <w:proofErr w:type="spellStart"/>
      <w:r w:rsidRPr="00390D7F">
        <w:rPr>
          <w:sz w:val="24"/>
          <w:szCs w:val="24"/>
        </w:rPr>
        <w:t>midodrin</w:t>
      </w:r>
      <w:proofErr w:type="spellEnd"/>
      <w:r w:rsidRPr="00390D7F">
        <w:rPr>
          <w:sz w:val="24"/>
          <w:szCs w:val="24"/>
        </w:rPr>
        <w:t xml:space="preserve"> hos mennesker er ikke blevet analyseret.</w:t>
      </w:r>
    </w:p>
    <w:p w14:paraId="3DC538EB" w14:textId="77777777" w:rsidR="00152FB6" w:rsidRDefault="00152FB6" w:rsidP="000A03A5">
      <w:pPr>
        <w:ind w:left="851"/>
        <w:rPr>
          <w:sz w:val="24"/>
          <w:szCs w:val="24"/>
        </w:rPr>
      </w:pPr>
    </w:p>
    <w:p w14:paraId="2C78D36D" w14:textId="296C60AB" w:rsidR="00FD425A" w:rsidRPr="00390D7F" w:rsidRDefault="00FD425A" w:rsidP="000A03A5">
      <w:pPr>
        <w:ind w:left="851"/>
        <w:rPr>
          <w:sz w:val="24"/>
          <w:szCs w:val="24"/>
        </w:rPr>
      </w:pPr>
      <w:proofErr w:type="spellStart"/>
      <w:r w:rsidRPr="00390D7F">
        <w:rPr>
          <w:sz w:val="24"/>
          <w:szCs w:val="24"/>
        </w:rPr>
        <w:t>Midodrine</w:t>
      </w:r>
      <w:proofErr w:type="spellEnd"/>
      <w:r w:rsidRPr="00390D7F">
        <w:rPr>
          <w:sz w:val="24"/>
          <w:szCs w:val="24"/>
        </w:rPr>
        <w:t xml:space="preserve"> og </w:t>
      </w:r>
      <w:proofErr w:type="spellStart"/>
      <w:r w:rsidRPr="00390D7F">
        <w:rPr>
          <w:sz w:val="24"/>
          <w:szCs w:val="24"/>
        </w:rPr>
        <w:t>desglymidodrin</w:t>
      </w:r>
      <w:proofErr w:type="spellEnd"/>
      <w:r w:rsidRPr="00390D7F">
        <w:rPr>
          <w:sz w:val="24"/>
          <w:szCs w:val="24"/>
        </w:rPr>
        <w:t xml:space="preserve"> binder sig mindre end 30 % til plasmaproteiner. Dyreforsøg viser, at </w:t>
      </w:r>
      <w:proofErr w:type="spellStart"/>
      <w:r w:rsidRPr="00390D7F">
        <w:rPr>
          <w:sz w:val="24"/>
          <w:szCs w:val="24"/>
        </w:rPr>
        <w:t>desglymidodrin</w:t>
      </w:r>
      <w:proofErr w:type="spellEnd"/>
      <w:r w:rsidRPr="00390D7F">
        <w:rPr>
          <w:sz w:val="24"/>
          <w:szCs w:val="24"/>
        </w:rPr>
        <w:t xml:space="preserve"> fordeles i målorganerne. Fordelingen af </w:t>
      </w:r>
      <w:proofErr w:type="spellStart"/>
      <w:r w:rsidRPr="00390D7F">
        <w:rPr>
          <w:sz w:val="24"/>
          <w:szCs w:val="24"/>
        </w:rPr>
        <w:t>midodrin</w:t>
      </w:r>
      <w:proofErr w:type="spellEnd"/>
      <w:r w:rsidRPr="00390D7F">
        <w:rPr>
          <w:sz w:val="24"/>
          <w:szCs w:val="24"/>
        </w:rPr>
        <w:t xml:space="preserve"> i mennesker er ikke blevet fastlagt, det synes ikke at krydse blod-</w:t>
      </w:r>
      <w:proofErr w:type="spellStart"/>
      <w:r w:rsidRPr="00390D7F">
        <w:rPr>
          <w:sz w:val="24"/>
          <w:szCs w:val="24"/>
        </w:rPr>
        <w:t>hjernebarrrieren</w:t>
      </w:r>
      <w:proofErr w:type="spellEnd"/>
      <w:r w:rsidRPr="00390D7F">
        <w:rPr>
          <w:sz w:val="24"/>
          <w:szCs w:val="24"/>
        </w:rPr>
        <w:t xml:space="preserve"> efter oral administration. </w:t>
      </w:r>
    </w:p>
    <w:p w14:paraId="7E70633D" w14:textId="77777777" w:rsidR="00152FB6" w:rsidRDefault="00152FB6" w:rsidP="000A03A5">
      <w:pPr>
        <w:ind w:left="851"/>
        <w:rPr>
          <w:sz w:val="24"/>
          <w:szCs w:val="24"/>
        </w:rPr>
      </w:pPr>
    </w:p>
    <w:p w14:paraId="3253C4AE" w14:textId="52255D12" w:rsidR="00FD425A" w:rsidRPr="00152FB6" w:rsidRDefault="00FD425A" w:rsidP="000A03A5">
      <w:pPr>
        <w:ind w:left="851"/>
        <w:rPr>
          <w:bCs/>
          <w:sz w:val="24"/>
          <w:szCs w:val="24"/>
          <w:u w:val="single"/>
        </w:rPr>
      </w:pPr>
      <w:r w:rsidRPr="00152FB6">
        <w:rPr>
          <w:sz w:val="24"/>
          <w:szCs w:val="24"/>
          <w:u w:val="single"/>
        </w:rPr>
        <w:t>Biotransformation</w:t>
      </w:r>
    </w:p>
    <w:p w14:paraId="52AD1702" w14:textId="77777777" w:rsidR="00FD425A" w:rsidRPr="00390D7F" w:rsidRDefault="00FD425A" w:rsidP="000A03A5">
      <w:pPr>
        <w:ind w:left="851"/>
        <w:rPr>
          <w:sz w:val="24"/>
          <w:szCs w:val="24"/>
        </w:rPr>
      </w:pPr>
      <w:r w:rsidRPr="00390D7F">
        <w:rPr>
          <w:sz w:val="24"/>
          <w:szCs w:val="24"/>
        </w:rPr>
        <w:t xml:space="preserve">Dette lægemiddel omdannes til den farmakologisk aktive metabolit </w:t>
      </w:r>
      <w:proofErr w:type="spellStart"/>
      <w:r w:rsidRPr="00390D7F">
        <w:rPr>
          <w:sz w:val="24"/>
          <w:szCs w:val="24"/>
        </w:rPr>
        <w:t>desglymidodrin</w:t>
      </w:r>
      <w:proofErr w:type="spellEnd"/>
      <w:r w:rsidRPr="00390D7F">
        <w:rPr>
          <w:sz w:val="24"/>
          <w:szCs w:val="24"/>
        </w:rPr>
        <w:t xml:space="preserve"> via enzymatisk nedbrydning i forskellige væv (herunder leveren).</w:t>
      </w:r>
    </w:p>
    <w:p w14:paraId="5451B8E1" w14:textId="77777777" w:rsidR="00152FB6" w:rsidRDefault="00152FB6" w:rsidP="000A03A5">
      <w:pPr>
        <w:ind w:left="851"/>
        <w:rPr>
          <w:sz w:val="24"/>
          <w:szCs w:val="24"/>
        </w:rPr>
      </w:pPr>
    </w:p>
    <w:p w14:paraId="555892B9" w14:textId="389C03FC" w:rsidR="00FD425A" w:rsidRPr="00152FB6" w:rsidRDefault="00FD425A" w:rsidP="000A03A5">
      <w:pPr>
        <w:ind w:left="851"/>
        <w:rPr>
          <w:bCs/>
          <w:sz w:val="24"/>
          <w:szCs w:val="24"/>
          <w:u w:val="single"/>
        </w:rPr>
      </w:pPr>
      <w:r w:rsidRPr="00152FB6">
        <w:rPr>
          <w:sz w:val="24"/>
          <w:szCs w:val="24"/>
          <w:u w:val="single"/>
        </w:rPr>
        <w:t>Elimination</w:t>
      </w:r>
    </w:p>
    <w:p w14:paraId="4201ABBB" w14:textId="77777777" w:rsidR="00FD425A" w:rsidRPr="00390D7F" w:rsidRDefault="00FD425A" w:rsidP="000A03A5">
      <w:pPr>
        <w:ind w:left="851"/>
        <w:rPr>
          <w:sz w:val="24"/>
          <w:szCs w:val="24"/>
        </w:rPr>
      </w:pPr>
      <w:proofErr w:type="spellStart"/>
      <w:r w:rsidRPr="00390D7F">
        <w:rPr>
          <w:sz w:val="24"/>
          <w:szCs w:val="24"/>
        </w:rPr>
        <w:t>Midodrinhydrochlorid</w:t>
      </w:r>
      <w:proofErr w:type="spellEnd"/>
      <w:r w:rsidRPr="00390D7F">
        <w:rPr>
          <w:sz w:val="24"/>
          <w:szCs w:val="24"/>
        </w:rPr>
        <w:t xml:space="preserve"> elimineres hurtigt fra plasma (t</w:t>
      </w:r>
      <w:r w:rsidRPr="00390D7F">
        <w:rPr>
          <w:sz w:val="24"/>
          <w:szCs w:val="24"/>
          <w:vertAlign w:val="subscript"/>
        </w:rPr>
        <w:t>1/2</w:t>
      </w:r>
      <w:r w:rsidRPr="00390D7F">
        <w:rPr>
          <w:sz w:val="24"/>
          <w:szCs w:val="24"/>
        </w:rPr>
        <w:t xml:space="preserve"> = 0,41-0,49 t), mens </w:t>
      </w:r>
      <w:proofErr w:type="spellStart"/>
      <w:r w:rsidRPr="00390D7F">
        <w:rPr>
          <w:sz w:val="24"/>
          <w:szCs w:val="24"/>
        </w:rPr>
        <w:t>desglymidodrin</w:t>
      </w:r>
      <w:proofErr w:type="spellEnd"/>
      <w:r w:rsidRPr="00390D7F">
        <w:rPr>
          <w:sz w:val="24"/>
          <w:szCs w:val="24"/>
        </w:rPr>
        <w:t xml:space="preserve"> elimineres noget langsommere (t</w:t>
      </w:r>
      <w:r w:rsidRPr="00390D7F">
        <w:rPr>
          <w:sz w:val="24"/>
          <w:szCs w:val="24"/>
          <w:vertAlign w:val="subscript"/>
        </w:rPr>
        <w:t>1/2</w:t>
      </w:r>
      <w:r w:rsidRPr="00390D7F">
        <w:rPr>
          <w:sz w:val="24"/>
          <w:szCs w:val="24"/>
        </w:rPr>
        <w:t xml:space="preserve"> = 3 t).</w:t>
      </w:r>
    </w:p>
    <w:p w14:paraId="3986170B" w14:textId="77777777" w:rsidR="00152FB6" w:rsidRDefault="00152FB6" w:rsidP="000A03A5">
      <w:pPr>
        <w:ind w:left="851"/>
        <w:rPr>
          <w:sz w:val="24"/>
          <w:szCs w:val="24"/>
        </w:rPr>
      </w:pPr>
    </w:p>
    <w:p w14:paraId="55260DAF" w14:textId="5E2E83E0" w:rsidR="00FD425A" w:rsidRPr="00390D7F" w:rsidRDefault="00FD425A" w:rsidP="000A03A5">
      <w:pPr>
        <w:ind w:left="851"/>
        <w:rPr>
          <w:sz w:val="24"/>
          <w:szCs w:val="24"/>
        </w:rPr>
      </w:pPr>
      <w:proofErr w:type="spellStart"/>
      <w:r w:rsidRPr="00390D7F">
        <w:rPr>
          <w:sz w:val="24"/>
          <w:szCs w:val="24"/>
        </w:rPr>
        <w:t>Midodrinhydrochlorid</w:t>
      </w:r>
      <w:proofErr w:type="spellEnd"/>
      <w:r w:rsidRPr="00390D7F">
        <w:rPr>
          <w:sz w:val="24"/>
          <w:szCs w:val="24"/>
        </w:rPr>
        <w:t xml:space="preserve"> og </w:t>
      </w:r>
      <w:proofErr w:type="spellStart"/>
      <w:r w:rsidRPr="00390D7F">
        <w:rPr>
          <w:sz w:val="24"/>
          <w:szCs w:val="24"/>
        </w:rPr>
        <w:t>desglymidodrin</w:t>
      </w:r>
      <w:proofErr w:type="spellEnd"/>
      <w:r w:rsidRPr="00390D7F">
        <w:rPr>
          <w:sz w:val="24"/>
          <w:szCs w:val="24"/>
        </w:rPr>
        <w:t xml:space="preserve"> elimineres næsten fuldstændigt (91 %) via nyrerne inden for 24 timer (ca. 40-60 % som aktiv metabolit, 2-5 % som ikke-</w:t>
      </w:r>
      <w:proofErr w:type="spellStart"/>
      <w:r w:rsidRPr="00390D7F">
        <w:rPr>
          <w:sz w:val="24"/>
          <w:szCs w:val="24"/>
        </w:rPr>
        <w:t>metaboliseret</w:t>
      </w:r>
      <w:proofErr w:type="spellEnd"/>
      <w:r w:rsidRPr="00390D7F">
        <w:rPr>
          <w:sz w:val="24"/>
          <w:szCs w:val="24"/>
        </w:rPr>
        <w:t xml:space="preserve"> </w:t>
      </w:r>
      <w:proofErr w:type="spellStart"/>
      <w:r w:rsidRPr="00390D7F">
        <w:rPr>
          <w:sz w:val="24"/>
          <w:szCs w:val="24"/>
        </w:rPr>
        <w:t>midodrinhydrochlorid</w:t>
      </w:r>
      <w:proofErr w:type="spellEnd"/>
      <w:r w:rsidRPr="00390D7F">
        <w:rPr>
          <w:sz w:val="24"/>
          <w:szCs w:val="24"/>
        </w:rPr>
        <w:t xml:space="preserve">, resten som andre farmakologisk inaktive metabolitter). Eliminationen af </w:t>
      </w:r>
      <w:proofErr w:type="spellStart"/>
      <w:r w:rsidRPr="00390D7F">
        <w:rPr>
          <w:sz w:val="24"/>
          <w:szCs w:val="24"/>
        </w:rPr>
        <w:t>midodrinhydrochlorid</w:t>
      </w:r>
      <w:proofErr w:type="spellEnd"/>
      <w:r w:rsidRPr="00390D7F">
        <w:rPr>
          <w:sz w:val="24"/>
          <w:szCs w:val="24"/>
        </w:rPr>
        <w:t xml:space="preserve"> eller </w:t>
      </w:r>
      <w:proofErr w:type="spellStart"/>
      <w:r w:rsidRPr="00390D7F">
        <w:rPr>
          <w:sz w:val="24"/>
          <w:szCs w:val="24"/>
        </w:rPr>
        <w:t>desglymidodrin</w:t>
      </w:r>
      <w:proofErr w:type="spellEnd"/>
      <w:r w:rsidRPr="00390D7F">
        <w:rPr>
          <w:sz w:val="24"/>
          <w:szCs w:val="24"/>
        </w:rPr>
        <w:t xml:space="preserve"> via fæces er ganske ubetydelig. Efter intravenøs administration elimineredes 53 % af den anvendte mængde inden for de første 4 timer og 47 % via urinen efter oral administration. Eliminationen i fæces er 2,1 %.</w:t>
      </w:r>
    </w:p>
    <w:p w14:paraId="6A2EE2A9" w14:textId="77777777" w:rsidR="00152FB6" w:rsidRDefault="00152FB6" w:rsidP="000A03A5">
      <w:pPr>
        <w:ind w:left="851"/>
        <w:rPr>
          <w:sz w:val="24"/>
          <w:szCs w:val="24"/>
        </w:rPr>
      </w:pPr>
    </w:p>
    <w:p w14:paraId="2FE7C9DE" w14:textId="682EE5B3" w:rsidR="00FD425A" w:rsidRPr="00152FB6" w:rsidRDefault="00FD425A" w:rsidP="000A03A5">
      <w:pPr>
        <w:ind w:left="851"/>
        <w:rPr>
          <w:sz w:val="24"/>
          <w:szCs w:val="24"/>
          <w:u w:val="single"/>
        </w:rPr>
      </w:pPr>
      <w:r w:rsidRPr="00152FB6">
        <w:rPr>
          <w:sz w:val="24"/>
          <w:szCs w:val="24"/>
          <w:u w:val="single"/>
        </w:rPr>
        <w:t>Særlige populationer</w:t>
      </w:r>
    </w:p>
    <w:p w14:paraId="6A381493" w14:textId="77777777" w:rsidR="00FD425A" w:rsidRPr="00390D7F" w:rsidRDefault="00FD425A" w:rsidP="000A03A5">
      <w:pPr>
        <w:ind w:left="851"/>
        <w:rPr>
          <w:sz w:val="24"/>
          <w:szCs w:val="24"/>
        </w:rPr>
      </w:pPr>
      <w:r w:rsidRPr="00390D7F">
        <w:rPr>
          <w:sz w:val="24"/>
          <w:szCs w:val="24"/>
        </w:rPr>
        <w:t xml:space="preserve">Til dato er der ingen farmakologiske data om </w:t>
      </w:r>
      <w:proofErr w:type="spellStart"/>
      <w:r w:rsidRPr="00390D7F">
        <w:rPr>
          <w:sz w:val="24"/>
          <w:szCs w:val="24"/>
        </w:rPr>
        <w:t>midodrin</w:t>
      </w:r>
      <w:proofErr w:type="spellEnd"/>
      <w:r w:rsidRPr="00390D7F">
        <w:rPr>
          <w:sz w:val="24"/>
          <w:szCs w:val="24"/>
        </w:rPr>
        <w:t xml:space="preserve"> eller dets metabolit, </w:t>
      </w:r>
      <w:proofErr w:type="spellStart"/>
      <w:r w:rsidRPr="00390D7F">
        <w:rPr>
          <w:sz w:val="24"/>
          <w:szCs w:val="24"/>
        </w:rPr>
        <w:t>desglymidodrin</w:t>
      </w:r>
      <w:proofErr w:type="spellEnd"/>
      <w:r w:rsidRPr="00390D7F">
        <w:rPr>
          <w:sz w:val="24"/>
          <w:szCs w:val="24"/>
        </w:rPr>
        <w:t>, hos ældre patienter eller patienter med nyre- og/eller leverfunktionslidelser.</w:t>
      </w:r>
    </w:p>
    <w:p w14:paraId="21A06E58" w14:textId="77777777" w:rsidR="009260DE" w:rsidRPr="00390D7F" w:rsidRDefault="009260DE" w:rsidP="009260DE">
      <w:pPr>
        <w:tabs>
          <w:tab w:val="left" w:pos="851"/>
        </w:tabs>
        <w:ind w:left="851"/>
        <w:rPr>
          <w:sz w:val="24"/>
          <w:szCs w:val="24"/>
        </w:rPr>
      </w:pPr>
    </w:p>
    <w:p w14:paraId="22B5EA15" w14:textId="77777777" w:rsidR="009260DE" w:rsidRPr="00390D7F" w:rsidRDefault="009260DE" w:rsidP="009260DE">
      <w:pPr>
        <w:tabs>
          <w:tab w:val="left" w:pos="851"/>
        </w:tabs>
        <w:ind w:left="851" w:hanging="851"/>
        <w:rPr>
          <w:b/>
          <w:sz w:val="24"/>
          <w:szCs w:val="24"/>
        </w:rPr>
      </w:pPr>
      <w:r w:rsidRPr="00390D7F">
        <w:rPr>
          <w:b/>
          <w:sz w:val="24"/>
          <w:szCs w:val="24"/>
        </w:rPr>
        <w:t>5.3</w:t>
      </w:r>
      <w:r w:rsidRPr="00390D7F">
        <w:rPr>
          <w:b/>
          <w:sz w:val="24"/>
          <w:szCs w:val="24"/>
        </w:rPr>
        <w:tab/>
      </w:r>
      <w:r w:rsidR="00BD7931" w:rsidRPr="00390D7F">
        <w:rPr>
          <w:b/>
          <w:sz w:val="24"/>
          <w:szCs w:val="24"/>
        </w:rPr>
        <w:t>Non-</w:t>
      </w:r>
      <w:r w:rsidRPr="00390D7F">
        <w:rPr>
          <w:b/>
          <w:sz w:val="24"/>
          <w:szCs w:val="24"/>
        </w:rPr>
        <w:t>kliniske sikkerhedsdata</w:t>
      </w:r>
    </w:p>
    <w:p w14:paraId="3170130D" w14:textId="77777777" w:rsidR="00FD425A" w:rsidRPr="00390D7F" w:rsidRDefault="00FD425A" w:rsidP="000A03A5">
      <w:pPr>
        <w:ind w:left="851"/>
        <w:rPr>
          <w:sz w:val="24"/>
          <w:szCs w:val="24"/>
          <w:lang w:eastAsia="en-GB"/>
        </w:rPr>
      </w:pPr>
      <w:r w:rsidRPr="00390D7F">
        <w:rPr>
          <w:sz w:val="24"/>
          <w:szCs w:val="24"/>
        </w:rPr>
        <w:t>Non-kliniske data viser ingen speciel risiko for mennesker vurderet ud fra konventionelle studier af sikkerhedsfarmakologi og toksicitet efter gentagne doser.</w:t>
      </w:r>
    </w:p>
    <w:p w14:paraId="4ED19A8E" w14:textId="77777777" w:rsidR="00152FB6" w:rsidRDefault="00152FB6" w:rsidP="000A03A5">
      <w:pPr>
        <w:ind w:left="851"/>
        <w:rPr>
          <w:i/>
          <w:sz w:val="24"/>
          <w:szCs w:val="24"/>
        </w:rPr>
      </w:pPr>
    </w:p>
    <w:p w14:paraId="3397A4CD" w14:textId="1F7B0DEA" w:rsidR="00FD425A" w:rsidRPr="00390D7F" w:rsidRDefault="00FD425A" w:rsidP="000A03A5">
      <w:pPr>
        <w:ind w:left="851"/>
        <w:rPr>
          <w:i/>
          <w:sz w:val="24"/>
          <w:szCs w:val="24"/>
        </w:rPr>
      </w:pPr>
      <w:r w:rsidRPr="00390D7F">
        <w:rPr>
          <w:i/>
          <w:sz w:val="24"/>
          <w:szCs w:val="24"/>
        </w:rPr>
        <w:t>Reproduktionstoksicitet</w:t>
      </w:r>
    </w:p>
    <w:p w14:paraId="5B9A2676" w14:textId="77777777" w:rsidR="00FD425A" w:rsidRPr="00390D7F" w:rsidRDefault="00FD425A" w:rsidP="000A03A5">
      <w:pPr>
        <w:ind w:left="851"/>
        <w:rPr>
          <w:sz w:val="24"/>
          <w:szCs w:val="24"/>
        </w:rPr>
      </w:pPr>
      <w:r w:rsidRPr="00390D7F">
        <w:rPr>
          <w:sz w:val="24"/>
          <w:szCs w:val="24"/>
        </w:rPr>
        <w:t xml:space="preserve">Studier med rotter og kaniner har vist embryotoksicitet, men der er ingen indberetninger om </w:t>
      </w:r>
      <w:proofErr w:type="spellStart"/>
      <w:r w:rsidRPr="00390D7F">
        <w:rPr>
          <w:sz w:val="24"/>
          <w:szCs w:val="24"/>
        </w:rPr>
        <w:t>teratogene</w:t>
      </w:r>
      <w:proofErr w:type="spellEnd"/>
      <w:r w:rsidRPr="00390D7F">
        <w:rPr>
          <w:sz w:val="24"/>
          <w:szCs w:val="24"/>
        </w:rPr>
        <w:t xml:space="preserve"> virkninger. </w:t>
      </w:r>
    </w:p>
    <w:p w14:paraId="10311CD0" w14:textId="77777777" w:rsidR="00152FB6" w:rsidRDefault="00152FB6" w:rsidP="000A03A5">
      <w:pPr>
        <w:ind w:left="851"/>
        <w:rPr>
          <w:i/>
          <w:sz w:val="24"/>
          <w:szCs w:val="24"/>
        </w:rPr>
      </w:pPr>
    </w:p>
    <w:p w14:paraId="43C25C7A" w14:textId="5A231D8A" w:rsidR="00FD425A" w:rsidRPr="00390D7F" w:rsidRDefault="00FD425A" w:rsidP="000A03A5">
      <w:pPr>
        <w:ind w:left="851"/>
        <w:rPr>
          <w:i/>
          <w:iCs/>
          <w:sz w:val="24"/>
          <w:szCs w:val="24"/>
        </w:rPr>
      </w:pPr>
      <w:r w:rsidRPr="00390D7F">
        <w:rPr>
          <w:i/>
          <w:sz w:val="24"/>
          <w:szCs w:val="24"/>
        </w:rPr>
        <w:t>Gentoksicitet</w:t>
      </w:r>
    </w:p>
    <w:p w14:paraId="12628579" w14:textId="77777777" w:rsidR="00FD425A" w:rsidRPr="00390D7F" w:rsidRDefault="00FD425A" w:rsidP="000A03A5">
      <w:pPr>
        <w:ind w:left="851"/>
        <w:rPr>
          <w:sz w:val="24"/>
          <w:szCs w:val="24"/>
        </w:rPr>
      </w:pPr>
      <w:r w:rsidRPr="00390D7F">
        <w:rPr>
          <w:i/>
          <w:sz w:val="24"/>
          <w:szCs w:val="24"/>
        </w:rPr>
        <w:t>In-</w:t>
      </w:r>
      <w:proofErr w:type="spellStart"/>
      <w:r w:rsidRPr="00390D7F">
        <w:rPr>
          <w:i/>
          <w:sz w:val="24"/>
          <w:szCs w:val="24"/>
        </w:rPr>
        <w:t>vitro</w:t>
      </w:r>
      <w:proofErr w:type="spellEnd"/>
      <w:r w:rsidRPr="00390D7F">
        <w:rPr>
          <w:sz w:val="24"/>
          <w:szCs w:val="24"/>
        </w:rPr>
        <w:t xml:space="preserve">- og </w:t>
      </w:r>
      <w:r w:rsidRPr="00390D7F">
        <w:rPr>
          <w:i/>
          <w:sz w:val="24"/>
          <w:szCs w:val="24"/>
        </w:rPr>
        <w:t>in-</w:t>
      </w:r>
      <w:proofErr w:type="spellStart"/>
      <w:r w:rsidRPr="00390D7F">
        <w:rPr>
          <w:i/>
          <w:sz w:val="24"/>
          <w:szCs w:val="24"/>
        </w:rPr>
        <w:t>vivo</w:t>
      </w:r>
      <w:proofErr w:type="spellEnd"/>
      <w:r w:rsidRPr="00390D7F">
        <w:rPr>
          <w:sz w:val="24"/>
          <w:szCs w:val="24"/>
        </w:rPr>
        <w:t xml:space="preserve">-studier med </w:t>
      </w:r>
      <w:proofErr w:type="spellStart"/>
      <w:r w:rsidRPr="00390D7F">
        <w:rPr>
          <w:sz w:val="24"/>
          <w:szCs w:val="24"/>
        </w:rPr>
        <w:t>midodrinhydrochlorid</w:t>
      </w:r>
      <w:proofErr w:type="spellEnd"/>
      <w:r w:rsidRPr="00390D7F">
        <w:rPr>
          <w:sz w:val="24"/>
          <w:szCs w:val="24"/>
        </w:rPr>
        <w:t xml:space="preserve"> viste ingen tegn på mutagent eller genotoksisk potentiale.</w:t>
      </w:r>
    </w:p>
    <w:p w14:paraId="5C1F101A" w14:textId="77777777" w:rsidR="00152FB6" w:rsidRDefault="00152FB6" w:rsidP="000A03A5">
      <w:pPr>
        <w:ind w:left="851"/>
        <w:rPr>
          <w:i/>
          <w:sz w:val="24"/>
          <w:szCs w:val="24"/>
        </w:rPr>
      </w:pPr>
    </w:p>
    <w:p w14:paraId="68A71B91" w14:textId="472B1DB2" w:rsidR="00FD425A" w:rsidRPr="00390D7F" w:rsidRDefault="00FD425A" w:rsidP="000A03A5">
      <w:pPr>
        <w:ind w:left="851"/>
        <w:rPr>
          <w:i/>
          <w:sz w:val="24"/>
          <w:szCs w:val="24"/>
        </w:rPr>
      </w:pPr>
      <w:proofErr w:type="spellStart"/>
      <w:r w:rsidRPr="00390D7F">
        <w:rPr>
          <w:i/>
          <w:sz w:val="24"/>
          <w:szCs w:val="24"/>
        </w:rPr>
        <w:t>Karcinogenicitet</w:t>
      </w:r>
      <w:proofErr w:type="spellEnd"/>
    </w:p>
    <w:p w14:paraId="6DD974BF" w14:textId="77777777" w:rsidR="00FD425A" w:rsidRPr="00390D7F" w:rsidRDefault="00FD425A" w:rsidP="000A03A5">
      <w:pPr>
        <w:ind w:left="851"/>
        <w:rPr>
          <w:sz w:val="24"/>
          <w:szCs w:val="24"/>
        </w:rPr>
      </w:pPr>
      <w:r w:rsidRPr="00390D7F">
        <w:rPr>
          <w:sz w:val="24"/>
          <w:szCs w:val="24"/>
        </w:rPr>
        <w:t xml:space="preserve">I </w:t>
      </w:r>
      <w:proofErr w:type="spellStart"/>
      <w:r w:rsidRPr="00390D7F">
        <w:rPr>
          <w:sz w:val="24"/>
          <w:szCs w:val="24"/>
        </w:rPr>
        <w:t>karcinogenicitetsstudier</w:t>
      </w:r>
      <w:proofErr w:type="spellEnd"/>
      <w:r w:rsidRPr="00390D7F">
        <w:rPr>
          <w:sz w:val="24"/>
          <w:szCs w:val="24"/>
        </w:rPr>
        <w:t xml:space="preserve"> blev der observeret en øget </w:t>
      </w:r>
      <w:proofErr w:type="spellStart"/>
      <w:r w:rsidRPr="00390D7F">
        <w:rPr>
          <w:sz w:val="24"/>
          <w:szCs w:val="24"/>
        </w:rPr>
        <w:t>tumorincidens</w:t>
      </w:r>
      <w:proofErr w:type="spellEnd"/>
      <w:r w:rsidRPr="00390D7F">
        <w:rPr>
          <w:sz w:val="24"/>
          <w:szCs w:val="24"/>
        </w:rPr>
        <w:t xml:space="preserve"> i de </w:t>
      </w:r>
      <w:proofErr w:type="spellStart"/>
      <w:r w:rsidRPr="00390D7F">
        <w:rPr>
          <w:sz w:val="24"/>
          <w:szCs w:val="24"/>
        </w:rPr>
        <w:t>interstitielle</w:t>
      </w:r>
      <w:proofErr w:type="spellEnd"/>
      <w:r w:rsidRPr="00390D7F">
        <w:rPr>
          <w:sz w:val="24"/>
          <w:szCs w:val="24"/>
        </w:rPr>
        <w:t xml:space="preserve"> celler i testes. Relevansen af denne observation for mennesker er ikke klar.</w:t>
      </w:r>
    </w:p>
    <w:p w14:paraId="6F43451B" w14:textId="77777777" w:rsidR="009260DE" w:rsidRPr="00390D7F" w:rsidRDefault="009260DE" w:rsidP="009260DE">
      <w:pPr>
        <w:tabs>
          <w:tab w:val="left" w:pos="851"/>
        </w:tabs>
        <w:ind w:left="851"/>
        <w:rPr>
          <w:sz w:val="24"/>
          <w:szCs w:val="24"/>
        </w:rPr>
      </w:pPr>
    </w:p>
    <w:p w14:paraId="02BF17D8" w14:textId="77777777" w:rsidR="009260DE" w:rsidRPr="00390D7F" w:rsidRDefault="009260DE" w:rsidP="009260DE">
      <w:pPr>
        <w:tabs>
          <w:tab w:val="left" w:pos="851"/>
        </w:tabs>
        <w:ind w:left="851"/>
        <w:rPr>
          <w:sz w:val="24"/>
          <w:szCs w:val="24"/>
        </w:rPr>
      </w:pPr>
    </w:p>
    <w:p w14:paraId="780276D5" w14:textId="77777777" w:rsidR="009260DE" w:rsidRPr="00390D7F" w:rsidRDefault="009260DE" w:rsidP="009260DE">
      <w:pPr>
        <w:tabs>
          <w:tab w:val="left" w:pos="851"/>
        </w:tabs>
        <w:ind w:left="851" w:hanging="851"/>
        <w:rPr>
          <w:b/>
          <w:sz w:val="24"/>
          <w:szCs w:val="24"/>
        </w:rPr>
      </w:pPr>
      <w:r w:rsidRPr="00390D7F">
        <w:rPr>
          <w:b/>
          <w:sz w:val="24"/>
          <w:szCs w:val="24"/>
        </w:rPr>
        <w:t>6.</w:t>
      </w:r>
      <w:r w:rsidRPr="00390D7F">
        <w:rPr>
          <w:b/>
          <w:sz w:val="24"/>
          <w:szCs w:val="24"/>
        </w:rPr>
        <w:tab/>
        <w:t>FARMACEUTISKE OPLYSNINGER</w:t>
      </w:r>
    </w:p>
    <w:p w14:paraId="1195C085" w14:textId="77777777" w:rsidR="009260DE" w:rsidRPr="00390D7F" w:rsidRDefault="009260DE" w:rsidP="009260DE">
      <w:pPr>
        <w:tabs>
          <w:tab w:val="left" w:pos="851"/>
        </w:tabs>
        <w:ind w:left="851"/>
        <w:rPr>
          <w:sz w:val="24"/>
          <w:szCs w:val="24"/>
        </w:rPr>
      </w:pPr>
    </w:p>
    <w:p w14:paraId="39077187" w14:textId="77777777" w:rsidR="009260DE" w:rsidRPr="00390D7F" w:rsidRDefault="009260DE" w:rsidP="009260DE">
      <w:pPr>
        <w:tabs>
          <w:tab w:val="left" w:pos="851"/>
        </w:tabs>
        <w:ind w:left="851" w:hanging="851"/>
        <w:rPr>
          <w:b/>
          <w:sz w:val="24"/>
          <w:szCs w:val="24"/>
        </w:rPr>
      </w:pPr>
      <w:r w:rsidRPr="00390D7F">
        <w:rPr>
          <w:b/>
          <w:sz w:val="24"/>
          <w:szCs w:val="24"/>
        </w:rPr>
        <w:t>6.1</w:t>
      </w:r>
      <w:r w:rsidRPr="00390D7F">
        <w:rPr>
          <w:b/>
          <w:sz w:val="24"/>
          <w:szCs w:val="24"/>
        </w:rPr>
        <w:tab/>
        <w:t>Hjælpestoffer</w:t>
      </w:r>
    </w:p>
    <w:p w14:paraId="36204A46" w14:textId="77777777" w:rsidR="00FD425A" w:rsidRPr="00390D7F" w:rsidRDefault="00FD425A" w:rsidP="000A03A5">
      <w:pPr>
        <w:ind w:left="851"/>
        <w:rPr>
          <w:sz w:val="24"/>
          <w:szCs w:val="24"/>
          <w:lang w:eastAsia="en-GB"/>
        </w:rPr>
      </w:pPr>
      <w:r w:rsidRPr="00390D7F">
        <w:rPr>
          <w:sz w:val="24"/>
          <w:szCs w:val="24"/>
        </w:rPr>
        <w:t xml:space="preserve">Hydrofob vandfri, kolloid </w:t>
      </w:r>
      <w:proofErr w:type="spellStart"/>
      <w:r w:rsidRPr="00390D7F">
        <w:rPr>
          <w:sz w:val="24"/>
          <w:szCs w:val="24"/>
        </w:rPr>
        <w:t>silica</w:t>
      </w:r>
      <w:proofErr w:type="spellEnd"/>
      <w:r w:rsidRPr="00390D7F">
        <w:rPr>
          <w:sz w:val="24"/>
          <w:szCs w:val="24"/>
        </w:rPr>
        <w:t xml:space="preserve"> </w:t>
      </w:r>
    </w:p>
    <w:p w14:paraId="0FCE3557" w14:textId="77777777" w:rsidR="00FD425A" w:rsidRPr="00390D7F" w:rsidRDefault="00FD425A" w:rsidP="000A03A5">
      <w:pPr>
        <w:ind w:left="851"/>
        <w:rPr>
          <w:sz w:val="24"/>
          <w:szCs w:val="24"/>
        </w:rPr>
      </w:pPr>
      <w:r w:rsidRPr="00390D7F">
        <w:rPr>
          <w:sz w:val="24"/>
          <w:szCs w:val="24"/>
        </w:rPr>
        <w:t>Mikrokrystallinsk cellulose</w:t>
      </w:r>
    </w:p>
    <w:p w14:paraId="74E0F490" w14:textId="77777777" w:rsidR="00FD425A" w:rsidRPr="00390D7F" w:rsidRDefault="00FD425A" w:rsidP="000A03A5">
      <w:pPr>
        <w:ind w:left="851"/>
        <w:rPr>
          <w:sz w:val="24"/>
          <w:szCs w:val="24"/>
        </w:rPr>
      </w:pPr>
      <w:r w:rsidRPr="00390D7F">
        <w:rPr>
          <w:sz w:val="24"/>
          <w:szCs w:val="24"/>
        </w:rPr>
        <w:t xml:space="preserve">Prægelatineret stivelse </w:t>
      </w:r>
    </w:p>
    <w:p w14:paraId="75132DB9" w14:textId="77777777" w:rsidR="00FD425A" w:rsidRPr="00390D7F" w:rsidRDefault="00FD425A" w:rsidP="000A03A5">
      <w:pPr>
        <w:ind w:left="851"/>
        <w:rPr>
          <w:sz w:val="24"/>
          <w:szCs w:val="24"/>
        </w:rPr>
      </w:pPr>
      <w:proofErr w:type="spellStart"/>
      <w:r w:rsidRPr="00390D7F">
        <w:rPr>
          <w:sz w:val="24"/>
          <w:szCs w:val="24"/>
        </w:rPr>
        <w:lastRenderedPageBreak/>
        <w:t>Magnesiumstearat</w:t>
      </w:r>
      <w:proofErr w:type="spellEnd"/>
    </w:p>
    <w:p w14:paraId="7BCE0452" w14:textId="77777777" w:rsidR="00FD425A" w:rsidRPr="00390D7F" w:rsidRDefault="00FD425A" w:rsidP="000A03A5">
      <w:pPr>
        <w:ind w:left="851"/>
        <w:rPr>
          <w:sz w:val="24"/>
          <w:szCs w:val="24"/>
        </w:rPr>
      </w:pPr>
      <w:r w:rsidRPr="00390D7F">
        <w:rPr>
          <w:sz w:val="24"/>
          <w:szCs w:val="24"/>
        </w:rPr>
        <w:t>Sunset Yellow FCF-Lake (E110)</w:t>
      </w:r>
    </w:p>
    <w:p w14:paraId="730B114C" w14:textId="77777777" w:rsidR="009260DE" w:rsidRPr="00390D7F" w:rsidRDefault="009260DE" w:rsidP="009260DE">
      <w:pPr>
        <w:tabs>
          <w:tab w:val="left" w:pos="851"/>
        </w:tabs>
        <w:ind w:left="851"/>
        <w:rPr>
          <w:sz w:val="24"/>
          <w:szCs w:val="24"/>
        </w:rPr>
      </w:pPr>
    </w:p>
    <w:p w14:paraId="0AA38739" w14:textId="77777777" w:rsidR="009260DE" w:rsidRPr="00390D7F" w:rsidRDefault="009260DE" w:rsidP="009260DE">
      <w:pPr>
        <w:tabs>
          <w:tab w:val="left" w:pos="851"/>
        </w:tabs>
        <w:ind w:left="851" w:hanging="851"/>
        <w:rPr>
          <w:b/>
          <w:sz w:val="24"/>
          <w:szCs w:val="24"/>
        </w:rPr>
      </w:pPr>
      <w:r w:rsidRPr="00390D7F">
        <w:rPr>
          <w:b/>
          <w:sz w:val="24"/>
          <w:szCs w:val="24"/>
        </w:rPr>
        <w:t>6.2</w:t>
      </w:r>
      <w:r w:rsidRPr="00390D7F">
        <w:rPr>
          <w:b/>
          <w:sz w:val="24"/>
          <w:szCs w:val="24"/>
        </w:rPr>
        <w:tab/>
        <w:t>Uforligeligheder</w:t>
      </w:r>
    </w:p>
    <w:p w14:paraId="4996BCF1" w14:textId="77777777" w:rsidR="00FD425A" w:rsidRPr="00390D7F" w:rsidRDefault="00FD425A" w:rsidP="000A03A5">
      <w:pPr>
        <w:ind w:left="851"/>
        <w:rPr>
          <w:sz w:val="24"/>
          <w:szCs w:val="24"/>
          <w:lang w:eastAsia="en-GB"/>
        </w:rPr>
      </w:pPr>
      <w:r w:rsidRPr="00390D7F">
        <w:rPr>
          <w:sz w:val="24"/>
          <w:szCs w:val="24"/>
        </w:rPr>
        <w:t>Ikke relevant.</w:t>
      </w:r>
    </w:p>
    <w:p w14:paraId="6A28BE0D" w14:textId="77777777" w:rsidR="009260DE" w:rsidRPr="00390D7F" w:rsidRDefault="009260DE" w:rsidP="009260DE">
      <w:pPr>
        <w:tabs>
          <w:tab w:val="left" w:pos="851"/>
        </w:tabs>
        <w:ind w:left="851"/>
        <w:rPr>
          <w:sz w:val="24"/>
          <w:szCs w:val="24"/>
        </w:rPr>
      </w:pPr>
    </w:p>
    <w:p w14:paraId="380FDF9A" w14:textId="77777777" w:rsidR="009260DE" w:rsidRPr="00390D7F" w:rsidRDefault="009260DE" w:rsidP="009260DE">
      <w:pPr>
        <w:tabs>
          <w:tab w:val="left" w:pos="851"/>
        </w:tabs>
        <w:ind w:left="851" w:hanging="851"/>
        <w:rPr>
          <w:b/>
          <w:sz w:val="24"/>
          <w:szCs w:val="24"/>
        </w:rPr>
      </w:pPr>
      <w:r w:rsidRPr="00390D7F">
        <w:rPr>
          <w:b/>
          <w:sz w:val="24"/>
          <w:szCs w:val="24"/>
        </w:rPr>
        <w:t>6.3</w:t>
      </w:r>
      <w:r w:rsidRPr="00390D7F">
        <w:rPr>
          <w:b/>
          <w:sz w:val="24"/>
          <w:szCs w:val="24"/>
        </w:rPr>
        <w:tab/>
        <w:t>Opbevaringstid</w:t>
      </w:r>
    </w:p>
    <w:p w14:paraId="490174F0" w14:textId="145D4EB3" w:rsidR="00077412" w:rsidRPr="00390D7F" w:rsidRDefault="00077412" w:rsidP="000A03A5">
      <w:pPr>
        <w:ind w:left="851"/>
        <w:rPr>
          <w:sz w:val="24"/>
          <w:szCs w:val="24"/>
          <w:lang w:eastAsia="en-GB"/>
        </w:rPr>
      </w:pPr>
      <w:r w:rsidRPr="00390D7F">
        <w:rPr>
          <w:sz w:val="24"/>
          <w:szCs w:val="24"/>
        </w:rPr>
        <w:t xml:space="preserve">I salgspakningen: </w:t>
      </w:r>
      <w:r w:rsidR="003A01B0">
        <w:rPr>
          <w:sz w:val="24"/>
          <w:szCs w:val="24"/>
        </w:rPr>
        <w:t>3</w:t>
      </w:r>
      <w:r w:rsidRPr="00390D7F">
        <w:rPr>
          <w:sz w:val="24"/>
          <w:szCs w:val="24"/>
        </w:rPr>
        <w:t> år</w:t>
      </w:r>
    </w:p>
    <w:p w14:paraId="211C4549" w14:textId="77777777" w:rsidR="00152FB6" w:rsidRDefault="00152FB6" w:rsidP="000A03A5">
      <w:pPr>
        <w:ind w:left="851"/>
        <w:rPr>
          <w:sz w:val="24"/>
          <w:szCs w:val="24"/>
        </w:rPr>
      </w:pPr>
    </w:p>
    <w:p w14:paraId="57F0061C" w14:textId="2EB99880" w:rsidR="00077412" w:rsidRPr="00390D7F" w:rsidRDefault="00077412" w:rsidP="000A03A5">
      <w:pPr>
        <w:ind w:left="851"/>
        <w:rPr>
          <w:sz w:val="24"/>
          <w:szCs w:val="24"/>
        </w:rPr>
      </w:pPr>
      <w:r w:rsidRPr="00390D7F">
        <w:rPr>
          <w:sz w:val="24"/>
          <w:szCs w:val="24"/>
        </w:rPr>
        <w:t>Efter anbrud af HDPE-beholderen: 100 dage.</w:t>
      </w:r>
    </w:p>
    <w:p w14:paraId="660128E9" w14:textId="77777777" w:rsidR="009260DE" w:rsidRPr="00390D7F" w:rsidRDefault="009260DE" w:rsidP="009260DE">
      <w:pPr>
        <w:tabs>
          <w:tab w:val="left" w:pos="851"/>
        </w:tabs>
        <w:ind w:left="851"/>
        <w:rPr>
          <w:sz w:val="24"/>
          <w:szCs w:val="24"/>
        </w:rPr>
      </w:pPr>
    </w:p>
    <w:p w14:paraId="558B5BB1" w14:textId="77777777" w:rsidR="009260DE" w:rsidRPr="00390D7F" w:rsidRDefault="009260DE" w:rsidP="009260DE">
      <w:pPr>
        <w:tabs>
          <w:tab w:val="left" w:pos="851"/>
        </w:tabs>
        <w:ind w:left="851" w:hanging="851"/>
        <w:rPr>
          <w:b/>
          <w:sz w:val="24"/>
          <w:szCs w:val="24"/>
        </w:rPr>
      </w:pPr>
      <w:r w:rsidRPr="00390D7F">
        <w:rPr>
          <w:b/>
          <w:sz w:val="24"/>
          <w:szCs w:val="24"/>
        </w:rPr>
        <w:t>6.4</w:t>
      </w:r>
      <w:r w:rsidRPr="00390D7F">
        <w:rPr>
          <w:b/>
          <w:sz w:val="24"/>
          <w:szCs w:val="24"/>
        </w:rPr>
        <w:tab/>
        <w:t>Særlige opbevaringsforhold</w:t>
      </w:r>
    </w:p>
    <w:p w14:paraId="63143D7C" w14:textId="77777777" w:rsidR="00077412" w:rsidRPr="00390D7F" w:rsidRDefault="00077412" w:rsidP="000A03A5">
      <w:pPr>
        <w:ind w:left="851"/>
        <w:rPr>
          <w:sz w:val="24"/>
          <w:szCs w:val="24"/>
          <w:lang w:eastAsia="en-GB"/>
        </w:rPr>
      </w:pPr>
      <w:r w:rsidRPr="00390D7F">
        <w:rPr>
          <w:sz w:val="24"/>
          <w:szCs w:val="24"/>
        </w:rPr>
        <w:t>Pakning med HDPE-beholder: Dette lægemiddel kræver ingen særlige forholdsregler vedrørende opbevaringen.</w:t>
      </w:r>
    </w:p>
    <w:p w14:paraId="1A87B543" w14:textId="01D10CD0" w:rsidR="00077412" w:rsidRPr="00390D7F" w:rsidRDefault="00077412" w:rsidP="000A03A5">
      <w:pPr>
        <w:ind w:left="851"/>
        <w:rPr>
          <w:sz w:val="24"/>
          <w:szCs w:val="24"/>
        </w:rPr>
      </w:pPr>
      <w:r w:rsidRPr="00390D7F">
        <w:rPr>
          <w:sz w:val="24"/>
          <w:szCs w:val="24"/>
        </w:rPr>
        <w:t>Blisterpakning: Opbevares ved temperaturer under 25 </w:t>
      </w:r>
      <w:r w:rsidR="003801C9">
        <w:rPr>
          <w:sz w:val="24"/>
          <w:szCs w:val="24"/>
        </w:rPr>
        <w:t>°</w:t>
      </w:r>
      <w:r w:rsidRPr="00390D7F">
        <w:rPr>
          <w:sz w:val="24"/>
          <w:szCs w:val="24"/>
        </w:rPr>
        <w:t>C</w:t>
      </w:r>
    </w:p>
    <w:p w14:paraId="46051E0A" w14:textId="77777777" w:rsidR="009260DE" w:rsidRPr="00390D7F" w:rsidRDefault="009260DE" w:rsidP="009260DE">
      <w:pPr>
        <w:tabs>
          <w:tab w:val="left" w:pos="851"/>
        </w:tabs>
        <w:ind w:left="851"/>
        <w:rPr>
          <w:sz w:val="24"/>
          <w:szCs w:val="24"/>
        </w:rPr>
      </w:pPr>
    </w:p>
    <w:p w14:paraId="4D5E332F" w14:textId="77777777" w:rsidR="009260DE" w:rsidRPr="00390D7F" w:rsidRDefault="009260DE" w:rsidP="009260DE">
      <w:pPr>
        <w:tabs>
          <w:tab w:val="left" w:pos="851"/>
        </w:tabs>
        <w:ind w:left="851" w:hanging="851"/>
        <w:rPr>
          <w:b/>
          <w:sz w:val="24"/>
          <w:szCs w:val="24"/>
        </w:rPr>
      </w:pPr>
      <w:r w:rsidRPr="00390D7F">
        <w:rPr>
          <w:b/>
          <w:sz w:val="24"/>
          <w:szCs w:val="24"/>
        </w:rPr>
        <w:t>6.5</w:t>
      </w:r>
      <w:r w:rsidRPr="00390D7F">
        <w:rPr>
          <w:b/>
          <w:sz w:val="24"/>
          <w:szCs w:val="24"/>
        </w:rPr>
        <w:tab/>
        <w:t>Emballagetype og pakningsstørrelser</w:t>
      </w:r>
    </w:p>
    <w:p w14:paraId="091460E1" w14:textId="677A6478" w:rsidR="00077412" w:rsidRPr="00390D7F" w:rsidRDefault="00077412" w:rsidP="003A01B0">
      <w:pPr>
        <w:ind w:left="851"/>
        <w:rPr>
          <w:sz w:val="24"/>
          <w:szCs w:val="24"/>
        </w:rPr>
      </w:pPr>
      <w:proofErr w:type="spellStart"/>
      <w:r w:rsidRPr="00390D7F">
        <w:rPr>
          <w:sz w:val="24"/>
          <w:szCs w:val="24"/>
        </w:rPr>
        <w:t>Midodrine</w:t>
      </w:r>
      <w:proofErr w:type="spellEnd"/>
      <w:r w:rsidRPr="00390D7F">
        <w:rPr>
          <w:sz w:val="24"/>
          <w:szCs w:val="24"/>
        </w:rPr>
        <w:t xml:space="preserve"> </w:t>
      </w:r>
      <w:r w:rsidR="00A6464A">
        <w:rPr>
          <w:sz w:val="24"/>
          <w:szCs w:val="24"/>
        </w:rPr>
        <w:t>"</w:t>
      </w:r>
      <w:proofErr w:type="spellStart"/>
      <w:r w:rsidR="00A6464A">
        <w:rPr>
          <w:sz w:val="24"/>
          <w:szCs w:val="24"/>
        </w:rPr>
        <w:t>Tillomed</w:t>
      </w:r>
      <w:proofErr w:type="spellEnd"/>
      <w:r w:rsidR="00A6464A">
        <w:rPr>
          <w:sz w:val="24"/>
          <w:szCs w:val="24"/>
        </w:rPr>
        <w:t>"</w:t>
      </w:r>
      <w:r w:rsidRPr="00390D7F">
        <w:rPr>
          <w:sz w:val="24"/>
          <w:szCs w:val="24"/>
        </w:rPr>
        <w:t xml:space="preserve"> fås i pakningsstørrelser, der indeholder 100</w:t>
      </w:r>
      <w:r w:rsidR="003801C9">
        <w:rPr>
          <w:sz w:val="24"/>
          <w:szCs w:val="24"/>
        </w:rPr>
        <w:t>×</w:t>
      </w:r>
      <w:r w:rsidRPr="00390D7F">
        <w:rPr>
          <w:sz w:val="24"/>
          <w:szCs w:val="24"/>
        </w:rPr>
        <w:t>1 tabletter i perforerede enkeltdosis blisterpakninger af PVC/PVDC/aluminium</w:t>
      </w:r>
      <w:r w:rsidR="003A01B0">
        <w:rPr>
          <w:sz w:val="24"/>
          <w:szCs w:val="24"/>
        </w:rPr>
        <w:t xml:space="preserve"> og </w:t>
      </w:r>
      <w:proofErr w:type="spellStart"/>
      <w:r w:rsidR="003A01B0">
        <w:rPr>
          <w:sz w:val="24"/>
          <w:szCs w:val="24"/>
        </w:rPr>
        <w:t>Alu</w:t>
      </w:r>
      <w:proofErr w:type="spellEnd"/>
      <w:r w:rsidR="003A01B0">
        <w:rPr>
          <w:sz w:val="24"/>
          <w:szCs w:val="24"/>
        </w:rPr>
        <w:t>/</w:t>
      </w:r>
      <w:proofErr w:type="spellStart"/>
      <w:r w:rsidR="003A01B0">
        <w:rPr>
          <w:sz w:val="24"/>
          <w:szCs w:val="24"/>
        </w:rPr>
        <w:t>Alu</w:t>
      </w:r>
      <w:proofErr w:type="spellEnd"/>
      <w:r w:rsidRPr="00390D7F">
        <w:rPr>
          <w:sz w:val="24"/>
          <w:szCs w:val="24"/>
        </w:rPr>
        <w:t xml:space="preserve">.  </w:t>
      </w:r>
    </w:p>
    <w:p w14:paraId="529398F7" w14:textId="77777777" w:rsidR="00152FB6" w:rsidRDefault="00152FB6" w:rsidP="000A03A5">
      <w:pPr>
        <w:ind w:left="851"/>
        <w:rPr>
          <w:sz w:val="24"/>
          <w:szCs w:val="24"/>
        </w:rPr>
      </w:pPr>
      <w:bookmarkStart w:id="2" w:name="_GoBack"/>
      <w:bookmarkEnd w:id="2"/>
    </w:p>
    <w:p w14:paraId="6DD55A59" w14:textId="549AD2BE" w:rsidR="00077412" w:rsidRPr="00390D7F" w:rsidRDefault="00077412" w:rsidP="000A03A5">
      <w:pPr>
        <w:ind w:left="851"/>
        <w:rPr>
          <w:sz w:val="24"/>
          <w:szCs w:val="24"/>
        </w:rPr>
      </w:pPr>
      <w:r w:rsidRPr="00390D7F">
        <w:rPr>
          <w:sz w:val="24"/>
          <w:szCs w:val="24"/>
        </w:rPr>
        <w:t>Det fås også i</w:t>
      </w:r>
      <w:r w:rsidRPr="00390D7F">
        <w:rPr>
          <w:b/>
          <w:i/>
          <w:sz w:val="24"/>
          <w:szCs w:val="24"/>
        </w:rPr>
        <w:t xml:space="preserve"> </w:t>
      </w:r>
      <w:r w:rsidRPr="00390D7F">
        <w:rPr>
          <w:sz w:val="24"/>
          <w:szCs w:val="24"/>
        </w:rPr>
        <w:t>en pakning med en HDPE-beholder (</w:t>
      </w:r>
      <w:proofErr w:type="spellStart"/>
      <w:r w:rsidRPr="00390D7F">
        <w:rPr>
          <w:sz w:val="24"/>
          <w:szCs w:val="24"/>
        </w:rPr>
        <w:t>polyethylen</w:t>
      </w:r>
      <w:proofErr w:type="spellEnd"/>
      <w:r w:rsidRPr="00390D7F">
        <w:rPr>
          <w:sz w:val="24"/>
          <w:szCs w:val="24"/>
        </w:rPr>
        <w:t xml:space="preserve"> med høj densitet) med 100 tabletter.</w:t>
      </w:r>
    </w:p>
    <w:p w14:paraId="3CDBE1CF" w14:textId="77777777" w:rsidR="009260DE" w:rsidRPr="00390D7F" w:rsidRDefault="009260DE" w:rsidP="009260DE">
      <w:pPr>
        <w:tabs>
          <w:tab w:val="left" w:pos="851"/>
        </w:tabs>
        <w:ind w:left="851"/>
        <w:rPr>
          <w:sz w:val="24"/>
          <w:szCs w:val="24"/>
        </w:rPr>
      </w:pPr>
    </w:p>
    <w:p w14:paraId="5A729FB5" w14:textId="77777777" w:rsidR="009260DE" w:rsidRPr="00390D7F" w:rsidRDefault="009260DE" w:rsidP="009260DE">
      <w:pPr>
        <w:tabs>
          <w:tab w:val="left" w:pos="851"/>
        </w:tabs>
        <w:ind w:left="851" w:hanging="851"/>
        <w:rPr>
          <w:b/>
          <w:sz w:val="24"/>
          <w:szCs w:val="24"/>
        </w:rPr>
      </w:pPr>
      <w:r w:rsidRPr="00390D7F">
        <w:rPr>
          <w:b/>
          <w:sz w:val="24"/>
          <w:szCs w:val="24"/>
        </w:rPr>
        <w:t>6.6</w:t>
      </w:r>
      <w:r w:rsidRPr="00390D7F">
        <w:rPr>
          <w:b/>
          <w:sz w:val="24"/>
          <w:szCs w:val="24"/>
        </w:rPr>
        <w:tab/>
        <w:t xml:space="preserve">Regler for </w:t>
      </w:r>
      <w:r w:rsidR="00BD7931" w:rsidRPr="00390D7F">
        <w:rPr>
          <w:b/>
          <w:sz w:val="24"/>
          <w:szCs w:val="24"/>
        </w:rPr>
        <w:t>bortskaffelse</w:t>
      </w:r>
      <w:r w:rsidRPr="00390D7F">
        <w:rPr>
          <w:b/>
          <w:sz w:val="24"/>
          <w:szCs w:val="24"/>
        </w:rPr>
        <w:t xml:space="preserve"> og anden håndtering</w:t>
      </w:r>
    </w:p>
    <w:p w14:paraId="0484457A" w14:textId="77777777" w:rsidR="00077412" w:rsidRPr="00390D7F" w:rsidRDefault="00077412" w:rsidP="000A03A5">
      <w:pPr>
        <w:ind w:left="851"/>
        <w:rPr>
          <w:sz w:val="24"/>
          <w:szCs w:val="24"/>
          <w:lang w:eastAsia="en-GB"/>
        </w:rPr>
      </w:pPr>
      <w:r w:rsidRPr="00390D7F">
        <w:rPr>
          <w:sz w:val="24"/>
          <w:szCs w:val="24"/>
        </w:rPr>
        <w:t>Ingen særlige forholdsregler.</w:t>
      </w:r>
    </w:p>
    <w:p w14:paraId="2FF4B75F" w14:textId="77777777" w:rsidR="009260DE" w:rsidRPr="00390D7F" w:rsidRDefault="009260DE" w:rsidP="000730CA">
      <w:pPr>
        <w:tabs>
          <w:tab w:val="left" w:pos="851"/>
        </w:tabs>
        <w:ind w:left="851"/>
        <w:rPr>
          <w:sz w:val="24"/>
          <w:szCs w:val="24"/>
        </w:rPr>
      </w:pPr>
    </w:p>
    <w:p w14:paraId="5A2B71E1" w14:textId="77777777" w:rsidR="009260DE" w:rsidRPr="00390D7F" w:rsidRDefault="009260DE" w:rsidP="009260DE">
      <w:pPr>
        <w:tabs>
          <w:tab w:val="left" w:pos="851"/>
        </w:tabs>
        <w:ind w:left="851" w:hanging="851"/>
        <w:rPr>
          <w:b/>
          <w:sz w:val="24"/>
          <w:szCs w:val="24"/>
        </w:rPr>
      </w:pPr>
      <w:r w:rsidRPr="00390D7F">
        <w:rPr>
          <w:b/>
          <w:sz w:val="24"/>
          <w:szCs w:val="24"/>
        </w:rPr>
        <w:t>7.</w:t>
      </w:r>
      <w:r w:rsidRPr="00390D7F">
        <w:rPr>
          <w:b/>
          <w:sz w:val="24"/>
          <w:szCs w:val="24"/>
        </w:rPr>
        <w:tab/>
        <w:t>INDEHAVER AF MARKEDSFØRINGSTILLADELSEN</w:t>
      </w:r>
    </w:p>
    <w:p w14:paraId="6BA888DF" w14:textId="77777777" w:rsidR="00077412" w:rsidRPr="00390D7F" w:rsidRDefault="00077412" w:rsidP="000A03A5">
      <w:pPr>
        <w:ind w:left="851"/>
        <w:rPr>
          <w:sz w:val="24"/>
          <w:szCs w:val="24"/>
          <w:lang w:eastAsia="en-GB"/>
        </w:rPr>
      </w:pPr>
      <w:proofErr w:type="spellStart"/>
      <w:r w:rsidRPr="00390D7F">
        <w:rPr>
          <w:sz w:val="24"/>
          <w:szCs w:val="24"/>
        </w:rPr>
        <w:t>Tillomed</w:t>
      </w:r>
      <w:proofErr w:type="spellEnd"/>
      <w:r w:rsidRPr="00390D7F">
        <w:rPr>
          <w:sz w:val="24"/>
          <w:szCs w:val="24"/>
        </w:rPr>
        <w:t xml:space="preserve"> Pharma GmbH</w:t>
      </w:r>
    </w:p>
    <w:p w14:paraId="3B97D65D" w14:textId="77777777" w:rsidR="00077412" w:rsidRPr="00390D7F" w:rsidRDefault="00077412" w:rsidP="000A03A5">
      <w:pPr>
        <w:ind w:left="851"/>
        <w:rPr>
          <w:sz w:val="24"/>
          <w:szCs w:val="24"/>
        </w:rPr>
      </w:pPr>
      <w:proofErr w:type="spellStart"/>
      <w:r w:rsidRPr="00390D7F">
        <w:rPr>
          <w:sz w:val="24"/>
          <w:szCs w:val="24"/>
        </w:rPr>
        <w:t>Mittelstraße</w:t>
      </w:r>
      <w:proofErr w:type="spellEnd"/>
      <w:r w:rsidRPr="00390D7F">
        <w:rPr>
          <w:sz w:val="24"/>
          <w:szCs w:val="24"/>
        </w:rPr>
        <w:t xml:space="preserve"> 5/5a</w:t>
      </w:r>
    </w:p>
    <w:p w14:paraId="4B07714C" w14:textId="77777777" w:rsidR="00077412" w:rsidRPr="00390D7F" w:rsidRDefault="00077412" w:rsidP="000A03A5">
      <w:pPr>
        <w:ind w:left="851"/>
        <w:rPr>
          <w:sz w:val="24"/>
          <w:szCs w:val="24"/>
        </w:rPr>
      </w:pPr>
      <w:r w:rsidRPr="00390D7F">
        <w:rPr>
          <w:sz w:val="24"/>
          <w:szCs w:val="24"/>
        </w:rPr>
        <w:t xml:space="preserve">12529 </w:t>
      </w:r>
      <w:proofErr w:type="spellStart"/>
      <w:r w:rsidRPr="00390D7F">
        <w:rPr>
          <w:sz w:val="24"/>
          <w:szCs w:val="24"/>
        </w:rPr>
        <w:t>Schönefeld</w:t>
      </w:r>
      <w:proofErr w:type="spellEnd"/>
    </w:p>
    <w:p w14:paraId="77923D55" w14:textId="77777777" w:rsidR="00077412" w:rsidRPr="00390D7F" w:rsidRDefault="00077412" w:rsidP="000A03A5">
      <w:pPr>
        <w:ind w:left="851"/>
        <w:rPr>
          <w:sz w:val="24"/>
          <w:szCs w:val="24"/>
        </w:rPr>
      </w:pPr>
      <w:r w:rsidRPr="00390D7F">
        <w:rPr>
          <w:sz w:val="24"/>
          <w:szCs w:val="24"/>
        </w:rPr>
        <w:t>Tyskland</w:t>
      </w:r>
    </w:p>
    <w:p w14:paraId="4FBCB1AF" w14:textId="036022B0" w:rsidR="009260DE" w:rsidRDefault="009260DE" w:rsidP="000A03A5">
      <w:pPr>
        <w:ind w:left="851"/>
        <w:rPr>
          <w:sz w:val="24"/>
          <w:szCs w:val="24"/>
        </w:rPr>
      </w:pPr>
    </w:p>
    <w:p w14:paraId="3E8FCD32" w14:textId="77777777" w:rsidR="00641C65" w:rsidRPr="00390D7F" w:rsidRDefault="00641C65" w:rsidP="009260DE">
      <w:pPr>
        <w:tabs>
          <w:tab w:val="left" w:pos="851"/>
        </w:tabs>
        <w:ind w:left="851"/>
        <w:rPr>
          <w:sz w:val="24"/>
          <w:szCs w:val="24"/>
        </w:rPr>
      </w:pPr>
      <w:r w:rsidRPr="00390D7F">
        <w:rPr>
          <w:b/>
          <w:sz w:val="24"/>
          <w:szCs w:val="24"/>
        </w:rPr>
        <w:t>Repræsentant</w:t>
      </w:r>
    </w:p>
    <w:p w14:paraId="3086B787" w14:textId="77777777" w:rsidR="00077412" w:rsidRPr="00390D7F" w:rsidRDefault="00077412" w:rsidP="000A03A5">
      <w:pPr>
        <w:ind w:left="851"/>
        <w:rPr>
          <w:sz w:val="24"/>
          <w:szCs w:val="24"/>
          <w:lang w:eastAsia="en-GB"/>
        </w:rPr>
      </w:pPr>
      <w:r w:rsidRPr="00390D7F">
        <w:rPr>
          <w:sz w:val="24"/>
          <w:szCs w:val="24"/>
        </w:rPr>
        <w:t>FrostPharma AB</w:t>
      </w:r>
    </w:p>
    <w:p w14:paraId="3B3B7548" w14:textId="77777777" w:rsidR="00077412" w:rsidRPr="00390D7F" w:rsidRDefault="00077412" w:rsidP="000A03A5">
      <w:pPr>
        <w:ind w:left="851"/>
        <w:rPr>
          <w:sz w:val="24"/>
          <w:szCs w:val="24"/>
        </w:rPr>
      </w:pPr>
      <w:proofErr w:type="spellStart"/>
      <w:r w:rsidRPr="00390D7F">
        <w:rPr>
          <w:sz w:val="24"/>
          <w:szCs w:val="24"/>
        </w:rPr>
        <w:t>Berga</w:t>
      </w:r>
      <w:proofErr w:type="spellEnd"/>
      <w:r w:rsidRPr="00390D7F">
        <w:rPr>
          <w:sz w:val="24"/>
          <w:szCs w:val="24"/>
        </w:rPr>
        <w:t xml:space="preserve"> </w:t>
      </w:r>
      <w:proofErr w:type="spellStart"/>
      <w:r w:rsidRPr="00390D7F">
        <w:rPr>
          <w:sz w:val="24"/>
          <w:szCs w:val="24"/>
        </w:rPr>
        <w:t>backe</w:t>
      </w:r>
      <w:proofErr w:type="spellEnd"/>
      <w:r w:rsidRPr="00390D7F">
        <w:rPr>
          <w:sz w:val="24"/>
          <w:szCs w:val="24"/>
        </w:rPr>
        <w:t xml:space="preserve"> 2</w:t>
      </w:r>
    </w:p>
    <w:p w14:paraId="730F30AE" w14:textId="77777777" w:rsidR="00077412" w:rsidRPr="00390D7F" w:rsidRDefault="00077412" w:rsidP="000A03A5">
      <w:pPr>
        <w:ind w:left="851"/>
        <w:rPr>
          <w:sz w:val="24"/>
          <w:szCs w:val="24"/>
        </w:rPr>
      </w:pPr>
      <w:r w:rsidRPr="00390D7F">
        <w:rPr>
          <w:sz w:val="24"/>
          <w:szCs w:val="24"/>
        </w:rPr>
        <w:t xml:space="preserve">182 53 </w:t>
      </w:r>
      <w:proofErr w:type="spellStart"/>
      <w:r w:rsidRPr="00390D7F">
        <w:rPr>
          <w:sz w:val="24"/>
          <w:szCs w:val="24"/>
        </w:rPr>
        <w:t>Danderyd</w:t>
      </w:r>
      <w:proofErr w:type="spellEnd"/>
    </w:p>
    <w:p w14:paraId="28CB8823" w14:textId="77777777" w:rsidR="00077412" w:rsidRPr="00390D7F" w:rsidRDefault="00077412" w:rsidP="000A03A5">
      <w:pPr>
        <w:ind w:left="851"/>
        <w:rPr>
          <w:sz w:val="24"/>
          <w:szCs w:val="24"/>
        </w:rPr>
      </w:pPr>
      <w:r w:rsidRPr="00390D7F">
        <w:rPr>
          <w:sz w:val="24"/>
          <w:szCs w:val="24"/>
        </w:rPr>
        <w:t>Sverige</w:t>
      </w:r>
    </w:p>
    <w:p w14:paraId="33D5D89F" w14:textId="77777777" w:rsidR="00641C65" w:rsidRPr="00390D7F" w:rsidRDefault="00641C65" w:rsidP="000A03A5">
      <w:pPr>
        <w:ind w:left="851"/>
        <w:rPr>
          <w:sz w:val="24"/>
          <w:szCs w:val="24"/>
        </w:rPr>
      </w:pPr>
    </w:p>
    <w:p w14:paraId="2DE4192A" w14:textId="77777777" w:rsidR="009260DE" w:rsidRPr="00390D7F" w:rsidRDefault="009260DE" w:rsidP="009260DE">
      <w:pPr>
        <w:tabs>
          <w:tab w:val="left" w:pos="851"/>
        </w:tabs>
        <w:ind w:left="851" w:hanging="851"/>
        <w:rPr>
          <w:b/>
          <w:sz w:val="24"/>
          <w:szCs w:val="24"/>
        </w:rPr>
      </w:pPr>
      <w:r w:rsidRPr="00390D7F">
        <w:rPr>
          <w:b/>
          <w:sz w:val="24"/>
          <w:szCs w:val="24"/>
        </w:rPr>
        <w:t>8.</w:t>
      </w:r>
      <w:r w:rsidRPr="00390D7F">
        <w:rPr>
          <w:b/>
          <w:sz w:val="24"/>
          <w:szCs w:val="24"/>
        </w:rPr>
        <w:tab/>
        <w:t>MARKEDSFØRINGSTILLADELSESNUMMER (</w:t>
      </w:r>
      <w:r w:rsidR="00BF6243" w:rsidRPr="00390D7F">
        <w:rPr>
          <w:b/>
          <w:sz w:val="24"/>
          <w:szCs w:val="24"/>
        </w:rPr>
        <w:t>-</w:t>
      </w:r>
      <w:r w:rsidRPr="00390D7F">
        <w:rPr>
          <w:b/>
          <w:sz w:val="24"/>
          <w:szCs w:val="24"/>
        </w:rPr>
        <w:t>NUMRE)</w:t>
      </w:r>
    </w:p>
    <w:p w14:paraId="22A62C16" w14:textId="67BFC132" w:rsidR="009260DE" w:rsidRPr="00390D7F" w:rsidRDefault="00077412" w:rsidP="009260DE">
      <w:pPr>
        <w:tabs>
          <w:tab w:val="left" w:pos="851"/>
        </w:tabs>
        <w:ind w:left="851"/>
        <w:rPr>
          <w:sz w:val="24"/>
          <w:szCs w:val="24"/>
        </w:rPr>
      </w:pPr>
      <w:r w:rsidRPr="00390D7F">
        <w:rPr>
          <w:sz w:val="24"/>
          <w:szCs w:val="24"/>
        </w:rPr>
        <w:t>68335</w:t>
      </w:r>
    </w:p>
    <w:p w14:paraId="5BF61AF0" w14:textId="77777777" w:rsidR="009260DE" w:rsidRPr="00390D7F" w:rsidRDefault="009260DE" w:rsidP="009260DE">
      <w:pPr>
        <w:tabs>
          <w:tab w:val="left" w:pos="851"/>
        </w:tabs>
        <w:ind w:left="851"/>
        <w:jc w:val="both"/>
        <w:rPr>
          <w:sz w:val="24"/>
          <w:szCs w:val="24"/>
        </w:rPr>
      </w:pPr>
    </w:p>
    <w:p w14:paraId="0B7445F4" w14:textId="77777777" w:rsidR="009260DE" w:rsidRPr="00390D7F" w:rsidRDefault="009260DE" w:rsidP="009260DE">
      <w:pPr>
        <w:tabs>
          <w:tab w:val="left" w:pos="851"/>
        </w:tabs>
        <w:ind w:left="851" w:hanging="851"/>
        <w:rPr>
          <w:b/>
          <w:sz w:val="24"/>
          <w:szCs w:val="24"/>
        </w:rPr>
      </w:pPr>
      <w:r w:rsidRPr="00390D7F">
        <w:rPr>
          <w:b/>
          <w:sz w:val="24"/>
          <w:szCs w:val="24"/>
        </w:rPr>
        <w:t>9.</w:t>
      </w:r>
      <w:r w:rsidRPr="00390D7F">
        <w:rPr>
          <w:b/>
          <w:sz w:val="24"/>
          <w:szCs w:val="24"/>
        </w:rPr>
        <w:tab/>
        <w:t>DATO FOR FØRSTE MARKEDSFØRINGSTILLADELSE</w:t>
      </w:r>
    </w:p>
    <w:p w14:paraId="06AC502D" w14:textId="2994C521" w:rsidR="009260DE" w:rsidRPr="00390D7F" w:rsidRDefault="00C470DA" w:rsidP="009260DE">
      <w:pPr>
        <w:tabs>
          <w:tab w:val="left" w:pos="851"/>
        </w:tabs>
        <w:ind w:left="851"/>
        <w:rPr>
          <w:sz w:val="24"/>
          <w:szCs w:val="24"/>
        </w:rPr>
      </w:pPr>
      <w:r>
        <w:rPr>
          <w:sz w:val="24"/>
          <w:szCs w:val="24"/>
        </w:rPr>
        <w:t>21. september 2023</w:t>
      </w:r>
    </w:p>
    <w:p w14:paraId="1B8C7A1C" w14:textId="77777777" w:rsidR="009260DE" w:rsidRPr="00390D7F" w:rsidRDefault="009260DE" w:rsidP="009260DE">
      <w:pPr>
        <w:tabs>
          <w:tab w:val="left" w:pos="851"/>
        </w:tabs>
        <w:ind w:left="851"/>
        <w:rPr>
          <w:sz w:val="24"/>
          <w:szCs w:val="24"/>
        </w:rPr>
      </w:pPr>
    </w:p>
    <w:p w14:paraId="77353AA4" w14:textId="77777777" w:rsidR="009260DE" w:rsidRPr="00390D7F" w:rsidRDefault="009260DE" w:rsidP="009260DE">
      <w:pPr>
        <w:tabs>
          <w:tab w:val="left" w:pos="851"/>
        </w:tabs>
        <w:ind w:left="851" w:hanging="851"/>
        <w:rPr>
          <w:b/>
          <w:sz w:val="24"/>
          <w:szCs w:val="24"/>
        </w:rPr>
      </w:pPr>
      <w:r w:rsidRPr="00390D7F">
        <w:rPr>
          <w:b/>
          <w:sz w:val="24"/>
          <w:szCs w:val="24"/>
        </w:rPr>
        <w:t>10.</w:t>
      </w:r>
      <w:r w:rsidRPr="00390D7F">
        <w:rPr>
          <w:b/>
          <w:sz w:val="24"/>
          <w:szCs w:val="24"/>
        </w:rPr>
        <w:tab/>
        <w:t>DATO FOR ÆNDRING AF TEKSTEN</w:t>
      </w:r>
    </w:p>
    <w:p w14:paraId="5017A7CE" w14:textId="59477FF8" w:rsidR="009260DE" w:rsidRPr="00390D7F" w:rsidRDefault="00077412" w:rsidP="009260DE">
      <w:pPr>
        <w:tabs>
          <w:tab w:val="left" w:pos="851"/>
        </w:tabs>
        <w:ind w:left="851"/>
        <w:rPr>
          <w:sz w:val="24"/>
          <w:szCs w:val="24"/>
        </w:rPr>
      </w:pPr>
      <w:r w:rsidRPr="00390D7F">
        <w:rPr>
          <w:sz w:val="24"/>
          <w:szCs w:val="24"/>
        </w:rPr>
        <w:t>-</w:t>
      </w:r>
    </w:p>
    <w:sectPr w:rsidR="009260DE" w:rsidRPr="00390D7F"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09EA5" w14:textId="77777777" w:rsidR="00112928" w:rsidRDefault="00112928">
      <w:r>
        <w:separator/>
      </w:r>
    </w:p>
  </w:endnote>
  <w:endnote w:type="continuationSeparator" w:id="0">
    <w:p w14:paraId="243C9B77" w14:textId="77777777" w:rsidR="00112928" w:rsidRDefault="00112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AAE38" w14:textId="77777777" w:rsidR="000259B9" w:rsidRDefault="000259B9">
    <w:pPr>
      <w:pStyle w:val="Sidefod"/>
      <w:pBdr>
        <w:bottom w:val="single" w:sz="6" w:space="1" w:color="auto"/>
      </w:pBdr>
    </w:pPr>
  </w:p>
  <w:p w14:paraId="355A8066" w14:textId="77777777" w:rsidR="000259B9" w:rsidRDefault="000259B9" w:rsidP="00C42586">
    <w:pPr>
      <w:pStyle w:val="Sidefod"/>
      <w:tabs>
        <w:tab w:val="clear" w:pos="4819"/>
        <w:tab w:val="left" w:pos="8505"/>
      </w:tabs>
      <w:rPr>
        <w:i/>
        <w:sz w:val="18"/>
        <w:szCs w:val="18"/>
      </w:rPr>
    </w:pPr>
  </w:p>
  <w:p w14:paraId="6BFC8BAA" w14:textId="6801C60F"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434DBF">
      <w:rPr>
        <w:i/>
        <w:noProof/>
        <w:sz w:val="18"/>
        <w:szCs w:val="18"/>
      </w:rPr>
      <w:t>Midodrine Tillomed, tabletter 5 mg.docx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951DFB" w14:textId="77777777" w:rsidR="00112928" w:rsidRDefault="00112928">
      <w:r>
        <w:separator/>
      </w:r>
    </w:p>
  </w:footnote>
  <w:footnote w:type="continuationSeparator" w:id="0">
    <w:p w14:paraId="2F5AB4F0" w14:textId="77777777" w:rsidR="00112928" w:rsidRDefault="001129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9A26E45"/>
    <w:multiLevelType w:val="hybridMultilevel"/>
    <w:tmpl w:val="1C24066E"/>
    <w:lvl w:ilvl="0" w:tplc="0409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92139F1"/>
    <w:multiLevelType w:val="hybridMultilevel"/>
    <w:tmpl w:val="2DD810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928"/>
    <w:rsid w:val="000074DD"/>
    <w:rsid w:val="000259B9"/>
    <w:rsid w:val="00041491"/>
    <w:rsid w:val="00050D16"/>
    <w:rsid w:val="000730CA"/>
    <w:rsid w:val="00073786"/>
    <w:rsid w:val="00074F2A"/>
    <w:rsid w:val="00077412"/>
    <w:rsid w:val="000A03A5"/>
    <w:rsid w:val="000A1CA8"/>
    <w:rsid w:val="000A466B"/>
    <w:rsid w:val="000B058C"/>
    <w:rsid w:val="000D68B0"/>
    <w:rsid w:val="000E4EE6"/>
    <w:rsid w:val="00112928"/>
    <w:rsid w:val="001454E2"/>
    <w:rsid w:val="00152FB6"/>
    <w:rsid w:val="00174897"/>
    <w:rsid w:val="00206CE8"/>
    <w:rsid w:val="0021526C"/>
    <w:rsid w:val="002561DA"/>
    <w:rsid w:val="00283A2B"/>
    <w:rsid w:val="002B30AD"/>
    <w:rsid w:val="002C1EC0"/>
    <w:rsid w:val="002C2C01"/>
    <w:rsid w:val="003801C9"/>
    <w:rsid w:val="00390D7F"/>
    <w:rsid w:val="003A01B0"/>
    <w:rsid w:val="003A29AE"/>
    <w:rsid w:val="003A32D7"/>
    <w:rsid w:val="003B4074"/>
    <w:rsid w:val="003C769A"/>
    <w:rsid w:val="003D3A90"/>
    <w:rsid w:val="003F1838"/>
    <w:rsid w:val="004251C1"/>
    <w:rsid w:val="00434DBF"/>
    <w:rsid w:val="0045746C"/>
    <w:rsid w:val="0049104B"/>
    <w:rsid w:val="004E3B12"/>
    <w:rsid w:val="00532310"/>
    <w:rsid w:val="00565F0F"/>
    <w:rsid w:val="00594A86"/>
    <w:rsid w:val="00596D86"/>
    <w:rsid w:val="00637F5A"/>
    <w:rsid w:val="00641C65"/>
    <w:rsid w:val="006560B1"/>
    <w:rsid w:val="006756DD"/>
    <w:rsid w:val="0071241E"/>
    <w:rsid w:val="00725D7C"/>
    <w:rsid w:val="00737275"/>
    <w:rsid w:val="00740EEC"/>
    <w:rsid w:val="0078011A"/>
    <w:rsid w:val="00782AF4"/>
    <w:rsid w:val="00790EE7"/>
    <w:rsid w:val="007B6649"/>
    <w:rsid w:val="0082576E"/>
    <w:rsid w:val="0089346F"/>
    <w:rsid w:val="00907F75"/>
    <w:rsid w:val="009260DE"/>
    <w:rsid w:val="0093258A"/>
    <w:rsid w:val="00936E13"/>
    <w:rsid w:val="009C7BA3"/>
    <w:rsid w:val="009D1F5A"/>
    <w:rsid w:val="00A10294"/>
    <w:rsid w:val="00A6464A"/>
    <w:rsid w:val="00B003BF"/>
    <w:rsid w:val="00B373D7"/>
    <w:rsid w:val="00B55271"/>
    <w:rsid w:val="00BD7931"/>
    <w:rsid w:val="00BF6243"/>
    <w:rsid w:val="00C36276"/>
    <w:rsid w:val="00C42586"/>
    <w:rsid w:val="00C45F6B"/>
    <w:rsid w:val="00C470DA"/>
    <w:rsid w:val="00C60CCD"/>
    <w:rsid w:val="00C84483"/>
    <w:rsid w:val="00C95551"/>
    <w:rsid w:val="00CB20D7"/>
    <w:rsid w:val="00D020B0"/>
    <w:rsid w:val="00D11748"/>
    <w:rsid w:val="00D237F6"/>
    <w:rsid w:val="00D34D98"/>
    <w:rsid w:val="00D366CF"/>
    <w:rsid w:val="00D91934"/>
    <w:rsid w:val="00D93992"/>
    <w:rsid w:val="00E108AA"/>
    <w:rsid w:val="00E3749A"/>
    <w:rsid w:val="00E7437F"/>
    <w:rsid w:val="00E865B8"/>
    <w:rsid w:val="00EC0B9B"/>
    <w:rsid w:val="00ED5E9F"/>
    <w:rsid w:val="00F66D4F"/>
    <w:rsid w:val="00FB6D01"/>
    <w:rsid w:val="00FD425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7AA244"/>
  <w15:chartTrackingRefBased/>
  <w15:docId w15:val="{3699853F-CDBF-4E40-B27E-C95A32343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NormalWeb">
    <w:name w:val="Normal (Web)"/>
    <w:basedOn w:val="Normal"/>
    <w:semiHidden/>
    <w:unhideWhenUsed/>
    <w:rsid w:val="00936E13"/>
    <w:pPr>
      <w:spacing w:before="100" w:beforeAutospacing="1" w:after="100" w:afterAutospacing="1"/>
    </w:pPr>
    <w:rPr>
      <w:sz w:val="24"/>
      <w:szCs w:val="24"/>
    </w:rPr>
  </w:style>
  <w:style w:type="paragraph" w:styleId="Normalindrykning">
    <w:name w:val="Normal Indent"/>
    <w:basedOn w:val="Normal"/>
    <w:uiPriority w:val="99"/>
    <w:semiHidden/>
    <w:unhideWhenUsed/>
    <w:rsid w:val="00936E13"/>
    <w:pPr>
      <w:spacing w:after="120"/>
      <w:ind w:left="720"/>
    </w:pPr>
    <w:rPr>
      <w:sz w:val="22"/>
      <w:lang w:eastAsia="en-GB"/>
    </w:rPr>
  </w:style>
  <w:style w:type="paragraph" w:customStyle="1" w:styleId="Default">
    <w:name w:val="Default"/>
    <w:rsid w:val="00936E13"/>
    <w:pPr>
      <w:autoSpaceDE w:val="0"/>
      <w:autoSpaceDN w:val="0"/>
      <w:adjustRightInd w:val="0"/>
    </w:pPr>
    <w:rPr>
      <w:color w:val="000000"/>
      <w:sz w:val="24"/>
      <w:szCs w:val="24"/>
      <w:lang w:eastAsia="en-IE"/>
    </w:rPr>
  </w:style>
  <w:style w:type="character" w:styleId="Hyperlink">
    <w:name w:val="Hyperlink"/>
    <w:basedOn w:val="Standardskrifttypeiafsnit"/>
    <w:uiPriority w:val="99"/>
    <w:semiHidden/>
    <w:unhideWhenUsed/>
    <w:rsid w:val="00FD425A"/>
    <w:rPr>
      <w:color w:val="0000FF"/>
      <w:u w:val="single"/>
    </w:rPr>
  </w:style>
  <w:style w:type="paragraph" w:styleId="Listeafsnit">
    <w:name w:val="List Paragraph"/>
    <w:basedOn w:val="Normal"/>
    <w:uiPriority w:val="34"/>
    <w:qFormat/>
    <w:rsid w:val="000A03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2856">
      <w:bodyDiv w:val="1"/>
      <w:marLeft w:val="0"/>
      <w:marRight w:val="0"/>
      <w:marTop w:val="0"/>
      <w:marBottom w:val="0"/>
      <w:divBdr>
        <w:top w:val="none" w:sz="0" w:space="0" w:color="auto"/>
        <w:left w:val="none" w:sz="0" w:space="0" w:color="auto"/>
        <w:bottom w:val="none" w:sz="0" w:space="0" w:color="auto"/>
        <w:right w:val="none" w:sz="0" w:space="0" w:color="auto"/>
      </w:divBdr>
    </w:div>
    <w:div w:id="3377718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3639715">
      <w:bodyDiv w:val="1"/>
      <w:marLeft w:val="0"/>
      <w:marRight w:val="0"/>
      <w:marTop w:val="0"/>
      <w:marBottom w:val="0"/>
      <w:divBdr>
        <w:top w:val="none" w:sz="0" w:space="0" w:color="auto"/>
        <w:left w:val="none" w:sz="0" w:space="0" w:color="auto"/>
        <w:bottom w:val="none" w:sz="0" w:space="0" w:color="auto"/>
        <w:right w:val="none" w:sz="0" w:space="0" w:color="auto"/>
      </w:divBdr>
    </w:div>
    <w:div w:id="296687173">
      <w:bodyDiv w:val="1"/>
      <w:marLeft w:val="0"/>
      <w:marRight w:val="0"/>
      <w:marTop w:val="0"/>
      <w:marBottom w:val="0"/>
      <w:divBdr>
        <w:top w:val="none" w:sz="0" w:space="0" w:color="auto"/>
        <w:left w:val="none" w:sz="0" w:space="0" w:color="auto"/>
        <w:bottom w:val="none" w:sz="0" w:space="0" w:color="auto"/>
        <w:right w:val="none" w:sz="0" w:space="0" w:color="auto"/>
      </w:divBdr>
    </w:div>
    <w:div w:id="366296894">
      <w:bodyDiv w:val="1"/>
      <w:marLeft w:val="0"/>
      <w:marRight w:val="0"/>
      <w:marTop w:val="0"/>
      <w:marBottom w:val="0"/>
      <w:divBdr>
        <w:top w:val="none" w:sz="0" w:space="0" w:color="auto"/>
        <w:left w:val="none" w:sz="0" w:space="0" w:color="auto"/>
        <w:bottom w:val="none" w:sz="0" w:space="0" w:color="auto"/>
        <w:right w:val="none" w:sz="0" w:space="0" w:color="auto"/>
      </w:divBdr>
    </w:div>
    <w:div w:id="520320152">
      <w:bodyDiv w:val="1"/>
      <w:marLeft w:val="0"/>
      <w:marRight w:val="0"/>
      <w:marTop w:val="0"/>
      <w:marBottom w:val="0"/>
      <w:divBdr>
        <w:top w:val="none" w:sz="0" w:space="0" w:color="auto"/>
        <w:left w:val="none" w:sz="0" w:space="0" w:color="auto"/>
        <w:bottom w:val="none" w:sz="0" w:space="0" w:color="auto"/>
        <w:right w:val="none" w:sz="0" w:space="0" w:color="auto"/>
      </w:divBdr>
    </w:div>
    <w:div w:id="653871545">
      <w:bodyDiv w:val="1"/>
      <w:marLeft w:val="0"/>
      <w:marRight w:val="0"/>
      <w:marTop w:val="0"/>
      <w:marBottom w:val="0"/>
      <w:divBdr>
        <w:top w:val="none" w:sz="0" w:space="0" w:color="auto"/>
        <w:left w:val="none" w:sz="0" w:space="0" w:color="auto"/>
        <w:bottom w:val="none" w:sz="0" w:space="0" w:color="auto"/>
        <w:right w:val="none" w:sz="0" w:space="0" w:color="auto"/>
      </w:divBdr>
    </w:div>
    <w:div w:id="711996238">
      <w:bodyDiv w:val="1"/>
      <w:marLeft w:val="0"/>
      <w:marRight w:val="0"/>
      <w:marTop w:val="0"/>
      <w:marBottom w:val="0"/>
      <w:divBdr>
        <w:top w:val="none" w:sz="0" w:space="0" w:color="auto"/>
        <w:left w:val="none" w:sz="0" w:space="0" w:color="auto"/>
        <w:bottom w:val="none" w:sz="0" w:space="0" w:color="auto"/>
        <w:right w:val="none" w:sz="0" w:space="0" w:color="auto"/>
      </w:divBdr>
    </w:div>
    <w:div w:id="712002376">
      <w:bodyDiv w:val="1"/>
      <w:marLeft w:val="0"/>
      <w:marRight w:val="0"/>
      <w:marTop w:val="0"/>
      <w:marBottom w:val="0"/>
      <w:divBdr>
        <w:top w:val="none" w:sz="0" w:space="0" w:color="auto"/>
        <w:left w:val="none" w:sz="0" w:space="0" w:color="auto"/>
        <w:bottom w:val="none" w:sz="0" w:space="0" w:color="auto"/>
        <w:right w:val="none" w:sz="0" w:space="0" w:color="auto"/>
      </w:divBdr>
    </w:div>
    <w:div w:id="763113821">
      <w:bodyDiv w:val="1"/>
      <w:marLeft w:val="0"/>
      <w:marRight w:val="0"/>
      <w:marTop w:val="0"/>
      <w:marBottom w:val="0"/>
      <w:divBdr>
        <w:top w:val="none" w:sz="0" w:space="0" w:color="auto"/>
        <w:left w:val="none" w:sz="0" w:space="0" w:color="auto"/>
        <w:bottom w:val="none" w:sz="0" w:space="0" w:color="auto"/>
        <w:right w:val="none" w:sz="0" w:space="0" w:color="auto"/>
      </w:divBdr>
    </w:div>
    <w:div w:id="1061178356">
      <w:bodyDiv w:val="1"/>
      <w:marLeft w:val="0"/>
      <w:marRight w:val="0"/>
      <w:marTop w:val="0"/>
      <w:marBottom w:val="0"/>
      <w:divBdr>
        <w:top w:val="none" w:sz="0" w:space="0" w:color="auto"/>
        <w:left w:val="none" w:sz="0" w:space="0" w:color="auto"/>
        <w:bottom w:val="none" w:sz="0" w:space="0" w:color="auto"/>
        <w:right w:val="none" w:sz="0" w:space="0" w:color="auto"/>
      </w:divBdr>
    </w:div>
    <w:div w:id="1327785019">
      <w:bodyDiv w:val="1"/>
      <w:marLeft w:val="0"/>
      <w:marRight w:val="0"/>
      <w:marTop w:val="0"/>
      <w:marBottom w:val="0"/>
      <w:divBdr>
        <w:top w:val="none" w:sz="0" w:space="0" w:color="auto"/>
        <w:left w:val="none" w:sz="0" w:space="0" w:color="auto"/>
        <w:bottom w:val="none" w:sz="0" w:space="0" w:color="auto"/>
        <w:right w:val="none" w:sz="0" w:space="0" w:color="auto"/>
      </w:divBdr>
    </w:div>
    <w:div w:id="1353919881">
      <w:bodyDiv w:val="1"/>
      <w:marLeft w:val="0"/>
      <w:marRight w:val="0"/>
      <w:marTop w:val="0"/>
      <w:marBottom w:val="0"/>
      <w:divBdr>
        <w:top w:val="none" w:sz="0" w:space="0" w:color="auto"/>
        <w:left w:val="none" w:sz="0" w:space="0" w:color="auto"/>
        <w:bottom w:val="none" w:sz="0" w:space="0" w:color="auto"/>
        <w:right w:val="none" w:sz="0" w:space="0" w:color="auto"/>
      </w:divBdr>
    </w:div>
    <w:div w:id="1516112399">
      <w:bodyDiv w:val="1"/>
      <w:marLeft w:val="0"/>
      <w:marRight w:val="0"/>
      <w:marTop w:val="0"/>
      <w:marBottom w:val="0"/>
      <w:divBdr>
        <w:top w:val="none" w:sz="0" w:space="0" w:color="auto"/>
        <w:left w:val="none" w:sz="0" w:space="0" w:color="auto"/>
        <w:bottom w:val="none" w:sz="0" w:space="0" w:color="auto"/>
        <w:right w:val="none" w:sz="0" w:space="0" w:color="auto"/>
      </w:divBdr>
    </w:div>
    <w:div w:id="1525050872">
      <w:bodyDiv w:val="1"/>
      <w:marLeft w:val="0"/>
      <w:marRight w:val="0"/>
      <w:marTop w:val="0"/>
      <w:marBottom w:val="0"/>
      <w:divBdr>
        <w:top w:val="none" w:sz="0" w:space="0" w:color="auto"/>
        <w:left w:val="none" w:sz="0" w:space="0" w:color="auto"/>
        <w:bottom w:val="none" w:sz="0" w:space="0" w:color="auto"/>
        <w:right w:val="none" w:sz="0" w:space="0" w:color="auto"/>
      </w:divBdr>
    </w:div>
    <w:div w:id="1690057680">
      <w:bodyDiv w:val="1"/>
      <w:marLeft w:val="0"/>
      <w:marRight w:val="0"/>
      <w:marTop w:val="0"/>
      <w:marBottom w:val="0"/>
      <w:divBdr>
        <w:top w:val="none" w:sz="0" w:space="0" w:color="auto"/>
        <w:left w:val="none" w:sz="0" w:space="0" w:color="auto"/>
        <w:bottom w:val="none" w:sz="0" w:space="0" w:color="auto"/>
        <w:right w:val="none" w:sz="0" w:space="0" w:color="auto"/>
      </w:divBdr>
    </w:div>
    <w:div w:id="1720399191">
      <w:bodyDiv w:val="1"/>
      <w:marLeft w:val="0"/>
      <w:marRight w:val="0"/>
      <w:marTop w:val="0"/>
      <w:marBottom w:val="0"/>
      <w:divBdr>
        <w:top w:val="none" w:sz="0" w:space="0" w:color="auto"/>
        <w:left w:val="none" w:sz="0" w:space="0" w:color="auto"/>
        <w:bottom w:val="none" w:sz="0" w:space="0" w:color="auto"/>
        <w:right w:val="none" w:sz="0" w:space="0" w:color="auto"/>
      </w:divBdr>
    </w:div>
    <w:div w:id="1828133159">
      <w:bodyDiv w:val="1"/>
      <w:marLeft w:val="0"/>
      <w:marRight w:val="0"/>
      <w:marTop w:val="0"/>
      <w:marBottom w:val="0"/>
      <w:divBdr>
        <w:top w:val="none" w:sz="0" w:space="0" w:color="auto"/>
        <w:left w:val="none" w:sz="0" w:space="0" w:color="auto"/>
        <w:bottom w:val="none" w:sz="0" w:space="0" w:color="auto"/>
        <w:right w:val="none" w:sz="0" w:space="0" w:color="auto"/>
      </w:divBdr>
    </w:div>
    <w:div w:id="1932279596">
      <w:bodyDiv w:val="1"/>
      <w:marLeft w:val="0"/>
      <w:marRight w:val="0"/>
      <w:marTop w:val="0"/>
      <w:marBottom w:val="0"/>
      <w:divBdr>
        <w:top w:val="none" w:sz="0" w:space="0" w:color="auto"/>
        <w:left w:val="none" w:sz="0" w:space="0" w:color="auto"/>
        <w:bottom w:val="none" w:sz="0" w:space="0" w:color="auto"/>
        <w:right w:val="none" w:sz="0" w:space="0" w:color="auto"/>
      </w:divBdr>
    </w:div>
    <w:div w:id="1938368747">
      <w:bodyDiv w:val="1"/>
      <w:marLeft w:val="0"/>
      <w:marRight w:val="0"/>
      <w:marTop w:val="0"/>
      <w:marBottom w:val="0"/>
      <w:divBdr>
        <w:top w:val="none" w:sz="0" w:space="0" w:color="auto"/>
        <w:left w:val="none" w:sz="0" w:space="0" w:color="auto"/>
        <w:bottom w:val="none" w:sz="0" w:space="0" w:color="auto"/>
        <w:right w:val="none" w:sz="0" w:space="0" w:color="auto"/>
      </w:divBdr>
    </w:div>
    <w:div w:id="1976717546">
      <w:bodyDiv w:val="1"/>
      <w:marLeft w:val="0"/>
      <w:marRight w:val="0"/>
      <w:marTop w:val="0"/>
      <w:marBottom w:val="0"/>
      <w:divBdr>
        <w:top w:val="none" w:sz="0" w:space="0" w:color="auto"/>
        <w:left w:val="none" w:sz="0" w:space="0" w:color="auto"/>
        <w:bottom w:val="none" w:sz="0" w:space="0" w:color="auto"/>
        <w:right w:val="none" w:sz="0" w:space="0" w:color="auto"/>
      </w:divBdr>
    </w:div>
    <w:div w:id="210595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0</TotalTime>
  <Pages>8</Pages>
  <Words>1970</Words>
  <Characters>13707</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Søndersted</dc:creator>
  <cp:keywords/>
  <dc:description>2024091225 pkt. 6.3 ændret fra 2 til 3 år samt pkt. 6.5</dc:description>
  <cp:lastModifiedBy>Helle Søndersted</cp:lastModifiedBy>
  <cp:revision>2</cp:revision>
  <cp:lastPrinted>2012-08-22T08:53:00Z</cp:lastPrinted>
  <dcterms:created xsi:type="dcterms:W3CDTF">2025-01-22T12:40:00Z</dcterms:created>
  <dcterms:modified xsi:type="dcterms:W3CDTF">2025-01-22T12:40:00Z</dcterms:modified>
</cp:coreProperties>
</file>