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211B" w14:textId="77777777" w:rsidR="009260DE" w:rsidRPr="008F49E1" w:rsidRDefault="0021526C" w:rsidP="004931E3">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249CFCF3" w14:textId="77777777" w:rsidR="009260DE" w:rsidRPr="00C84483" w:rsidRDefault="009260DE" w:rsidP="004931E3">
      <w:pPr>
        <w:pStyle w:val="Titel"/>
        <w:tabs>
          <w:tab w:val="right" w:pos="9356"/>
        </w:tabs>
        <w:jc w:val="left"/>
        <w:rPr>
          <w:b w:val="0"/>
          <w:szCs w:val="24"/>
          <w:lang w:eastAsia="en-US"/>
        </w:rPr>
      </w:pPr>
    </w:p>
    <w:p w14:paraId="35A0BE96" w14:textId="6E9118ED" w:rsidR="009260DE" w:rsidRPr="00C84483" w:rsidRDefault="009260DE" w:rsidP="004931E3">
      <w:pPr>
        <w:pStyle w:val="Titel"/>
        <w:tabs>
          <w:tab w:val="right" w:pos="9356"/>
        </w:tabs>
        <w:jc w:val="left"/>
        <w:rPr>
          <w:b w:val="0"/>
          <w:szCs w:val="24"/>
          <w:lang w:eastAsia="en-US"/>
        </w:rPr>
      </w:pPr>
      <w:r w:rsidRPr="00C84483">
        <w:rPr>
          <w:b w:val="0"/>
          <w:szCs w:val="24"/>
          <w:lang w:eastAsia="en-US"/>
        </w:rPr>
        <w:tab/>
      </w:r>
      <w:r w:rsidR="00D72509">
        <w:rPr>
          <w:szCs w:val="24"/>
        </w:rPr>
        <w:t>2</w:t>
      </w:r>
      <w:r w:rsidR="00D96347">
        <w:rPr>
          <w:szCs w:val="24"/>
        </w:rPr>
        <w:t>7</w:t>
      </w:r>
      <w:r w:rsidR="00D72509">
        <w:rPr>
          <w:szCs w:val="24"/>
        </w:rPr>
        <w:t>. oktober 2026</w:t>
      </w:r>
    </w:p>
    <w:p w14:paraId="72BC3ED4" w14:textId="77777777" w:rsidR="009260DE" w:rsidRPr="00C84483" w:rsidRDefault="009260DE" w:rsidP="004931E3">
      <w:pPr>
        <w:pStyle w:val="Titel"/>
        <w:tabs>
          <w:tab w:val="left" w:pos="8222"/>
        </w:tabs>
        <w:jc w:val="left"/>
        <w:rPr>
          <w:b w:val="0"/>
          <w:szCs w:val="24"/>
        </w:rPr>
      </w:pPr>
    </w:p>
    <w:p w14:paraId="3AC35004" w14:textId="77777777" w:rsidR="009260DE" w:rsidRPr="00C84483" w:rsidRDefault="009260DE" w:rsidP="004931E3">
      <w:pPr>
        <w:pStyle w:val="Titel"/>
        <w:jc w:val="left"/>
        <w:rPr>
          <w:b w:val="0"/>
          <w:szCs w:val="24"/>
        </w:rPr>
      </w:pPr>
    </w:p>
    <w:p w14:paraId="71E16CD0" w14:textId="77777777" w:rsidR="009260DE" w:rsidRPr="00C84483" w:rsidRDefault="009260DE" w:rsidP="004931E3">
      <w:pPr>
        <w:pStyle w:val="Titel"/>
        <w:jc w:val="left"/>
        <w:rPr>
          <w:b w:val="0"/>
          <w:szCs w:val="24"/>
        </w:rPr>
      </w:pPr>
    </w:p>
    <w:p w14:paraId="70184CB7" w14:textId="77777777" w:rsidR="009260DE" w:rsidRPr="00C84483" w:rsidRDefault="009260DE" w:rsidP="004931E3">
      <w:pPr>
        <w:jc w:val="center"/>
        <w:rPr>
          <w:b/>
          <w:sz w:val="24"/>
          <w:szCs w:val="24"/>
        </w:rPr>
      </w:pPr>
      <w:r w:rsidRPr="00C84483">
        <w:rPr>
          <w:b/>
          <w:sz w:val="24"/>
          <w:szCs w:val="24"/>
        </w:rPr>
        <w:t>PRODUKTRESUMÉ</w:t>
      </w:r>
    </w:p>
    <w:p w14:paraId="6F43EAB5" w14:textId="77777777" w:rsidR="009260DE" w:rsidRPr="00C84483" w:rsidRDefault="009260DE" w:rsidP="004931E3">
      <w:pPr>
        <w:jc w:val="center"/>
        <w:rPr>
          <w:b/>
          <w:sz w:val="24"/>
          <w:szCs w:val="24"/>
        </w:rPr>
      </w:pPr>
    </w:p>
    <w:p w14:paraId="1B90270E" w14:textId="77777777" w:rsidR="009260DE" w:rsidRDefault="009260DE" w:rsidP="004931E3">
      <w:pPr>
        <w:jc w:val="center"/>
        <w:rPr>
          <w:b/>
          <w:sz w:val="24"/>
          <w:szCs w:val="24"/>
        </w:rPr>
      </w:pPr>
      <w:r w:rsidRPr="00C84483">
        <w:rPr>
          <w:b/>
          <w:sz w:val="24"/>
          <w:szCs w:val="24"/>
        </w:rPr>
        <w:t>for</w:t>
      </w:r>
    </w:p>
    <w:p w14:paraId="0436FCF6" w14:textId="77777777" w:rsidR="000B058C" w:rsidRPr="00C84483" w:rsidRDefault="000B058C" w:rsidP="004931E3">
      <w:pPr>
        <w:jc w:val="center"/>
        <w:rPr>
          <w:b/>
          <w:sz w:val="24"/>
          <w:szCs w:val="24"/>
        </w:rPr>
      </w:pPr>
    </w:p>
    <w:p w14:paraId="4C9317AC" w14:textId="7ADB6BE8" w:rsidR="009260DE" w:rsidRPr="00C84483" w:rsidRDefault="00125CD0" w:rsidP="004931E3">
      <w:pPr>
        <w:jc w:val="center"/>
        <w:rPr>
          <w:b/>
          <w:sz w:val="24"/>
          <w:szCs w:val="24"/>
        </w:rPr>
      </w:pPr>
      <w:r>
        <w:rPr>
          <w:b/>
          <w:sz w:val="24"/>
          <w:szCs w:val="24"/>
        </w:rPr>
        <w:t>Mirabegron "Stada"</w:t>
      </w:r>
      <w:r w:rsidR="00542443">
        <w:rPr>
          <w:b/>
          <w:sz w:val="24"/>
          <w:szCs w:val="24"/>
        </w:rPr>
        <w:t>, depottabletter</w:t>
      </w:r>
      <w:r w:rsidR="00FC5B82">
        <w:rPr>
          <w:b/>
          <w:sz w:val="24"/>
          <w:szCs w:val="24"/>
        </w:rPr>
        <w:t xml:space="preserve"> 25 mg</w:t>
      </w:r>
    </w:p>
    <w:p w14:paraId="42000510" w14:textId="77777777" w:rsidR="009260DE" w:rsidRPr="00C84483" w:rsidRDefault="009260DE" w:rsidP="004931E3">
      <w:pPr>
        <w:jc w:val="both"/>
        <w:rPr>
          <w:sz w:val="24"/>
          <w:szCs w:val="24"/>
        </w:rPr>
      </w:pPr>
    </w:p>
    <w:p w14:paraId="15CF2004" w14:textId="77777777" w:rsidR="009260DE" w:rsidRPr="00C84483" w:rsidRDefault="009260DE" w:rsidP="004931E3">
      <w:pPr>
        <w:jc w:val="both"/>
        <w:rPr>
          <w:sz w:val="24"/>
          <w:szCs w:val="24"/>
        </w:rPr>
      </w:pPr>
    </w:p>
    <w:p w14:paraId="460BEDD4" w14:textId="77777777" w:rsidR="009260DE" w:rsidRPr="00C84483" w:rsidRDefault="009260DE" w:rsidP="004931E3">
      <w:pPr>
        <w:tabs>
          <w:tab w:val="left" w:pos="851"/>
        </w:tabs>
        <w:ind w:left="851" w:hanging="851"/>
        <w:rPr>
          <w:b/>
          <w:sz w:val="24"/>
          <w:szCs w:val="24"/>
        </w:rPr>
      </w:pPr>
      <w:r w:rsidRPr="00C84483">
        <w:rPr>
          <w:b/>
          <w:sz w:val="24"/>
          <w:szCs w:val="24"/>
        </w:rPr>
        <w:t>0.</w:t>
      </w:r>
      <w:r w:rsidRPr="00C84483">
        <w:rPr>
          <w:b/>
          <w:sz w:val="24"/>
          <w:szCs w:val="24"/>
        </w:rPr>
        <w:tab/>
        <w:t>D.SP.NR.</w:t>
      </w:r>
    </w:p>
    <w:p w14:paraId="52AFB694" w14:textId="26FC6A1F" w:rsidR="009260DE" w:rsidRPr="00C84483" w:rsidRDefault="00E371D5" w:rsidP="004931E3">
      <w:pPr>
        <w:tabs>
          <w:tab w:val="left" w:pos="851"/>
        </w:tabs>
        <w:ind w:left="851"/>
        <w:rPr>
          <w:sz w:val="24"/>
          <w:szCs w:val="24"/>
        </w:rPr>
      </w:pPr>
      <w:r>
        <w:rPr>
          <w:sz w:val="24"/>
          <w:szCs w:val="24"/>
        </w:rPr>
        <w:t>33</w:t>
      </w:r>
      <w:r w:rsidR="00125CD0">
        <w:rPr>
          <w:sz w:val="24"/>
          <w:szCs w:val="24"/>
        </w:rPr>
        <w:t>790</w:t>
      </w:r>
    </w:p>
    <w:p w14:paraId="39FC406E" w14:textId="77777777" w:rsidR="009260DE" w:rsidRPr="00C84483" w:rsidRDefault="009260DE" w:rsidP="004931E3">
      <w:pPr>
        <w:tabs>
          <w:tab w:val="left" w:pos="851"/>
        </w:tabs>
        <w:ind w:left="851"/>
        <w:rPr>
          <w:sz w:val="24"/>
          <w:szCs w:val="24"/>
        </w:rPr>
      </w:pPr>
    </w:p>
    <w:p w14:paraId="1D408EAF" w14:textId="77777777" w:rsidR="009260DE" w:rsidRPr="00C84483" w:rsidRDefault="009260DE" w:rsidP="004931E3">
      <w:pPr>
        <w:tabs>
          <w:tab w:val="left" w:pos="851"/>
        </w:tabs>
        <w:ind w:left="851" w:hanging="851"/>
        <w:rPr>
          <w:b/>
          <w:sz w:val="24"/>
          <w:szCs w:val="24"/>
        </w:rPr>
      </w:pPr>
      <w:r w:rsidRPr="00C84483">
        <w:rPr>
          <w:b/>
          <w:sz w:val="24"/>
          <w:szCs w:val="24"/>
        </w:rPr>
        <w:t>1.</w:t>
      </w:r>
      <w:r w:rsidRPr="00C84483">
        <w:rPr>
          <w:b/>
          <w:sz w:val="24"/>
          <w:szCs w:val="24"/>
        </w:rPr>
        <w:tab/>
        <w:t>LÆGEMIDLETS NAVN</w:t>
      </w:r>
    </w:p>
    <w:p w14:paraId="50AE976E" w14:textId="583FC72D" w:rsidR="009260DE" w:rsidRPr="00AC2B41" w:rsidRDefault="00125CD0" w:rsidP="004931E3">
      <w:pPr>
        <w:tabs>
          <w:tab w:val="left" w:pos="851"/>
        </w:tabs>
        <w:ind w:left="851"/>
        <w:rPr>
          <w:bCs/>
          <w:sz w:val="24"/>
          <w:szCs w:val="24"/>
        </w:rPr>
      </w:pPr>
      <w:r>
        <w:rPr>
          <w:bCs/>
          <w:sz w:val="24"/>
          <w:szCs w:val="24"/>
        </w:rPr>
        <w:t>Mirabegron "Stada"</w:t>
      </w:r>
    </w:p>
    <w:p w14:paraId="54F43838" w14:textId="77777777" w:rsidR="009260DE" w:rsidRPr="00C84483" w:rsidRDefault="009260DE" w:rsidP="004931E3">
      <w:pPr>
        <w:tabs>
          <w:tab w:val="left" w:pos="851"/>
        </w:tabs>
        <w:ind w:left="851"/>
        <w:rPr>
          <w:sz w:val="24"/>
          <w:szCs w:val="24"/>
        </w:rPr>
      </w:pPr>
    </w:p>
    <w:p w14:paraId="381D8D58" w14:textId="77777777" w:rsidR="009260DE" w:rsidRPr="00C84483" w:rsidRDefault="009260DE" w:rsidP="004931E3">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01F5D956" w14:textId="77777777" w:rsidR="00AC2B41" w:rsidRPr="00AC2B41" w:rsidRDefault="00AC2B41" w:rsidP="004931E3">
      <w:pPr>
        <w:tabs>
          <w:tab w:val="left" w:pos="851"/>
        </w:tabs>
        <w:ind w:left="851"/>
        <w:rPr>
          <w:sz w:val="24"/>
          <w:szCs w:val="24"/>
        </w:rPr>
      </w:pPr>
      <w:r w:rsidRPr="00AC2B41">
        <w:rPr>
          <w:sz w:val="24"/>
          <w:szCs w:val="24"/>
        </w:rPr>
        <w:t>Hver depottablet indeholder 25 mg mirabegron.</w:t>
      </w:r>
    </w:p>
    <w:p w14:paraId="4F9F59BC" w14:textId="77777777" w:rsidR="00AC2B41" w:rsidRPr="00AC2B41" w:rsidRDefault="00AC2B41" w:rsidP="004931E3">
      <w:pPr>
        <w:tabs>
          <w:tab w:val="left" w:pos="851"/>
        </w:tabs>
        <w:ind w:left="851"/>
        <w:rPr>
          <w:sz w:val="24"/>
          <w:szCs w:val="24"/>
        </w:rPr>
      </w:pPr>
    </w:p>
    <w:p w14:paraId="2F42628F" w14:textId="77777777" w:rsidR="00AC2B41" w:rsidRPr="00AC2B41" w:rsidRDefault="00AC2B41" w:rsidP="004931E3">
      <w:pPr>
        <w:tabs>
          <w:tab w:val="left" w:pos="851"/>
        </w:tabs>
        <w:ind w:left="851"/>
        <w:rPr>
          <w:sz w:val="24"/>
          <w:szCs w:val="24"/>
        </w:rPr>
      </w:pPr>
      <w:r w:rsidRPr="00AC2B41">
        <w:rPr>
          <w:sz w:val="24"/>
          <w:szCs w:val="24"/>
        </w:rPr>
        <w:t>Alle hjælpestoffer er anført under pkt. 6.1.</w:t>
      </w:r>
    </w:p>
    <w:p w14:paraId="608C5BAD" w14:textId="77777777" w:rsidR="009260DE" w:rsidRPr="00C84483" w:rsidRDefault="009260DE" w:rsidP="004931E3">
      <w:pPr>
        <w:tabs>
          <w:tab w:val="left" w:pos="851"/>
        </w:tabs>
        <w:ind w:left="851"/>
        <w:rPr>
          <w:sz w:val="24"/>
          <w:szCs w:val="24"/>
        </w:rPr>
      </w:pPr>
    </w:p>
    <w:p w14:paraId="03A5EA98" w14:textId="77777777" w:rsidR="009260DE" w:rsidRPr="00C84483" w:rsidRDefault="009260DE" w:rsidP="004931E3">
      <w:pPr>
        <w:tabs>
          <w:tab w:val="left" w:pos="851"/>
        </w:tabs>
        <w:ind w:left="851" w:hanging="851"/>
        <w:rPr>
          <w:b/>
          <w:sz w:val="24"/>
          <w:szCs w:val="24"/>
        </w:rPr>
      </w:pPr>
      <w:r w:rsidRPr="00C84483">
        <w:rPr>
          <w:b/>
          <w:sz w:val="24"/>
          <w:szCs w:val="24"/>
        </w:rPr>
        <w:t>3.</w:t>
      </w:r>
      <w:r w:rsidRPr="00C84483">
        <w:rPr>
          <w:b/>
          <w:sz w:val="24"/>
          <w:szCs w:val="24"/>
        </w:rPr>
        <w:tab/>
        <w:t>LÆGEMIDDELFORM</w:t>
      </w:r>
    </w:p>
    <w:p w14:paraId="7E2D7CF1" w14:textId="2DB3C84E" w:rsidR="00AC2B41" w:rsidRDefault="00AC2B41" w:rsidP="004931E3">
      <w:pPr>
        <w:tabs>
          <w:tab w:val="left" w:pos="851"/>
        </w:tabs>
        <w:ind w:left="851"/>
        <w:rPr>
          <w:sz w:val="24"/>
          <w:szCs w:val="24"/>
        </w:rPr>
      </w:pPr>
      <w:r w:rsidRPr="00AC2B41">
        <w:rPr>
          <w:sz w:val="24"/>
          <w:szCs w:val="24"/>
        </w:rPr>
        <w:t>Depottabletter</w:t>
      </w:r>
    </w:p>
    <w:p w14:paraId="6A4FD0C7" w14:textId="77777777" w:rsidR="00AC2B41" w:rsidRDefault="00AC2B41" w:rsidP="004931E3">
      <w:pPr>
        <w:tabs>
          <w:tab w:val="left" w:pos="851"/>
        </w:tabs>
        <w:ind w:left="851"/>
        <w:rPr>
          <w:sz w:val="24"/>
          <w:szCs w:val="24"/>
        </w:rPr>
      </w:pPr>
    </w:p>
    <w:p w14:paraId="014C3824" w14:textId="77777777" w:rsidR="00AC2B41" w:rsidRPr="00AC2B41" w:rsidRDefault="00AC2B41" w:rsidP="004931E3">
      <w:pPr>
        <w:tabs>
          <w:tab w:val="left" w:pos="851"/>
        </w:tabs>
        <w:ind w:left="851"/>
        <w:rPr>
          <w:sz w:val="24"/>
          <w:szCs w:val="24"/>
        </w:rPr>
      </w:pPr>
      <w:r w:rsidRPr="00AC2B41">
        <w:rPr>
          <w:sz w:val="24"/>
          <w:szCs w:val="24"/>
        </w:rPr>
        <w:t>Hvid eller næsten hvid, aflang (13 mm i længden og 6 mm i bredden), bikonveks depottablet præget med "l" på den ene side og glat på den anden side.</w:t>
      </w:r>
    </w:p>
    <w:p w14:paraId="2ED9AB8F" w14:textId="77777777" w:rsidR="009260DE" w:rsidRPr="00C84483" w:rsidRDefault="009260DE" w:rsidP="004931E3">
      <w:pPr>
        <w:tabs>
          <w:tab w:val="left" w:pos="851"/>
        </w:tabs>
        <w:ind w:left="851"/>
        <w:rPr>
          <w:sz w:val="24"/>
          <w:szCs w:val="24"/>
        </w:rPr>
      </w:pPr>
    </w:p>
    <w:p w14:paraId="6F97509B" w14:textId="77777777" w:rsidR="009260DE" w:rsidRPr="00C84483" w:rsidRDefault="009260DE" w:rsidP="004931E3">
      <w:pPr>
        <w:tabs>
          <w:tab w:val="left" w:pos="851"/>
        </w:tabs>
        <w:ind w:left="851"/>
        <w:rPr>
          <w:sz w:val="24"/>
          <w:szCs w:val="24"/>
        </w:rPr>
      </w:pPr>
    </w:p>
    <w:p w14:paraId="1AFC4B56" w14:textId="77777777" w:rsidR="009260DE" w:rsidRPr="00C84483" w:rsidRDefault="009260DE" w:rsidP="004931E3">
      <w:pPr>
        <w:tabs>
          <w:tab w:val="left" w:pos="851"/>
        </w:tabs>
        <w:ind w:left="851" w:hanging="851"/>
        <w:rPr>
          <w:b/>
          <w:sz w:val="24"/>
          <w:szCs w:val="24"/>
        </w:rPr>
      </w:pPr>
      <w:r w:rsidRPr="00C84483">
        <w:rPr>
          <w:b/>
          <w:sz w:val="24"/>
          <w:szCs w:val="24"/>
        </w:rPr>
        <w:t>4.</w:t>
      </w:r>
      <w:r w:rsidRPr="00C84483">
        <w:rPr>
          <w:b/>
          <w:sz w:val="24"/>
          <w:szCs w:val="24"/>
        </w:rPr>
        <w:tab/>
        <w:t>KLINISKE OPLYSNINGER</w:t>
      </w:r>
    </w:p>
    <w:p w14:paraId="5BE2F3FD" w14:textId="77777777" w:rsidR="009260DE" w:rsidRPr="00C84483" w:rsidRDefault="009260DE" w:rsidP="004931E3">
      <w:pPr>
        <w:tabs>
          <w:tab w:val="left" w:pos="851"/>
        </w:tabs>
        <w:ind w:left="851"/>
        <w:rPr>
          <w:b/>
          <w:sz w:val="24"/>
          <w:szCs w:val="24"/>
        </w:rPr>
      </w:pPr>
    </w:p>
    <w:p w14:paraId="2CB71145" w14:textId="77777777" w:rsidR="009260DE" w:rsidRPr="00C84483" w:rsidRDefault="009260DE" w:rsidP="004931E3">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42F02704" w14:textId="77777777" w:rsidR="00AC2B41" w:rsidRPr="00AC2B41" w:rsidRDefault="00AC2B41" w:rsidP="004931E3">
      <w:pPr>
        <w:tabs>
          <w:tab w:val="left" w:pos="851"/>
        </w:tabs>
        <w:ind w:left="851"/>
        <w:rPr>
          <w:b/>
          <w:sz w:val="24"/>
          <w:szCs w:val="24"/>
        </w:rPr>
      </w:pPr>
    </w:p>
    <w:p w14:paraId="3D91C902" w14:textId="77777777" w:rsidR="00AC2B41" w:rsidRPr="00AC2B41" w:rsidRDefault="00AC2B41" w:rsidP="004931E3">
      <w:pPr>
        <w:tabs>
          <w:tab w:val="left" w:pos="851"/>
        </w:tabs>
        <w:ind w:left="851"/>
        <w:rPr>
          <w:bCs/>
          <w:sz w:val="24"/>
          <w:szCs w:val="24"/>
          <w:u w:val="single"/>
        </w:rPr>
      </w:pPr>
      <w:r w:rsidRPr="00AC2B41">
        <w:rPr>
          <w:bCs/>
          <w:sz w:val="24"/>
          <w:szCs w:val="24"/>
          <w:u w:val="single"/>
        </w:rPr>
        <w:t>Overaktiv blære hos voksne</w:t>
      </w:r>
    </w:p>
    <w:p w14:paraId="540FB856" w14:textId="35E27607" w:rsidR="00AC2B41" w:rsidRPr="00AC2B41" w:rsidRDefault="00125CD0" w:rsidP="004931E3">
      <w:pPr>
        <w:tabs>
          <w:tab w:val="left" w:pos="851"/>
        </w:tabs>
        <w:ind w:left="851"/>
        <w:rPr>
          <w:bCs/>
          <w:sz w:val="24"/>
          <w:szCs w:val="24"/>
        </w:rPr>
      </w:pPr>
      <w:r>
        <w:rPr>
          <w:bCs/>
          <w:sz w:val="24"/>
          <w:szCs w:val="24"/>
        </w:rPr>
        <w:t>Mirabegron "Stada"</w:t>
      </w:r>
      <w:r w:rsidR="00AC2B41" w:rsidRPr="00AC2B41">
        <w:rPr>
          <w:bCs/>
          <w:sz w:val="24"/>
          <w:szCs w:val="24"/>
        </w:rPr>
        <w:t xml:space="preserve"> depottabletter er indiceret til symptomatisk behandling af imperiøs vandladning, øget vandladningshyppighed og/eller urge-inkontinens, som kan forekomme hos voksne patienter med</w:t>
      </w:r>
      <w:r w:rsidR="00AC2B41">
        <w:rPr>
          <w:bCs/>
          <w:sz w:val="24"/>
          <w:szCs w:val="24"/>
        </w:rPr>
        <w:t xml:space="preserve"> </w:t>
      </w:r>
      <w:r w:rsidR="00AC2B41" w:rsidRPr="00AC2B41">
        <w:rPr>
          <w:bCs/>
          <w:sz w:val="24"/>
          <w:szCs w:val="24"/>
        </w:rPr>
        <w:t>overaktiv blære-syndrom (OAB-syndrom).</w:t>
      </w:r>
    </w:p>
    <w:p w14:paraId="7A1F9CA5" w14:textId="77777777" w:rsidR="00AC2B41" w:rsidRPr="00AC2B41" w:rsidRDefault="00AC2B41" w:rsidP="004931E3">
      <w:pPr>
        <w:tabs>
          <w:tab w:val="left" w:pos="851"/>
        </w:tabs>
        <w:ind w:left="851"/>
        <w:rPr>
          <w:bCs/>
          <w:sz w:val="24"/>
          <w:szCs w:val="24"/>
          <w:u w:val="single"/>
        </w:rPr>
      </w:pPr>
    </w:p>
    <w:p w14:paraId="29C96B3E" w14:textId="77777777" w:rsidR="00AC2B41" w:rsidRPr="00AC2B41" w:rsidRDefault="00AC2B41" w:rsidP="004931E3">
      <w:pPr>
        <w:tabs>
          <w:tab w:val="left" w:pos="851"/>
        </w:tabs>
        <w:ind w:left="851"/>
        <w:rPr>
          <w:bCs/>
          <w:sz w:val="24"/>
          <w:szCs w:val="24"/>
          <w:u w:val="single"/>
        </w:rPr>
      </w:pPr>
      <w:r w:rsidRPr="00AC2B41">
        <w:rPr>
          <w:bCs/>
          <w:sz w:val="24"/>
          <w:szCs w:val="24"/>
          <w:u w:val="single"/>
        </w:rPr>
        <w:t>Neurogen detrusoroveraktivitet i den pædiatriske population</w:t>
      </w:r>
    </w:p>
    <w:p w14:paraId="2F23E265" w14:textId="0952941D" w:rsidR="00AC2B41" w:rsidRPr="00AC2B41" w:rsidRDefault="00125CD0" w:rsidP="004931E3">
      <w:pPr>
        <w:tabs>
          <w:tab w:val="left" w:pos="851"/>
        </w:tabs>
        <w:ind w:left="851"/>
        <w:rPr>
          <w:bCs/>
          <w:sz w:val="24"/>
          <w:szCs w:val="24"/>
        </w:rPr>
      </w:pPr>
      <w:r>
        <w:rPr>
          <w:bCs/>
          <w:sz w:val="24"/>
          <w:szCs w:val="24"/>
        </w:rPr>
        <w:t>Mirabegron "Stada"</w:t>
      </w:r>
      <w:r w:rsidR="00AC2B41" w:rsidRPr="00AC2B41">
        <w:rPr>
          <w:bCs/>
          <w:sz w:val="24"/>
          <w:szCs w:val="24"/>
        </w:rPr>
        <w:t xml:space="preserve"> depottabletter er indiceret til behandling af neurogen detrusoroveraktivitet (NDO) hos pædiatriske patienter i alderen 3 år til under 18 år.</w:t>
      </w:r>
    </w:p>
    <w:p w14:paraId="53A9BA1C" w14:textId="642EE2AC" w:rsidR="004931E3" w:rsidRDefault="004931E3" w:rsidP="004931E3">
      <w:pPr>
        <w:rPr>
          <w:sz w:val="24"/>
          <w:szCs w:val="24"/>
        </w:rPr>
      </w:pPr>
      <w:r>
        <w:rPr>
          <w:sz w:val="24"/>
          <w:szCs w:val="24"/>
        </w:rPr>
        <w:br w:type="page"/>
      </w:r>
    </w:p>
    <w:p w14:paraId="75BADBE3" w14:textId="77777777" w:rsidR="009260DE" w:rsidRPr="00C84483" w:rsidRDefault="009260DE" w:rsidP="004931E3">
      <w:pPr>
        <w:tabs>
          <w:tab w:val="left" w:pos="851"/>
        </w:tabs>
        <w:ind w:left="851"/>
        <w:rPr>
          <w:sz w:val="24"/>
          <w:szCs w:val="24"/>
        </w:rPr>
      </w:pPr>
    </w:p>
    <w:p w14:paraId="3155B2FE" w14:textId="77777777" w:rsidR="009260DE" w:rsidRPr="00C84483" w:rsidRDefault="009260DE" w:rsidP="004931E3">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6D54AAF1" w14:textId="77777777" w:rsidR="004931E3" w:rsidRDefault="004931E3" w:rsidP="004931E3">
      <w:pPr>
        <w:suppressAutoHyphens/>
        <w:autoSpaceDE w:val="0"/>
        <w:autoSpaceDN w:val="0"/>
        <w:adjustRightInd w:val="0"/>
        <w:ind w:left="851"/>
        <w:rPr>
          <w:rFonts w:eastAsia="MS Mincho"/>
          <w:color w:val="000000"/>
          <w:sz w:val="24"/>
          <w:szCs w:val="24"/>
          <w:u w:val="single"/>
          <w:lang w:eastAsia="fr-FR"/>
        </w:rPr>
      </w:pPr>
    </w:p>
    <w:p w14:paraId="475561B2" w14:textId="1C39B800" w:rsidR="004931E3" w:rsidRPr="004931E3" w:rsidRDefault="004931E3" w:rsidP="004931E3">
      <w:pPr>
        <w:suppressAutoHyphens/>
        <w:autoSpaceDE w:val="0"/>
        <w:autoSpaceDN w:val="0"/>
        <w:adjustRightInd w:val="0"/>
        <w:ind w:left="851"/>
        <w:rPr>
          <w:rFonts w:eastAsia="MS Mincho"/>
          <w:color w:val="000000"/>
          <w:sz w:val="24"/>
          <w:szCs w:val="24"/>
          <w:u w:val="single"/>
          <w:lang w:eastAsia="fr-FR"/>
        </w:rPr>
      </w:pPr>
      <w:r w:rsidRPr="004931E3">
        <w:rPr>
          <w:rFonts w:eastAsia="MS Mincho"/>
          <w:color w:val="000000"/>
          <w:sz w:val="24"/>
          <w:szCs w:val="24"/>
          <w:u w:val="single"/>
          <w:lang w:eastAsia="fr-FR"/>
        </w:rPr>
        <w:t>Dosering</w:t>
      </w:r>
      <w:r w:rsidRPr="004931E3">
        <w:rPr>
          <w:rFonts w:eastAsia="MS Mincho"/>
          <w:color w:val="000000"/>
          <w:sz w:val="24"/>
          <w:szCs w:val="24"/>
          <w:lang w:eastAsia="fr-FR"/>
        </w:rPr>
        <w:t xml:space="preserve"> </w:t>
      </w:r>
    </w:p>
    <w:p w14:paraId="3191CCB8"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41678DA1"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u w:val="single"/>
          <w:lang w:eastAsia="fr-FR"/>
        </w:rPr>
        <w:t>Overaktiv blære</w:t>
      </w:r>
      <w:r w:rsidRPr="004931E3">
        <w:rPr>
          <w:rFonts w:eastAsia="MS Mincho"/>
          <w:i/>
          <w:color w:val="000000"/>
          <w:sz w:val="24"/>
          <w:szCs w:val="24"/>
          <w:lang w:eastAsia="fr-FR"/>
        </w:rPr>
        <w:t xml:space="preserve"> </w:t>
      </w:r>
    </w:p>
    <w:p w14:paraId="3CB12AB6"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 </w:t>
      </w:r>
    </w:p>
    <w:p w14:paraId="73C05E0F"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Voksne (herunder ældre patienter)</w:t>
      </w:r>
      <w:r w:rsidRPr="004931E3">
        <w:rPr>
          <w:rFonts w:eastAsia="MS Mincho"/>
          <w:color w:val="000000"/>
          <w:sz w:val="24"/>
          <w:szCs w:val="24"/>
          <w:lang w:eastAsia="fr-FR"/>
        </w:rPr>
        <w:t xml:space="preserve"> </w:t>
      </w:r>
    </w:p>
    <w:p w14:paraId="35E54C67"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Den anbefalede dosering er 50 mg én gang dagligt. </w:t>
      </w:r>
    </w:p>
    <w:p w14:paraId="38B0D513"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72EB0294"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u w:val="single"/>
          <w:lang w:eastAsia="fr-FR"/>
        </w:rPr>
        <w:t>Neurogen detrusoroveraktivitet i den pædiatriske population</w:t>
      </w:r>
      <w:r w:rsidRPr="004931E3">
        <w:rPr>
          <w:rFonts w:eastAsia="MS Mincho"/>
          <w:i/>
          <w:color w:val="000000"/>
          <w:sz w:val="24"/>
          <w:szCs w:val="24"/>
          <w:lang w:eastAsia="fr-FR"/>
        </w:rPr>
        <w:t xml:space="preserve"> </w:t>
      </w:r>
    </w:p>
    <w:p w14:paraId="6F098449" w14:textId="0361E605" w:rsidR="00125CD0" w:rsidRPr="00125CD0" w:rsidRDefault="00125CD0" w:rsidP="00125CD0">
      <w:pPr>
        <w:ind w:left="851"/>
        <w:rPr>
          <w:sz w:val="24"/>
          <w:szCs w:val="24"/>
        </w:rPr>
      </w:pPr>
      <w:r w:rsidRPr="00125CD0">
        <w:rPr>
          <w:sz w:val="24"/>
          <w:szCs w:val="24"/>
        </w:rPr>
        <w:t xml:space="preserve">Pædiatriske patienter i alderen 3 til under 18 år med NDO kan få Mirabegron </w:t>
      </w:r>
      <w:r>
        <w:rPr>
          <w:sz w:val="24"/>
          <w:szCs w:val="24"/>
        </w:rPr>
        <w:t>"Stada"</w:t>
      </w:r>
      <w:r w:rsidRPr="00125CD0">
        <w:rPr>
          <w:sz w:val="24"/>
          <w:szCs w:val="24"/>
        </w:rPr>
        <w:t xml:space="preserve"> depottabletter eller et mirabegronholdigt lægemiddel i form af granulat til oral suspension med forlænget frigivelse, afhængigt af patientens legemsvægt. Depottabletterne kan gives til patienter, som vejer 35 kg eller mere. For patienter, der vejer under 35 kg, findes der andre mirabegron</w:t>
      </w:r>
      <w:r w:rsidRPr="00125CD0">
        <w:rPr>
          <w:sz w:val="24"/>
          <w:szCs w:val="24"/>
        </w:rPr>
        <w:noBreakHyphen/>
        <w:t xml:space="preserve">lægemidler end Mirabegron </w:t>
      </w:r>
      <w:r>
        <w:rPr>
          <w:sz w:val="24"/>
          <w:szCs w:val="24"/>
        </w:rPr>
        <w:t>"Stada"</w:t>
      </w:r>
      <w:r w:rsidRPr="00125CD0">
        <w:rPr>
          <w:sz w:val="24"/>
          <w:szCs w:val="24"/>
        </w:rPr>
        <w:t xml:space="preserve"> på markedet, og disse bør anvendes.</w:t>
      </w:r>
    </w:p>
    <w:p w14:paraId="768A2FBF" w14:textId="77777777" w:rsidR="004931E3" w:rsidRPr="00125CD0" w:rsidRDefault="004931E3" w:rsidP="00125CD0">
      <w:pPr>
        <w:suppressAutoHyphens/>
        <w:autoSpaceDE w:val="0"/>
        <w:autoSpaceDN w:val="0"/>
        <w:adjustRightInd w:val="0"/>
        <w:ind w:left="851"/>
        <w:rPr>
          <w:rFonts w:eastAsia="MS Mincho"/>
          <w:color w:val="000000"/>
          <w:sz w:val="24"/>
          <w:szCs w:val="24"/>
          <w:lang w:eastAsia="fr-FR"/>
        </w:rPr>
      </w:pPr>
    </w:p>
    <w:p w14:paraId="2E56A135" w14:textId="5FB59BC0"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Den anbefalede startdosis af </w:t>
      </w:r>
      <w:r w:rsidR="00125CD0">
        <w:rPr>
          <w:rFonts w:eastAsia="MS Mincho"/>
          <w:color w:val="000000"/>
          <w:sz w:val="24"/>
          <w:szCs w:val="24"/>
          <w:lang w:eastAsia="fr-FR"/>
        </w:rPr>
        <w:t>Mirabegron "Stada"</w:t>
      </w:r>
      <w:r w:rsidRPr="004931E3">
        <w:rPr>
          <w:rFonts w:eastAsia="MS Mincho"/>
          <w:color w:val="000000"/>
          <w:sz w:val="24"/>
          <w:szCs w:val="24"/>
          <w:lang w:eastAsia="fr-FR"/>
        </w:rPr>
        <w:t xml:space="preserve"> depottabletter er 25 mg én gang dagligt sammen med mad. Om nødvendigt kan dosis øges til en maksimal dosis på 50 mg én gang dagligt sammen med mad efter 4 til 8 uger. Under langtidsbehandling skal patienterne vurderes regelmæssigt med hensyn til, om behandlingen skal fortsætte, og for eventuel dosisjustering, mindst en gang om året eller hyppigere, hvis dette er indiceret. </w:t>
      </w:r>
    </w:p>
    <w:p w14:paraId="4C733A9B"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7B9C29AA"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u w:val="single"/>
          <w:lang w:eastAsia="fr-FR"/>
        </w:rPr>
        <w:t>Glemt dosis</w:t>
      </w:r>
      <w:r w:rsidRPr="004931E3">
        <w:rPr>
          <w:rFonts w:eastAsia="MS Mincho"/>
          <w:color w:val="000000"/>
          <w:sz w:val="24"/>
          <w:szCs w:val="24"/>
          <w:lang w:eastAsia="fr-FR"/>
        </w:rPr>
        <w:t xml:space="preserve"> </w:t>
      </w:r>
    </w:p>
    <w:p w14:paraId="1EDFFFA6" w14:textId="6D389E31"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Patienterne skal instrueres i at tage eventuelt glemte doser, medmindre der er gået mere end 12 timer siden den glemte dosis. Hvis der er gået mere end 12 timer, kan den glemte dosis springes over, og den næste dosis skal tages på det sædvanlige tidspunkt. </w:t>
      </w:r>
    </w:p>
    <w:p w14:paraId="125F43BF"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6BB6B1F4" w14:textId="77777777" w:rsidR="004931E3" w:rsidRPr="004931E3" w:rsidRDefault="004931E3" w:rsidP="004931E3">
      <w:pPr>
        <w:suppressAutoHyphens/>
        <w:autoSpaceDE w:val="0"/>
        <w:autoSpaceDN w:val="0"/>
        <w:adjustRightInd w:val="0"/>
        <w:ind w:left="851"/>
        <w:rPr>
          <w:rFonts w:eastAsia="MS Mincho"/>
          <w:color w:val="000000"/>
          <w:sz w:val="24"/>
          <w:szCs w:val="24"/>
          <w:u w:val="single"/>
          <w:lang w:eastAsia="fr-FR"/>
        </w:rPr>
      </w:pPr>
      <w:r w:rsidRPr="004931E3">
        <w:rPr>
          <w:rFonts w:eastAsia="MS Mincho"/>
          <w:color w:val="000000"/>
          <w:sz w:val="24"/>
          <w:szCs w:val="24"/>
          <w:u w:val="single"/>
          <w:lang w:eastAsia="fr-FR"/>
        </w:rPr>
        <w:t>Særlige populationer</w:t>
      </w:r>
      <w:r w:rsidRPr="004931E3">
        <w:rPr>
          <w:rFonts w:eastAsia="MS Mincho"/>
          <w:color w:val="000000"/>
          <w:sz w:val="24"/>
          <w:szCs w:val="24"/>
          <w:lang w:eastAsia="fr-FR"/>
        </w:rPr>
        <w:t xml:space="preserve"> </w:t>
      </w:r>
    </w:p>
    <w:p w14:paraId="5AD5C6FD"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563FC0BC"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Nedsat nyre- og leverfunktion </w:t>
      </w:r>
    </w:p>
    <w:p w14:paraId="66D1CA8E"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Mirabegron er ikke undersøgt hos patienter med nyresygdom i slutstadiet (</w:t>
      </w:r>
      <w:r w:rsidRPr="004931E3">
        <w:rPr>
          <w:rFonts w:eastAsia="MS Mincho"/>
          <w:i/>
          <w:color w:val="000000"/>
          <w:sz w:val="24"/>
          <w:szCs w:val="24"/>
          <w:lang w:eastAsia="fr-FR"/>
        </w:rPr>
        <w:t>end stage renal disease,</w:t>
      </w:r>
      <w:r w:rsidRPr="004931E3">
        <w:rPr>
          <w:rFonts w:eastAsia="MS Mincho"/>
          <w:color w:val="000000"/>
          <w:sz w:val="24"/>
          <w:szCs w:val="24"/>
          <w:lang w:eastAsia="fr-FR"/>
        </w:rPr>
        <w:t xml:space="preserve"> ESRD) (estimeret glomerulær filtrationshastighed (eGFR) &lt; 15 ml/min/1,73 m</w:t>
      </w:r>
      <w:r w:rsidRPr="004931E3">
        <w:rPr>
          <w:rFonts w:eastAsia="MS Mincho"/>
          <w:color w:val="000000"/>
          <w:sz w:val="24"/>
          <w:szCs w:val="24"/>
          <w:vertAlign w:val="superscript"/>
          <w:lang w:eastAsia="fr-FR"/>
        </w:rPr>
        <w:t>2</w:t>
      </w:r>
      <w:r w:rsidRPr="004931E3">
        <w:rPr>
          <w:rFonts w:eastAsia="MS Mincho"/>
          <w:color w:val="000000"/>
          <w:sz w:val="24"/>
          <w:szCs w:val="24"/>
          <w:lang w:eastAsia="fr-FR"/>
        </w:rPr>
        <w:t xml:space="preserve">), patienter med behov for hæmodialyse eller patienter med svært nedsat leverfunktion (Child-Pugh-klasse C) og frarådes derfor til disse patientpopulationer (se pkt. 4.4 og 5.2). </w:t>
      </w:r>
    </w:p>
    <w:p w14:paraId="195496C2"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 </w:t>
      </w:r>
    </w:p>
    <w:p w14:paraId="5D285CE7"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Nedenstående tabel angiver den anbefalede daglige dosering til voksne OAB-patienter med nedsat nyre- eller leverfunktion (se pkt. 4.4, 4.5 og 5.2). </w:t>
      </w:r>
    </w:p>
    <w:p w14:paraId="7080EE3F" w14:textId="77777777" w:rsidR="004931E3" w:rsidRPr="004931E3" w:rsidRDefault="004931E3" w:rsidP="004931E3">
      <w:pPr>
        <w:suppressAutoHyphens/>
        <w:autoSpaceDE w:val="0"/>
        <w:autoSpaceDN w:val="0"/>
        <w:adjustRightInd w:val="0"/>
        <w:rPr>
          <w:rFonts w:eastAsia="MS Mincho"/>
          <w:color w:val="000000"/>
          <w:sz w:val="22"/>
          <w:szCs w:val="22"/>
          <w:lang w:eastAsia="fr-FR"/>
        </w:rPr>
      </w:pPr>
      <w:r w:rsidRPr="004931E3">
        <w:rPr>
          <w:rFonts w:eastAsia="MS Mincho"/>
          <w:color w:val="000000"/>
          <w:sz w:val="22"/>
          <w:szCs w:val="22"/>
          <w:lang w:eastAsia="fr-FR"/>
        </w:rPr>
        <w:t xml:space="preserve"> </w:t>
      </w:r>
    </w:p>
    <w:p w14:paraId="1D40C90C" w14:textId="77777777" w:rsidR="004931E3" w:rsidRPr="004931E3" w:rsidRDefault="004931E3" w:rsidP="004931E3">
      <w:pPr>
        <w:suppressAutoHyphens/>
        <w:autoSpaceDE w:val="0"/>
        <w:autoSpaceDN w:val="0"/>
        <w:adjustRightInd w:val="0"/>
        <w:ind w:left="851"/>
        <w:rPr>
          <w:rFonts w:eastAsia="MS Mincho"/>
          <w:b/>
          <w:color w:val="000000"/>
          <w:sz w:val="22"/>
          <w:szCs w:val="22"/>
          <w:lang w:eastAsia="fr-FR"/>
        </w:rPr>
      </w:pPr>
      <w:r w:rsidRPr="004931E3">
        <w:rPr>
          <w:rFonts w:eastAsia="MS Mincho"/>
          <w:b/>
          <w:color w:val="000000"/>
          <w:sz w:val="22"/>
          <w:szCs w:val="22"/>
          <w:lang w:eastAsia="fr-FR"/>
        </w:rPr>
        <w:t xml:space="preserve">Tabel 1: Den anbefalede daglige dosering til voksne OAB-patienter med nedsat nyre- eller leverfunktion </w:t>
      </w:r>
      <w:r w:rsidRPr="004931E3">
        <w:rPr>
          <w:rFonts w:eastAsia="MS Mincho"/>
          <w:color w:val="000000"/>
          <w:sz w:val="22"/>
          <w:szCs w:val="22"/>
          <w:lang w:eastAsia="fr-FR"/>
        </w:rPr>
        <w:t xml:space="preserve"> </w:t>
      </w:r>
    </w:p>
    <w:tbl>
      <w:tblPr>
        <w:tblW w:w="9201" w:type="dxa"/>
        <w:tblInd w:w="846" w:type="dxa"/>
        <w:tblCellMar>
          <w:top w:w="56" w:type="dxa"/>
          <w:right w:w="115" w:type="dxa"/>
        </w:tblCellMar>
        <w:tblLook w:val="04A0" w:firstRow="1" w:lastRow="0" w:firstColumn="1" w:lastColumn="0" w:noHBand="0" w:noVBand="1"/>
      </w:tblPr>
      <w:tblGrid>
        <w:gridCol w:w="3236"/>
        <w:gridCol w:w="2520"/>
        <w:gridCol w:w="3445"/>
      </w:tblGrid>
      <w:tr w:rsidR="004931E3" w:rsidRPr="004931E3" w14:paraId="5A527EEA" w14:textId="77777777" w:rsidTr="004931E3">
        <w:trPr>
          <w:trHeight w:val="227"/>
        </w:trPr>
        <w:tc>
          <w:tcPr>
            <w:tcW w:w="323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vAlign w:val="center"/>
            <w:hideMark/>
          </w:tcPr>
          <w:p w14:paraId="596D8309" w14:textId="77777777" w:rsidR="004931E3" w:rsidRPr="004931E3" w:rsidRDefault="004931E3" w:rsidP="004931E3">
            <w:pPr>
              <w:suppressAutoHyphens/>
              <w:autoSpaceDE w:val="0"/>
              <w:autoSpaceDN w:val="0"/>
              <w:adjustRightInd w:val="0"/>
              <w:jc w:val="center"/>
              <w:rPr>
                <w:rFonts w:eastAsia="MS Mincho"/>
                <w:b/>
                <w:color w:val="000000"/>
                <w:sz w:val="22"/>
                <w:szCs w:val="22"/>
                <w:lang w:val="ru-RU" w:eastAsia="fr-FR"/>
              </w:rPr>
            </w:pPr>
            <w:r w:rsidRPr="004931E3">
              <w:rPr>
                <w:rFonts w:eastAsia="MS Mincho"/>
                <w:b/>
                <w:color w:val="000000"/>
                <w:sz w:val="22"/>
                <w:szCs w:val="22"/>
                <w:lang w:val="ru-RU" w:eastAsia="fr-FR"/>
              </w:rPr>
              <w:t>Parameter</w:t>
            </w: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vAlign w:val="center"/>
            <w:hideMark/>
          </w:tcPr>
          <w:p w14:paraId="5948DA84" w14:textId="77777777" w:rsidR="004931E3" w:rsidRPr="004931E3" w:rsidRDefault="004931E3" w:rsidP="004931E3">
            <w:pPr>
              <w:suppressAutoHyphens/>
              <w:autoSpaceDE w:val="0"/>
              <w:autoSpaceDN w:val="0"/>
              <w:adjustRightInd w:val="0"/>
              <w:jc w:val="center"/>
              <w:rPr>
                <w:rFonts w:eastAsia="MS Mincho"/>
                <w:b/>
                <w:color w:val="000000"/>
                <w:sz w:val="22"/>
                <w:szCs w:val="22"/>
                <w:lang w:val="ru-RU" w:eastAsia="fr-FR"/>
              </w:rPr>
            </w:pPr>
            <w:r w:rsidRPr="004931E3">
              <w:rPr>
                <w:rFonts w:eastAsia="MS Mincho"/>
                <w:b/>
                <w:color w:val="000000"/>
                <w:sz w:val="22"/>
                <w:szCs w:val="22"/>
                <w:lang w:val="ru-RU" w:eastAsia="fr-FR"/>
              </w:rPr>
              <w:t>Klassifikation</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vAlign w:val="center"/>
            <w:hideMark/>
          </w:tcPr>
          <w:p w14:paraId="5AF3E985" w14:textId="77777777" w:rsidR="004931E3" w:rsidRPr="004931E3" w:rsidRDefault="004931E3" w:rsidP="004931E3">
            <w:pPr>
              <w:suppressAutoHyphens/>
              <w:autoSpaceDE w:val="0"/>
              <w:autoSpaceDN w:val="0"/>
              <w:adjustRightInd w:val="0"/>
              <w:jc w:val="center"/>
              <w:rPr>
                <w:rFonts w:eastAsia="MS Mincho"/>
                <w:b/>
                <w:color w:val="000000"/>
                <w:sz w:val="22"/>
                <w:szCs w:val="22"/>
                <w:lang w:val="ru-RU" w:eastAsia="fr-FR"/>
              </w:rPr>
            </w:pPr>
            <w:r w:rsidRPr="004931E3">
              <w:rPr>
                <w:rFonts w:eastAsia="MS Mincho"/>
                <w:b/>
                <w:color w:val="000000"/>
                <w:sz w:val="22"/>
                <w:szCs w:val="22"/>
                <w:lang w:val="ru-RU" w:eastAsia="fr-FR"/>
              </w:rPr>
              <w:t>Dosis (mg)</w:t>
            </w:r>
          </w:p>
        </w:tc>
      </w:tr>
      <w:tr w:rsidR="004931E3" w:rsidRPr="004931E3" w14:paraId="2371E6E2" w14:textId="77777777" w:rsidTr="004931E3">
        <w:trPr>
          <w:trHeight w:val="227"/>
        </w:trPr>
        <w:tc>
          <w:tcPr>
            <w:tcW w:w="3236"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9DBAA8E" w14:textId="77777777" w:rsidR="004931E3" w:rsidRPr="004931E3" w:rsidRDefault="004931E3" w:rsidP="004931E3">
            <w:pPr>
              <w:suppressAutoHyphens/>
              <w:autoSpaceDE w:val="0"/>
              <w:autoSpaceDN w:val="0"/>
              <w:adjustRightInd w:val="0"/>
              <w:ind w:left="57"/>
              <w:rPr>
                <w:rFonts w:eastAsia="MS Mincho"/>
                <w:color w:val="000000"/>
                <w:sz w:val="22"/>
                <w:szCs w:val="22"/>
                <w:lang w:val="ru-RU" w:eastAsia="fr-FR"/>
              </w:rPr>
            </w:pPr>
            <w:r w:rsidRPr="004931E3">
              <w:rPr>
                <w:rFonts w:eastAsia="MS Mincho"/>
                <w:color w:val="000000"/>
                <w:sz w:val="22"/>
                <w:szCs w:val="22"/>
                <w:lang w:val="ru-RU" w:eastAsia="fr-FR"/>
              </w:rPr>
              <w:t>Nedsat nyrefunktion</w:t>
            </w:r>
            <w:r w:rsidRPr="004931E3">
              <w:rPr>
                <w:rFonts w:eastAsia="MS Mincho"/>
                <w:color w:val="000000"/>
                <w:sz w:val="22"/>
                <w:szCs w:val="22"/>
                <w:vertAlign w:val="superscript"/>
                <w:lang w:val="ru-RU" w:eastAsia="fr-FR"/>
              </w:rPr>
              <w:t>(1)</w:t>
            </w: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2AD15D"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Let/moderat*</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AEDD6F"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50</w:t>
            </w:r>
          </w:p>
        </w:tc>
      </w:tr>
      <w:tr w:rsidR="004931E3" w:rsidRPr="004931E3" w14:paraId="2784C030"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B333BB" w14:textId="77777777" w:rsidR="004931E3" w:rsidRPr="004931E3" w:rsidRDefault="004931E3" w:rsidP="004931E3">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CD47FA5"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Svær**</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F31E0AB"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r>
      <w:tr w:rsidR="004931E3" w:rsidRPr="004931E3" w14:paraId="391AD39A"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CDB087" w14:textId="77777777" w:rsidR="004931E3" w:rsidRPr="004931E3" w:rsidRDefault="004931E3" w:rsidP="004931E3">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FFA02A3"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ESRD</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543E7A8"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Frarådes</w:t>
            </w:r>
          </w:p>
        </w:tc>
      </w:tr>
      <w:tr w:rsidR="004931E3" w:rsidRPr="004931E3" w14:paraId="34309DAF" w14:textId="77777777" w:rsidTr="004931E3">
        <w:trPr>
          <w:trHeight w:val="227"/>
        </w:trPr>
        <w:tc>
          <w:tcPr>
            <w:tcW w:w="3236"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5347DEE" w14:textId="77777777" w:rsidR="004931E3" w:rsidRPr="004931E3" w:rsidRDefault="004931E3" w:rsidP="004931E3">
            <w:pPr>
              <w:suppressAutoHyphens/>
              <w:autoSpaceDE w:val="0"/>
              <w:autoSpaceDN w:val="0"/>
              <w:adjustRightInd w:val="0"/>
              <w:ind w:left="57"/>
              <w:rPr>
                <w:rFonts w:eastAsia="MS Mincho"/>
                <w:color w:val="000000"/>
                <w:sz w:val="22"/>
                <w:szCs w:val="22"/>
                <w:lang w:val="ru-RU" w:eastAsia="fr-FR"/>
              </w:rPr>
            </w:pPr>
            <w:r w:rsidRPr="004931E3">
              <w:rPr>
                <w:rFonts w:eastAsia="MS Mincho"/>
                <w:color w:val="000000"/>
                <w:sz w:val="22"/>
                <w:szCs w:val="22"/>
                <w:lang w:val="ru-RU" w:eastAsia="fr-FR"/>
              </w:rPr>
              <w:t>Nedsat leverfunktion</w:t>
            </w:r>
            <w:r w:rsidRPr="004931E3">
              <w:rPr>
                <w:rFonts w:eastAsia="MS Mincho"/>
                <w:color w:val="000000"/>
                <w:sz w:val="22"/>
                <w:szCs w:val="22"/>
                <w:vertAlign w:val="superscript"/>
                <w:lang w:val="ru-RU" w:eastAsia="fr-FR"/>
              </w:rPr>
              <w:t>(2)</w:t>
            </w: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9CFFC22"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Let*</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B089B0A"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50</w:t>
            </w:r>
          </w:p>
        </w:tc>
      </w:tr>
      <w:tr w:rsidR="004931E3" w:rsidRPr="004931E3" w14:paraId="38FD6359"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1E0E40" w14:textId="77777777" w:rsidR="004931E3" w:rsidRPr="004931E3" w:rsidRDefault="004931E3" w:rsidP="004931E3">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415989F"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Moderat**</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B8CF0C5"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r>
      <w:tr w:rsidR="004931E3" w:rsidRPr="004931E3" w14:paraId="539D6D81"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9267F" w14:textId="77777777" w:rsidR="004931E3" w:rsidRPr="004931E3" w:rsidRDefault="004931E3" w:rsidP="004931E3">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4A6B5D3"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Svær</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A9A117C"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Frarådes</w:t>
            </w:r>
          </w:p>
        </w:tc>
      </w:tr>
    </w:tbl>
    <w:p w14:paraId="597ED530"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vertAlign w:val="superscript"/>
          <w:lang w:eastAsia="fr-FR"/>
        </w:rPr>
        <w:t>(1)</w:t>
      </w:r>
      <w:r w:rsidRPr="004931E3">
        <w:rPr>
          <w:rFonts w:eastAsia="MS Mincho"/>
          <w:color w:val="000000"/>
          <w:sz w:val="20"/>
          <w:lang w:eastAsia="fr-FR"/>
        </w:rPr>
        <w:t xml:space="preserve"> Let/moderat: eGFR 30 til 89 ml/min/1,73 m</w:t>
      </w:r>
      <w:r w:rsidRPr="004931E3">
        <w:rPr>
          <w:rFonts w:eastAsia="MS Mincho"/>
          <w:color w:val="000000"/>
          <w:sz w:val="20"/>
          <w:vertAlign w:val="superscript"/>
          <w:lang w:eastAsia="fr-FR"/>
        </w:rPr>
        <w:t>2</w:t>
      </w:r>
      <w:r w:rsidRPr="004931E3">
        <w:rPr>
          <w:rFonts w:eastAsia="MS Mincho"/>
          <w:color w:val="000000"/>
          <w:sz w:val="20"/>
          <w:lang w:eastAsia="fr-FR"/>
        </w:rPr>
        <w:t>; svær: eGFR 15 til 29 ml/min/1,73 m</w:t>
      </w:r>
      <w:r w:rsidRPr="004931E3">
        <w:rPr>
          <w:rFonts w:eastAsia="MS Mincho"/>
          <w:color w:val="000000"/>
          <w:sz w:val="20"/>
          <w:vertAlign w:val="superscript"/>
          <w:lang w:eastAsia="fr-FR"/>
        </w:rPr>
        <w:t>2</w:t>
      </w:r>
      <w:r w:rsidRPr="004931E3">
        <w:rPr>
          <w:rFonts w:eastAsia="MS Mincho"/>
          <w:color w:val="000000"/>
          <w:sz w:val="20"/>
          <w:lang w:eastAsia="fr-FR"/>
        </w:rPr>
        <w:t xml:space="preserve">; ESRD: </w:t>
      </w:r>
      <w:r w:rsidRPr="004931E3">
        <w:rPr>
          <w:rFonts w:eastAsia="MS Mincho"/>
          <w:color w:val="000000"/>
          <w:sz w:val="20"/>
          <w:lang w:eastAsia="fr-FR"/>
        </w:rPr>
        <w:br/>
        <w:t>eGFR &lt; 15 ml/min/1,73 m</w:t>
      </w:r>
      <w:r w:rsidRPr="004931E3">
        <w:rPr>
          <w:rFonts w:eastAsia="MS Mincho"/>
          <w:color w:val="000000"/>
          <w:sz w:val="20"/>
          <w:vertAlign w:val="superscript"/>
          <w:lang w:eastAsia="fr-FR"/>
        </w:rPr>
        <w:t>2</w:t>
      </w:r>
      <w:r w:rsidRPr="004931E3">
        <w:rPr>
          <w:rFonts w:eastAsia="MS Mincho"/>
          <w:color w:val="000000"/>
          <w:sz w:val="20"/>
          <w:lang w:eastAsia="fr-FR"/>
        </w:rPr>
        <w:t xml:space="preserve">. </w:t>
      </w:r>
    </w:p>
    <w:p w14:paraId="71C57EC8" w14:textId="77777777" w:rsidR="004931E3" w:rsidRPr="004931E3" w:rsidRDefault="004931E3" w:rsidP="004931E3">
      <w:pPr>
        <w:suppressAutoHyphens/>
        <w:autoSpaceDE w:val="0"/>
        <w:autoSpaceDN w:val="0"/>
        <w:adjustRightInd w:val="0"/>
        <w:ind w:left="851"/>
        <w:rPr>
          <w:rFonts w:eastAsia="MS Mincho"/>
          <w:color w:val="000000"/>
          <w:sz w:val="20"/>
          <w:lang w:val="en-US" w:eastAsia="fr-FR"/>
        </w:rPr>
      </w:pPr>
      <w:r w:rsidRPr="004931E3">
        <w:rPr>
          <w:rFonts w:eastAsia="MS Mincho"/>
          <w:color w:val="000000"/>
          <w:sz w:val="20"/>
          <w:vertAlign w:val="superscript"/>
          <w:lang w:val="en-US" w:eastAsia="fr-FR"/>
        </w:rPr>
        <w:lastRenderedPageBreak/>
        <w:t>(2)</w:t>
      </w:r>
      <w:r w:rsidRPr="004931E3">
        <w:rPr>
          <w:rFonts w:eastAsia="MS Mincho"/>
          <w:color w:val="000000"/>
          <w:sz w:val="20"/>
          <w:lang w:val="en-US" w:eastAsia="fr-FR"/>
        </w:rPr>
        <w:t xml:space="preserve"> Let: Child-Pugh-klasse A; moderat: Child-Pugh-klasse B; svær: Child-Pugh-klasse C. </w:t>
      </w:r>
    </w:p>
    <w:p w14:paraId="409DB186"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lang w:eastAsia="fr-FR"/>
        </w:rPr>
        <w:t xml:space="preserve">* Til patienter med let til moderat nedsat nyrefunktion eller let nedsat leverfunktion, som samtidig får stærke CYP3A-hæmmere, er den anbefalede dosis ikke over 25 mg. </w:t>
      </w:r>
    </w:p>
    <w:p w14:paraId="7CB026AF"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lang w:eastAsia="fr-FR"/>
        </w:rPr>
        <w:t xml:space="preserve">** Frarådes til patienter med svært nedsat nyrefunktion eller moderat nedsat leverfunktion, som samtidig får stærke CYP3A-hæmmere. </w:t>
      </w:r>
    </w:p>
    <w:p w14:paraId="0CC912F2" w14:textId="77777777" w:rsidR="004931E3" w:rsidRPr="004931E3" w:rsidRDefault="004931E3" w:rsidP="004931E3">
      <w:pPr>
        <w:suppressAutoHyphens/>
        <w:autoSpaceDE w:val="0"/>
        <w:autoSpaceDN w:val="0"/>
        <w:adjustRightInd w:val="0"/>
        <w:rPr>
          <w:rFonts w:eastAsia="MS Mincho"/>
          <w:color w:val="000000"/>
          <w:sz w:val="22"/>
          <w:szCs w:val="22"/>
          <w:lang w:eastAsia="fr-FR"/>
        </w:rPr>
      </w:pPr>
    </w:p>
    <w:p w14:paraId="18E87BB3"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Følgende tabel viser anbefalinger for daglig dosering for pædiatriske NDO-patienter i alderen 3 år til under 18 år med nedsat nyre- eller leverfunktion, som vejer 35 kg eller mere (se pkt. 4.4 og 5.2). </w:t>
      </w:r>
    </w:p>
    <w:p w14:paraId="29DE34D5"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3301406E" w14:textId="77777777" w:rsidR="00125CD0" w:rsidRPr="00C376C8" w:rsidRDefault="00125CD0" w:rsidP="00125CD0">
      <w:pPr>
        <w:ind w:left="851"/>
        <w:rPr>
          <w:b/>
          <w:bCs/>
          <w:szCs w:val="22"/>
        </w:rPr>
      </w:pPr>
      <w:r w:rsidRPr="00C376C8">
        <w:rPr>
          <w:b/>
          <w:bCs/>
          <w:szCs w:val="22"/>
        </w:rPr>
        <w:t>Tabel 2: Den anbefalede daglige dosering til pædiatriske NDO-patienter i alderen 3 år til</w:t>
      </w:r>
    </w:p>
    <w:p w14:paraId="521182EB" w14:textId="77777777" w:rsidR="00125CD0" w:rsidRPr="00C376C8" w:rsidRDefault="00125CD0" w:rsidP="00125CD0">
      <w:pPr>
        <w:ind w:left="851"/>
        <w:rPr>
          <w:b/>
          <w:bCs/>
          <w:szCs w:val="22"/>
        </w:rPr>
      </w:pPr>
      <w:r w:rsidRPr="00C376C8">
        <w:rPr>
          <w:b/>
          <w:bCs/>
          <w:szCs w:val="22"/>
        </w:rPr>
        <w:t>under 18 år med nedsat nyre- eller leverfunktion, som vejer 35 kg eller mere</w:t>
      </w:r>
    </w:p>
    <w:tbl>
      <w:tblPr>
        <w:tblW w:w="9201" w:type="dxa"/>
        <w:tblInd w:w="846" w:type="dxa"/>
        <w:tblCellMar>
          <w:top w:w="56" w:type="dxa"/>
          <w:right w:w="115" w:type="dxa"/>
        </w:tblCellMar>
        <w:tblLook w:val="04A0" w:firstRow="1" w:lastRow="0" w:firstColumn="1" w:lastColumn="0" w:noHBand="0" w:noVBand="1"/>
      </w:tblPr>
      <w:tblGrid>
        <w:gridCol w:w="2359"/>
        <w:gridCol w:w="2249"/>
        <w:gridCol w:w="1916"/>
        <w:gridCol w:w="425"/>
        <w:gridCol w:w="2252"/>
      </w:tblGrid>
      <w:tr w:rsidR="004931E3" w:rsidRPr="004931E3" w14:paraId="21A062AF" w14:textId="77777777" w:rsidTr="004931E3">
        <w:trPr>
          <w:trHeight w:val="227"/>
        </w:trPr>
        <w:tc>
          <w:tcPr>
            <w:tcW w:w="235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2921324"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b/>
                <w:color w:val="000000"/>
                <w:sz w:val="22"/>
                <w:szCs w:val="22"/>
                <w:lang w:val="ru-RU" w:eastAsia="fr-FR"/>
              </w:rPr>
              <w:t>Parameter</w:t>
            </w: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8F53D4B"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b/>
                <w:color w:val="000000"/>
                <w:sz w:val="22"/>
                <w:szCs w:val="22"/>
                <w:lang w:val="ru-RU" w:eastAsia="fr-FR"/>
              </w:rPr>
              <w:t>Klassifikation</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033D51B3"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b/>
                <w:color w:val="000000"/>
                <w:sz w:val="22"/>
                <w:szCs w:val="22"/>
                <w:lang w:val="ru-RU" w:eastAsia="fr-FR"/>
              </w:rPr>
              <w:t>Startdosis (mg)</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6273DF45"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2495075"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b/>
                <w:color w:val="000000"/>
                <w:sz w:val="22"/>
                <w:szCs w:val="22"/>
                <w:lang w:val="ru-RU" w:eastAsia="fr-FR"/>
              </w:rPr>
              <w:t>Maksimal dosis (mg)</w:t>
            </w:r>
          </w:p>
        </w:tc>
      </w:tr>
      <w:tr w:rsidR="004931E3" w:rsidRPr="004931E3" w14:paraId="5D2CD2A2" w14:textId="77777777" w:rsidTr="004931E3">
        <w:trPr>
          <w:trHeight w:val="227"/>
        </w:trPr>
        <w:tc>
          <w:tcPr>
            <w:tcW w:w="2359"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0F6A6AC" w14:textId="77777777" w:rsidR="004931E3" w:rsidRPr="004931E3" w:rsidRDefault="004931E3" w:rsidP="004931E3">
            <w:pPr>
              <w:keepNext/>
              <w:suppressAutoHyphens/>
              <w:autoSpaceDE w:val="0"/>
              <w:autoSpaceDN w:val="0"/>
              <w:adjustRightInd w:val="0"/>
              <w:ind w:left="57"/>
              <w:rPr>
                <w:rFonts w:eastAsia="MS Mincho"/>
                <w:color w:val="000000"/>
                <w:sz w:val="22"/>
                <w:szCs w:val="22"/>
                <w:lang w:val="ru-RU" w:eastAsia="fr-FR"/>
              </w:rPr>
            </w:pPr>
            <w:r w:rsidRPr="004931E3">
              <w:rPr>
                <w:rFonts w:eastAsia="MS Mincho"/>
                <w:color w:val="000000"/>
                <w:sz w:val="22"/>
                <w:szCs w:val="22"/>
                <w:lang w:val="ru-RU" w:eastAsia="fr-FR"/>
              </w:rPr>
              <w:t>Nedsat nyrefunktion</w:t>
            </w:r>
            <w:r w:rsidRPr="004931E3">
              <w:rPr>
                <w:rFonts w:eastAsia="MS Mincho"/>
                <w:color w:val="000000"/>
                <w:sz w:val="22"/>
                <w:szCs w:val="22"/>
                <w:vertAlign w:val="superscript"/>
                <w:lang w:val="ru-RU" w:eastAsia="fr-FR"/>
              </w:rPr>
              <w:t>(1)</w:t>
            </w: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164D8D2"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Let/moderat*</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04DEBCF2"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70033C6B"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731D107"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50</w:t>
            </w:r>
          </w:p>
        </w:tc>
      </w:tr>
      <w:tr w:rsidR="004931E3" w:rsidRPr="004931E3" w14:paraId="4C0DCB45"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996992" w14:textId="77777777" w:rsidR="004931E3" w:rsidRPr="004931E3" w:rsidRDefault="004931E3" w:rsidP="004931E3">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773BBE9"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Svær**</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5DFCCA7C"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45F0E604"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5B501AB"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r>
      <w:tr w:rsidR="004931E3" w:rsidRPr="004931E3" w14:paraId="28DA89F9"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3C0137" w14:textId="77777777" w:rsidR="004931E3" w:rsidRPr="004931E3" w:rsidRDefault="004931E3" w:rsidP="004931E3">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1076B14"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ESRD</w:t>
            </w:r>
          </w:p>
        </w:tc>
        <w:tc>
          <w:tcPr>
            <w:tcW w:w="4593"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4A3BEC6"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Frarådes</w:t>
            </w:r>
          </w:p>
        </w:tc>
      </w:tr>
      <w:tr w:rsidR="004931E3" w:rsidRPr="004931E3" w14:paraId="4A249AA6" w14:textId="77777777" w:rsidTr="004931E3">
        <w:trPr>
          <w:trHeight w:val="227"/>
        </w:trPr>
        <w:tc>
          <w:tcPr>
            <w:tcW w:w="2359"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2EBD957" w14:textId="77777777" w:rsidR="004931E3" w:rsidRPr="004931E3" w:rsidRDefault="004931E3" w:rsidP="004931E3">
            <w:pPr>
              <w:suppressAutoHyphens/>
              <w:autoSpaceDE w:val="0"/>
              <w:autoSpaceDN w:val="0"/>
              <w:adjustRightInd w:val="0"/>
              <w:ind w:left="57"/>
              <w:rPr>
                <w:rFonts w:eastAsia="MS Mincho"/>
                <w:color w:val="000000"/>
                <w:sz w:val="22"/>
                <w:szCs w:val="22"/>
                <w:lang w:val="ru-RU" w:eastAsia="fr-FR"/>
              </w:rPr>
            </w:pPr>
            <w:r w:rsidRPr="004931E3">
              <w:rPr>
                <w:rFonts w:eastAsia="MS Mincho"/>
                <w:color w:val="000000"/>
                <w:sz w:val="22"/>
                <w:szCs w:val="22"/>
                <w:lang w:val="ru-RU" w:eastAsia="fr-FR"/>
              </w:rPr>
              <w:t>Nedsat leverfunktion</w:t>
            </w:r>
            <w:r w:rsidRPr="004931E3">
              <w:rPr>
                <w:rFonts w:eastAsia="MS Mincho"/>
                <w:color w:val="000000"/>
                <w:sz w:val="22"/>
                <w:szCs w:val="22"/>
                <w:vertAlign w:val="superscript"/>
                <w:lang w:val="ru-RU" w:eastAsia="fr-FR"/>
              </w:rPr>
              <w:t>(2)</w:t>
            </w: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CFDCE2D"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Let*</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7FDB5994"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1D087CAD"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9A3C0B4"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50</w:t>
            </w:r>
          </w:p>
        </w:tc>
      </w:tr>
      <w:tr w:rsidR="004931E3" w:rsidRPr="004931E3" w14:paraId="3BB2A860"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4DA34D" w14:textId="77777777" w:rsidR="004931E3" w:rsidRPr="004931E3" w:rsidRDefault="004931E3" w:rsidP="004931E3">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27EA860"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Moderat**</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400E37D4"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7C808865"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9FD765C"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r>
      <w:tr w:rsidR="004931E3" w:rsidRPr="004931E3" w14:paraId="44E8F203"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F23581" w14:textId="77777777" w:rsidR="004931E3" w:rsidRPr="004931E3" w:rsidRDefault="004931E3" w:rsidP="004931E3">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9FB6C68"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Svær</w:t>
            </w:r>
          </w:p>
        </w:tc>
        <w:tc>
          <w:tcPr>
            <w:tcW w:w="4593"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D7AA3C0"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Frarådes</w:t>
            </w:r>
          </w:p>
        </w:tc>
      </w:tr>
    </w:tbl>
    <w:p w14:paraId="37994132"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vertAlign w:val="superscript"/>
          <w:lang w:eastAsia="fr-FR"/>
        </w:rPr>
        <w:t>(1)</w:t>
      </w:r>
      <w:r w:rsidRPr="004931E3">
        <w:rPr>
          <w:rFonts w:eastAsia="MS Mincho"/>
          <w:color w:val="000000"/>
          <w:sz w:val="20"/>
          <w:lang w:eastAsia="fr-FR"/>
        </w:rPr>
        <w:t xml:space="preserve"> Let/moderat: eGFR 30 til 89 ml/min/1,73 m</w:t>
      </w:r>
      <w:r w:rsidRPr="004931E3">
        <w:rPr>
          <w:rFonts w:eastAsia="MS Mincho"/>
          <w:color w:val="000000"/>
          <w:sz w:val="20"/>
          <w:vertAlign w:val="superscript"/>
          <w:lang w:eastAsia="fr-FR"/>
        </w:rPr>
        <w:t>2</w:t>
      </w:r>
      <w:r w:rsidRPr="004931E3">
        <w:rPr>
          <w:rFonts w:eastAsia="MS Mincho"/>
          <w:color w:val="000000"/>
          <w:sz w:val="20"/>
          <w:lang w:eastAsia="fr-FR"/>
        </w:rPr>
        <w:t>; svær: eGFR 15 til 29 ml/min/1,73 m</w:t>
      </w:r>
      <w:r w:rsidRPr="004931E3">
        <w:rPr>
          <w:rFonts w:eastAsia="MS Mincho"/>
          <w:color w:val="000000"/>
          <w:sz w:val="20"/>
          <w:vertAlign w:val="superscript"/>
          <w:lang w:eastAsia="fr-FR"/>
        </w:rPr>
        <w:t>2</w:t>
      </w:r>
      <w:r w:rsidRPr="004931E3">
        <w:rPr>
          <w:rFonts w:eastAsia="MS Mincho"/>
          <w:color w:val="000000"/>
          <w:sz w:val="20"/>
          <w:lang w:eastAsia="fr-FR"/>
        </w:rPr>
        <w:t xml:space="preserve">; ESRD: </w:t>
      </w:r>
      <w:r w:rsidRPr="004931E3">
        <w:rPr>
          <w:rFonts w:eastAsia="MS Mincho"/>
          <w:color w:val="000000"/>
          <w:sz w:val="20"/>
          <w:lang w:eastAsia="fr-FR"/>
        </w:rPr>
        <w:br/>
        <w:t>eGFR &lt; 15 ml/min/1,73 m</w:t>
      </w:r>
      <w:r w:rsidRPr="004931E3">
        <w:rPr>
          <w:rFonts w:eastAsia="MS Mincho"/>
          <w:color w:val="000000"/>
          <w:sz w:val="20"/>
          <w:vertAlign w:val="superscript"/>
          <w:lang w:eastAsia="fr-FR"/>
        </w:rPr>
        <w:t>2</w:t>
      </w:r>
      <w:r w:rsidRPr="004931E3">
        <w:rPr>
          <w:rFonts w:eastAsia="MS Mincho"/>
          <w:color w:val="000000"/>
          <w:sz w:val="20"/>
          <w:lang w:eastAsia="fr-FR"/>
        </w:rPr>
        <w:t xml:space="preserve">. Dosisjustering er ikke nødvendig for patienter med let til moderat nedsat nyrefunktion. </w:t>
      </w:r>
    </w:p>
    <w:p w14:paraId="0D66E86B" w14:textId="77777777" w:rsidR="004931E3" w:rsidRPr="004931E3" w:rsidRDefault="004931E3" w:rsidP="004931E3">
      <w:pPr>
        <w:suppressAutoHyphens/>
        <w:autoSpaceDE w:val="0"/>
        <w:autoSpaceDN w:val="0"/>
        <w:adjustRightInd w:val="0"/>
        <w:ind w:left="851"/>
        <w:rPr>
          <w:rFonts w:eastAsia="MS Mincho"/>
          <w:color w:val="000000"/>
          <w:sz w:val="20"/>
          <w:lang w:val="en-US" w:eastAsia="fr-FR"/>
        </w:rPr>
      </w:pPr>
      <w:r w:rsidRPr="004931E3">
        <w:rPr>
          <w:rFonts w:eastAsia="MS Mincho"/>
          <w:color w:val="000000"/>
          <w:sz w:val="20"/>
          <w:vertAlign w:val="superscript"/>
          <w:lang w:val="en-US" w:eastAsia="fr-FR"/>
        </w:rPr>
        <w:t>(2)</w:t>
      </w:r>
      <w:r w:rsidRPr="004931E3">
        <w:rPr>
          <w:rFonts w:eastAsia="MS Mincho"/>
          <w:color w:val="000000"/>
          <w:sz w:val="20"/>
          <w:lang w:val="en-US" w:eastAsia="fr-FR"/>
        </w:rPr>
        <w:t xml:space="preserve"> Let: Child-Pugh-klasse A; moderat: Child-Pugh-klasse B; svær: Child-Pugh-klasse C. </w:t>
      </w:r>
    </w:p>
    <w:p w14:paraId="3FEF0EC3"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lang w:eastAsia="fr-FR"/>
        </w:rPr>
        <w:t xml:space="preserve">* Til patienter med let til moderat nedsat nyrefunktion eller let nedsat leverfunktion, som samtidig får stærke CYP3A-hæmmere, er den anbefalede dosis ikke mere end startdosen. </w:t>
      </w:r>
    </w:p>
    <w:p w14:paraId="51162A07"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lang w:eastAsia="fr-FR"/>
        </w:rPr>
        <w:t xml:space="preserve">** Frarådes til patienter med svært nedsat nyrefunktion eller moderat nedsat leverfunktion, som samtidig får stærke CYP3A-hæmmere. </w:t>
      </w:r>
    </w:p>
    <w:p w14:paraId="5A572A8E"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p>
    <w:p w14:paraId="5D086586"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Køn </w:t>
      </w:r>
    </w:p>
    <w:p w14:paraId="262B9AA6"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Dosisjustering baseret på køn er ikke nødvendig.</w:t>
      </w:r>
    </w:p>
    <w:p w14:paraId="71D8AB64"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p>
    <w:p w14:paraId="20341A69" w14:textId="77777777" w:rsidR="004931E3" w:rsidRPr="004931E3" w:rsidRDefault="004931E3" w:rsidP="004931E3">
      <w:pPr>
        <w:suppressAutoHyphens/>
        <w:autoSpaceDE w:val="0"/>
        <w:autoSpaceDN w:val="0"/>
        <w:adjustRightInd w:val="0"/>
        <w:ind w:left="851"/>
        <w:rPr>
          <w:rFonts w:eastAsia="MS Mincho"/>
          <w:iCs/>
          <w:color w:val="000000"/>
          <w:sz w:val="24"/>
          <w:szCs w:val="24"/>
          <w:u w:val="single"/>
          <w:lang w:eastAsia="fr-FR"/>
        </w:rPr>
      </w:pPr>
      <w:r w:rsidRPr="004931E3">
        <w:rPr>
          <w:rFonts w:eastAsia="MS Mincho"/>
          <w:iCs/>
          <w:color w:val="000000"/>
          <w:sz w:val="24"/>
          <w:szCs w:val="24"/>
          <w:u w:val="single"/>
          <w:lang w:eastAsia="fr-FR"/>
        </w:rPr>
        <w:t xml:space="preserve">Pædiatrisk population </w:t>
      </w:r>
    </w:p>
    <w:p w14:paraId="09E5E406"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53695E4B"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Overaktiv blære </w:t>
      </w:r>
    </w:p>
    <w:p w14:paraId="0C535238"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Mirabegrons sikkerhed og virkning hos børn under 18 år med OAB er ikke klarlagt. De foreliggende data er beskrevet i pkt. 5.1, men der kan ikke gives nogen anbefalinger vedrørende dosering. </w:t>
      </w:r>
    </w:p>
    <w:p w14:paraId="7385E231"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 </w:t>
      </w:r>
    </w:p>
    <w:p w14:paraId="72436650"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Neurogen detrusoroveraktivitet</w:t>
      </w:r>
      <w:r w:rsidRPr="004931E3">
        <w:rPr>
          <w:rFonts w:eastAsia="MS Mincho"/>
          <w:color w:val="000000"/>
          <w:sz w:val="24"/>
          <w:szCs w:val="24"/>
          <w:lang w:eastAsia="fr-FR"/>
        </w:rPr>
        <w:t xml:space="preserve"> </w:t>
      </w:r>
    </w:p>
    <w:p w14:paraId="1EB8F64A" w14:textId="77777777" w:rsidR="004931E3" w:rsidRPr="004931E3" w:rsidRDefault="004931E3" w:rsidP="004931E3">
      <w:pPr>
        <w:suppressAutoHyphens/>
        <w:autoSpaceDE w:val="0"/>
        <w:autoSpaceDN w:val="0"/>
        <w:adjustRightInd w:val="0"/>
        <w:ind w:left="851"/>
        <w:rPr>
          <w:rFonts w:eastAsia="MS Mincho"/>
          <w:i/>
          <w:color w:val="000000"/>
          <w:sz w:val="24"/>
          <w:szCs w:val="24"/>
          <w:lang w:eastAsia="fr-FR"/>
        </w:rPr>
      </w:pPr>
      <w:r w:rsidRPr="004931E3">
        <w:rPr>
          <w:rFonts w:eastAsia="MS Mincho"/>
          <w:color w:val="000000"/>
          <w:sz w:val="24"/>
          <w:szCs w:val="24"/>
          <w:lang w:eastAsia="fr-FR"/>
        </w:rPr>
        <w:t>Mirabegrons sikkerhed og virkning hos børn under 3 år er endnu ikke klarlagt.</w:t>
      </w:r>
    </w:p>
    <w:p w14:paraId="38CD25A9" w14:textId="77777777" w:rsidR="004931E3" w:rsidRPr="004931E3" w:rsidRDefault="004931E3" w:rsidP="004931E3">
      <w:pPr>
        <w:suppressAutoHyphens/>
        <w:autoSpaceDE w:val="0"/>
        <w:autoSpaceDN w:val="0"/>
        <w:adjustRightInd w:val="0"/>
        <w:ind w:left="851"/>
        <w:rPr>
          <w:rFonts w:eastAsia="MS Mincho"/>
          <w:iCs/>
          <w:color w:val="000000"/>
          <w:sz w:val="24"/>
          <w:szCs w:val="24"/>
          <w:lang w:eastAsia="fr-FR"/>
        </w:rPr>
      </w:pPr>
    </w:p>
    <w:p w14:paraId="312AA7C0" w14:textId="77777777" w:rsidR="004931E3" w:rsidRPr="004931E3" w:rsidRDefault="004931E3" w:rsidP="004931E3">
      <w:pPr>
        <w:suppressAutoHyphens/>
        <w:autoSpaceDE w:val="0"/>
        <w:autoSpaceDN w:val="0"/>
        <w:adjustRightInd w:val="0"/>
        <w:ind w:left="851"/>
        <w:rPr>
          <w:rFonts w:eastAsia="MS Mincho"/>
          <w:color w:val="000000"/>
          <w:sz w:val="24"/>
          <w:szCs w:val="24"/>
          <w:u w:val="single"/>
          <w:lang w:eastAsia="fr-FR"/>
        </w:rPr>
      </w:pPr>
      <w:r w:rsidRPr="004931E3">
        <w:rPr>
          <w:rFonts w:eastAsia="MS Mincho"/>
          <w:color w:val="000000"/>
          <w:sz w:val="24"/>
          <w:szCs w:val="24"/>
          <w:u w:val="single"/>
          <w:lang w:eastAsia="fr-FR"/>
        </w:rPr>
        <w:t>Administration</w:t>
      </w:r>
      <w:r w:rsidRPr="004931E3">
        <w:rPr>
          <w:rFonts w:eastAsia="MS Mincho"/>
          <w:color w:val="000000"/>
          <w:sz w:val="24"/>
          <w:szCs w:val="24"/>
          <w:lang w:eastAsia="fr-FR"/>
        </w:rPr>
        <w:t xml:space="preserve"> </w:t>
      </w:r>
    </w:p>
    <w:p w14:paraId="4C72450B"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56CF9E19"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Overaktiv blære hos voksne </w:t>
      </w:r>
    </w:p>
    <w:p w14:paraId="75F0FC85"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Tabletten skal tages med væske, synkes hel og må ikke tygges, deles eller knuses. Tabletten kan tages med eller uden mad. </w:t>
      </w:r>
    </w:p>
    <w:p w14:paraId="3914798C"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6187B3D1"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Neurogen detrusoroveraktivitet i den pædiatriske population</w:t>
      </w:r>
      <w:r w:rsidRPr="004931E3">
        <w:rPr>
          <w:rFonts w:eastAsia="MS Mincho"/>
          <w:color w:val="000000"/>
          <w:sz w:val="24"/>
          <w:szCs w:val="24"/>
          <w:lang w:eastAsia="fr-FR"/>
        </w:rPr>
        <w:t xml:space="preserve"> </w:t>
      </w:r>
    </w:p>
    <w:p w14:paraId="2E0A4F77"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Tabletten skal tages med væske, synkes hel og må ikke tygges, deles eller knuses. Tabletten skal tages med mad. </w:t>
      </w:r>
    </w:p>
    <w:p w14:paraId="57F6A59D" w14:textId="706E77F8" w:rsidR="00125CD0" w:rsidRDefault="00125CD0">
      <w:pPr>
        <w:rPr>
          <w:sz w:val="24"/>
          <w:szCs w:val="24"/>
        </w:rPr>
      </w:pPr>
      <w:r>
        <w:rPr>
          <w:sz w:val="24"/>
          <w:szCs w:val="24"/>
        </w:rPr>
        <w:br w:type="page"/>
      </w:r>
    </w:p>
    <w:p w14:paraId="58FD5B8E" w14:textId="77777777" w:rsidR="009260DE" w:rsidRPr="004931E3" w:rsidRDefault="009260DE" w:rsidP="004931E3">
      <w:pPr>
        <w:tabs>
          <w:tab w:val="left" w:pos="851"/>
        </w:tabs>
        <w:ind w:left="851"/>
        <w:rPr>
          <w:sz w:val="24"/>
          <w:szCs w:val="24"/>
        </w:rPr>
      </w:pPr>
    </w:p>
    <w:p w14:paraId="2C3C626F" w14:textId="77777777" w:rsidR="009260DE" w:rsidRPr="00C84483" w:rsidRDefault="009260DE" w:rsidP="004931E3">
      <w:pPr>
        <w:tabs>
          <w:tab w:val="left" w:pos="851"/>
        </w:tabs>
        <w:ind w:left="851" w:hanging="851"/>
        <w:rPr>
          <w:b/>
          <w:sz w:val="24"/>
          <w:szCs w:val="24"/>
        </w:rPr>
      </w:pPr>
      <w:r w:rsidRPr="00C84483">
        <w:rPr>
          <w:b/>
          <w:sz w:val="24"/>
          <w:szCs w:val="24"/>
        </w:rPr>
        <w:t>4.3</w:t>
      </w:r>
      <w:r w:rsidRPr="00C84483">
        <w:rPr>
          <w:b/>
          <w:sz w:val="24"/>
          <w:szCs w:val="24"/>
        </w:rPr>
        <w:tab/>
        <w:t>Kontraindikationer</w:t>
      </w:r>
    </w:p>
    <w:p w14:paraId="0FE7843B" w14:textId="77777777" w:rsidR="00933561" w:rsidRPr="00933561" w:rsidRDefault="00933561" w:rsidP="00933561">
      <w:pPr>
        <w:numPr>
          <w:ilvl w:val="0"/>
          <w:numId w:val="6"/>
        </w:numPr>
        <w:tabs>
          <w:tab w:val="left" w:pos="851"/>
        </w:tabs>
        <w:ind w:left="1134" w:hanging="283"/>
        <w:rPr>
          <w:sz w:val="24"/>
          <w:szCs w:val="24"/>
        </w:rPr>
      </w:pPr>
      <w:r w:rsidRPr="00933561">
        <w:rPr>
          <w:sz w:val="24"/>
          <w:szCs w:val="24"/>
        </w:rPr>
        <w:t xml:space="preserve">Overfølsomhed over for det aktive stof eller over for et eller flere af hjælpestofferne anført i pkt. 6.1. </w:t>
      </w:r>
    </w:p>
    <w:p w14:paraId="3FC88C19" w14:textId="77777777" w:rsidR="00933561" w:rsidRPr="00933561" w:rsidRDefault="00933561" w:rsidP="00933561">
      <w:pPr>
        <w:numPr>
          <w:ilvl w:val="0"/>
          <w:numId w:val="6"/>
        </w:numPr>
        <w:tabs>
          <w:tab w:val="left" w:pos="851"/>
        </w:tabs>
        <w:ind w:left="1134" w:hanging="283"/>
        <w:rPr>
          <w:sz w:val="24"/>
          <w:szCs w:val="24"/>
        </w:rPr>
      </w:pPr>
      <w:r w:rsidRPr="00933561">
        <w:rPr>
          <w:sz w:val="24"/>
          <w:szCs w:val="24"/>
        </w:rPr>
        <w:t xml:space="preserve">Svær ukontrolleret hypertension defineret som systolisk blodtryk ≥ 180 mm Hg og/eller diastolisk blodtryk ≥ 110 mm Hg. </w:t>
      </w:r>
    </w:p>
    <w:p w14:paraId="428C9F96" w14:textId="77777777" w:rsidR="009260DE" w:rsidRPr="00C84483" w:rsidRDefault="009260DE" w:rsidP="004931E3">
      <w:pPr>
        <w:tabs>
          <w:tab w:val="left" w:pos="851"/>
        </w:tabs>
        <w:ind w:left="851"/>
        <w:rPr>
          <w:sz w:val="24"/>
          <w:szCs w:val="24"/>
        </w:rPr>
      </w:pPr>
    </w:p>
    <w:p w14:paraId="27D311CA" w14:textId="77777777" w:rsidR="009260DE" w:rsidRPr="00C84483" w:rsidRDefault="009260DE" w:rsidP="004931E3">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5291A299" w14:textId="77777777" w:rsidR="00933561" w:rsidRPr="00933561" w:rsidRDefault="00933561" w:rsidP="00933561">
      <w:pPr>
        <w:tabs>
          <w:tab w:val="left" w:pos="851"/>
        </w:tabs>
        <w:ind w:left="851"/>
        <w:rPr>
          <w:sz w:val="24"/>
          <w:szCs w:val="24"/>
        </w:rPr>
      </w:pPr>
    </w:p>
    <w:p w14:paraId="3817A911" w14:textId="77777777" w:rsidR="00933561" w:rsidRPr="00933561" w:rsidRDefault="00933561" w:rsidP="00933561">
      <w:pPr>
        <w:tabs>
          <w:tab w:val="left" w:pos="851"/>
        </w:tabs>
        <w:ind w:left="851"/>
        <w:rPr>
          <w:sz w:val="24"/>
          <w:szCs w:val="24"/>
          <w:u w:val="single"/>
        </w:rPr>
      </w:pPr>
      <w:r w:rsidRPr="00933561">
        <w:rPr>
          <w:sz w:val="24"/>
          <w:szCs w:val="24"/>
          <w:u w:val="single"/>
        </w:rPr>
        <w:t>Nedsat nyrefunktion</w:t>
      </w:r>
      <w:r w:rsidRPr="00933561">
        <w:rPr>
          <w:sz w:val="24"/>
          <w:szCs w:val="24"/>
        </w:rPr>
        <w:t xml:space="preserve"> </w:t>
      </w:r>
    </w:p>
    <w:p w14:paraId="512BB777" w14:textId="61BF8B50" w:rsidR="00933561" w:rsidRDefault="00933561" w:rsidP="00933561">
      <w:pPr>
        <w:tabs>
          <w:tab w:val="left" w:pos="851"/>
        </w:tabs>
        <w:ind w:left="851"/>
        <w:rPr>
          <w:sz w:val="24"/>
          <w:szCs w:val="24"/>
        </w:rPr>
      </w:pPr>
      <w:r w:rsidRPr="00933561">
        <w:rPr>
          <w:sz w:val="24"/>
          <w:szCs w:val="24"/>
        </w:rPr>
        <w:t>Mirabegron er ikke undersøgt hos patienter med ESRD (eGFR &lt; 15 ml/min/1,73 m</w:t>
      </w:r>
      <w:r w:rsidRPr="00933561">
        <w:rPr>
          <w:sz w:val="24"/>
          <w:szCs w:val="24"/>
          <w:vertAlign w:val="superscript"/>
        </w:rPr>
        <w:t>2</w:t>
      </w:r>
      <w:r w:rsidRPr="00933561">
        <w:rPr>
          <w:sz w:val="24"/>
          <w:szCs w:val="24"/>
        </w:rPr>
        <w:t>) eller patienter med behov for hæmodialyse og frarådes derfor til denne patientpopulation. Der er utilstrækkelige data for patienter med svært nedsat nyrefunktion (eGFR 15 til 29 ml/min/1,73 m</w:t>
      </w:r>
      <w:r w:rsidRPr="00933561">
        <w:rPr>
          <w:sz w:val="24"/>
          <w:szCs w:val="24"/>
          <w:vertAlign w:val="superscript"/>
        </w:rPr>
        <w:t>2</w:t>
      </w:r>
      <w:r w:rsidRPr="00933561">
        <w:rPr>
          <w:sz w:val="24"/>
          <w:szCs w:val="24"/>
        </w:rPr>
        <w:t xml:space="preserve">); på grundlag af et farmakokinetisk studie (se pkt. 5.2) anbefales en dosis på 25 mg én gang dagligt for denne population. Dette lægemiddel frarådes til patienter med svært nedsat nyrefunktion (eGFR 15 til </w:t>
      </w:r>
      <w:r>
        <w:rPr>
          <w:sz w:val="24"/>
          <w:szCs w:val="24"/>
        </w:rPr>
        <w:t xml:space="preserve"> </w:t>
      </w:r>
      <w:r w:rsidRPr="00933561">
        <w:rPr>
          <w:sz w:val="24"/>
          <w:szCs w:val="24"/>
        </w:rPr>
        <w:t>29 ml/min/1,73 m</w:t>
      </w:r>
      <w:r w:rsidRPr="00933561">
        <w:rPr>
          <w:sz w:val="24"/>
          <w:szCs w:val="24"/>
          <w:vertAlign w:val="superscript"/>
        </w:rPr>
        <w:t>2</w:t>
      </w:r>
      <w:r w:rsidRPr="00933561">
        <w:rPr>
          <w:sz w:val="24"/>
          <w:szCs w:val="24"/>
        </w:rPr>
        <w:t>), som samtidig får stærke CYP3A-hæmmere (se pkt. 4.5).</w:t>
      </w:r>
    </w:p>
    <w:p w14:paraId="0D4EC7EB" w14:textId="77777777" w:rsidR="008777B6" w:rsidRPr="00933561" w:rsidRDefault="008777B6" w:rsidP="00933561">
      <w:pPr>
        <w:tabs>
          <w:tab w:val="left" w:pos="851"/>
        </w:tabs>
        <w:ind w:left="851"/>
        <w:rPr>
          <w:sz w:val="24"/>
          <w:szCs w:val="24"/>
        </w:rPr>
      </w:pPr>
    </w:p>
    <w:p w14:paraId="152A3B62" w14:textId="77777777" w:rsidR="00933561" w:rsidRPr="00933561" w:rsidRDefault="00933561" w:rsidP="00933561">
      <w:pPr>
        <w:tabs>
          <w:tab w:val="left" w:pos="851"/>
        </w:tabs>
        <w:ind w:left="851"/>
        <w:rPr>
          <w:sz w:val="24"/>
          <w:szCs w:val="24"/>
          <w:u w:val="single"/>
        </w:rPr>
      </w:pPr>
      <w:r w:rsidRPr="00933561">
        <w:rPr>
          <w:sz w:val="24"/>
          <w:szCs w:val="24"/>
          <w:u w:val="single"/>
        </w:rPr>
        <w:t>Nedsat leverfunktion</w:t>
      </w:r>
      <w:r w:rsidRPr="00933561">
        <w:rPr>
          <w:sz w:val="24"/>
          <w:szCs w:val="24"/>
        </w:rPr>
        <w:t xml:space="preserve"> </w:t>
      </w:r>
    </w:p>
    <w:p w14:paraId="53F66BC0" w14:textId="7625C0FA" w:rsidR="00933561" w:rsidRPr="00933561" w:rsidRDefault="00933561" w:rsidP="00933561">
      <w:pPr>
        <w:tabs>
          <w:tab w:val="left" w:pos="851"/>
        </w:tabs>
        <w:ind w:left="851"/>
        <w:rPr>
          <w:sz w:val="24"/>
          <w:szCs w:val="24"/>
        </w:rPr>
      </w:pPr>
      <w:r w:rsidRPr="00933561">
        <w:rPr>
          <w:sz w:val="24"/>
          <w:szCs w:val="24"/>
        </w:rPr>
        <w:t xml:space="preserve">Mirabegron er ikke undersøgt hos patienter med svært nedsat leverfunktion (Child-Pugh-klasse C) og frarådes derfor til denne patientpopulation. Dette lægemiddel frarådes til patienter med moderat nedsat leverfunktion (Child-Pugh-klasse B), som samtidig får stærke CYP3A-hæmmere (se pkt. 4.5). </w:t>
      </w:r>
    </w:p>
    <w:p w14:paraId="2F907CCB" w14:textId="77777777" w:rsidR="00933561" w:rsidRPr="00933561" w:rsidRDefault="00933561" w:rsidP="00933561">
      <w:pPr>
        <w:tabs>
          <w:tab w:val="left" w:pos="851"/>
        </w:tabs>
        <w:ind w:left="851"/>
        <w:rPr>
          <w:sz w:val="24"/>
          <w:szCs w:val="24"/>
        </w:rPr>
      </w:pPr>
      <w:r w:rsidRPr="00933561">
        <w:rPr>
          <w:sz w:val="24"/>
          <w:szCs w:val="24"/>
        </w:rPr>
        <w:t xml:space="preserve"> </w:t>
      </w:r>
    </w:p>
    <w:p w14:paraId="55103BA1" w14:textId="77777777" w:rsidR="00933561" w:rsidRPr="00933561" w:rsidRDefault="00933561" w:rsidP="00933561">
      <w:pPr>
        <w:tabs>
          <w:tab w:val="left" w:pos="851"/>
        </w:tabs>
        <w:ind w:left="851"/>
        <w:rPr>
          <w:sz w:val="24"/>
          <w:szCs w:val="24"/>
          <w:u w:val="single"/>
        </w:rPr>
      </w:pPr>
      <w:r w:rsidRPr="00933561">
        <w:rPr>
          <w:sz w:val="24"/>
          <w:szCs w:val="24"/>
          <w:u w:val="single"/>
        </w:rPr>
        <w:t>Hypertension</w:t>
      </w:r>
      <w:r w:rsidRPr="00933561">
        <w:rPr>
          <w:sz w:val="24"/>
          <w:szCs w:val="24"/>
        </w:rPr>
        <w:t xml:space="preserve"> </w:t>
      </w:r>
    </w:p>
    <w:p w14:paraId="6ACC7F0E" w14:textId="77777777" w:rsidR="00933561" w:rsidRPr="00933561" w:rsidRDefault="00933561" w:rsidP="00933561">
      <w:pPr>
        <w:tabs>
          <w:tab w:val="left" w:pos="851"/>
        </w:tabs>
        <w:ind w:left="851"/>
        <w:rPr>
          <w:sz w:val="24"/>
          <w:szCs w:val="24"/>
        </w:rPr>
      </w:pPr>
      <w:r w:rsidRPr="00933561">
        <w:rPr>
          <w:sz w:val="24"/>
          <w:szCs w:val="24"/>
        </w:rPr>
        <w:t xml:space="preserve"> </w:t>
      </w:r>
    </w:p>
    <w:p w14:paraId="423327AF" w14:textId="77777777" w:rsidR="00933561" w:rsidRPr="00933561" w:rsidRDefault="00933561" w:rsidP="00933561">
      <w:pPr>
        <w:tabs>
          <w:tab w:val="left" w:pos="851"/>
        </w:tabs>
        <w:ind w:left="851"/>
        <w:rPr>
          <w:sz w:val="24"/>
          <w:szCs w:val="24"/>
        </w:rPr>
      </w:pPr>
      <w:r w:rsidRPr="00933561">
        <w:rPr>
          <w:i/>
          <w:sz w:val="24"/>
          <w:szCs w:val="24"/>
        </w:rPr>
        <w:t xml:space="preserve">Overaktiv blære hos voksne </w:t>
      </w:r>
    </w:p>
    <w:p w14:paraId="3F86381F" w14:textId="77777777" w:rsidR="00933561" w:rsidRPr="00933561" w:rsidRDefault="00933561" w:rsidP="00933561">
      <w:pPr>
        <w:tabs>
          <w:tab w:val="left" w:pos="851"/>
        </w:tabs>
        <w:ind w:left="851"/>
        <w:rPr>
          <w:sz w:val="24"/>
          <w:szCs w:val="24"/>
        </w:rPr>
      </w:pPr>
      <w:r w:rsidRPr="00933561">
        <w:rPr>
          <w:sz w:val="24"/>
          <w:szCs w:val="24"/>
        </w:rPr>
        <w:t xml:space="preserve">Mirabegron kan øge blodtrykket. Blodtrykket bør måles ved </w:t>
      </w:r>
      <w:r w:rsidRPr="00933561">
        <w:rPr>
          <w:i/>
          <w:sz w:val="24"/>
          <w:szCs w:val="24"/>
        </w:rPr>
        <w:t>baseline</w:t>
      </w:r>
      <w:r w:rsidRPr="00933561">
        <w:rPr>
          <w:sz w:val="24"/>
          <w:szCs w:val="24"/>
        </w:rPr>
        <w:t xml:space="preserve"> og regelmæssigt under behandling med mirabegron, især i hypertensive patienter. </w:t>
      </w:r>
    </w:p>
    <w:p w14:paraId="1B23C50C" w14:textId="77777777" w:rsidR="00933561" w:rsidRPr="00933561" w:rsidRDefault="00933561" w:rsidP="00933561">
      <w:pPr>
        <w:tabs>
          <w:tab w:val="left" w:pos="851"/>
        </w:tabs>
        <w:ind w:left="851"/>
        <w:rPr>
          <w:sz w:val="24"/>
          <w:szCs w:val="24"/>
        </w:rPr>
      </w:pPr>
      <w:r w:rsidRPr="00933561">
        <w:rPr>
          <w:sz w:val="24"/>
          <w:szCs w:val="24"/>
        </w:rPr>
        <w:t xml:space="preserve"> </w:t>
      </w:r>
    </w:p>
    <w:p w14:paraId="464B1149" w14:textId="77777777" w:rsidR="00933561" w:rsidRPr="00933561" w:rsidRDefault="00933561" w:rsidP="00933561">
      <w:pPr>
        <w:tabs>
          <w:tab w:val="left" w:pos="851"/>
        </w:tabs>
        <w:ind w:left="851"/>
        <w:rPr>
          <w:sz w:val="24"/>
          <w:szCs w:val="24"/>
        </w:rPr>
      </w:pPr>
      <w:r w:rsidRPr="00933561">
        <w:rPr>
          <w:sz w:val="24"/>
          <w:szCs w:val="24"/>
        </w:rPr>
        <w:t xml:space="preserve">Der er utilstrækkelige data for patienter med grad 2-hypertension (systolisk blodtryk ≥ 160 mm Hg eller diastolisk blodtryk ≥ 100 mm Hg). </w:t>
      </w:r>
    </w:p>
    <w:p w14:paraId="48E2F2A3" w14:textId="77777777" w:rsidR="00933561" w:rsidRPr="00933561" w:rsidRDefault="00933561" w:rsidP="00933561">
      <w:pPr>
        <w:tabs>
          <w:tab w:val="left" w:pos="851"/>
        </w:tabs>
        <w:ind w:left="851"/>
        <w:rPr>
          <w:sz w:val="24"/>
          <w:szCs w:val="24"/>
        </w:rPr>
      </w:pPr>
      <w:r w:rsidRPr="00933561">
        <w:rPr>
          <w:sz w:val="24"/>
          <w:szCs w:val="24"/>
        </w:rPr>
        <w:t xml:space="preserve"> </w:t>
      </w:r>
    </w:p>
    <w:p w14:paraId="45833E3E" w14:textId="77777777" w:rsidR="00933561" w:rsidRPr="00933561" w:rsidRDefault="00933561" w:rsidP="00933561">
      <w:pPr>
        <w:tabs>
          <w:tab w:val="left" w:pos="851"/>
        </w:tabs>
        <w:ind w:left="851"/>
        <w:rPr>
          <w:sz w:val="24"/>
          <w:szCs w:val="24"/>
        </w:rPr>
      </w:pPr>
      <w:r w:rsidRPr="00933561">
        <w:rPr>
          <w:i/>
          <w:sz w:val="24"/>
          <w:szCs w:val="24"/>
        </w:rPr>
        <w:t xml:space="preserve">Neurogen detrusoroveraktivitet i den pædiatriske population </w:t>
      </w:r>
    </w:p>
    <w:p w14:paraId="56F7A0FF" w14:textId="77777777" w:rsidR="00933561" w:rsidRPr="00933561" w:rsidRDefault="00933561" w:rsidP="00933561">
      <w:pPr>
        <w:tabs>
          <w:tab w:val="left" w:pos="851"/>
        </w:tabs>
        <w:ind w:left="851"/>
        <w:rPr>
          <w:sz w:val="24"/>
          <w:szCs w:val="24"/>
        </w:rPr>
      </w:pPr>
      <w:r w:rsidRPr="00933561">
        <w:rPr>
          <w:sz w:val="24"/>
          <w:szCs w:val="24"/>
        </w:rPr>
        <w:t xml:space="preserve">Mirabegron kan øge blodtrykket hos pædiatriske patienter. Stigningerne i blodtrykket kan være større hos børn (i alderen 3 år til under 12 år) end hos unge (i alderen 12 år til under 18 år). Blodtrykket bør måles ved </w:t>
      </w:r>
      <w:r w:rsidRPr="00933561">
        <w:rPr>
          <w:i/>
          <w:sz w:val="24"/>
          <w:szCs w:val="24"/>
        </w:rPr>
        <w:t>baseline</w:t>
      </w:r>
      <w:r w:rsidRPr="00933561">
        <w:rPr>
          <w:sz w:val="24"/>
          <w:szCs w:val="24"/>
        </w:rPr>
        <w:t xml:space="preserve"> og regelmæssigt under behandling med mirabegron. </w:t>
      </w:r>
    </w:p>
    <w:p w14:paraId="74E8339F" w14:textId="77777777" w:rsidR="00933561" w:rsidRPr="00933561" w:rsidRDefault="00933561" w:rsidP="00933561">
      <w:pPr>
        <w:tabs>
          <w:tab w:val="left" w:pos="851"/>
        </w:tabs>
        <w:ind w:left="851"/>
        <w:rPr>
          <w:sz w:val="24"/>
          <w:szCs w:val="24"/>
        </w:rPr>
      </w:pPr>
      <w:r w:rsidRPr="00933561">
        <w:rPr>
          <w:sz w:val="24"/>
          <w:szCs w:val="24"/>
        </w:rPr>
        <w:t xml:space="preserve">  </w:t>
      </w:r>
    </w:p>
    <w:p w14:paraId="0B114490" w14:textId="77777777" w:rsidR="00933561" w:rsidRPr="00933561" w:rsidRDefault="00933561" w:rsidP="00933561">
      <w:pPr>
        <w:tabs>
          <w:tab w:val="left" w:pos="851"/>
        </w:tabs>
        <w:ind w:left="851"/>
        <w:rPr>
          <w:sz w:val="24"/>
          <w:szCs w:val="24"/>
          <w:u w:val="single"/>
        </w:rPr>
      </w:pPr>
      <w:r w:rsidRPr="00933561">
        <w:rPr>
          <w:sz w:val="24"/>
          <w:szCs w:val="24"/>
          <w:u w:val="single"/>
        </w:rPr>
        <w:t>Patienter med medfødt eller erhvervet QT-forlængelse</w:t>
      </w:r>
      <w:r w:rsidRPr="00933561">
        <w:rPr>
          <w:sz w:val="24"/>
          <w:szCs w:val="24"/>
        </w:rPr>
        <w:t xml:space="preserve"> </w:t>
      </w:r>
    </w:p>
    <w:p w14:paraId="3BA8A680" w14:textId="0626951B" w:rsidR="00933561" w:rsidRPr="00933561" w:rsidRDefault="00933561" w:rsidP="00933561">
      <w:pPr>
        <w:tabs>
          <w:tab w:val="left" w:pos="851"/>
        </w:tabs>
        <w:ind w:left="851"/>
        <w:rPr>
          <w:sz w:val="24"/>
          <w:szCs w:val="24"/>
        </w:rPr>
      </w:pPr>
      <w:r w:rsidRPr="00933561">
        <w:rPr>
          <w:sz w:val="24"/>
          <w:szCs w:val="24"/>
        </w:rPr>
        <w:t xml:space="preserve">Ved terapeutiske doser har mirabegron ikke udvist klinisk relevant QT-forlængelse i kliniske studier (se pkt. 5.1). Da patienter med QT-forlængelse i anamnesen eller patienter, der tager lægemidler, som vides at forlænge QT-intervallet, imidlertid ikke er omfattet af disse studier, er virkningen af mirabegron hos disse patienter ikke kendt. Der bør udvises forsigtighed, når mirabegron administreres til disse patienter. </w:t>
      </w:r>
    </w:p>
    <w:p w14:paraId="50084DCC" w14:textId="77777777" w:rsidR="00933561" w:rsidRPr="00933561" w:rsidRDefault="00933561" w:rsidP="00933561">
      <w:pPr>
        <w:tabs>
          <w:tab w:val="left" w:pos="851"/>
        </w:tabs>
        <w:ind w:left="851"/>
        <w:rPr>
          <w:sz w:val="24"/>
          <w:szCs w:val="24"/>
        </w:rPr>
      </w:pPr>
      <w:r w:rsidRPr="00933561">
        <w:rPr>
          <w:sz w:val="24"/>
          <w:szCs w:val="24"/>
        </w:rPr>
        <w:t xml:space="preserve"> </w:t>
      </w:r>
    </w:p>
    <w:p w14:paraId="699D6805" w14:textId="77777777" w:rsidR="00933561" w:rsidRPr="00933561" w:rsidRDefault="00933561" w:rsidP="00933561">
      <w:pPr>
        <w:tabs>
          <w:tab w:val="left" w:pos="851"/>
        </w:tabs>
        <w:ind w:left="851"/>
        <w:rPr>
          <w:sz w:val="24"/>
          <w:szCs w:val="24"/>
          <w:u w:val="single"/>
        </w:rPr>
      </w:pPr>
      <w:r w:rsidRPr="00933561">
        <w:rPr>
          <w:sz w:val="24"/>
          <w:szCs w:val="24"/>
          <w:u w:val="single"/>
        </w:rPr>
        <w:t>Patienter med blæreudgangsobstruktion og patienter i behandling med antimuskarine lægemidler for</w:t>
      </w:r>
      <w:r w:rsidRPr="00933561">
        <w:rPr>
          <w:sz w:val="24"/>
          <w:szCs w:val="24"/>
        </w:rPr>
        <w:t xml:space="preserve"> </w:t>
      </w:r>
      <w:r w:rsidRPr="00933561">
        <w:rPr>
          <w:sz w:val="24"/>
          <w:szCs w:val="24"/>
          <w:u w:val="single"/>
        </w:rPr>
        <w:t>overaktiv blære (OAB)</w:t>
      </w:r>
      <w:r w:rsidRPr="00933561">
        <w:rPr>
          <w:sz w:val="24"/>
          <w:szCs w:val="24"/>
        </w:rPr>
        <w:t xml:space="preserve"> </w:t>
      </w:r>
    </w:p>
    <w:p w14:paraId="2F842C2F" w14:textId="65607E62" w:rsidR="00933561" w:rsidRPr="00933561" w:rsidRDefault="00933561" w:rsidP="00933561">
      <w:pPr>
        <w:tabs>
          <w:tab w:val="left" w:pos="851"/>
        </w:tabs>
        <w:ind w:left="851"/>
        <w:rPr>
          <w:sz w:val="24"/>
          <w:szCs w:val="24"/>
        </w:rPr>
      </w:pPr>
      <w:r w:rsidRPr="00933561">
        <w:rPr>
          <w:sz w:val="24"/>
          <w:szCs w:val="24"/>
        </w:rPr>
        <w:t xml:space="preserve">Hos patienter i behandling med mirabegron er der efter markedsføring blevet rapporteret urinretention hos patienter med blæreudgangsobstruktion (BOO) og hos patienter i behandling med antimuskarine lægemidler for OAB. I et kontrolleret klinisk </w:t>
      </w:r>
      <w:r w:rsidRPr="00933561">
        <w:rPr>
          <w:sz w:val="24"/>
          <w:szCs w:val="24"/>
        </w:rPr>
        <w:lastRenderedPageBreak/>
        <w:t>sikkerhedsstudie af patienter med BOO fandtes ikke en øget forekomst af urinretention hos patienter behandlet med mirabegron; dog bør mirabegron anvendes med forsigtighed til patienter med klinisk signifikant BOO. Dette lægemiddel bør også anvendes med forsigtighed til patienter i behandling med antimuskarine lægemidler for OAB.</w:t>
      </w:r>
    </w:p>
    <w:p w14:paraId="23DC03B5" w14:textId="77777777" w:rsidR="009260DE" w:rsidRPr="00C84483" w:rsidRDefault="009260DE" w:rsidP="004931E3">
      <w:pPr>
        <w:tabs>
          <w:tab w:val="left" w:pos="851"/>
        </w:tabs>
        <w:ind w:left="851"/>
        <w:rPr>
          <w:sz w:val="24"/>
          <w:szCs w:val="24"/>
        </w:rPr>
      </w:pPr>
    </w:p>
    <w:p w14:paraId="4A86E941" w14:textId="77777777" w:rsidR="009260DE" w:rsidRPr="00C84483" w:rsidRDefault="009260DE" w:rsidP="004931E3">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5DEE5393" w14:textId="77777777" w:rsidR="00933561" w:rsidRPr="00933561" w:rsidRDefault="00933561" w:rsidP="00933561">
      <w:pPr>
        <w:tabs>
          <w:tab w:val="left" w:pos="851"/>
        </w:tabs>
        <w:ind w:left="851"/>
        <w:rPr>
          <w:bCs/>
          <w:sz w:val="24"/>
          <w:szCs w:val="24"/>
        </w:rPr>
      </w:pPr>
    </w:p>
    <w:p w14:paraId="1B0928EA" w14:textId="77777777" w:rsidR="00933561" w:rsidRPr="00933561" w:rsidRDefault="00933561" w:rsidP="00933561">
      <w:pPr>
        <w:tabs>
          <w:tab w:val="left" w:pos="851"/>
        </w:tabs>
        <w:ind w:left="851"/>
        <w:rPr>
          <w:bCs/>
          <w:iCs/>
          <w:sz w:val="24"/>
          <w:szCs w:val="24"/>
        </w:rPr>
      </w:pPr>
      <w:r w:rsidRPr="00933561">
        <w:rPr>
          <w:bCs/>
          <w:iCs/>
          <w:sz w:val="24"/>
          <w:szCs w:val="24"/>
          <w:u w:val="single"/>
        </w:rPr>
        <w:t>In vitro-data</w:t>
      </w:r>
      <w:r w:rsidRPr="00933561">
        <w:rPr>
          <w:bCs/>
          <w:iCs/>
          <w:sz w:val="24"/>
          <w:szCs w:val="24"/>
        </w:rPr>
        <w:t xml:space="preserve"> </w:t>
      </w:r>
    </w:p>
    <w:p w14:paraId="673023E1" w14:textId="7DBC01B8" w:rsidR="00933561" w:rsidRPr="00933561" w:rsidRDefault="00933561" w:rsidP="00933561">
      <w:pPr>
        <w:tabs>
          <w:tab w:val="left" w:pos="851"/>
        </w:tabs>
        <w:ind w:left="851"/>
        <w:rPr>
          <w:bCs/>
          <w:sz w:val="24"/>
          <w:szCs w:val="24"/>
        </w:rPr>
      </w:pPr>
      <w:r w:rsidRPr="00933561">
        <w:rPr>
          <w:bCs/>
          <w:sz w:val="24"/>
          <w:szCs w:val="24"/>
        </w:rPr>
        <w:t xml:space="preserve">Mirabegron transporteres og metaboliseres via flere pathways. Mirabegron er substrat for cytochrom P450 (CYP) 3A4, CYP2D6, butyrylcholinesterase, uridin-diphospho-glucuronosyltransferaser (UGT), efflux-transportøren P-glycoprotein (P-gp) og organisk kation-transportørerne (OCT) OCT1, OCT2 og OCT3, som er influx-transportører. Studier af mirabegron ved anvendelse af humane levermikrosomer og rekombinante humane CYP-enzymer har vist, at mirabegron er en moderat og tidsafhængig CYP2D6-hæmmer og en svag CYP3A-hæmmer. Mirabegron hæmmede P-gp-medieret lægemiddeltransport ved høje koncentrationer. </w:t>
      </w:r>
    </w:p>
    <w:p w14:paraId="3CDD6D38"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15B3C833" w14:textId="77777777" w:rsidR="00933561" w:rsidRPr="00933561" w:rsidRDefault="00933561" w:rsidP="00933561">
      <w:pPr>
        <w:tabs>
          <w:tab w:val="left" w:pos="851"/>
        </w:tabs>
        <w:ind w:left="851"/>
        <w:rPr>
          <w:bCs/>
          <w:iCs/>
          <w:sz w:val="24"/>
          <w:szCs w:val="24"/>
        </w:rPr>
      </w:pPr>
      <w:r w:rsidRPr="00933561">
        <w:rPr>
          <w:bCs/>
          <w:iCs/>
          <w:sz w:val="24"/>
          <w:szCs w:val="24"/>
          <w:u w:val="single"/>
        </w:rPr>
        <w:t>In vivo-data</w:t>
      </w:r>
      <w:r w:rsidRPr="00933561">
        <w:rPr>
          <w:bCs/>
          <w:iCs/>
          <w:sz w:val="24"/>
          <w:szCs w:val="24"/>
        </w:rPr>
        <w:t xml:space="preserve"> </w:t>
      </w:r>
    </w:p>
    <w:p w14:paraId="2D14119D"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75F479A4" w14:textId="77777777" w:rsidR="00933561" w:rsidRPr="00933561" w:rsidRDefault="00933561" w:rsidP="00933561">
      <w:pPr>
        <w:tabs>
          <w:tab w:val="left" w:pos="851"/>
        </w:tabs>
        <w:ind w:left="851"/>
        <w:rPr>
          <w:bCs/>
          <w:sz w:val="24"/>
          <w:szCs w:val="24"/>
        </w:rPr>
      </w:pPr>
      <w:r w:rsidRPr="00933561">
        <w:rPr>
          <w:bCs/>
          <w:i/>
          <w:sz w:val="24"/>
          <w:szCs w:val="24"/>
        </w:rPr>
        <w:t>Interaktioner med andre lægemidler</w:t>
      </w:r>
      <w:r w:rsidRPr="00933561">
        <w:rPr>
          <w:bCs/>
          <w:sz w:val="24"/>
          <w:szCs w:val="24"/>
        </w:rPr>
        <w:t xml:space="preserve"> </w:t>
      </w:r>
    </w:p>
    <w:p w14:paraId="3EEB7EF7" w14:textId="77777777" w:rsidR="00933561" w:rsidRPr="00933561" w:rsidRDefault="00933561" w:rsidP="00933561">
      <w:pPr>
        <w:tabs>
          <w:tab w:val="left" w:pos="851"/>
        </w:tabs>
        <w:ind w:left="851"/>
        <w:rPr>
          <w:bCs/>
          <w:sz w:val="24"/>
          <w:szCs w:val="24"/>
        </w:rPr>
      </w:pPr>
      <w:r w:rsidRPr="00933561">
        <w:rPr>
          <w:bCs/>
          <w:sz w:val="24"/>
          <w:szCs w:val="24"/>
        </w:rPr>
        <w:t xml:space="preserve">Samtidigt administrerede lægemidlers virkning på farmakokinetikken af mirabegron og mirabegrons virkning på farmakokinetikken af andre lægemidler blev undersøgt i enkelt- og flerdosisstudier. De fleste interaktioner med andre lægemidler blev undersøgt ved anvendelse af en dosis på 100 mg mirabegron givet som orale tabletter med kontrolleret absorptionssystem (OCAS [oral controlled absorption system]-tabletter). Ved studier af interaktion mellem mirabegron og hhv. metoprolol og metformin blev der anvendt mirabegron med øjeblikkelig frigivelse (IR) 160 mg. </w:t>
      </w:r>
    </w:p>
    <w:p w14:paraId="6B72A344"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27EE6A3B" w14:textId="77777777" w:rsidR="00933561" w:rsidRPr="00933561" w:rsidRDefault="00933561" w:rsidP="00933561">
      <w:pPr>
        <w:tabs>
          <w:tab w:val="left" w:pos="851"/>
        </w:tabs>
        <w:ind w:left="851"/>
        <w:rPr>
          <w:bCs/>
          <w:sz w:val="24"/>
          <w:szCs w:val="24"/>
        </w:rPr>
      </w:pPr>
      <w:r w:rsidRPr="00933561">
        <w:rPr>
          <w:bCs/>
          <w:sz w:val="24"/>
          <w:szCs w:val="24"/>
        </w:rPr>
        <w:t xml:space="preserve">Der forventes ikke klinisk relevante lægemiddelinteraktioner mellem mirabegron og lægemidler, der hæmmer, inducerer eller er substrat for et af CYP-isozymerne eller en af CYP-transportørerne, bortset fra mirabegrons hæmmende virkning på metabolismen af CYP2D6-substrater. </w:t>
      </w:r>
    </w:p>
    <w:p w14:paraId="006E1D19"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1B5EFC62" w14:textId="77777777" w:rsidR="00933561" w:rsidRPr="00933561" w:rsidRDefault="00933561" w:rsidP="00933561">
      <w:pPr>
        <w:tabs>
          <w:tab w:val="left" w:pos="851"/>
        </w:tabs>
        <w:ind w:left="851"/>
        <w:rPr>
          <w:bCs/>
          <w:sz w:val="24"/>
          <w:szCs w:val="24"/>
        </w:rPr>
      </w:pPr>
      <w:r w:rsidRPr="00933561">
        <w:rPr>
          <w:bCs/>
          <w:i/>
          <w:sz w:val="24"/>
          <w:szCs w:val="24"/>
        </w:rPr>
        <w:t xml:space="preserve">Enzymhæmmeres virkning </w:t>
      </w:r>
    </w:p>
    <w:p w14:paraId="26050D34" w14:textId="77777777" w:rsidR="00933561" w:rsidRPr="00933561" w:rsidRDefault="00933561" w:rsidP="00933561">
      <w:pPr>
        <w:tabs>
          <w:tab w:val="left" w:pos="851"/>
        </w:tabs>
        <w:ind w:left="851"/>
        <w:rPr>
          <w:bCs/>
          <w:sz w:val="24"/>
          <w:szCs w:val="24"/>
        </w:rPr>
      </w:pPr>
      <w:r w:rsidRPr="00933561">
        <w:rPr>
          <w:bCs/>
          <w:sz w:val="24"/>
          <w:szCs w:val="24"/>
        </w:rPr>
        <w:t xml:space="preserve">Mirabegron-eksponeringen (AUC) blev øget 1,8 gange ved tilstedeværelse af den stærke </w:t>
      </w:r>
    </w:p>
    <w:p w14:paraId="2AD83B74" w14:textId="77777777" w:rsidR="00933561" w:rsidRPr="00933561" w:rsidRDefault="00933561" w:rsidP="00933561">
      <w:pPr>
        <w:tabs>
          <w:tab w:val="left" w:pos="851"/>
        </w:tabs>
        <w:ind w:left="851"/>
        <w:rPr>
          <w:bCs/>
          <w:sz w:val="24"/>
          <w:szCs w:val="24"/>
        </w:rPr>
      </w:pPr>
      <w:r w:rsidRPr="00933561">
        <w:rPr>
          <w:bCs/>
          <w:sz w:val="24"/>
          <w:szCs w:val="24"/>
        </w:rPr>
        <w:t xml:space="preserve">CYP3A/P-gp-hæmmer ketoconazol hos raske frivillige. Dosisjustering er ikke nødvendig, når </w:t>
      </w:r>
      <w:r w:rsidRPr="00933561">
        <w:rPr>
          <w:sz w:val="24"/>
          <w:szCs w:val="24"/>
        </w:rPr>
        <w:t xml:space="preserve">mirabegron </w:t>
      </w:r>
      <w:r w:rsidRPr="00933561">
        <w:rPr>
          <w:bCs/>
          <w:sz w:val="24"/>
          <w:szCs w:val="24"/>
        </w:rPr>
        <w:t>kombineres med CYP3A- og/eller P-gp-hæmmere. For patienter med let til moderat nedsat nyrefunktion (eGFR 30 til 89 ml/min/1,73 m</w:t>
      </w:r>
      <w:r w:rsidRPr="00933561">
        <w:rPr>
          <w:bCs/>
          <w:sz w:val="24"/>
          <w:szCs w:val="24"/>
          <w:vertAlign w:val="superscript"/>
        </w:rPr>
        <w:t>2</w:t>
      </w:r>
      <w:r w:rsidRPr="00933561">
        <w:rPr>
          <w:bCs/>
          <w:sz w:val="24"/>
          <w:szCs w:val="24"/>
        </w:rPr>
        <w:t>) eller let nedsat leverfunktion (Child-Pugh-klasse A), som samtidig får stærke CYP3A-hæmmere, såsom itraconazol, ketoconazol, ritonavir og clarithromycin, er den anbefalede dosering imidlertid 25 mg én gang dagligt med eller uden mad (se pkt. 4.2). Mirabegron frarådes til patienter med svært nedsat nyrefunktion (eGFR 15 til 29 ml/min/1,73 m</w:t>
      </w:r>
      <w:r w:rsidRPr="00933561">
        <w:rPr>
          <w:bCs/>
          <w:sz w:val="24"/>
          <w:szCs w:val="24"/>
          <w:vertAlign w:val="superscript"/>
        </w:rPr>
        <w:t>2</w:t>
      </w:r>
      <w:r w:rsidRPr="00933561">
        <w:rPr>
          <w:bCs/>
          <w:sz w:val="24"/>
          <w:szCs w:val="24"/>
        </w:rPr>
        <w:t xml:space="preserve">) eller patienter med moderat nedsat leverfunktion (Child-Pugh-klasse B), som samtidig får stærke CYP3A-hæmmere (se </w:t>
      </w:r>
      <w:r w:rsidRPr="00933561">
        <w:rPr>
          <w:bCs/>
          <w:sz w:val="24"/>
          <w:szCs w:val="24"/>
        </w:rPr>
        <w:br/>
        <w:t xml:space="preserve">pkt. 4.2 og 4.4). </w:t>
      </w:r>
    </w:p>
    <w:p w14:paraId="446D8BC6"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3997F6B8" w14:textId="77777777" w:rsidR="00933561" w:rsidRPr="00933561" w:rsidRDefault="00933561" w:rsidP="00933561">
      <w:pPr>
        <w:tabs>
          <w:tab w:val="left" w:pos="851"/>
        </w:tabs>
        <w:ind w:left="851"/>
        <w:rPr>
          <w:bCs/>
          <w:sz w:val="24"/>
          <w:szCs w:val="24"/>
        </w:rPr>
      </w:pPr>
      <w:r w:rsidRPr="00933561">
        <w:rPr>
          <w:bCs/>
          <w:i/>
          <w:sz w:val="24"/>
          <w:szCs w:val="24"/>
        </w:rPr>
        <w:t xml:space="preserve">Enzyminduktorers virkning </w:t>
      </w:r>
    </w:p>
    <w:p w14:paraId="15E0D374" w14:textId="77777777" w:rsidR="00933561" w:rsidRPr="00933561" w:rsidRDefault="00933561" w:rsidP="00933561">
      <w:pPr>
        <w:tabs>
          <w:tab w:val="left" w:pos="851"/>
        </w:tabs>
        <w:ind w:left="851"/>
        <w:rPr>
          <w:bCs/>
          <w:sz w:val="24"/>
          <w:szCs w:val="24"/>
        </w:rPr>
      </w:pPr>
      <w:r w:rsidRPr="00933561">
        <w:rPr>
          <w:bCs/>
          <w:sz w:val="24"/>
          <w:szCs w:val="24"/>
        </w:rPr>
        <w:t xml:space="preserve">Stoffer, der inducerer CYP3A eller P-gp, reducerer plasmakoncentrationerne af mirabegron. Dosisjustering er ikke nødvendig for mirabegron ved samtidig administration med terapeutiske doser af rifampicin eller andre CYP3A- eller P-gp-induktorer. </w:t>
      </w:r>
    </w:p>
    <w:p w14:paraId="6D1CBE1D"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02B6487D" w14:textId="77777777" w:rsidR="00933561" w:rsidRPr="00933561" w:rsidRDefault="00933561" w:rsidP="00933561">
      <w:pPr>
        <w:tabs>
          <w:tab w:val="left" w:pos="851"/>
        </w:tabs>
        <w:ind w:left="851"/>
        <w:rPr>
          <w:bCs/>
          <w:sz w:val="24"/>
          <w:szCs w:val="24"/>
        </w:rPr>
      </w:pPr>
      <w:r w:rsidRPr="00933561">
        <w:rPr>
          <w:bCs/>
          <w:i/>
          <w:sz w:val="24"/>
          <w:szCs w:val="24"/>
        </w:rPr>
        <w:lastRenderedPageBreak/>
        <w:t xml:space="preserve">Virkning af CYP2D6-polymorfisme </w:t>
      </w:r>
    </w:p>
    <w:p w14:paraId="260790E5" w14:textId="77777777" w:rsidR="00933561" w:rsidRPr="00933561" w:rsidRDefault="00933561" w:rsidP="00933561">
      <w:pPr>
        <w:tabs>
          <w:tab w:val="left" w:pos="851"/>
        </w:tabs>
        <w:ind w:left="851"/>
        <w:rPr>
          <w:bCs/>
          <w:sz w:val="24"/>
          <w:szCs w:val="24"/>
        </w:rPr>
      </w:pPr>
      <w:r w:rsidRPr="00933561">
        <w:rPr>
          <w:bCs/>
          <w:sz w:val="24"/>
          <w:szCs w:val="24"/>
        </w:rPr>
        <w:t xml:space="preserve">Genetisk polymorfisme i CYP2D6 har minimal indflydelse på den gennemsnitlige plasmaeksponering for mirabegron (se pkt. 5.2). Interaktion af mirabegron med en kendt CYP2D6-hæmmer forventes ikke og blev ikke undersøgt. Dosisjustering er ikke nødvendig for mirabegron ved administration sammen med CYP2D6-hæmmere eller hos patienter med ringe CYP2D6-metabolisme. </w:t>
      </w:r>
    </w:p>
    <w:p w14:paraId="0B4E5E7D" w14:textId="77777777" w:rsidR="00933561" w:rsidRPr="00933561" w:rsidRDefault="00933561" w:rsidP="00933561">
      <w:pPr>
        <w:tabs>
          <w:tab w:val="left" w:pos="851"/>
        </w:tabs>
        <w:ind w:left="851"/>
        <w:rPr>
          <w:bCs/>
          <w:sz w:val="24"/>
          <w:szCs w:val="24"/>
        </w:rPr>
      </w:pPr>
      <w:r w:rsidRPr="00933561">
        <w:rPr>
          <w:bCs/>
          <w:i/>
          <w:sz w:val="24"/>
          <w:szCs w:val="24"/>
        </w:rPr>
        <w:t xml:space="preserve"> </w:t>
      </w:r>
    </w:p>
    <w:p w14:paraId="588B9BDA" w14:textId="77777777" w:rsidR="00933561" w:rsidRPr="00933561" w:rsidRDefault="00933561" w:rsidP="00933561">
      <w:pPr>
        <w:tabs>
          <w:tab w:val="left" w:pos="851"/>
        </w:tabs>
        <w:ind w:left="851"/>
        <w:rPr>
          <w:bCs/>
          <w:sz w:val="24"/>
          <w:szCs w:val="24"/>
        </w:rPr>
      </w:pPr>
      <w:r w:rsidRPr="00933561">
        <w:rPr>
          <w:bCs/>
          <w:i/>
          <w:sz w:val="24"/>
          <w:szCs w:val="24"/>
        </w:rPr>
        <w:t xml:space="preserve">Mirabegrons virkning på CYP2D6-substrater </w:t>
      </w:r>
    </w:p>
    <w:p w14:paraId="7EE6EE1B" w14:textId="77777777" w:rsidR="00933561" w:rsidRPr="00933561" w:rsidRDefault="00933561" w:rsidP="00933561">
      <w:pPr>
        <w:tabs>
          <w:tab w:val="left" w:pos="851"/>
        </w:tabs>
        <w:ind w:left="851"/>
        <w:rPr>
          <w:bCs/>
          <w:sz w:val="24"/>
          <w:szCs w:val="24"/>
        </w:rPr>
      </w:pPr>
      <w:r w:rsidRPr="00933561">
        <w:rPr>
          <w:bCs/>
          <w:sz w:val="24"/>
          <w:szCs w:val="24"/>
        </w:rPr>
        <w:t>Hos raske frivillige hæmmer mirabegron CYP2D6 moderat, og CYP2D6-aktiviteten genvindes inden for 15 dage efter seponering af mirabegron. Flere doseringer af mirabegron IR én gang dagligt resulterede i en 90 % stigning i C</w:t>
      </w:r>
      <w:r w:rsidRPr="00933561">
        <w:rPr>
          <w:bCs/>
          <w:sz w:val="24"/>
          <w:szCs w:val="24"/>
          <w:vertAlign w:val="subscript"/>
        </w:rPr>
        <w:t>max</w:t>
      </w:r>
      <w:r w:rsidRPr="00933561">
        <w:rPr>
          <w:bCs/>
          <w:sz w:val="24"/>
          <w:szCs w:val="24"/>
        </w:rPr>
        <w:t xml:space="preserve"> og en 229 % stigning i AUC for en enkeltdosis af metoprolol. Flere doseringer af mirabegron én gang dagligt resulterede i en 79 % stigning i C</w:t>
      </w:r>
      <w:r w:rsidRPr="00933561">
        <w:rPr>
          <w:bCs/>
          <w:sz w:val="24"/>
          <w:szCs w:val="24"/>
          <w:vertAlign w:val="subscript"/>
        </w:rPr>
        <w:t>max</w:t>
      </w:r>
      <w:r w:rsidRPr="00933561">
        <w:rPr>
          <w:bCs/>
          <w:sz w:val="24"/>
          <w:szCs w:val="24"/>
        </w:rPr>
        <w:t xml:space="preserve"> og en 241 % stigning i AUC for en enkeltdosis af desipramin. </w:t>
      </w:r>
    </w:p>
    <w:p w14:paraId="7C4981EF"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2B0A9F0B" w14:textId="77777777" w:rsidR="00933561" w:rsidRPr="00933561" w:rsidRDefault="00933561" w:rsidP="00933561">
      <w:pPr>
        <w:tabs>
          <w:tab w:val="left" w:pos="851"/>
        </w:tabs>
        <w:ind w:left="851"/>
        <w:rPr>
          <w:bCs/>
          <w:sz w:val="24"/>
          <w:szCs w:val="24"/>
        </w:rPr>
      </w:pPr>
      <w:r w:rsidRPr="00933561">
        <w:rPr>
          <w:bCs/>
          <w:sz w:val="24"/>
          <w:szCs w:val="24"/>
        </w:rPr>
        <w:t xml:space="preserve">Der tilrådes forsigtighed, hvis mirabegron administreres samtidig med lægemidler, som har et snævert terapeutisk indeks og metaboliseres i væsentlig grad af CYP2D6, såsom thioridazin, klasse 1C-antiarytmika (f.eks. flecainid, propafenon) og tricykliske antidepressiva (f.eks. imipramin, desipramin). Forsigtighed tilrådes også, hvis mirabegron administreres samtidig med CYP2D6substrater, der dosistitreres individuelt. </w:t>
      </w:r>
    </w:p>
    <w:p w14:paraId="51842E27" w14:textId="77777777" w:rsidR="00933561" w:rsidRPr="00933561" w:rsidRDefault="00933561" w:rsidP="00933561">
      <w:pPr>
        <w:tabs>
          <w:tab w:val="left" w:pos="851"/>
        </w:tabs>
        <w:ind w:left="851"/>
        <w:rPr>
          <w:bCs/>
          <w:sz w:val="24"/>
          <w:szCs w:val="24"/>
        </w:rPr>
      </w:pPr>
      <w:r w:rsidRPr="00933561">
        <w:rPr>
          <w:bCs/>
          <w:i/>
          <w:sz w:val="24"/>
          <w:szCs w:val="24"/>
        </w:rPr>
        <w:t xml:space="preserve"> </w:t>
      </w:r>
    </w:p>
    <w:p w14:paraId="56EB811B" w14:textId="77777777" w:rsidR="00933561" w:rsidRPr="00933561" w:rsidRDefault="00933561" w:rsidP="00933561">
      <w:pPr>
        <w:tabs>
          <w:tab w:val="left" w:pos="851"/>
        </w:tabs>
        <w:ind w:left="851"/>
        <w:rPr>
          <w:bCs/>
          <w:sz w:val="24"/>
          <w:szCs w:val="24"/>
        </w:rPr>
      </w:pPr>
      <w:r w:rsidRPr="00933561">
        <w:rPr>
          <w:bCs/>
          <w:i/>
          <w:sz w:val="24"/>
          <w:szCs w:val="24"/>
        </w:rPr>
        <w:t xml:space="preserve">Mirabegrons virkning på transportører </w:t>
      </w:r>
    </w:p>
    <w:p w14:paraId="521541D1" w14:textId="0A38AD34" w:rsidR="00933561" w:rsidRPr="00933561" w:rsidRDefault="00933561" w:rsidP="00933561">
      <w:pPr>
        <w:tabs>
          <w:tab w:val="left" w:pos="851"/>
        </w:tabs>
        <w:ind w:left="851"/>
        <w:rPr>
          <w:bCs/>
          <w:sz w:val="24"/>
          <w:szCs w:val="24"/>
        </w:rPr>
      </w:pPr>
      <w:r w:rsidRPr="00933561">
        <w:rPr>
          <w:bCs/>
          <w:sz w:val="24"/>
          <w:szCs w:val="24"/>
        </w:rPr>
        <w:t>Mirabegron er en svag P-gp-hæmmer. Mirabegron øgede C</w:t>
      </w:r>
      <w:r w:rsidRPr="00933561">
        <w:rPr>
          <w:bCs/>
          <w:sz w:val="24"/>
          <w:szCs w:val="24"/>
          <w:vertAlign w:val="subscript"/>
        </w:rPr>
        <w:t>max</w:t>
      </w:r>
      <w:r w:rsidRPr="00933561">
        <w:rPr>
          <w:bCs/>
          <w:sz w:val="24"/>
          <w:szCs w:val="24"/>
        </w:rPr>
        <w:t xml:space="preserve"> og AUC med henholdsvis 29 % og 27 % for P-gp-substratet digoxin hos raske frivillige. Patienter, der påbegynder en kombination af </w:t>
      </w:r>
      <w:r w:rsidRPr="00933561">
        <w:rPr>
          <w:sz w:val="24"/>
          <w:szCs w:val="24"/>
        </w:rPr>
        <w:t xml:space="preserve">mirabegron </w:t>
      </w:r>
      <w:r w:rsidRPr="00933561">
        <w:rPr>
          <w:bCs/>
          <w:sz w:val="24"/>
          <w:szCs w:val="24"/>
        </w:rPr>
        <w:t xml:space="preserve">og digoxin, bør indledningsvis få ordineret den laveste dosis af digoxin. </w:t>
      </w:r>
    </w:p>
    <w:p w14:paraId="148AC792" w14:textId="77777777" w:rsidR="00933561" w:rsidRPr="00933561" w:rsidRDefault="00933561" w:rsidP="00933561">
      <w:pPr>
        <w:tabs>
          <w:tab w:val="left" w:pos="851"/>
        </w:tabs>
        <w:ind w:left="851"/>
        <w:rPr>
          <w:bCs/>
          <w:sz w:val="24"/>
          <w:szCs w:val="24"/>
        </w:rPr>
      </w:pPr>
      <w:r w:rsidRPr="00933561">
        <w:rPr>
          <w:bCs/>
          <w:sz w:val="24"/>
          <w:szCs w:val="24"/>
        </w:rPr>
        <w:t xml:space="preserve">Serumdigoxin-koncentrationerne bør monitoreres og anvendes til titrering af digoxin-dosis for at opnå den ønskede kliniske virkning. Der bør tages højde for mirabegrons potentielle hæmning af P-gp, når dette lægemiddel kombineres med følsomme P-gp-substrater som f.eks. dabigatran. </w:t>
      </w:r>
    </w:p>
    <w:p w14:paraId="2B16DAF2" w14:textId="77777777" w:rsidR="00933561" w:rsidRPr="00933561" w:rsidRDefault="00933561" w:rsidP="00933561">
      <w:pPr>
        <w:tabs>
          <w:tab w:val="left" w:pos="851"/>
        </w:tabs>
        <w:ind w:left="851"/>
        <w:rPr>
          <w:bCs/>
          <w:sz w:val="24"/>
          <w:szCs w:val="24"/>
        </w:rPr>
      </w:pPr>
      <w:r w:rsidRPr="00933561">
        <w:rPr>
          <w:bCs/>
          <w:i/>
          <w:sz w:val="24"/>
          <w:szCs w:val="24"/>
        </w:rPr>
        <w:t xml:space="preserve"> </w:t>
      </w:r>
    </w:p>
    <w:p w14:paraId="26DA4484" w14:textId="77777777" w:rsidR="00933561" w:rsidRPr="00933561" w:rsidRDefault="00933561" w:rsidP="00933561">
      <w:pPr>
        <w:tabs>
          <w:tab w:val="left" w:pos="851"/>
        </w:tabs>
        <w:ind w:left="851"/>
        <w:rPr>
          <w:bCs/>
          <w:sz w:val="24"/>
          <w:szCs w:val="24"/>
        </w:rPr>
      </w:pPr>
      <w:r w:rsidRPr="00933561">
        <w:rPr>
          <w:bCs/>
          <w:i/>
          <w:sz w:val="24"/>
          <w:szCs w:val="24"/>
        </w:rPr>
        <w:t xml:space="preserve">Andre interaktioner </w:t>
      </w:r>
    </w:p>
    <w:p w14:paraId="1E834430" w14:textId="77777777" w:rsidR="00933561" w:rsidRPr="00933561" w:rsidRDefault="00933561" w:rsidP="00933561">
      <w:pPr>
        <w:tabs>
          <w:tab w:val="left" w:pos="851"/>
        </w:tabs>
        <w:ind w:left="851"/>
        <w:rPr>
          <w:bCs/>
          <w:sz w:val="24"/>
          <w:szCs w:val="24"/>
        </w:rPr>
      </w:pPr>
      <w:r w:rsidRPr="00933561">
        <w:rPr>
          <w:bCs/>
          <w:sz w:val="24"/>
          <w:szCs w:val="24"/>
        </w:rPr>
        <w:t xml:space="preserve">Der er ikke observeret klinisk relevante interaktioner ved samtidig administration af mirabegron og terapeutiske doser af solifenacin, tamsulosin, warfarin, metformin eller kombineret ethinylestradiol- og levonorgestrelholdig oral kontraception. Dosisjustering er ikke nødvendig. </w:t>
      </w:r>
    </w:p>
    <w:p w14:paraId="2CDB9CD0"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001B93F5" w14:textId="77777777" w:rsidR="00933561" w:rsidRPr="00933561" w:rsidRDefault="00933561" w:rsidP="00933561">
      <w:pPr>
        <w:tabs>
          <w:tab w:val="left" w:pos="851"/>
        </w:tabs>
        <w:ind w:left="851"/>
        <w:rPr>
          <w:bCs/>
          <w:sz w:val="24"/>
          <w:szCs w:val="24"/>
        </w:rPr>
      </w:pPr>
      <w:r w:rsidRPr="00933561">
        <w:rPr>
          <w:bCs/>
          <w:sz w:val="24"/>
          <w:szCs w:val="24"/>
        </w:rPr>
        <w:t xml:space="preserve">Øget mirabegron-eksponering som følge af interaktioner med andre lægemidler kan være associeret med øget hjertefrekvens. </w:t>
      </w:r>
    </w:p>
    <w:p w14:paraId="3D07E0EA"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724C52B7" w14:textId="77777777" w:rsidR="00933561" w:rsidRPr="00933561" w:rsidRDefault="00933561" w:rsidP="00933561">
      <w:pPr>
        <w:tabs>
          <w:tab w:val="left" w:pos="851"/>
        </w:tabs>
        <w:ind w:left="851"/>
        <w:rPr>
          <w:bCs/>
          <w:sz w:val="24"/>
          <w:szCs w:val="24"/>
          <w:u w:val="single"/>
        </w:rPr>
      </w:pPr>
      <w:r w:rsidRPr="00933561">
        <w:rPr>
          <w:bCs/>
          <w:sz w:val="24"/>
          <w:szCs w:val="24"/>
          <w:u w:val="single"/>
        </w:rPr>
        <w:t>Pædiatrisk population</w:t>
      </w:r>
      <w:r w:rsidRPr="00933561">
        <w:rPr>
          <w:bCs/>
          <w:sz w:val="24"/>
          <w:szCs w:val="24"/>
        </w:rPr>
        <w:t xml:space="preserve"> </w:t>
      </w:r>
    </w:p>
    <w:p w14:paraId="38EDDC04" w14:textId="77777777" w:rsidR="00933561" w:rsidRPr="00933561" w:rsidRDefault="00933561" w:rsidP="00933561">
      <w:pPr>
        <w:tabs>
          <w:tab w:val="left" w:pos="851"/>
        </w:tabs>
        <w:ind w:left="851"/>
        <w:rPr>
          <w:bCs/>
          <w:sz w:val="24"/>
          <w:szCs w:val="24"/>
        </w:rPr>
      </w:pPr>
      <w:r w:rsidRPr="00933561">
        <w:rPr>
          <w:bCs/>
          <w:sz w:val="24"/>
          <w:szCs w:val="24"/>
        </w:rPr>
        <w:t>Interaktionsstudier er kun udført hos voksne.</w:t>
      </w:r>
    </w:p>
    <w:p w14:paraId="4421A39F" w14:textId="77777777" w:rsidR="009260DE" w:rsidRPr="00C84483" w:rsidRDefault="009260DE" w:rsidP="004931E3">
      <w:pPr>
        <w:tabs>
          <w:tab w:val="left" w:pos="851"/>
        </w:tabs>
        <w:ind w:left="851"/>
        <w:rPr>
          <w:sz w:val="24"/>
          <w:szCs w:val="24"/>
        </w:rPr>
      </w:pPr>
    </w:p>
    <w:p w14:paraId="598ED41E" w14:textId="77777777" w:rsidR="009260DE" w:rsidRPr="00C84483" w:rsidRDefault="009260DE" w:rsidP="004931E3">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655FDE23" w14:textId="77777777" w:rsidR="00D96FC2" w:rsidRPr="00D96FC2" w:rsidRDefault="00D96FC2" w:rsidP="00D96FC2">
      <w:pPr>
        <w:tabs>
          <w:tab w:val="left" w:pos="851"/>
        </w:tabs>
        <w:ind w:left="851"/>
        <w:rPr>
          <w:bCs/>
          <w:sz w:val="24"/>
          <w:szCs w:val="24"/>
        </w:rPr>
      </w:pPr>
    </w:p>
    <w:p w14:paraId="29D9D675" w14:textId="77777777" w:rsidR="00D96FC2" w:rsidRPr="00D96FC2" w:rsidRDefault="00D96FC2" w:rsidP="00D96FC2">
      <w:pPr>
        <w:tabs>
          <w:tab w:val="left" w:pos="851"/>
        </w:tabs>
        <w:ind w:left="851"/>
        <w:rPr>
          <w:bCs/>
          <w:sz w:val="24"/>
          <w:szCs w:val="24"/>
        </w:rPr>
      </w:pPr>
      <w:r w:rsidRPr="00D96FC2">
        <w:rPr>
          <w:bCs/>
          <w:sz w:val="24"/>
          <w:szCs w:val="24"/>
          <w:u w:val="single"/>
        </w:rPr>
        <w:t>Kvinder i den fertile alder</w:t>
      </w:r>
      <w:r w:rsidRPr="00D96FC2">
        <w:rPr>
          <w:bCs/>
          <w:sz w:val="24"/>
          <w:szCs w:val="24"/>
        </w:rPr>
        <w:t xml:space="preserve"> </w:t>
      </w:r>
    </w:p>
    <w:p w14:paraId="50E1BFB3" w14:textId="090698CF" w:rsidR="00D96FC2" w:rsidRPr="00D96FC2" w:rsidRDefault="00125CD0" w:rsidP="00D96FC2">
      <w:pPr>
        <w:tabs>
          <w:tab w:val="left" w:pos="851"/>
        </w:tabs>
        <w:ind w:left="851"/>
        <w:rPr>
          <w:bCs/>
          <w:sz w:val="24"/>
          <w:szCs w:val="24"/>
        </w:rPr>
      </w:pPr>
      <w:r>
        <w:rPr>
          <w:bCs/>
          <w:sz w:val="24"/>
          <w:szCs w:val="24"/>
        </w:rPr>
        <w:t>Mirabegron "Stada"</w:t>
      </w:r>
      <w:r w:rsidR="00D96FC2" w:rsidRPr="00D96FC2">
        <w:rPr>
          <w:bCs/>
          <w:sz w:val="24"/>
          <w:szCs w:val="24"/>
        </w:rPr>
        <w:t xml:space="preserve"> frarådes til kvinder i den fertile alder, som ikke anvender kontraception. </w:t>
      </w:r>
    </w:p>
    <w:p w14:paraId="7F841E53" w14:textId="70B77BC7" w:rsidR="00D96FC2" w:rsidRDefault="00D96FC2">
      <w:pPr>
        <w:rPr>
          <w:bCs/>
          <w:sz w:val="24"/>
          <w:szCs w:val="24"/>
        </w:rPr>
      </w:pPr>
      <w:r>
        <w:rPr>
          <w:bCs/>
          <w:sz w:val="24"/>
          <w:szCs w:val="24"/>
        </w:rPr>
        <w:br w:type="page"/>
      </w:r>
    </w:p>
    <w:p w14:paraId="4A147BCD" w14:textId="77777777" w:rsidR="00D96FC2" w:rsidRPr="00D96FC2" w:rsidRDefault="00D96FC2" w:rsidP="00D96FC2">
      <w:pPr>
        <w:tabs>
          <w:tab w:val="left" w:pos="851"/>
        </w:tabs>
        <w:ind w:left="851"/>
        <w:rPr>
          <w:bCs/>
          <w:sz w:val="24"/>
          <w:szCs w:val="24"/>
        </w:rPr>
      </w:pPr>
    </w:p>
    <w:p w14:paraId="0A8C505D" w14:textId="77777777" w:rsidR="00D96FC2" w:rsidRPr="00D96FC2" w:rsidRDefault="00D96FC2" w:rsidP="00D96FC2">
      <w:pPr>
        <w:tabs>
          <w:tab w:val="left" w:pos="851"/>
        </w:tabs>
        <w:ind w:left="851"/>
        <w:rPr>
          <w:sz w:val="24"/>
          <w:szCs w:val="24"/>
        </w:rPr>
      </w:pPr>
      <w:r w:rsidRPr="00D96FC2">
        <w:rPr>
          <w:sz w:val="24"/>
          <w:szCs w:val="24"/>
          <w:u w:val="single"/>
        </w:rPr>
        <w:t>Graviditet</w:t>
      </w:r>
    </w:p>
    <w:p w14:paraId="78AC51F0" w14:textId="77777777" w:rsidR="00D96FC2" w:rsidRPr="00D96FC2" w:rsidRDefault="00D96FC2" w:rsidP="00D96FC2">
      <w:pPr>
        <w:tabs>
          <w:tab w:val="left" w:pos="851"/>
        </w:tabs>
        <w:ind w:left="851"/>
        <w:rPr>
          <w:sz w:val="24"/>
          <w:szCs w:val="24"/>
        </w:rPr>
      </w:pPr>
      <w:r w:rsidRPr="00D96FC2">
        <w:rPr>
          <w:sz w:val="24"/>
          <w:szCs w:val="24"/>
        </w:rPr>
        <w:t xml:space="preserve">Der er ingen eller utilstrækkelige data fra anvendelse af mirabegron til gravide kvinder. Dyrestudier har påvist reproduktionstoksicitet (se pkt. 5.3). Dette lægemiddel frarådes under graviditet. </w:t>
      </w:r>
    </w:p>
    <w:p w14:paraId="05D05D0D" w14:textId="77777777" w:rsidR="00D96FC2" w:rsidRPr="00D96FC2" w:rsidRDefault="00D96FC2" w:rsidP="00D96FC2">
      <w:pPr>
        <w:tabs>
          <w:tab w:val="left" w:pos="851"/>
        </w:tabs>
        <w:ind w:left="851"/>
        <w:rPr>
          <w:sz w:val="24"/>
          <w:szCs w:val="24"/>
        </w:rPr>
      </w:pPr>
    </w:p>
    <w:p w14:paraId="258E6EC0" w14:textId="77777777" w:rsidR="00D96FC2" w:rsidRPr="00D96FC2" w:rsidRDefault="00D96FC2" w:rsidP="00D96FC2">
      <w:pPr>
        <w:tabs>
          <w:tab w:val="left" w:pos="851"/>
        </w:tabs>
        <w:ind w:left="851"/>
        <w:rPr>
          <w:sz w:val="24"/>
          <w:szCs w:val="24"/>
        </w:rPr>
      </w:pPr>
      <w:r w:rsidRPr="00D96FC2">
        <w:rPr>
          <w:sz w:val="24"/>
          <w:szCs w:val="24"/>
          <w:u w:val="single"/>
        </w:rPr>
        <w:t>Amning</w:t>
      </w:r>
    </w:p>
    <w:p w14:paraId="5B290792" w14:textId="0BC97325" w:rsidR="00D96FC2" w:rsidRPr="00D96FC2" w:rsidRDefault="00D96FC2" w:rsidP="00D96FC2">
      <w:pPr>
        <w:tabs>
          <w:tab w:val="left" w:pos="851"/>
        </w:tabs>
        <w:ind w:left="851"/>
        <w:rPr>
          <w:sz w:val="24"/>
          <w:szCs w:val="24"/>
        </w:rPr>
      </w:pPr>
      <w:r w:rsidRPr="00D96FC2">
        <w:rPr>
          <w:sz w:val="24"/>
          <w:szCs w:val="24"/>
        </w:rPr>
        <w:t xml:space="preserve">Mirabegron udskilles i mælk hos gnavere og forventes derfor at ville forekomme i human mælk (se pkt. 5.3). Der er ikke udført studier med henblik på vurdering af mirabegrons virkning på mælkeproduktionen hos mennesker, dets forekomst i human mælk eller dets påvirkning af det ammede barn. </w:t>
      </w:r>
    </w:p>
    <w:p w14:paraId="50145E61" w14:textId="77777777" w:rsidR="00D96FC2" w:rsidRPr="00D96FC2" w:rsidRDefault="00D96FC2" w:rsidP="00D96FC2">
      <w:pPr>
        <w:tabs>
          <w:tab w:val="left" w:pos="851"/>
        </w:tabs>
        <w:ind w:left="851"/>
        <w:rPr>
          <w:sz w:val="24"/>
          <w:szCs w:val="24"/>
        </w:rPr>
      </w:pPr>
      <w:r w:rsidRPr="00D96FC2">
        <w:rPr>
          <w:sz w:val="24"/>
          <w:szCs w:val="24"/>
        </w:rPr>
        <w:t xml:space="preserve"> </w:t>
      </w:r>
    </w:p>
    <w:p w14:paraId="3875901F" w14:textId="55C0775F" w:rsidR="00D96FC2" w:rsidRPr="00D96FC2" w:rsidRDefault="00125CD0" w:rsidP="00D96FC2">
      <w:pPr>
        <w:tabs>
          <w:tab w:val="left" w:pos="851"/>
        </w:tabs>
        <w:ind w:left="851"/>
        <w:rPr>
          <w:sz w:val="24"/>
          <w:szCs w:val="24"/>
        </w:rPr>
      </w:pPr>
      <w:r>
        <w:rPr>
          <w:sz w:val="24"/>
          <w:szCs w:val="24"/>
        </w:rPr>
        <w:t>Mirabegron "Stada"</w:t>
      </w:r>
      <w:r w:rsidR="00D96FC2" w:rsidRPr="00D96FC2">
        <w:rPr>
          <w:sz w:val="24"/>
          <w:szCs w:val="24"/>
        </w:rPr>
        <w:t xml:space="preserve"> må ikke anvendes under amning. </w:t>
      </w:r>
    </w:p>
    <w:p w14:paraId="1126C9C9" w14:textId="77777777" w:rsidR="00D96FC2" w:rsidRPr="00D96FC2" w:rsidRDefault="00D96FC2" w:rsidP="00D96FC2">
      <w:pPr>
        <w:tabs>
          <w:tab w:val="left" w:pos="851"/>
        </w:tabs>
        <w:ind w:left="851"/>
        <w:rPr>
          <w:sz w:val="24"/>
          <w:szCs w:val="24"/>
        </w:rPr>
      </w:pPr>
    </w:p>
    <w:p w14:paraId="1817D34D" w14:textId="77777777" w:rsidR="00D96FC2" w:rsidRPr="00D96FC2" w:rsidRDefault="00D96FC2" w:rsidP="00D96FC2">
      <w:pPr>
        <w:tabs>
          <w:tab w:val="left" w:pos="851"/>
        </w:tabs>
        <w:ind w:left="851"/>
        <w:rPr>
          <w:sz w:val="24"/>
          <w:szCs w:val="24"/>
        </w:rPr>
      </w:pPr>
      <w:r w:rsidRPr="00D96FC2">
        <w:rPr>
          <w:sz w:val="24"/>
          <w:szCs w:val="24"/>
          <w:u w:val="single"/>
        </w:rPr>
        <w:t>Fertilitet</w:t>
      </w:r>
    </w:p>
    <w:p w14:paraId="7DFF58B5" w14:textId="77777777" w:rsidR="00D96FC2" w:rsidRPr="00D96FC2" w:rsidRDefault="00D96FC2" w:rsidP="00D96FC2">
      <w:pPr>
        <w:tabs>
          <w:tab w:val="left" w:pos="851"/>
        </w:tabs>
        <w:ind w:left="851"/>
        <w:rPr>
          <w:sz w:val="24"/>
          <w:szCs w:val="24"/>
        </w:rPr>
      </w:pPr>
      <w:r w:rsidRPr="00D96FC2">
        <w:rPr>
          <w:sz w:val="24"/>
          <w:szCs w:val="24"/>
        </w:rPr>
        <w:t xml:space="preserve">Fertiliteten hos dyr blev ikke påvirket af behandling med mirabegron (se pkt. 5.3). Mirabegrons virkning på human fertilitet er ikke klarlagt. </w:t>
      </w:r>
    </w:p>
    <w:p w14:paraId="722EBBD7" w14:textId="77777777" w:rsidR="009260DE" w:rsidRPr="00C84483" w:rsidRDefault="009260DE" w:rsidP="004931E3">
      <w:pPr>
        <w:tabs>
          <w:tab w:val="left" w:pos="851"/>
        </w:tabs>
        <w:ind w:left="851"/>
        <w:rPr>
          <w:sz w:val="24"/>
          <w:szCs w:val="24"/>
        </w:rPr>
      </w:pPr>
    </w:p>
    <w:p w14:paraId="05E91601" w14:textId="77777777" w:rsidR="009260DE" w:rsidRPr="00C84483" w:rsidRDefault="009260DE" w:rsidP="004931E3">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37E8A59D" w14:textId="77777777" w:rsidR="000B7D19" w:rsidRPr="000B7D19" w:rsidRDefault="000B7D19" w:rsidP="000B7D19">
      <w:pPr>
        <w:tabs>
          <w:tab w:val="left" w:pos="851"/>
        </w:tabs>
        <w:ind w:left="851"/>
        <w:rPr>
          <w:sz w:val="24"/>
          <w:szCs w:val="24"/>
        </w:rPr>
      </w:pPr>
      <w:r w:rsidRPr="000B7D19">
        <w:rPr>
          <w:sz w:val="24"/>
          <w:szCs w:val="24"/>
        </w:rPr>
        <w:t>Ikke mærkning.</w:t>
      </w:r>
    </w:p>
    <w:p w14:paraId="73263BD8" w14:textId="2CCC2B47" w:rsidR="000B7D19" w:rsidRPr="000B7D19" w:rsidRDefault="00125CD0" w:rsidP="000B7D19">
      <w:pPr>
        <w:tabs>
          <w:tab w:val="left" w:pos="851"/>
        </w:tabs>
        <w:ind w:left="851"/>
        <w:rPr>
          <w:sz w:val="24"/>
          <w:szCs w:val="24"/>
        </w:rPr>
      </w:pPr>
      <w:r>
        <w:rPr>
          <w:sz w:val="24"/>
          <w:szCs w:val="24"/>
        </w:rPr>
        <w:t>Mirabegron "Stada"</w:t>
      </w:r>
      <w:r w:rsidR="000B7D19" w:rsidRPr="000B7D19">
        <w:rPr>
          <w:sz w:val="24"/>
          <w:szCs w:val="24"/>
        </w:rPr>
        <w:t xml:space="preserve"> påvirker ikke eller kun i ubetydelig grad evnen til at føre motorkøretøj og betjene maskiner. </w:t>
      </w:r>
    </w:p>
    <w:p w14:paraId="79513028" w14:textId="77777777" w:rsidR="009260DE" w:rsidRPr="00C84483" w:rsidRDefault="009260DE" w:rsidP="004931E3">
      <w:pPr>
        <w:tabs>
          <w:tab w:val="left" w:pos="851"/>
        </w:tabs>
        <w:ind w:left="851"/>
        <w:rPr>
          <w:sz w:val="24"/>
          <w:szCs w:val="24"/>
        </w:rPr>
      </w:pPr>
    </w:p>
    <w:p w14:paraId="3AB1594E" w14:textId="77777777" w:rsidR="009260DE" w:rsidRPr="00C84483" w:rsidRDefault="009260DE" w:rsidP="004931E3">
      <w:pPr>
        <w:tabs>
          <w:tab w:val="left" w:pos="851"/>
        </w:tabs>
        <w:ind w:left="851" w:hanging="851"/>
        <w:rPr>
          <w:b/>
          <w:sz w:val="24"/>
          <w:szCs w:val="24"/>
        </w:rPr>
      </w:pPr>
      <w:r w:rsidRPr="00C84483">
        <w:rPr>
          <w:b/>
          <w:sz w:val="24"/>
          <w:szCs w:val="24"/>
        </w:rPr>
        <w:t>4.8</w:t>
      </w:r>
      <w:r w:rsidRPr="00C84483">
        <w:rPr>
          <w:b/>
          <w:sz w:val="24"/>
          <w:szCs w:val="24"/>
        </w:rPr>
        <w:tab/>
        <w:t>Bivirkninger</w:t>
      </w:r>
    </w:p>
    <w:p w14:paraId="5331BED4" w14:textId="77777777" w:rsidR="000B7D19" w:rsidRPr="000B7D19" w:rsidRDefault="000B7D19" w:rsidP="000B7D19">
      <w:pPr>
        <w:suppressAutoHyphens/>
        <w:kinsoku w:val="0"/>
        <w:overflowPunct w:val="0"/>
        <w:autoSpaceDE w:val="0"/>
        <w:autoSpaceDN w:val="0"/>
        <w:adjustRightInd w:val="0"/>
        <w:ind w:left="851"/>
        <w:rPr>
          <w:color w:val="000000"/>
          <w:sz w:val="24"/>
          <w:szCs w:val="24"/>
          <w:lang w:eastAsia="da-DK"/>
        </w:rPr>
      </w:pPr>
    </w:p>
    <w:p w14:paraId="36729BDD"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u w:val="single"/>
          <w:lang w:eastAsia="da-DK"/>
        </w:rPr>
      </w:pPr>
      <w:r w:rsidRPr="000B7D19">
        <w:rPr>
          <w:color w:val="000000"/>
          <w:sz w:val="24"/>
          <w:szCs w:val="24"/>
          <w:u w:val="single"/>
          <w:lang w:eastAsia="da-DK"/>
        </w:rPr>
        <w:t>Resumé af sikkerhedsprofilen</w:t>
      </w:r>
      <w:r w:rsidRPr="000B7D19">
        <w:rPr>
          <w:color w:val="000000"/>
          <w:sz w:val="24"/>
          <w:szCs w:val="24"/>
          <w:lang w:eastAsia="da-DK"/>
        </w:rPr>
        <w:t xml:space="preserve"> </w:t>
      </w:r>
    </w:p>
    <w:p w14:paraId="4EF108F1"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Sikkerheden af mirabegron blev evalueret hos 8.433 voksne patienter med OAB, hvoraf 5.648 fik mindst én dosis mirabegron i det kliniske fase 2/3-program, og 622 patienter fik mirabegron i mindst 1 år (365 dage). I de tre 12-ugers dobbeltblinde placebokontrollerede fase 3-studier gennemførte 88 % af patienterne behandlingen med dette lægemiddel, og behandlingen blev seponeret hos 4 % af patienterne som følge af bivirkninger. De fleste bivirkninger var af let til moderat sværhedsgrad. </w:t>
      </w:r>
    </w:p>
    <w:p w14:paraId="0FF0F38C"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2E7A0AFB" w14:textId="06DEE7E4"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De mest almindelige bivirkninger indberettet for voksne patienter behandlet med mirabegron 50 mg under de tre 12-ugers dobbeltblinde, placebokontrollerede fase 3-studier, er takykardi og urinvejsinfektioner. Hyppigheden af takykardi var 1,2 % hos patienter, som fik mirabegron</w:t>
      </w:r>
      <w:r>
        <w:rPr>
          <w:color w:val="000000"/>
          <w:sz w:val="24"/>
          <w:szCs w:val="24"/>
          <w:lang w:eastAsia="da-DK"/>
        </w:rPr>
        <w:t xml:space="preserve"> </w:t>
      </w:r>
      <w:r w:rsidRPr="000B7D19">
        <w:rPr>
          <w:color w:val="000000"/>
          <w:sz w:val="24"/>
          <w:szCs w:val="24"/>
          <w:lang w:eastAsia="da-DK"/>
        </w:rPr>
        <w:t xml:space="preserve">50 mg. Takykardi førte til seponering for 0,1 % af de patienter, der fik mirabegron 50 mg. Hyppigheden af urinvejsinfektioner var 2,9 % hos patienter, som fik mirabegron 50 mg. Urinvejsinfektioner førte ikke til seponering for nogen af de patienter, der fik mirabegron 50 mg. Alvorlige bivirkninger omfattede atrieflimren (0,2 %). </w:t>
      </w:r>
    </w:p>
    <w:p w14:paraId="1B03FF1A"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035E399A"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Bivirkninger observeret under det aktivt kontrollerede (muskarin antagonist) 1-årige (langtids-) studie svarede i type og sværhedsgrad til dem, der blev observeret i de tre 12-ugers dobbeltblinde, placebokontrollerede fase 3-studier.</w:t>
      </w:r>
    </w:p>
    <w:p w14:paraId="50D4826A"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p>
    <w:p w14:paraId="039C0290" w14:textId="77777777" w:rsidR="000B7D19" w:rsidRPr="000B7D19" w:rsidRDefault="000B7D19" w:rsidP="000B7D19">
      <w:pPr>
        <w:keepNext/>
        <w:suppressAutoHyphens/>
        <w:kinsoku w:val="0"/>
        <w:overflowPunct w:val="0"/>
        <w:autoSpaceDE w:val="0"/>
        <w:autoSpaceDN w:val="0"/>
        <w:adjustRightInd w:val="0"/>
        <w:ind w:left="851"/>
        <w:rPr>
          <w:color w:val="000000"/>
          <w:sz w:val="24"/>
          <w:szCs w:val="24"/>
          <w:u w:val="single"/>
          <w:lang w:eastAsia="da-DK"/>
        </w:rPr>
      </w:pPr>
      <w:r w:rsidRPr="000B7D19">
        <w:rPr>
          <w:color w:val="000000"/>
          <w:sz w:val="24"/>
          <w:szCs w:val="24"/>
          <w:u w:val="single"/>
          <w:lang w:eastAsia="da-DK"/>
        </w:rPr>
        <w:t>Skematisk oversigt over bivirkninger</w:t>
      </w:r>
      <w:r w:rsidRPr="000B7D19">
        <w:rPr>
          <w:color w:val="000000"/>
          <w:sz w:val="24"/>
          <w:szCs w:val="24"/>
          <w:lang w:eastAsia="da-DK"/>
        </w:rPr>
        <w:t xml:space="preserve"> </w:t>
      </w:r>
    </w:p>
    <w:p w14:paraId="106519EF" w14:textId="3FEC1823" w:rsidR="000B7D19" w:rsidRPr="000B7D19" w:rsidRDefault="000B7D19" w:rsidP="000B7D19">
      <w:pPr>
        <w:keepNext/>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Nedenstående tabel omfatter bivirkningerne observeret med mirabegron hos voksne med OAB i de tre 12-ugers dobbeltblinde, placebokontrollerede fase 3-studier.</w:t>
      </w:r>
    </w:p>
    <w:p w14:paraId="11A0A464" w14:textId="327062B4" w:rsidR="000B7D19" w:rsidRDefault="000B7D19">
      <w:pPr>
        <w:rPr>
          <w:color w:val="000000"/>
          <w:sz w:val="24"/>
          <w:szCs w:val="24"/>
          <w:lang w:eastAsia="da-DK"/>
        </w:rPr>
      </w:pPr>
      <w:r>
        <w:rPr>
          <w:color w:val="000000"/>
          <w:sz w:val="24"/>
          <w:szCs w:val="24"/>
          <w:lang w:eastAsia="da-DK"/>
        </w:rPr>
        <w:br w:type="page"/>
      </w:r>
    </w:p>
    <w:p w14:paraId="1C8750D6"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p>
    <w:p w14:paraId="6042FB26" w14:textId="2A69A875"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Bivirkningers hyppighed er defineret som følger: </w:t>
      </w:r>
      <w:r>
        <w:rPr>
          <w:color w:val="000000"/>
          <w:sz w:val="24"/>
          <w:szCs w:val="24"/>
          <w:lang w:eastAsia="da-DK"/>
        </w:rPr>
        <w:t>M</w:t>
      </w:r>
      <w:r w:rsidRPr="000B7D19">
        <w:rPr>
          <w:color w:val="000000"/>
          <w:sz w:val="24"/>
          <w:szCs w:val="24"/>
          <w:lang w:eastAsia="da-DK"/>
        </w:rPr>
        <w:t>eget almindelig (≥ 1/10); almindelig (≥ 1/100 til &lt; 1/10); ikke almindelig (≥ 1/1.000 til &lt; 1/100); sjælden (≥ 1/10.000 til &lt; 1/1.000); meget sjælden (&lt; 1/10.000) og ikke kendt (kan ikke estimeres ud fra forhåndenværende data). Inden for hver hyppighedsgruppe er bivirkningerne opstillet efter faldende alvorsgrad.</w:t>
      </w:r>
    </w:p>
    <w:p w14:paraId="04A9C01E" w14:textId="77777777" w:rsidR="000B7D19" w:rsidRPr="000B7D19" w:rsidRDefault="000B7D19" w:rsidP="000B7D19">
      <w:pPr>
        <w:widowControl w:val="0"/>
        <w:suppressAutoHyphens/>
        <w:kinsoku w:val="0"/>
        <w:overflowPunct w:val="0"/>
        <w:autoSpaceDE w:val="0"/>
        <w:autoSpaceDN w:val="0"/>
        <w:adjustRightInd w:val="0"/>
        <w:rPr>
          <w:color w:val="000000"/>
          <w:sz w:val="22"/>
          <w:szCs w:val="22"/>
          <w:lang w:eastAsia="da-DK"/>
        </w:rPr>
      </w:pPr>
    </w:p>
    <w:tbl>
      <w:tblPr>
        <w:tblW w:w="9645" w:type="dxa"/>
        <w:jc w:val="center"/>
        <w:tblLayout w:type="fixed"/>
        <w:tblCellMar>
          <w:top w:w="54" w:type="dxa"/>
          <w:left w:w="106" w:type="dxa"/>
          <w:right w:w="61" w:type="dxa"/>
        </w:tblCellMar>
        <w:tblLook w:val="04A0" w:firstRow="1" w:lastRow="0" w:firstColumn="1" w:lastColumn="0" w:noHBand="0" w:noVBand="1"/>
      </w:tblPr>
      <w:tblGrid>
        <w:gridCol w:w="2030"/>
        <w:gridCol w:w="1716"/>
        <w:gridCol w:w="1353"/>
        <w:gridCol w:w="1702"/>
        <w:gridCol w:w="1277"/>
        <w:gridCol w:w="1567"/>
      </w:tblGrid>
      <w:tr w:rsidR="000B7D19" w:rsidRPr="000B7D19" w14:paraId="50AF6611" w14:textId="77777777">
        <w:trPr>
          <w:trHeight w:val="139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F3BF42B"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MedDRA Systemorganklasse</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A131B72"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Almindelig</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A10A7C7"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Ikke almindelig</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C013C15"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Sjælden</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66AD3B7"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Meget sjælden</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B48BE0B" w14:textId="0E34D320"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Ikke kendt (hyppighed kan ikke estimeres ud fra forhånden</w:t>
            </w:r>
            <w:r>
              <w:rPr>
                <w:b/>
                <w:color w:val="000000"/>
                <w:sz w:val="22"/>
                <w:szCs w:val="22"/>
                <w:lang w:eastAsia="ru-RU"/>
              </w:rPr>
              <w:t>-</w:t>
            </w:r>
            <w:r w:rsidRPr="000B7D19">
              <w:rPr>
                <w:b/>
                <w:color w:val="000000"/>
                <w:sz w:val="22"/>
                <w:szCs w:val="22"/>
                <w:lang w:val="ru-RU" w:eastAsia="ru-RU"/>
              </w:rPr>
              <w:t>værende data)</w:t>
            </w:r>
          </w:p>
        </w:tc>
      </w:tr>
      <w:tr w:rsidR="000B7D19" w:rsidRPr="000B7D19" w14:paraId="2905D4C0" w14:textId="77777777">
        <w:trPr>
          <w:trHeight w:val="701"/>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3EB6B3F"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Infektioner og parasitære </w:t>
            </w:r>
          </w:p>
          <w:p w14:paraId="297E3E42"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sygdomme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2732E1"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Urinvejsinfektion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9D7D7D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Vaginal infektion </w:t>
            </w:r>
          </w:p>
          <w:p w14:paraId="487F9DA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Cystitis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2D108D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84DA1F0"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54A28A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0E245512"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FBF93E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Psykiske forstyrrelser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39AE48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83F064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4E0EB2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3AAC9E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A118C39"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Insomni* </w:t>
            </w:r>
          </w:p>
          <w:p w14:paraId="7E3D3B99"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Konfusion* </w:t>
            </w:r>
          </w:p>
        </w:tc>
      </w:tr>
      <w:tr w:rsidR="000B7D19" w:rsidRPr="000B7D19" w14:paraId="3AF9ABB3"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2E04A0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Nervesystemet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18430F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Hovedpine* </w:t>
            </w:r>
          </w:p>
          <w:p w14:paraId="1756CEA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Svimmelhed*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84246C9"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1A28BB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3D7180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DC21DB0"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372C846A" w14:textId="77777777">
        <w:trPr>
          <w:trHeight w:val="24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73CC5C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Øjne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17CFFC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36E030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E77468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Øjenlågsødem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0D8EC0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CE48E1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50CA0835" w14:textId="77777777">
        <w:trPr>
          <w:trHeight w:val="468"/>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1E0B1D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Hjerte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13956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Takykardi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E57FD91"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Palpitation </w:t>
            </w:r>
          </w:p>
          <w:p w14:paraId="70A7796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Atrieflimren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3E8E9B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95BCD9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1EB73E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68F248AB"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1A9C84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Vaskulære sygdomme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975ECC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C09F1D9"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490045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402AC9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Hypertensiv krise*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5A4A8F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7EDAFEDB" w14:textId="77777777">
        <w:trPr>
          <w:trHeight w:val="701"/>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1DAB28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Mave-tarmkanalen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DFF6F7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Kvalme* </w:t>
            </w:r>
          </w:p>
          <w:p w14:paraId="3B63BED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Obstipation* </w:t>
            </w:r>
          </w:p>
          <w:p w14:paraId="7C9DD23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Diarré*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D966F1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Dyspepsi </w:t>
            </w:r>
          </w:p>
          <w:p w14:paraId="1F30501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Gastritis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B7C9B6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Læbeødem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662A89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1EA917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383A73A5" w14:textId="77777777">
        <w:trPr>
          <w:trHeight w:val="699"/>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270111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Lever og galdeveje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04C912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6A1B7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Øget GGT </w:t>
            </w:r>
          </w:p>
          <w:p w14:paraId="55ABFC2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Øget ASAT </w:t>
            </w:r>
          </w:p>
          <w:p w14:paraId="41F4EA7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Øget ALAT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D3949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EF8825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EADAFB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63F89163" w14:textId="77777777">
        <w:trPr>
          <w:trHeight w:val="1162"/>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5733FF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Hud og subkutane væv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1696AA1"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2C670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Urticaria </w:t>
            </w:r>
          </w:p>
          <w:p w14:paraId="167A18E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Udslæt </w:t>
            </w:r>
          </w:p>
          <w:p w14:paraId="651AB5E0"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Makuløst udslæt </w:t>
            </w:r>
          </w:p>
          <w:p w14:paraId="4CC04FA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Papuløst udslæt </w:t>
            </w:r>
          </w:p>
          <w:p w14:paraId="08BCAE7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Pruritus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97E8557"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Leukocytoklastisk </w:t>
            </w:r>
          </w:p>
          <w:p w14:paraId="15CE409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vasculitis </w:t>
            </w:r>
          </w:p>
          <w:p w14:paraId="2490762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Purpura </w:t>
            </w:r>
          </w:p>
          <w:p w14:paraId="5510E6A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Angioødem*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46E12A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DCF478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4A6E5FB9" w14:textId="77777777">
        <w:trPr>
          <w:trHeight w:val="698"/>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1EE606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Knogler, led, muskler og bindevæv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0F5164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5655B5F"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Hævede led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C6F055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A2D569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85FB34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492B91BD"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75B1261"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Nyrer og urinveje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BDCC25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F1973A7"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E76AFE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Urinretention*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A46E97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D783F92"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381A6C15" w14:textId="77777777">
        <w:trPr>
          <w:trHeight w:val="932"/>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782E75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Det reproduktive system og mammae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3F29D3F"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D87582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Vulvovaginal pruritus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C4D709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1E6038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0228A2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63EEA6E4" w14:textId="77777777">
        <w:trPr>
          <w:trHeight w:val="24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8B135C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Undersøgelser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168C617"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B846667"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Øget blodtryk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159559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B36137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496B01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bl>
    <w:p w14:paraId="558563AD" w14:textId="77777777" w:rsidR="000B7D19" w:rsidRPr="000B7D19" w:rsidRDefault="000B7D19" w:rsidP="000B7D19">
      <w:pPr>
        <w:widowControl w:val="0"/>
        <w:suppressAutoHyphens/>
        <w:kinsoku w:val="0"/>
        <w:overflowPunct w:val="0"/>
        <w:autoSpaceDE w:val="0"/>
        <w:autoSpaceDN w:val="0"/>
        <w:adjustRightInd w:val="0"/>
        <w:rPr>
          <w:color w:val="000000"/>
          <w:sz w:val="20"/>
          <w:lang w:eastAsia="da-DK"/>
        </w:rPr>
      </w:pPr>
      <w:r w:rsidRPr="000B7D19">
        <w:rPr>
          <w:color w:val="000000"/>
          <w:sz w:val="20"/>
          <w:lang w:eastAsia="da-DK"/>
        </w:rPr>
        <w:t xml:space="preserve">*observeret efter markedsføring </w:t>
      </w:r>
    </w:p>
    <w:p w14:paraId="794DBE6F"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p>
    <w:p w14:paraId="368F9951" w14:textId="77777777" w:rsidR="000B7D19" w:rsidRPr="000B7D19" w:rsidRDefault="000B7D19" w:rsidP="000B7D19">
      <w:pPr>
        <w:keepNext/>
        <w:suppressAutoHyphens/>
        <w:kinsoku w:val="0"/>
        <w:overflowPunct w:val="0"/>
        <w:autoSpaceDE w:val="0"/>
        <w:autoSpaceDN w:val="0"/>
        <w:adjustRightInd w:val="0"/>
        <w:ind w:left="851"/>
        <w:rPr>
          <w:color w:val="000000"/>
          <w:sz w:val="24"/>
          <w:szCs w:val="24"/>
          <w:u w:val="single"/>
          <w:lang w:eastAsia="da-DK"/>
        </w:rPr>
      </w:pPr>
      <w:r w:rsidRPr="000B7D19">
        <w:rPr>
          <w:color w:val="000000"/>
          <w:sz w:val="24"/>
          <w:szCs w:val="24"/>
          <w:u w:val="single"/>
          <w:lang w:eastAsia="da-DK"/>
        </w:rPr>
        <w:lastRenderedPageBreak/>
        <w:t>Pædiatrisk population</w:t>
      </w:r>
      <w:r w:rsidRPr="000B7D19">
        <w:rPr>
          <w:color w:val="000000"/>
          <w:sz w:val="24"/>
          <w:szCs w:val="24"/>
          <w:lang w:eastAsia="da-DK"/>
        </w:rPr>
        <w:t xml:space="preserve"> </w:t>
      </w:r>
    </w:p>
    <w:p w14:paraId="29EE9211" w14:textId="77777777" w:rsidR="000B7D19" w:rsidRPr="000B7D19" w:rsidRDefault="000B7D19" w:rsidP="000B7D19">
      <w:pPr>
        <w:keepNext/>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Sikkerheden af mirabegron-tabletter og oral suspension blev evalueret hos 86 pædiatriske patienter i alderen 3 år til under 18 år med neurogen detrusoroveraktivitet i et 52-ugers åbent,</w:t>
      </w:r>
      <w:r w:rsidRPr="000B7D19">
        <w:rPr>
          <w:i/>
          <w:color w:val="000000"/>
          <w:sz w:val="24"/>
          <w:szCs w:val="24"/>
          <w:lang w:eastAsia="da-DK"/>
        </w:rPr>
        <w:t xml:space="preserve"> baseline</w:t>
      </w:r>
      <w:r w:rsidRPr="000B7D19">
        <w:rPr>
          <w:color w:val="000000"/>
          <w:sz w:val="24"/>
          <w:szCs w:val="24"/>
          <w:lang w:eastAsia="da-DK"/>
        </w:rPr>
        <w:t xml:space="preserve">-kontrolleret, dosistitrerings-, multicenterstudie. De mest almindeligt rapporterede bivirkninger, som blev observeret i den pædiatriske population, var urinvejsinfektion, obstipation og kvalme. </w:t>
      </w:r>
    </w:p>
    <w:p w14:paraId="40666513"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33406E02"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Der blev ikke rapporteret nogen alvorlige bivirkninger hos de pædiatriske patienter med NDO. </w:t>
      </w:r>
    </w:p>
    <w:p w14:paraId="49C90FFA"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4176CE13"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Sikkerheden af mirabegron-tabletter og oral suspension blev evalueret hos 26 pædiatriske patienter i alderen 5 til under 18 år med overaktiv blære i et 12 ugers, dobbeltblindet, randomiseret, placebokontrolleret parallelgruppe-multicenterstudie med sekventiel dosistitrering. De mest almindeligt rapporterede bivirkninger, som blev observeret i den pædiatriske population, var nasofaryngitis, træthed og humørsvingninger. </w:t>
      </w:r>
    </w:p>
    <w:p w14:paraId="05CC8A18"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12DA705F"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Samlet set er sikkerhedsprofilen hos børn og unge den samme som observeret hos voksne.</w:t>
      </w:r>
    </w:p>
    <w:p w14:paraId="6115A215" w14:textId="77777777" w:rsidR="000B7D19" w:rsidRPr="000B7D19" w:rsidRDefault="000B7D19" w:rsidP="000B7D19">
      <w:pPr>
        <w:suppressAutoHyphens/>
        <w:kinsoku w:val="0"/>
        <w:overflowPunct w:val="0"/>
        <w:autoSpaceDE w:val="0"/>
        <w:autoSpaceDN w:val="0"/>
        <w:adjustRightInd w:val="0"/>
        <w:ind w:left="851"/>
        <w:rPr>
          <w:color w:val="000000"/>
          <w:sz w:val="24"/>
          <w:szCs w:val="24"/>
          <w:lang w:eastAsia="da-DK"/>
        </w:rPr>
      </w:pPr>
    </w:p>
    <w:p w14:paraId="15F7FAF7" w14:textId="77777777" w:rsidR="000B7D19" w:rsidRPr="000B7D19" w:rsidRDefault="000B7D19" w:rsidP="000B7D19">
      <w:pPr>
        <w:suppressAutoHyphens/>
        <w:kinsoku w:val="0"/>
        <w:overflowPunct w:val="0"/>
        <w:autoSpaceDE w:val="0"/>
        <w:autoSpaceDN w:val="0"/>
        <w:adjustRightInd w:val="0"/>
        <w:ind w:left="851"/>
        <w:rPr>
          <w:color w:val="000000"/>
          <w:sz w:val="24"/>
          <w:szCs w:val="24"/>
          <w:lang w:eastAsia="da-DK"/>
        </w:rPr>
      </w:pPr>
      <w:r w:rsidRPr="000B7D19">
        <w:rPr>
          <w:color w:val="000000"/>
          <w:sz w:val="24"/>
          <w:szCs w:val="24"/>
          <w:u w:val="single"/>
          <w:lang w:eastAsia="da-DK"/>
        </w:rPr>
        <w:t>Indberetning af formodede bivirkninger</w:t>
      </w:r>
    </w:p>
    <w:p w14:paraId="65638874" w14:textId="77777777" w:rsidR="000B7D19" w:rsidRPr="000B7D19" w:rsidRDefault="000B7D19" w:rsidP="000B7D19">
      <w:pPr>
        <w:widowControl w:val="0"/>
        <w:suppressAutoHyphens/>
        <w:kinsoku w:val="0"/>
        <w:overflowPunct w:val="0"/>
        <w:autoSpaceDE w:val="0"/>
        <w:autoSpaceDN w:val="0"/>
        <w:adjustRightInd w:val="0"/>
        <w:ind w:left="851"/>
        <w:rPr>
          <w:noProof/>
          <w:sz w:val="24"/>
          <w:szCs w:val="24"/>
          <w:lang w:eastAsia="da-DK"/>
        </w:rPr>
      </w:pPr>
      <w:r w:rsidRPr="000B7D19">
        <w:rPr>
          <w:noProof/>
          <w:sz w:val="24"/>
          <w:szCs w:val="24"/>
          <w:lang w:eastAsia="da-DK"/>
        </w:rPr>
        <w:t>Når lægemidlet er godkendt, er indberetning af formodede bivirkninger vigtig.</w:t>
      </w:r>
      <w:r w:rsidRPr="000B7D19">
        <w:rPr>
          <w:sz w:val="24"/>
          <w:szCs w:val="24"/>
          <w:lang w:eastAsia="da-DK"/>
        </w:rPr>
        <w:t xml:space="preserve"> </w:t>
      </w:r>
      <w:r w:rsidRPr="000B7D19">
        <w:rPr>
          <w:noProof/>
          <w:sz w:val="24"/>
          <w:szCs w:val="24"/>
          <w:lang w:eastAsia="da-DK"/>
        </w:rPr>
        <w:t>Det muliggør løbende overvågning af benefit/risk-forholdet for lægemidlet.</w:t>
      </w:r>
      <w:r w:rsidRPr="000B7D19">
        <w:rPr>
          <w:sz w:val="24"/>
          <w:szCs w:val="24"/>
          <w:lang w:eastAsia="da-DK"/>
        </w:rPr>
        <w:t xml:space="preserve"> </w:t>
      </w:r>
      <w:r w:rsidRPr="000B7D19">
        <w:rPr>
          <w:noProof/>
          <w:sz w:val="24"/>
          <w:szCs w:val="24"/>
          <w:lang w:eastAsia="da-DK"/>
        </w:rPr>
        <w:t>Sundhedspersoner anmodes om at indberette alle formodede bivirkninger via:</w:t>
      </w:r>
    </w:p>
    <w:p w14:paraId="3676C938"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p>
    <w:p w14:paraId="06124596" w14:textId="14A9336C" w:rsidR="000B7D19" w:rsidRPr="000B7D19" w:rsidRDefault="000B7D19" w:rsidP="000B7D19">
      <w:pPr>
        <w:widowControl w:val="0"/>
        <w:suppressAutoHyphens/>
        <w:kinsoku w:val="0"/>
        <w:overflowPunct w:val="0"/>
        <w:autoSpaceDE w:val="0"/>
        <w:autoSpaceDN w:val="0"/>
        <w:adjustRightInd w:val="0"/>
        <w:ind w:left="851"/>
        <w:rPr>
          <w:sz w:val="24"/>
          <w:szCs w:val="24"/>
          <w:lang w:eastAsia="da-DK"/>
        </w:rPr>
      </w:pPr>
      <w:r w:rsidRPr="000B7D19">
        <w:rPr>
          <w:color w:val="000000"/>
          <w:sz w:val="24"/>
          <w:szCs w:val="24"/>
          <w:lang w:eastAsia="da-DK"/>
        </w:rPr>
        <w:t>Lægemiddelstyrelsen</w:t>
      </w:r>
      <w:r w:rsidRPr="000B7D19">
        <w:rPr>
          <w:color w:val="000000"/>
          <w:sz w:val="24"/>
          <w:szCs w:val="24"/>
          <w:lang w:eastAsia="da-DK"/>
        </w:rPr>
        <w:br/>
        <w:t>Axel Heides Gade 1</w:t>
      </w:r>
      <w:r w:rsidRPr="000B7D19">
        <w:rPr>
          <w:color w:val="000000"/>
          <w:sz w:val="24"/>
          <w:szCs w:val="24"/>
          <w:lang w:eastAsia="da-DK"/>
        </w:rPr>
        <w:br/>
        <w:t>DK-2300 København S</w:t>
      </w:r>
      <w:r w:rsidRPr="000B7D19">
        <w:rPr>
          <w:color w:val="000000"/>
          <w:sz w:val="24"/>
          <w:szCs w:val="24"/>
          <w:lang w:eastAsia="da-DK"/>
        </w:rPr>
        <w:br/>
      </w:r>
      <w:r w:rsidRPr="000B7D19">
        <w:rPr>
          <w:sz w:val="24"/>
          <w:szCs w:val="24"/>
          <w:lang w:eastAsia="da-DK"/>
        </w:rPr>
        <w:t>Websted: www.meldenbivirkning.dk</w:t>
      </w:r>
    </w:p>
    <w:p w14:paraId="0181DDA1" w14:textId="77777777" w:rsidR="009260DE" w:rsidRPr="000B7D19" w:rsidRDefault="009260DE" w:rsidP="000B7D19">
      <w:pPr>
        <w:tabs>
          <w:tab w:val="left" w:pos="851"/>
        </w:tabs>
        <w:ind w:left="851"/>
        <w:rPr>
          <w:sz w:val="24"/>
          <w:szCs w:val="24"/>
        </w:rPr>
      </w:pPr>
    </w:p>
    <w:p w14:paraId="6E20152B" w14:textId="77777777" w:rsidR="009260DE" w:rsidRPr="00C84483" w:rsidRDefault="009260DE" w:rsidP="004931E3">
      <w:pPr>
        <w:tabs>
          <w:tab w:val="left" w:pos="851"/>
        </w:tabs>
        <w:ind w:left="851" w:hanging="851"/>
        <w:rPr>
          <w:b/>
          <w:sz w:val="24"/>
          <w:szCs w:val="24"/>
        </w:rPr>
      </w:pPr>
      <w:r w:rsidRPr="00C84483">
        <w:rPr>
          <w:b/>
          <w:sz w:val="24"/>
          <w:szCs w:val="24"/>
        </w:rPr>
        <w:t>4.9</w:t>
      </w:r>
      <w:r w:rsidRPr="00C84483">
        <w:rPr>
          <w:b/>
          <w:sz w:val="24"/>
          <w:szCs w:val="24"/>
        </w:rPr>
        <w:tab/>
        <w:t>Overdosering</w:t>
      </w:r>
    </w:p>
    <w:p w14:paraId="2E8C88F3" w14:textId="77777777" w:rsidR="00527CF5" w:rsidRPr="00527CF5" w:rsidRDefault="00527CF5" w:rsidP="00527CF5">
      <w:pPr>
        <w:tabs>
          <w:tab w:val="left" w:pos="851"/>
        </w:tabs>
        <w:ind w:left="851"/>
        <w:rPr>
          <w:sz w:val="24"/>
          <w:szCs w:val="24"/>
        </w:rPr>
      </w:pPr>
      <w:r w:rsidRPr="00527CF5">
        <w:rPr>
          <w:sz w:val="24"/>
          <w:szCs w:val="24"/>
        </w:rPr>
        <w:t xml:space="preserve">Mirabegron er blevet administreret til raske voksne frivillige i enkeltdoser på op til 400 mg. Ved denne dosis omfattede de indberettede bivirkninger palpitationer (1 ud af 6 forsøgspersoner) og øget hjertefrekvens på mere end 100 slag pr. minut (3 ud af 6 forsøgspersoner). Ved administration af flere doser mirabegron på op til 300 mg dagligt i 10 dage til raske voksne frivillige blev der påvist øget hjertefrekvens og systolisk blodtryk. </w:t>
      </w:r>
    </w:p>
    <w:p w14:paraId="606E8CDF" w14:textId="77777777" w:rsidR="00527CF5" w:rsidRPr="00527CF5" w:rsidRDefault="00527CF5" w:rsidP="00527CF5">
      <w:pPr>
        <w:tabs>
          <w:tab w:val="left" w:pos="851"/>
        </w:tabs>
        <w:ind w:left="851"/>
        <w:rPr>
          <w:sz w:val="24"/>
          <w:szCs w:val="24"/>
        </w:rPr>
      </w:pPr>
      <w:r w:rsidRPr="00527CF5">
        <w:rPr>
          <w:sz w:val="24"/>
          <w:szCs w:val="24"/>
        </w:rPr>
        <w:t xml:space="preserve"> </w:t>
      </w:r>
    </w:p>
    <w:p w14:paraId="0C1F2281" w14:textId="77777777" w:rsidR="00527CF5" w:rsidRPr="00527CF5" w:rsidRDefault="00527CF5" w:rsidP="00527CF5">
      <w:pPr>
        <w:tabs>
          <w:tab w:val="left" w:pos="851"/>
        </w:tabs>
        <w:ind w:left="851"/>
        <w:rPr>
          <w:sz w:val="24"/>
          <w:szCs w:val="24"/>
        </w:rPr>
      </w:pPr>
      <w:r w:rsidRPr="00527CF5">
        <w:rPr>
          <w:sz w:val="24"/>
          <w:szCs w:val="24"/>
        </w:rPr>
        <w:t xml:space="preserve">Behandling af overdosering bør være symptomatisk og støttende. I tilfælde af overdosering anbefales monitorering af hjertefrekvens, blodtryk og EKG. </w:t>
      </w:r>
    </w:p>
    <w:p w14:paraId="251BACB8" w14:textId="77777777" w:rsidR="009260DE" w:rsidRPr="00C84483" w:rsidRDefault="009260DE" w:rsidP="004931E3">
      <w:pPr>
        <w:tabs>
          <w:tab w:val="left" w:pos="851"/>
        </w:tabs>
        <w:ind w:left="851"/>
        <w:rPr>
          <w:sz w:val="24"/>
          <w:szCs w:val="24"/>
        </w:rPr>
      </w:pPr>
    </w:p>
    <w:p w14:paraId="31BDDB6C" w14:textId="77777777" w:rsidR="009260DE" w:rsidRPr="00C84483" w:rsidRDefault="009260DE" w:rsidP="004931E3">
      <w:pPr>
        <w:tabs>
          <w:tab w:val="left" w:pos="851"/>
        </w:tabs>
        <w:ind w:left="851" w:hanging="851"/>
        <w:rPr>
          <w:b/>
          <w:sz w:val="24"/>
          <w:szCs w:val="24"/>
        </w:rPr>
      </w:pPr>
      <w:r w:rsidRPr="00C84483">
        <w:rPr>
          <w:b/>
          <w:sz w:val="24"/>
          <w:szCs w:val="24"/>
        </w:rPr>
        <w:t>4.10</w:t>
      </w:r>
      <w:r w:rsidRPr="00C84483">
        <w:rPr>
          <w:b/>
          <w:sz w:val="24"/>
          <w:szCs w:val="24"/>
        </w:rPr>
        <w:tab/>
        <w:t>Udlevering</w:t>
      </w:r>
    </w:p>
    <w:p w14:paraId="5B978A23" w14:textId="5E511C9C" w:rsidR="009260DE" w:rsidRPr="00C84483" w:rsidRDefault="00527CF5" w:rsidP="004931E3">
      <w:pPr>
        <w:tabs>
          <w:tab w:val="left" w:pos="851"/>
        </w:tabs>
        <w:ind w:left="851"/>
        <w:rPr>
          <w:sz w:val="24"/>
          <w:szCs w:val="24"/>
        </w:rPr>
      </w:pPr>
      <w:r>
        <w:rPr>
          <w:sz w:val="24"/>
          <w:szCs w:val="24"/>
        </w:rPr>
        <w:t>B</w:t>
      </w:r>
    </w:p>
    <w:p w14:paraId="5F9B3AA1" w14:textId="77777777" w:rsidR="009260DE" w:rsidRPr="00C84483" w:rsidRDefault="009260DE" w:rsidP="004931E3">
      <w:pPr>
        <w:tabs>
          <w:tab w:val="left" w:pos="851"/>
        </w:tabs>
        <w:ind w:left="851"/>
        <w:rPr>
          <w:sz w:val="24"/>
          <w:szCs w:val="24"/>
        </w:rPr>
      </w:pPr>
    </w:p>
    <w:p w14:paraId="61250B20" w14:textId="77777777" w:rsidR="009260DE" w:rsidRPr="00C84483" w:rsidRDefault="009260DE" w:rsidP="004931E3">
      <w:pPr>
        <w:tabs>
          <w:tab w:val="left" w:pos="851"/>
        </w:tabs>
        <w:ind w:left="851"/>
        <w:rPr>
          <w:sz w:val="24"/>
          <w:szCs w:val="24"/>
        </w:rPr>
      </w:pPr>
    </w:p>
    <w:p w14:paraId="6528C641" w14:textId="77777777" w:rsidR="009260DE" w:rsidRPr="00C84483" w:rsidRDefault="009260DE" w:rsidP="004931E3">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684AA093" w14:textId="77777777" w:rsidR="009260DE" w:rsidRPr="00C84483" w:rsidRDefault="009260DE" w:rsidP="004931E3">
      <w:pPr>
        <w:tabs>
          <w:tab w:val="left" w:pos="851"/>
        </w:tabs>
        <w:ind w:left="851"/>
        <w:rPr>
          <w:sz w:val="24"/>
          <w:szCs w:val="24"/>
        </w:rPr>
      </w:pPr>
    </w:p>
    <w:p w14:paraId="11FF1600" w14:textId="77777777" w:rsidR="009260DE" w:rsidRPr="00C84483" w:rsidRDefault="009260DE" w:rsidP="004931E3">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0BBB668A" w14:textId="77777777" w:rsidR="00527CF5" w:rsidRPr="00527CF5" w:rsidRDefault="00527CF5" w:rsidP="00527CF5">
      <w:pPr>
        <w:tabs>
          <w:tab w:val="left" w:pos="851"/>
        </w:tabs>
        <w:ind w:left="851"/>
        <w:rPr>
          <w:sz w:val="24"/>
          <w:szCs w:val="24"/>
        </w:rPr>
      </w:pPr>
      <w:r w:rsidRPr="00527CF5">
        <w:rPr>
          <w:sz w:val="24"/>
          <w:szCs w:val="24"/>
        </w:rPr>
        <w:t>Farmakoterapeutisk klassifikation: Urologica, midler mod hyppig urinering og inkontinens, ATC-kode: G04BD12.</w:t>
      </w:r>
    </w:p>
    <w:p w14:paraId="2F59686B" w14:textId="71EF41CC" w:rsidR="00527CF5" w:rsidRDefault="00527CF5">
      <w:pPr>
        <w:rPr>
          <w:sz w:val="24"/>
          <w:szCs w:val="24"/>
        </w:rPr>
      </w:pPr>
      <w:r>
        <w:rPr>
          <w:sz w:val="24"/>
          <w:szCs w:val="24"/>
        </w:rPr>
        <w:br w:type="page"/>
      </w:r>
    </w:p>
    <w:p w14:paraId="02BC1970" w14:textId="77777777" w:rsidR="00527CF5" w:rsidRPr="00527CF5" w:rsidRDefault="00527CF5" w:rsidP="00527CF5">
      <w:pPr>
        <w:tabs>
          <w:tab w:val="left" w:pos="851"/>
        </w:tabs>
        <w:ind w:left="851"/>
        <w:rPr>
          <w:sz w:val="24"/>
          <w:szCs w:val="24"/>
        </w:rPr>
      </w:pPr>
    </w:p>
    <w:p w14:paraId="140791C3" w14:textId="77777777" w:rsidR="00527CF5" w:rsidRPr="00527CF5" w:rsidRDefault="00527CF5" w:rsidP="00527CF5">
      <w:pPr>
        <w:tabs>
          <w:tab w:val="left" w:pos="851"/>
        </w:tabs>
        <w:ind w:left="851"/>
        <w:rPr>
          <w:sz w:val="24"/>
          <w:szCs w:val="24"/>
          <w:u w:val="single"/>
        </w:rPr>
      </w:pPr>
      <w:r w:rsidRPr="00527CF5">
        <w:rPr>
          <w:sz w:val="24"/>
          <w:szCs w:val="24"/>
          <w:u w:val="single"/>
        </w:rPr>
        <w:t>Virkningsmekanisme</w:t>
      </w:r>
      <w:r w:rsidRPr="00527CF5">
        <w:rPr>
          <w:sz w:val="24"/>
          <w:szCs w:val="24"/>
        </w:rPr>
        <w:t xml:space="preserve"> </w:t>
      </w:r>
    </w:p>
    <w:p w14:paraId="3314362F" w14:textId="7EE5DA7B" w:rsidR="00527CF5" w:rsidRPr="00527CF5" w:rsidRDefault="00527CF5" w:rsidP="00527CF5">
      <w:pPr>
        <w:tabs>
          <w:tab w:val="left" w:pos="851"/>
        </w:tabs>
        <w:ind w:left="851"/>
        <w:rPr>
          <w:sz w:val="24"/>
          <w:szCs w:val="24"/>
        </w:rPr>
      </w:pPr>
      <w:r w:rsidRPr="00527CF5">
        <w:rPr>
          <w:sz w:val="24"/>
          <w:szCs w:val="24"/>
        </w:rPr>
        <w:t xml:space="preserve">Mirabegron er en potent og selektiv beta 3-adrenoceptoragonist. Mirabegron resulterede i relaksation af den glatte blæremuskulatur i isoleret rottevæv og humant væv, øgede koncentrationerne af cyklisk adenosinmonophosphat (cAMP) i rotteblærevæv og udviste en blærerelakserende virkning i rotteurinblærefunktionsmodeller. Mirabegron øgede den gennemsnitligt udtømte mængde pr. vandladning og reducerede hyppigheden af ikke-tømmende kontraktioner uden at påvirke tømningstrykket eller resturinmængden i rottemodeller af blæreoveraktivitet. I en abemodel reducerede mirabegron tømningshyppigheden. Disse resultater indikerer, at mirabegron forbedrer urinakkumuleringsfunktionen ved at stimulere beta 3-adrenoceptorer i blæren. </w:t>
      </w:r>
    </w:p>
    <w:p w14:paraId="296F6DA3" w14:textId="77777777" w:rsidR="00527CF5" w:rsidRPr="00527CF5" w:rsidRDefault="00527CF5" w:rsidP="00527CF5">
      <w:pPr>
        <w:tabs>
          <w:tab w:val="left" w:pos="851"/>
        </w:tabs>
        <w:ind w:left="851"/>
        <w:rPr>
          <w:sz w:val="24"/>
          <w:szCs w:val="24"/>
        </w:rPr>
      </w:pPr>
      <w:r w:rsidRPr="00527CF5">
        <w:rPr>
          <w:sz w:val="24"/>
          <w:szCs w:val="24"/>
        </w:rPr>
        <w:t xml:space="preserve"> </w:t>
      </w:r>
    </w:p>
    <w:p w14:paraId="32CDCCE9" w14:textId="77777777" w:rsidR="00527CF5" w:rsidRPr="00527CF5" w:rsidRDefault="00527CF5" w:rsidP="00527CF5">
      <w:pPr>
        <w:tabs>
          <w:tab w:val="left" w:pos="851"/>
        </w:tabs>
        <w:ind w:left="851"/>
        <w:rPr>
          <w:sz w:val="24"/>
          <w:szCs w:val="24"/>
        </w:rPr>
      </w:pPr>
      <w:r w:rsidRPr="00527CF5">
        <w:rPr>
          <w:sz w:val="24"/>
          <w:szCs w:val="24"/>
        </w:rPr>
        <w:t>I fyldningsfasen, hvor der akkumuleres urin i blæren, dominerer den sympatiske nervestimulering. Der frigives noradrenalin fra nerveenderne, hvilket hovedsagelig resulterer i beta-adrenoceptoraktivering i blæremuskulaturen og dermed relaksation af den glatte blæremuskulatur. I urintømningsfasen styres blæren hovedsagelig af det parasympatiske nervesystem. Acetylcholin, som frigives fra nerveender i pelvis, stimulerer cholinerge M2- og M3-receptorer, hvilket inducerer blærekontraktion. Aktiveringen af M2's pathway hæmmer også beta 3-adrenoceptor-induceret stigning i cAMP. Beta 3-adrenoceptor-stimulering burde derfor ikke forstyrre tømningsprocessen. Dette blev bekræftet hos rotter med partiel ureterobstruktion, hvor mirabegron reducerede hyppigheden af ikke-tømmende kontraktioner uden at påvirke den udtømte mængde pr. vandladning, tømningstrykket eller resturinmængden.</w:t>
      </w:r>
    </w:p>
    <w:p w14:paraId="1C3ADBCE" w14:textId="77777777" w:rsidR="00527CF5" w:rsidRPr="00527CF5" w:rsidRDefault="00527CF5" w:rsidP="00527CF5">
      <w:pPr>
        <w:tabs>
          <w:tab w:val="left" w:pos="851"/>
        </w:tabs>
        <w:ind w:left="851"/>
        <w:rPr>
          <w:sz w:val="24"/>
          <w:szCs w:val="24"/>
        </w:rPr>
      </w:pPr>
    </w:p>
    <w:p w14:paraId="190F1ECE" w14:textId="77777777" w:rsidR="00527CF5" w:rsidRPr="00527CF5" w:rsidRDefault="00527CF5" w:rsidP="00527CF5">
      <w:pPr>
        <w:tabs>
          <w:tab w:val="left" w:pos="851"/>
        </w:tabs>
        <w:ind w:left="851"/>
        <w:rPr>
          <w:sz w:val="24"/>
          <w:szCs w:val="24"/>
          <w:u w:val="single"/>
        </w:rPr>
      </w:pPr>
      <w:r w:rsidRPr="00527CF5">
        <w:rPr>
          <w:sz w:val="24"/>
          <w:szCs w:val="24"/>
          <w:u w:val="single"/>
        </w:rPr>
        <w:t>Farmakodynamisk virkning</w:t>
      </w:r>
      <w:r w:rsidRPr="00527CF5">
        <w:rPr>
          <w:sz w:val="24"/>
          <w:szCs w:val="24"/>
        </w:rPr>
        <w:t xml:space="preserve"> </w:t>
      </w:r>
    </w:p>
    <w:p w14:paraId="741D8010" w14:textId="77777777" w:rsidR="00527CF5" w:rsidRPr="00527CF5" w:rsidRDefault="00527CF5" w:rsidP="00527CF5">
      <w:pPr>
        <w:tabs>
          <w:tab w:val="left" w:pos="851"/>
        </w:tabs>
        <w:ind w:left="851"/>
        <w:rPr>
          <w:sz w:val="24"/>
          <w:szCs w:val="24"/>
        </w:rPr>
      </w:pPr>
      <w:r w:rsidRPr="00527CF5">
        <w:rPr>
          <w:sz w:val="24"/>
          <w:szCs w:val="24"/>
        </w:rPr>
        <w:t xml:space="preserve"> </w:t>
      </w:r>
    </w:p>
    <w:p w14:paraId="2AC6E95A" w14:textId="77777777" w:rsidR="00527CF5" w:rsidRPr="00527CF5" w:rsidRDefault="00527CF5" w:rsidP="00527CF5">
      <w:pPr>
        <w:tabs>
          <w:tab w:val="left" w:pos="851"/>
        </w:tabs>
        <w:ind w:left="851"/>
        <w:rPr>
          <w:sz w:val="24"/>
          <w:szCs w:val="24"/>
        </w:rPr>
      </w:pPr>
      <w:r w:rsidRPr="00527CF5">
        <w:rPr>
          <w:i/>
          <w:sz w:val="24"/>
          <w:szCs w:val="24"/>
        </w:rPr>
        <w:t xml:space="preserve">Urodynamik </w:t>
      </w:r>
    </w:p>
    <w:p w14:paraId="2BF2E369" w14:textId="77777777" w:rsidR="00527CF5" w:rsidRPr="00527CF5" w:rsidRDefault="00527CF5" w:rsidP="00527CF5">
      <w:pPr>
        <w:tabs>
          <w:tab w:val="left" w:pos="851"/>
        </w:tabs>
        <w:ind w:left="851"/>
        <w:rPr>
          <w:sz w:val="24"/>
          <w:szCs w:val="24"/>
        </w:rPr>
      </w:pPr>
      <w:r w:rsidRPr="00527CF5">
        <w:rPr>
          <w:sz w:val="24"/>
          <w:szCs w:val="24"/>
        </w:rPr>
        <w:t xml:space="preserve">Mirabegron i doser på 50 mg og 100 mg én gang dagligt i 12 uger hos mænd med nedre urinvejssymptomer (LUTS) og blæreudgangsobstruktion (BOO) udviste ingen virkning på cystometriparametre og var sikkert og veltolereret. Mirabegrons virkning på den maksimale flowhastighed og detrusortrykket ved den maksimale flowhastighed blev vurderet i dette urodynamiske studie, som omfattede 200 mandlige patienter med LUTS og BOO. Administration af mirabegron i doser på 50 mg og 100 mg én gang dagligt i 12 uger havde ingen negativ virkning på den maksimale flowhastighed eller detrusortrykket ved den maksimale flowhastighed. I dette studie med deltagelse af mandlige patienter med LUTS/BOO var den justerede gennemsnitlige ændring fra </w:t>
      </w:r>
      <w:r w:rsidRPr="00527CF5">
        <w:rPr>
          <w:i/>
          <w:sz w:val="24"/>
          <w:szCs w:val="24"/>
        </w:rPr>
        <w:t>baseline</w:t>
      </w:r>
      <w:r w:rsidRPr="00527CF5">
        <w:rPr>
          <w:sz w:val="24"/>
          <w:szCs w:val="24"/>
        </w:rPr>
        <w:t xml:space="preserve"> til behandlingsafslutning (SE) i restmængden efter tømning (ml) 0,55 (10,702), 17,89 (10,190), 30,77 (10,598) for placebo-, mirabegron 50 mg- og mirabegron 100 mgbehandlingsgrupperne. </w:t>
      </w:r>
    </w:p>
    <w:p w14:paraId="200AF216" w14:textId="77777777" w:rsidR="00527CF5" w:rsidRPr="00527CF5" w:rsidRDefault="00527CF5" w:rsidP="00527CF5">
      <w:pPr>
        <w:tabs>
          <w:tab w:val="left" w:pos="851"/>
        </w:tabs>
        <w:ind w:left="851"/>
        <w:rPr>
          <w:sz w:val="24"/>
          <w:szCs w:val="24"/>
        </w:rPr>
      </w:pPr>
      <w:r w:rsidRPr="00527CF5">
        <w:rPr>
          <w:sz w:val="24"/>
          <w:szCs w:val="24"/>
        </w:rPr>
        <w:t xml:space="preserve"> </w:t>
      </w:r>
    </w:p>
    <w:p w14:paraId="5EF5FFA5" w14:textId="77777777" w:rsidR="00527CF5" w:rsidRPr="00527CF5" w:rsidRDefault="00527CF5" w:rsidP="00527CF5">
      <w:pPr>
        <w:tabs>
          <w:tab w:val="left" w:pos="851"/>
        </w:tabs>
        <w:ind w:left="851"/>
        <w:rPr>
          <w:sz w:val="24"/>
          <w:szCs w:val="24"/>
        </w:rPr>
      </w:pPr>
      <w:r w:rsidRPr="00527CF5">
        <w:rPr>
          <w:i/>
          <w:sz w:val="24"/>
          <w:szCs w:val="24"/>
        </w:rPr>
        <w:t>Virkning på QT-intervallet</w:t>
      </w:r>
      <w:r w:rsidRPr="00527CF5">
        <w:rPr>
          <w:sz w:val="24"/>
          <w:szCs w:val="24"/>
        </w:rPr>
        <w:t xml:space="preserve"> </w:t>
      </w:r>
    </w:p>
    <w:p w14:paraId="1E5D4BFD" w14:textId="77777777" w:rsidR="00527CF5" w:rsidRPr="00527CF5" w:rsidRDefault="00527CF5" w:rsidP="00527CF5">
      <w:pPr>
        <w:tabs>
          <w:tab w:val="left" w:pos="851"/>
        </w:tabs>
        <w:ind w:left="851"/>
        <w:rPr>
          <w:sz w:val="24"/>
          <w:szCs w:val="24"/>
        </w:rPr>
      </w:pPr>
      <w:r w:rsidRPr="00527CF5">
        <w:rPr>
          <w:sz w:val="24"/>
          <w:szCs w:val="24"/>
        </w:rPr>
        <w:t xml:space="preserve">Mirabegron i doser på 50 mg eller 100 mg havde ingen virkning på QT-intervallet individuelt korrigeret for hjertefrekvens (QTcI-intervallet) - hverken ved evaluering baseret på køn eller for den samlede gruppe. </w:t>
      </w:r>
    </w:p>
    <w:p w14:paraId="7C38E3BA" w14:textId="77777777" w:rsidR="00527CF5" w:rsidRPr="00527CF5" w:rsidRDefault="00527CF5" w:rsidP="00527CF5">
      <w:pPr>
        <w:tabs>
          <w:tab w:val="left" w:pos="851"/>
        </w:tabs>
        <w:ind w:left="851"/>
        <w:rPr>
          <w:sz w:val="24"/>
          <w:szCs w:val="24"/>
        </w:rPr>
      </w:pPr>
      <w:r w:rsidRPr="00527CF5">
        <w:rPr>
          <w:sz w:val="24"/>
          <w:szCs w:val="24"/>
        </w:rPr>
        <w:t xml:space="preserve"> </w:t>
      </w:r>
    </w:p>
    <w:p w14:paraId="2D8546F7" w14:textId="77777777" w:rsidR="00527CF5" w:rsidRPr="00527CF5" w:rsidRDefault="00527CF5" w:rsidP="00527CF5">
      <w:pPr>
        <w:tabs>
          <w:tab w:val="left" w:pos="851"/>
        </w:tabs>
        <w:ind w:left="851"/>
        <w:rPr>
          <w:sz w:val="24"/>
          <w:szCs w:val="24"/>
        </w:rPr>
      </w:pPr>
      <w:r w:rsidRPr="00527CF5">
        <w:rPr>
          <w:sz w:val="24"/>
          <w:szCs w:val="24"/>
        </w:rPr>
        <w:t xml:space="preserve">Et grundigt QT (TQT)-studie (n = 164 raske mandlige og n = 153 raske kvindelige frivillige med en gennemsnitsalder på 33 år) evaluerede virkningen af gentaget oral dosering af mirabegron i den indicerede dosis (50 mg én gang dagligt) og to supraterapeutiske doser (100 og 200 mg én gang dagligt) på QTcI-intervallet. Eksponeringen for de supraterapeutiske doser udgør henholdsvis ca. 2,6 og 6,5 gange eksponeringen for den terapeutiske dosis. 400 mg moxifloxacin som enkeltdosis blev </w:t>
      </w:r>
      <w:r w:rsidRPr="00527CF5">
        <w:rPr>
          <w:sz w:val="24"/>
          <w:szCs w:val="24"/>
        </w:rPr>
        <w:lastRenderedPageBreak/>
        <w:t xml:space="preserve">anvendt som positiv kontrol. Hvert dosisniveau af mirabegron og moxifloxacin blev evalueret i separate behandlingsarme, som begge omfattede placebokontrol (parallelt overkrydsningsdesign). For mænd såvel som kvinder, som fik administreret mirabegron 50 mg og 100 mg, oversteg den øvre grænse for det ensidede 95 % konfidensinterval ikke 10 msek. på noget tidspunkt for den største tidsmatchede gennemsnitlige forskel i forhold til placebo i QTcI-intervallet. Hos kvinder, som fik administreret mirabegron 50 mg, var den gennemsnitlige forskel i forhold til placebo i QTcIintervallet 3,67 msek. </w:t>
      </w:r>
    </w:p>
    <w:p w14:paraId="6D0036E3" w14:textId="77777777" w:rsidR="00527CF5" w:rsidRPr="00527CF5" w:rsidRDefault="00527CF5" w:rsidP="00527CF5">
      <w:pPr>
        <w:tabs>
          <w:tab w:val="left" w:pos="851"/>
        </w:tabs>
        <w:ind w:left="851"/>
        <w:rPr>
          <w:sz w:val="24"/>
          <w:szCs w:val="24"/>
        </w:rPr>
      </w:pPr>
      <w:r w:rsidRPr="00527CF5">
        <w:rPr>
          <w:sz w:val="24"/>
          <w:szCs w:val="24"/>
        </w:rPr>
        <w:t xml:space="preserve">5 timer efter dosering (den øvre grænse for det ensidede 95 % KI var 5,72 msek.). Hos mænd var forskellen 2,89 msek. (den øvre grænse for det ensidede 95 % KI var 4,90 msek.). Ved en mirabegron-dosis på 200 mg oversteg QTcI-intervallet ikke 10 msek. på noget tidspunkt hos mænd, hvorimod den øvre grænse for det ensidede 95 % konfidensinterval hos kvinder oversteg 10 msek. mellem 0,5 og 6 timer, med en maksimal forskel i forhold til placebo ved 5 timer, hvor den gennemsnitlige virkning var 10,42 msek. (den øvre grænse for det ensidede 95 % KI var 13,44 msek.). Resultaterne for QTcF og QTcIf var i overensstemmelse med dem for QTcI. </w:t>
      </w:r>
    </w:p>
    <w:p w14:paraId="3C469568" w14:textId="77777777" w:rsidR="00527CF5" w:rsidRPr="00527CF5" w:rsidRDefault="00527CF5" w:rsidP="00527CF5">
      <w:pPr>
        <w:tabs>
          <w:tab w:val="left" w:pos="851"/>
        </w:tabs>
        <w:ind w:left="851"/>
        <w:rPr>
          <w:sz w:val="24"/>
          <w:szCs w:val="24"/>
        </w:rPr>
      </w:pPr>
      <w:r w:rsidRPr="00527CF5">
        <w:rPr>
          <w:sz w:val="24"/>
          <w:szCs w:val="24"/>
        </w:rPr>
        <w:t xml:space="preserve"> </w:t>
      </w:r>
    </w:p>
    <w:p w14:paraId="7ADE82D5" w14:textId="77777777" w:rsidR="00527CF5" w:rsidRPr="00527CF5" w:rsidRDefault="00527CF5" w:rsidP="00527CF5">
      <w:pPr>
        <w:tabs>
          <w:tab w:val="left" w:pos="851"/>
        </w:tabs>
        <w:ind w:left="851"/>
        <w:rPr>
          <w:sz w:val="24"/>
          <w:szCs w:val="24"/>
        </w:rPr>
      </w:pPr>
      <w:r w:rsidRPr="00527CF5">
        <w:rPr>
          <w:sz w:val="24"/>
          <w:szCs w:val="24"/>
        </w:rPr>
        <w:t xml:space="preserve">I dette TQT-studie øgede mirabegron hjertefrekvensen ifølge EKG dosisafhængigt i hele det undersøgte 50 mg til 200 mg-dosisinterval. Den maksimale gennemsnitlige forskel i forhold til placebo i hjertefrekvens lå fra 6,7 slag pr. minut med mirabegron 50 mg op til 17,3 slag pr. minut med mirabegron 200 mg hos raske forsøgspersoner. </w:t>
      </w:r>
    </w:p>
    <w:p w14:paraId="454E0D3B" w14:textId="77777777" w:rsidR="00527CF5" w:rsidRPr="00527CF5" w:rsidRDefault="00527CF5" w:rsidP="00527CF5">
      <w:pPr>
        <w:tabs>
          <w:tab w:val="left" w:pos="851"/>
        </w:tabs>
        <w:ind w:left="851"/>
        <w:rPr>
          <w:sz w:val="24"/>
          <w:szCs w:val="24"/>
        </w:rPr>
      </w:pPr>
      <w:r w:rsidRPr="00527CF5">
        <w:rPr>
          <w:sz w:val="24"/>
          <w:szCs w:val="24"/>
        </w:rPr>
        <w:t xml:space="preserve"> </w:t>
      </w:r>
    </w:p>
    <w:p w14:paraId="5E5E60FB" w14:textId="77777777" w:rsidR="00527CF5" w:rsidRPr="00527CF5" w:rsidRDefault="00527CF5" w:rsidP="00527CF5">
      <w:pPr>
        <w:tabs>
          <w:tab w:val="left" w:pos="851"/>
        </w:tabs>
        <w:ind w:left="851"/>
        <w:rPr>
          <w:sz w:val="24"/>
          <w:szCs w:val="24"/>
        </w:rPr>
      </w:pPr>
      <w:r w:rsidRPr="00527CF5">
        <w:rPr>
          <w:i/>
          <w:sz w:val="24"/>
          <w:szCs w:val="24"/>
        </w:rPr>
        <w:t>Virkning på hjertefrekvensen og blodtrykket hos voksne patienter med OAB</w:t>
      </w:r>
      <w:r w:rsidRPr="00527CF5">
        <w:rPr>
          <w:sz w:val="24"/>
          <w:szCs w:val="24"/>
        </w:rPr>
        <w:t xml:space="preserve"> </w:t>
      </w:r>
    </w:p>
    <w:p w14:paraId="65BB6123" w14:textId="77777777" w:rsidR="00527CF5" w:rsidRPr="00527CF5" w:rsidRDefault="00527CF5" w:rsidP="00527CF5">
      <w:pPr>
        <w:tabs>
          <w:tab w:val="left" w:pos="851"/>
        </w:tabs>
        <w:ind w:left="851"/>
        <w:rPr>
          <w:sz w:val="24"/>
          <w:szCs w:val="24"/>
        </w:rPr>
      </w:pPr>
      <w:r w:rsidRPr="00527CF5">
        <w:rPr>
          <w:sz w:val="24"/>
          <w:szCs w:val="24"/>
        </w:rPr>
        <w:t xml:space="preserve">Hos OAB-patienter (gennemsnitsalder 59 år) i tre 12-ugers dobbeltblinde placebokontrollerede fase 3studier, som fik mirabegron 50 mg én gang dagligt, blev der på tværs af de tre studier observeret en øget gennemsnitlig forskel i forhold til placebo på ca. 1 slag pr. minut for hjertefrekvensen og ca. </w:t>
      </w:r>
    </w:p>
    <w:p w14:paraId="608A6164" w14:textId="77777777" w:rsidR="00527CF5" w:rsidRPr="00527CF5" w:rsidRDefault="00527CF5" w:rsidP="00527CF5">
      <w:pPr>
        <w:tabs>
          <w:tab w:val="left" w:pos="851"/>
        </w:tabs>
        <w:ind w:left="851"/>
        <w:rPr>
          <w:sz w:val="24"/>
          <w:szCs w:val="24"/>
        </w:rPr>
      </w:pPr>
      <w:r w:rsidRPr="00527CF5">
        <w:rPr>
          <w:sz w:val="24"/>
          <w:szCs w:val="24"/>
        </w:rPr>
        <w:t xml:space="preserve">1 mm Hg eller derunder for det systoliske blodtryk/diastoliske blodtryk (SBP/DBP). Ændringer i hjertefrekvens og blodtryk er reversible efter seponering af behandlingen. </w:t>
      </w:r>
    </w:p>
    <w:p w14:paraId="37C725D3" w14:textId="77777777" w:rsidR="00527CF5" w:rsidRPr="00527CF5" w:rsidRDefault="00527CF5" w:rsidP="00527CF5">
      <w:pPr>
        <w:tabs>
          <w:tab w:val="left" w:pos="851"/>
        </w:tabs>
        <w:ind w:left="851"/>
        <w:rPr>
          <w:sz w:val="24"/>
          <w:szCs w:val="24"/>
        </w:rPr>
      </w:pPr>
      <w:r w:rsidRPr="00527CF5">
        <w:rPr>
          <w:sz w:val="24"/>
          <w:szCs w:val="24"/>
        </w:rPr>
        <w:t xml:space="preserve"> </w:t>
      </w:r>
    </w:p>
    <w:p w14:paraId="6E02EA17" w14:textId="77777777" w:rsidR="00527CF5" w:rsidRPr="00527CF5" w:rsidRDefault="00527CF5" w:rsidP="00527CF5">
      <w:pPr>
        <w:tabs>
          <w:tab w:val="left" w:pos="851"/>
        </w:tabs>
        <w:ind w:left="851"/>
        <w:rPr>
          <w:sz w:val="24"/>
          <w:szCs w:val="24"/>
        </w:rPr>
      </w:pPr>
      <w:r w:rsidRPr="00527CF5">
        <w:rPr>
          <w:i/>
          <w:sz w:val="24"/>
          <w:szCs w:val="24"/>
        </w:rPr>
        <w:t>Virkning på blodtrykket hos pædiatriske patienter med NDO</w:t>
      </w:r>
      <w:r w:rsidRPr="00527CF5">
        <w:rPr>
          <w:sz w:val="24"/>
          <w:szCs w:val="24"/>
        </w:rPr>
        <w:t xml:space="preserve"> </w:t>
      </w:r>
    </w:p>
    <w:p w14:paraId="00DB576A" w14:textId="77777777" w:rsidR="00527CF5" w:rsidRPr="00527CF5" w:rsidRDefault="00527CF5" w:rsidP="00527CF5">
      <w:pPr>
        <w:tabs>
          <w:tab w:val="left" w:pos="851"/>
        </w:tabs>
        <w:ind w:left="851"/>
        <w:rPr>
          <w:sz w:val="24"/>
          <w:szCs w:val="24"/>
        </w:rPr>
      </w:pPr>
      <w:r w:rsidRPr="00527CF5">
        <w:rPr>
          <w:sz w:val="24"/>
          <w:szCs w:val="24"/>
        </w:rPr>
        <w:t xml:space="preserve">Mirabegron kan øge blodtrykket hos pædiatriske patienter. Stigningerne i blodtrykket kan være større hos børn (i alderen 3 år til under 12 år) end hos unge (i alderen 12 år til under 18 år). Blodtrykket bør måles ved </w:t>
      </w:r>
      <w:r w:rsidRPr="00527CF5">
        <w:rPr>
          <w:i/>
          <w:sz w:val="24"/>
          <w:szCs w:val="24"/>
        </w:rPr>
        <w:t>baseline</w:t>
      </w:r>
      <w:r w:rsidRPr="00527CF5">
        <w:rPr>
          <w:sz w:val="24"/>
          <w:szCs w:val="24"/>
        </w:rPr>
        <w:t xml:space="preserve"> og regelmæssigt under behandling med mirabegron.</w:t>
      </w:r>
    </w:p>
    <w:p w14:paraId="79B53613" w14:textId="77777777" w:rsidR="00527CF5" w:rsidRPr="00527CF5" w:rsidRDefault="00527CF5" w:rsidP="00527CF5">
      <w:pPr>
        <w:tabs>
          <w:tab w:val="left" w:pos="851"/>
        </w:tabs>
        <w:ind w:left="851"/>
        <w:rPr>
          <w:sz w:val="24"/>
          <w:szCs w:val="24"/>
        </w:rPr>
      </w:pPr>
    </w:p>
    <w:p w14:paraId="37E87C6D" w14:textId="77777777" w:rsidR="00527CF5" w:rsidRPr="00527CF5" w:rsidRDefault="00527CF5" w:rsidP="00527CF5">
      <w:pPr>
        <w:tabs>
          <w:tab w:val="left" w:pos="851"/>
        </w:tabs>
        <w:ind w:left="851"/>
        <w:rPr>
          <w:sz w:val="24"/>
          <w:szCs w:val="24"/>
        </w:rPr>
      </w:pPr>
      <w:r w:rsidRPr="00527CF5">
        <w:rPr>
          <w:i/>
          <w:sz w:val="24"/>
          <w:szCs w:val="24"/>
        </w:rPr>
        <w:t>Virkning på det intraokulære tryk (IOP)</w:t>
      </w:r>
      <w:r w:rsidRPr="00527CF5">
        <w:rPr>
          <w:sz w:val="24"/>
          <w:szCs w:val="24"/>
        </w:rPr>
        <w:t xml:space="preserve"> </w:t>
      </w:r>
    </w:p>
    <w:p w14:paraId="56B00A65" w14:textId="52FBADD7" w:rsidR="00527CF5" w:rsidRPr="00527CF5" w:rsidRDefault="00527CF5" w:rsidP="00527CF5">
      <w:pPr>
        <w:tabs>
          <w:tab w:val="left" w:pos="851"/>
        </w:tabs>
        <w:ind w:left="851"/>
        <w:rPr>
          <w:sz w:val="24"/>
          <w:szCs w:val="24"/>
        </w:rPr>
      </w:pPr>
      <w:r w:rsidRPr="00527CF5">
        <w:rPr>
          <w:sz w:val="24"/>
          <w:szCs w:val="24"/>
        </w:rPr>
        <w:t xml:space="preserve">Mirabegron 100 mg én gang dagligt øgede ikke IOP hos raske voksne forsøgspersoner i løbet af 56 dages behandling. I et fase 1-studie, som vurderede mirabegrons virkning på IOP ved anvendelse af Goldmann-applanationstonometri hos 310 raske forsøgspersoner, var en dosis mirabegron 100 mg non-inferiør i forhold til placebo for det primære endepunkt, som var behandlingsforskellen i gennemsnitlig ændring fra </w:t>
      </w:r>
      <w:r w:rsidRPr="00527CF5">
        <w:rPr>
          <w:i/>
          <w:sz w:val="24"/>
          <w:szCs w:val="24"/>
        </w:rPr>
        <w:t>baseline</w:t>
      </w:r>
      <w:r w:rsidRPr="00527CF5">
        <w:rPr>
          <w:sz w:val="24"/>
          <w:szCs w:val="24"/>
        </w:rPr>
        <w:t xml:space="preserve"> frem til dag 56 i det gennemsnitlige IOP hos forsøgspersonerne; den øvre grænse for det tosidede 95 % KI for behandlingsforskellen mellem mirabegron 100 mg og placebo var </w:t>
      </w:r>
      <w:r w:rsidRPr="00527CF5">
        <w:rPr>
          <w:sz w:val="24"/>
          <w:szCs w:val="24"/>
        </w:rPr>
        <w:br/>
        <w:t>0,3 mm Hg.</w:t>
      </w:r>
    </w:p>
    <w:p w14:paraId="3A8B98D6" w14:textId="77777777" w:rsidR="00527CF5" w:rsidRPr="00527CF5" w:rsidRDefault="00527CF5" w:rsidP="00527CF5">
      <w:pPr>
        <w:tabs>
          <w:tab w:val="left" w:pos="851"/>
        </w:tabs>
        <w:ind w:left="851"/>
        <w:rPr>
          <w:sz w:val="24"/>
          <w:szCs w:val="24"/>
        </w:rPr>
      </w:pPr>
    </w:p>
    <w:p w14:paraId="187322E9" w14:textId="77777777" w:rsidR="00527CF5" w:rsidRPr="00527CF5" w:rsidRDefault="00527CF5" w:rsidP="00527CF5">
      <w:pPr>
        <w:tabs>
          <w:tab w:val="left" w:pos="851"/>
        </w:tabs>
        <w:ind w:left="851"/>
        <w:rPr>
          <w:sz w:val="24"/>
          <w:szCs w:val="24"/>
          <w:u w:val="single"/>
        </w:rPr>
      </w:pPr>
      <w:r w:rsidRPr="00527CF5">
        <w:rPr>
          <w:sz w:val="24"/>
          <w:szCs w:val="24"/>
          <w:u w:val="single"/>
        </w:rPr>
        <w:t>Klinisk virkning og sikkerhed</w:t>
      </w:r>
      <w:r w:rsidRPr="00527CF5">
        <w:rPr>
          <w:sz w:val="24"/>
          <w:szCs w:val="24"/>
        </w:rPr>
        <w:t xml:space="preserve"> </w:t>
      </w:r>
    </w:p>
    <w:p w14:paraId="140EFDF8" w14:textId="77777777" w:rsidR="00527CF5" w:rsidRPr="00527CF5" w:rsidRDefault="00527CF5" w:rsidP="00527CF5">
      <w:pPr>
        <w:tabs>
          <w:tab w:val="left" w:pos="851"/>
        </w:tabs>
        <w:ind w:left="851"/>
        <w:rPr>
          <w:sz w:val="24"/>
          <w:szCs w:val="24"/>
        </w:rPr>
      </w:pPr>
      <w:r w:rsidRPr="00527CF5">
        <w:rPr>
          <w:sz w:val="24"/>
          <w:szCs w:val="24"/>
        </w:rPr>
        <w:t xml:space="preserve"> </w:t>
      </w:r>
    </w:p>
    <w:p w14:paraId="1E31C4D9" w14:textId="77777777" w:rsidR="00527CF5" w:rsidRPr="00527CF5" w:rsidRDefault="00527CF5" w:rsidP="00527CF5">
      <w:pPr>
        <w:tabs>
          <w:tab w:val="left" w:pos="851"/>
        </w:tabs>
        <w:ind w:left="851"/>
        <w:rPr>
          <w:sz w:val="24"/>
          <w:szCs w:val="24"/>
        </w:rPr>
      </w:pPr>
      <w:r w:rsidRPr="00527CF5">
        <w:rPr>
          <w:i/>
          <w:sz w:val="24"/>
          <w:szCs w:val="24"/>
        </w:rPr>
        <w:t xml:space="preserve">Overaktiv blære hos voksne patienter </w:t>
      </w:r>
    </w:p>
    <w:p w14:paraId="765983AF" w14:textId="22976F45" w:rsidR="00527CF5" w:rsidRPr="00527CF5" w:rsidRDefault="00527CF5" w:rsidP="00527CF5">
      <w:pPr>
        <w:tabs>
          <w:tab w:val="left" w:pos="851"/>
        </w:tabs>
        <w:ind w:left="851"/>
        <w:rPr>
          <w:sz w:val="24"/>
          <w:szCs w:val="24"/>
        </w:rPr>
      </w:pPr>
      <w:r w:rsidRPr="00527CF5">
        <w:rPr>
          <w:sz w:val="24"/>
          <w:szCs w:val="24"/>
        </w:rPr>
        <w:t xml:space="preserve">Mirabegrons virkning blev evalueret i tre 12-ugers randomiserede dobbeltblinde placebokontrollerede fase 3-studier til behandling af overaktiv blære med symptomer på imperiøs vandladning og hyppighed med eller uden inkontinens. Studiet inkluderede </w:t>
      </w:r>
      <w:r w:rsidRPr="00527CF5">
        <w:rPr>
          <w:sz w:val="24"/>
          <w:szCs w:val="24"/>
        </w:rPr>
        <w:lastRenderedPageBreak/>
        <w:t>kvindelige (72 %) og mandlige (28 %) patienter med en gennemsnitsalder på 59 år (interval 18</w:t>
      </w:r>
      <w:r>
        <w:rPr>
          <w:sz w:val="24"/>
          <w:szCs w:val="24"/>
        </w:rPr>
        <w:t>-</w:t>
      </w:r>
      <w:r w:rsidRPr="00527CF5">
        <w:rPr>
          <w:sz w:val="24"/>
          <w:szCs w:val="24"/>
        </w:rPr>
        <w:t xml:space="preserve">95 år). Studiepopulationen bestod af ca. 48 % patienter, som var naive over for antimuskarin-behandling, og ca. 52 % patienter, som tidligere var blevet behandlet med antimuskarine lægemidler. I ét studie fik 495 patienter en aktiv kontrol (tolterodin-depotformulering). </w:t>
      </w:r>
    </w:p>
    <w:p w14:paraId="631DBC05" w14:textId="77777777" w:rsidR="00527CF5" w:rsidRPr="00527CF5" w:rsidRDefault="00527CF5" w:rsidP="00527CF5">
      <w:pPr>
        <w:tabs>
          <w:tab w:val="left" w:pos="851"/>
        </w:tabs>
        <w:ind w:left="851"/>
        <w:rPr>
          <w:sz w:val="24"/>
          <w:szCs w:val="24"/>
        </w:rPr>
      </w:pPr>
      <w:r w:rsidRPr="00527CF5">
        <w:rPr>
          <w:sz w:val="24"/>
          <w:szCs w:val="24"/>
        </w:rPr>
        <w:t xml:space="preserve"> </w:t>
      </w:r>
    </w:p>
    <w:p w14:paraId="06C2F7F1" w14:textId="77777777" w:rsidR="00527CF5" w:rsidRPr="00527CF5" w:rsidRDefault="00527CF5" w:rsidP="00527CF5">
      <w:pPr>
        <w:tabs>
          <w:tab w:val="left" w:pos="851"/>
        </w:tabs>
        <w:ind w:left="851"/>
        <w:rPr>
          <w:sz w:val="24"/>
          <w:szCs w:val="24"/>
        </w:rPr>
      </w:pPr>
      <w:r w:rsidRPr="00527CF5">
        <w:rPr>
          <w:sz w:val="24"/>
          <w:szCs w:val="24"/>
        </w:rPr>
        <w:t xml:space="preserve">De co-primære virkningsendepunkter var (1) ændring fra </w:t>
      </w:r>
      <w:r w:rsidRPr="00527CF5">
        <w:rPr>
          <w:i/>
          <w:sz w:val="24"/>
          <w:szCs w:val="24"/>
        </w:rPr>
        <w:t>baseline</w:t>
      </w:r>
      <w:r w:rsidRPr="00527CF5">
        <w:rPr>
          <w:sz w:val="24"/>
          <w:szCs w:val="24"/>
        </w:rPr>
        <w:t xml:space="preserve"> til behandlingsafslutning i gennemsnitligt antal inkontinensepisoder pr. 24 timer og (2) ændring fra </w:t>
      </w:r>
      <w:r w:rsidRPr="00527CF5">
        <w:rPr>
          <w:i/>
          <w:sz w:val="24"/>
          <w:szCs w:val="24"/>
        </w:rPr>
        <w:t>baseline</w:t>
      </w:r>
      <w:r w:rsidRPr="00527CF5">
        <w:rPr>
          <w:sz w:val="24"/>
          <w:szCs w:val="24"/>
        </w:rPr>
        <w:t xml:space="preserve"> til behandlingsafslutning i gennemsnitligt antal vandladninger pr. 24 timer baseret på en 3-dages vandladningsdagbog. Mirabegron resulterede i statistisk signifikant større forbedringer end placebo for både co-primære endepunkter og sekundære endepunkter (se tabel 3 og 4). </w:t>
      </w:r>
    </w:p>
    <w:p w14:paraId="1D646174" w14:textId="77777777" w:rsidR="00B2252E" w:rsidRPr="00B2252E" w:rsidRDefault="00B2252E" w:rsidP="00B2252E">
      <w:pPr>
        <w:widowControl w:val="0"/>
        <w:suppressAutoHyphens/>
        <w:autoSpaceDE w:val="0"/>
        <w:autoSpaceDN w:val="0"/>
        <w:adjustRightInd w:val="0"/>
        <w:rPr>
          <w:sz w:val="22"/>
          <w:szCs w:val="22"/>
          <w:lang w:eastAsia="da-DK"/>
        </w:rPr>
      </w:pPr>
    </w:p>
    <w:p w14:paraId="2EFB6F64" w14:textId="77777777" w:rsidR="00B2252E" w:rsidRPr="00B2252E" w:rsidRDefault="00B2252E" w:rsidP="00B2252E">
      <w:pPr>
        <w:widowControl w:val="0"/>
        <w:suppressAutoHyphens/>
        <w:autoSpaceDE w:val="0"/>
        <w:autoSpaceDN w:val="0"/>
        <w:adjustRightInd w:val="0"/>
        <w:rPr>
          <w:b/>
          <w:sz w:val="22"/>
          <w:szCs w:val="22"/>
          <w:lang w:eastAsia="da-DK"/>
        </w:rPr>
      </w:pPr>
      <w:r w:rsidRPr="00B2252E">
        <w:rPr>
          <w:b/>
          <w:sz w:val="22"/>
          <w:szCs w:val="22"/>
          <w:lang w:eastAsia="da-DK"/>
        </w:rPr>
        <w:t>Tabel 3:</w:t>
      </w:r>
      <w:r w:rsidRPr="00B2252E">
        <w:rPr>
          <w:sz w:val="22"/>
          <w:szCs w:val="22"/>
          <w:lang w:eastAsia="da-DK"/>
        </w:rPr>
        <w:t xml:space="preserve"> </w:t>
      </w:r>
      <w:r w:rsidRPr="00B2252E">
        <w:rPr>
          <w:b/>
          <w:sz w:val="22"/>
          <w:szCs w:val="22"/>
          <w:lang w:eastAsia="da-DK"/>
        </w:rPr>
        <w:t>Co-primære og udvalgte sekundære virkningsendepunkter ved behandlingsafslutning for poolede studier hos voksne</w:t>
      </w:r>
    </w:p>
    <w:tbl>
      <w:tblPr>
        <w:tblW w:w="9491" w:type="dxa"/>
        <w:jc w:val="center"/>
        <w:tblCellMar>
          <w:top w:w="53" w:type="dxa"/>
          <w:bottom w:w="3" w:type="dxa"/>
          <w:right w:w="115" w:type="dxa"/>
        </w:tblCellMar>
        <w:tblLook w:val="04A0" w:firstRow="1" w:lastRow="0" w:firstColumn="1" w:lastColumn="0" w:noHBand="0" w:noVBand="1"/>
      </w:tblPr>
      <w:tblGrid>
        <w:gridCol w:w="4954"/>
        <w:gridCol w:w="2268"/>
        <w:gridCol w:w="2269"/>
      </w:tblGrid>
      <w:tr w:rsidR="00B2252E" w:rsidRPr="00B2252E" w14:paraId="7DC64140" w14:textId="77777777">
        <w:trPr>
          <w:trHeight w:val="227"/>
          <w:jc w:val="center"/>
        </w:trPr>
        <w:tc>
          <w:tcPr>
            <w:tcW w:w="4954" w:type="dxa"/>
            <w:vMerge w:val="restart"/>
            <w:tcBorders>
              <w:top w:val="single" w:sz="6"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EED176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Parameter</w:t>
            </w:r>
          </w:p>
        </w:tc>
        <w:tc>
          <w:tcPr>
            <w:tcW w:w="4537" w:type="dxa"/>
            <w:gridSpan w:val="2"/>
            <w:tcBorders>
              <w:top w:val="single" w:sz="6" w:space="0" w:color="000000"/>
              <w:left w:val="single" w:sz="2" w:space="0" w:color="000000"/>
              <w:bottom w:val="single" w:sz="4" w:space="0" w:color="000000"/>
              <w:right w:val="single" w:sz="6" w:space="0" w:color="000000"/>
            </w:tcBorders>
            <w:tcMar>
              <w:top w:w="28" w:type="dxa"/>
              <w:left w:w="0" w:type="dxa"/>
              <w:bottom w:w="28" w:type="dxa"/>
              <w:right w:w="0" w:type="dxa"/>
            </w:tcMar>
            <w:hideMark/>
          </w:tcPr>
          <w:p w14:paraId="68A7E6F1" w14:textId="77777777" w:rsidR="00B2252E" w:rsidRPr="00B2252E" w:rsidRDefault="00B2252E" w:rsidP="00B2252E">
            <w:pPr>
              <w:widowControl w:val="0"/>
              <w:suppressAutoHyphens/>
              <w:autoSpaceDE w:val="0"/>
              <w:autoSpaceDN w:val="0"/>
              <w:adjustRightInd w:val="0"/>
              <w:jc w:val="center"/>
              <w:rPr>
                <w:b/>
                <w:sz w:val="22"/>
                <w:szCs w:val="22"/>
                <w:lang w:val="ru-RU" w:eastAsia="ru-RU"/>
              </w:rPr>
            </w:pPr>
            <w:r w:rsidRPr="00B2252E">
              <w:rPr>
                <w:b/>
                <w:sz w:val="22"/>
                <w:szCs w:val="22"/>
                <w:lang w:val="ru-RU" w:eastAsia="ru-RU"/>
              </w:rPr>
              <w:t xml:space="preserve">Poolede studier </w:t>
            </w:r>
          </w:p>
          <w:p w14:paraId="0C5396A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(046, 047, 074)</w:t>
            </w:r>
          </w:p>
        </w:tc>
      </w:tr>
      <w:tr w:rsidR="00B2252E" w:rsidRPr="00B2252E" w14:paraId="24C2691B" w14:textId="77777777">
        <w:trPr>
          <w:trHeight w:val="227"/>
          <w:jc w:val="center"/>
        </w:trPr>
        <w:tc>
          <w:tcPr>
            <w:tcW w:w="0" w:type="auto"/>
            <w:vMerge/>
            <w:tcBorders>
              <w:top w:val="single" w:sz="6" w:space="0" w:color="000000"/>
              <w:left w:val="single" w:sz="6" w:space="0" w:color="000000"/>
              <w:bottom w:val="single" w:sz="2" w:space="0" w:color="000000"/>
              <w:right w:val="single" w:sz="2" w:space="0" w:color="000000"/>
            </w:tcBorders>
            <w:vAlign w:val="center"/>
            <w:hideMark/>
          </w:tcPr>
          <w:p w14:paraId="39C23F3E" w14:textId="77777777" w:rsidR="00B2252E" w:rsidRPr="00B2252E" w:rsidRDefault="00B2252E" w:rsidP="00B2252E">
            <w:pPr>
              <w:rPr>
                <w:sz w:val="22"/>
                <w:szCs w:val="22"/>
                <w:lang w:val="ru-RU" w:eastAsia="ru-RU"/>
              </w:rPr>
            </w:pP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C0105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2269" w:type="dxa"/>
            <w:tcBorders>
              <w:top w:val="single" w:sz="4"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7E33D01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r>
      <w:tr w:rsidR="00B2252E" w:rsidRPr="00B2252E" w14:paraId="2C39E1F2"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5147028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inkontinensepisoder pr. 24 timer (FAS</w:t>
            </w:r>
            <w:r w:rsidRPr="00B2252E">
              <w:rPr>
                <w:sz w:val="22"/>
                <w:szCs w:val="22"/>
                <w:lang w:val="ru-RU" w:eastAsia="ru-RU"/>
              </w:rPr>
              <w:t>-</w:t>
            </w:r>
            <w:r w:rsidRPr="00B2252E">
              <w:rPr>
                <w:b/>
                <w:sz w:val="22"/>
                <w:szCs w:val="22"/>
                <w:lang w:val="ru-RU" w:eastAsia="ru-RU"/>
              </w:rPr>
              <w:t>I) (co-primært)</w:t>
            </w:r>
            <w:r w:rsidRPr="00B2252E">
              <w:rPr>
                <w:sz w:val="22"/>
                <w:szCs w:val="22"/>
                <w:lang w:val="ru-RU" w:eastAsia="ru-RU"/>
              </w:rPr>
              <w:t xml:space="preserve"> </w:t>
            </w:r>
          </w:p>
        </w:tc>
      </w:tr>
      <w:tr w:rsidR="00B2252E" w:rsidRPr="00B2252E" w14:paraId="1FA27ECB"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39DCB05"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17824AF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878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7C81EE5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862</w:t>
            </w:r>
          </w:p>
        </w:tc>
      </w:tr>
      <w:tr w:rsidR="00B2252E" w:rsidRPr="00B2252E" w14:paraId="59A174C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7E6E1E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F76131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2,73</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FC6687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2,71</w:t>
            </w:r>
          </w:p>
        </w:tc>
      </w:tr>
      <w:tr w:rsidR="00B2252E" w:rsidRPr="00B2252E" w14:paraId="076BD979"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20A5D0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29E86E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-1,10</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6A9B40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-1,49</w:t>
            </w:r>
          </w:p>
        </w:tc>
      </w:tr>
      <w:tr w:rsidR="00B2252E" w:rsidRPr="00B2252E" w14:paraId="5E9AD3E0"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F829D2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60D46CE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50621A6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-0,40 (-0,58; -0,21)</w:t>
            </w:r>
          </w:p>
        </w:tc>
      </w:tr>
      <w:tr w:rsidR="00B2252E" w:rsidRPr="00B2252E" w14:paraId="4AECB9FE"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4BF340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63AFF5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06201D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2B767351"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76A823E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vandladninger pr. 24 timer (FAS) (co-primært)</w:t>
            </w:r>
            <w:r w:rsidRPr="00B2252E">
              <w:rPr>
                <w:sz w:val="22"/>
                <w:szCs w:val="22"/>
                <w:lang w:val="ru-RU" w:eastAsia="ru-RU"/>
              </w:rPr>
              <w:t xml:space="preserve"> </w:t>
            </w:r>
          </w:p>
        </w:tc>
      </w:tr>
      <w:tr w:rsidR="00B2252E" w:rsidRPr="00B2252E" w14:paraId="4960AFDC" w14:textId="77777777">
        <w:trPr>
          <w:trHeight w:val="227"/>
          <w:jc w:val="center"/>
        </w:trPr>
        <w:tc>
          <w:tcPr>
            <w:tcW w:w="4954" w:type="dxa"/>
            <w:tcBorders>
              <w:top w:val="single" w:sz="2" w:space="0" w:color="000000"/>
              <w:left w:val="single" w:sz="6" w:space="0" w:color="000000"/>
              <w:bottom w:val="single" w:sz="6" w:space="0" w:color="000000"/>
              <w:right w:val="single" w:sz="2" w:space="0" w:color="000000"/>
            </w:tcBorders>
            <w:tcMar>
              <w:top w:w="28" w:type="dxa"/>
              <w:left w:w="0" w:type="dxa"/>
              <w:bottom w:w="28" w:type="dxa"/>
              <w:right w:w="0" w:type="dxa"/>
            </w:tcMar>
            <w:hideMark/>
          </w:tcPr>
          <w:p w14:paraId="7A32C3F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6" w:space="0" w:color="000000"/>
              <w:right w:val="single" w:sz="2" w:space="0" w:color="000000"/>
            </w:tcBorders>
            <w:tcMar>
              <w:top w:w="28" w:type="dxa"/>
              <w:left w:w="0" w:type="dxa"/>
              <w:bottom w:w="28" w:type="dxa"/>
              <w:right w:w="0" w:type="dxa"/>
            </w:tcMar>
            <w:hideMark/>
          </w:tcPr>
          <w:p w14:paraId="0894B6E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1 328</w:t>
            </w:r>
          </w:p>
        </w:tc>
        <w:tc>
          <w:tcPr>
            <w:tcW w:w="2269" w:type="dxa"/>
            <w:tcBorders>
              <w:top w:val="single" w:sz="2" w:space="0" w:color="000000"/>
              <w:left w:val="single" w:sz="2" w:space="0" w:color="000000"/>
              <w:bottom w:val="single" w:sz="6" w:space="0" w:color="000000"/>
              <w:right w:val="single" w:sz="6" w:space="0" w:color="000000"/>
            </w:tcBorders>
            <w:tcMar>
              <w:top w:w="28" w:type="dxa"/>
              <w:left w:w="0" w:type="dxa"/>
              <w:bottom w:w="28" w:type="dxa"/>
              <w:right w:w="0" w:type="dxa"/>
            </w:tcMar>
            <w:hideMark/>
          </w:tcPr>
          <w:p w14:paraId="4C3932D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1 324</w:t>
            </w:r>
          </w:p>
        </w:tc>
      </w:tr>
      <w:tr w:rsidR="00B2252E" w:rsidRPr="00B2252E" w14:paraId="7539151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1D475C85"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5B52C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282210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11,70</w:t>
            </w:r>
          </w:p>
        </w:tc>
      </w:tr>
      <w:tr w:rsidR="00B2252E" w:rsidRPr="00B2252E" w14:paraId="12EDBAC1"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9EB7C4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4A0CB1E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-1,20</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64119E2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-1,75</w:t>
            </w:r>
          </w:p>
        </w:tc>
      </w:tr>
      <w:tr w:rsidR="00B2252E" w:rsidRPr="00B2252E" w14:paraId="6670FBC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5223D8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4D9E4AF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4CAEBC0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-0,55 (-0,75; -0,36)</w:t>
            </w:r>
          </w:p>
        </w:tc>
      </w:tr>
      <w:tr w:rsidR="00B2252E" w:rsidRPr="00B2252E" w14:paraId="2C483E91"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17784FA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D944FE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3DCAE88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748332FE"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6A95163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 udtømt mængde (ml) pr. vandladning (FAS) (sekundært)</w:t>
            </w:r>
            <w:r w:rsidRPr="00B2252E">
              <w:rPr>
                <w:sz w:val="22"/>
                <w:szCs w:val="22"/>
                <w:lang w:val="ru-RU" w:eastAsia="ru-RU"/>
              </w:rPr>
              <w:t xml:space="preserve"> </w:t>
            </w:r>
          </w:p>
        </w:tc>
      </w:tr>
      <w:tr w:rsidR="00B2252E" w:rsidRPr="00B2252E" w14:paraId="73D18B8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8483EB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369C049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A6A1C6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1 322</w:t>
            </w:r>
          </w:p>
        </w:tc>
      </w:tr>
      <w:tr w:rsidR="00B2252E" w:rsidRPr="00B2252E" w14:paraId="2F662008"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8E31655"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4ADC959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159,2</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B64A6F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159,0</w:t>
            </w:r>
          </w:p>
        </w:tc>
      </w:tr>
      <w:tr w:rsidR="00B2252E" w:rsidRPr="00B2252E" w14:paraId="5CC6EFF0"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BE7A5A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0C9D95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9,4</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AA3E64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21,4</w:t>
            </w:r>
          </w:p>
        </w:tc>
      </w:tr>
      <w:tr w:rsidR="00B2252E" w:rsidRPr="00B2252E" w14:paraId="5EF1504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6EFB8E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45966E2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370BE8D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11,9 (8,3; 15,5)</w:t>
            </w:r>
          </w:p>
        </w:tc>
      </w:tr>
      <w:tr w:rsidR="00B2252E" w:rsidRPr="00B2252E" w14:paraId="5FCC408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AA2C15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0E0DE6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4DC0280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215638F3"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39D451E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 grad af imperiøs vandladning (FAS) (sekundært)</w:t>
            </w:r>
            <w:r w:rsidRPr="00B2252E">
              <w:rPr>
                <w:sz w:val="22"/>
                <w:szCs w:val="22"/>
                <w:lang w:val="ru-RU" w:eastAsia="ru-RU"/>
              </w:rPr>
              <w:t xml:space="preserve"> </w:t>
            </w:r>
          </w:p>
        </w:tc>
      </w:tr>
      <w:tr w:rsidR="00B2252E" w:rsidRPr="00B2252E" w14:paraId="18E60DF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3D380B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3FCEBE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78F2E27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1 323</w:t>
            </w:r>
          </w:p>
        </w:tc>
      </w:tr>
      <w:tr w:rsidR="00B2252E" w:rsidRPr="00B2252E" w14:paraId="0AA8A46C"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CB2EC4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71F9CC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2,39</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62CDC26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2,42</w:t>
            </w:r>
          </w:p>
        </w:tc>
      </w:tr>
      <w:tr w:rsidR="00B2252E" w:rsidRPr="00B2252E" w14:paraId="5A1A6C6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2B86807"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77B8F2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A2F0D3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-0,26</w:t>
            </w:r>
          </w:p>
        </w:tc>
      </w:tr>
      <w:tr w:rsidR="00B2252E" w:rsidRPr="00B2252E" w14:paraId="7B95F5B0"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2BE074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0F29464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3D798FF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-0,11 (-0,16; -0,07)</w:t>
            </w:r>
          </w:p>
        </w:tc>
      </w:tr>
      <w:tr w:rsidR="00B2252E" w:rsidRPr="00B2252E" w14:paraId="16654330"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2FF48C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6983DE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98CB76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3D06117A"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45CF4E9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urge-inkontinensepisoder pr. 24 timer (FAS-I) (sekundært)</w:t>
            </w:r>
            <w:r w:rsidRPr="00B2252E">
              <w:rPr>
                <w:sz w:val="22"/>
                <w:szCs w:val="22"/>
                <w:lang w:val="ru-RU" w:eastAsia="ru-RU"/>
              </w:rPr>
              <w:t xml:space="preserve"> </w:t>
            </w:r>
          </w:p>
        </w:tc>
      </w:tr>
      <w:tr w:rsidR="00B2252E" w:rsidRPr="00B2252E" w14:paraId="3CB9585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CD9586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92039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858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450D99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834</w:t>
            </w:r>
          </w:p>
        </w:tc>
      </w:tr>
      <w:tr w:rsidR="00B2252E" w:rsidRPr="00B2252E" w14:paraId="4D39684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D7EE88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8AC7F7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2,42</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CA2664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2,42</w:t>
            </w:r>
          </w:p>
        </w:tc>
      </w:tr>
      <w:tr w:rsidR="00B2252E" w:rsidRPr="00B2252E" w14:paraId="05C7914E"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E638E5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3C58922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CEC716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-1,38</w:t>
            </w:r>
          </w:p>
        </w:tc>
      </w:tr>
      <w:tr w:rsidR="00B2252E" w:rsidRPr="00B2252E" w14:paraId="0C1D375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41E0DB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2001F28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05C25AA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-0,40 (-0,57; -0,23)</w:t>
            </w:r>
          </w:p>
        </w:tc>
      </w:tr>
      <w:tr w:rsidR="00B2252E" w:rsidRPr="00B2252E" w14:paraId="3A150C9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7E13A6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lastRenderedPageBreak/>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6898E6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628E63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01844AC0"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5492098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episoder med imperiøs vandladning af grad 3 eller 4 pr. 24 timer (FAS) (sekundært)</w:t>
            </w:r>
            <w:r w:rsidRPr="00B2252E">
              <w:rPr>
                <w:sz w:val="22"/>
                <w:szCs w:val="22"/>
                <w:lang w:val="ru-RU" w:eastAsia="ru-RU"/>
              </w:rPr>
              <w:t xml:space="preserve"> </w:t>
            </w:r>
          </w:p>
        </w:tc>
      </w:tr>
      <w:tr w:rsidR="00B2252E" w:rsidRPr="00B2252E" w14:paraId="419979E2"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B345EE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33296B6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1 324</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70A4F8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1 320</w:t>
            </w:r>
          </w:p>
        </w:tc>
      </w:tr>
      <w:tr w:rsidR="00B2252E" w:rsidRPr="00B2252E" w14:paraId="3780A528"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7E5A167"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F6DBF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5,61</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304A8FF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5,80</w:t>
            </w:r>
          </w:p>
        </w:tc>
      </w:tr>
      <w:tr w:rsidR="00B2252E" w:rsidRPr="00B2252E" w14:paraId="40D88D63"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D4CC77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58E366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-1,29</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BCA743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-1,93</w:t>
            </w:r>
          </w:p>
        </w:tc>
      </w:tr>
      <w:tr w:rsidR="00B2252E" w:rsidRPr="00B2252E" w14:paraId="4559201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EB4E60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0CE99D4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79441E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-0,64 (-0,89; -0,39)</w:t>
            </w:r>
          </w:p>
        </w:tc>
      </w:tr>
      <w:tr w:rsidR="00B2252E" w:rsidRPr="00B2252E" w14:paraId="31A72A5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732204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90DF80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7F1C88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19AA0695"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75109ED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Tilfredshed med behandlingen – visuel analog skala (FAS) (sekundært)</w:t>
            </w:r>
            <w:r w:rsidRPr="00B2252E">
              <w:rPr>
                <w:sz w:val="22"/>
                <w:szCs w:val="22"/>
                <w:lang w:val="ru-RU" w:eastAsia="ru-RU"/>
              </w:rPr>
              <w:t xml:space="preserve"> </w:t>
            </w:r>
          </w:p>
        </w:tc>
      </w:tr>
      <w:tr w:rsidR="00B2252E" w:rsidRPr="00B2252E" w14:paraId="2C025C62"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ACB346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0A64F0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1 195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733745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1 189</w:t>
            </w:r>
          </w:p>
        </w:tc>
      </w:tr>
      <w:tr w:rsidR="00B2252E" w:rsidRPr="00B2252E" w14:paraId="01B1592C"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19EF95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AD03AF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4,87</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174321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4,82</w:t>
            </w:r>
          </w:p>
        </w:tc>
      </w:tr>
      <w:tr w:rsidR="00B2252E" w:rsidRPr="00B2252E" w14:paraId="6546C83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BB699C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736CC0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C3EEE4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2,01</w:t>
            </w:r>
          </w:p>
        </w:tc>
      </w:tr>
      <w:tr w:rsidR="00B2252E" w:rsidRPr="00B2252E" w14:paraId="41B69D73"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77BE44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16F28DF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723DA38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0,76 (0,52; 1,01)</w:t>
            </w:r>
          </w:p>
        </w:tc>
      </w:tr>
      <w:tr w:rsidR="00B2252E" w:rsidRPr="00B2252E" w14:paraId="6066FD76" w14:textId="77777777">
        <w:trPr>
          <w:trHeight w:val="227"/>
          <w:jc w:val="center"/>
        </w:trPr>
        <w:tc>
          <w:tcPr>
            <w:tcW w:w="4954" w:type="dxa"/>
            <w:tcBorders>
              <w:top w:val="single" w:sz="2" w:space="0" w:color="000000"/>
              <w:left w:val="single" w:sz="6" w:space="0" w:color="000000"/>
              <w:bottom w:val="single" w:sz="6" w:space="0" w:color="000000"/>
              <w:right w:val="single" w:sz="2" w:space="0" w:color="000000"/>
            </w:tcBorders>
            <w:tcMar>
              <w:top w:w="28" w:type="dxa"/>
              <w:left w:w="0" w:type="dxa"/>
              <w:bottom w:w="28" w:type="dxa"/>
              <w:right w:w="0" w:type="dxa"/>
            </w:tcMar>
            <w:hideMark/>
          </w:tcPr>
          <w:p w14:paraId="15C31BE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6" w:space="0" w:color="000000"/>
              <w:right w:val="single" w:sz="2" w:space="0" w:color="000000"/>
            </w:tcBorders>
            <w:tcMar>
              <w:top w:w="28" w:type="dxa"/>
              <w:left w:w="0" w:type="dxa"/>
              <w:bottom w:w="28" w:type="dxa"/>
              <w:right w:w="0" w:type="dxa"/>
            </w:tcMar>
            <w:hideMark/>
          </w:tcPr>
          <w:p w14:paraId="7912E9B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6" w:space="0" w:color="000000"/>
              <w:right w:val="single" w:sz="6" w:space="0" w:color="000000"/>
            </w:tcBorders>
            <w:tcMar>
              <w:top w:w="28" w:type="dxa"/>
              <w:left w:w="0" w:type="dxa"/>
              <w:bottom w:w="28" w:type="dxa"/>
              <w:right w:w="0" w:type="dxa"/>
            </w:tcMar>
            <w:hideMark/>
          </w:tcPr>
          <w:p w14:paraId="659D58D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bl>
    <w:p w14:paraId="6A167646"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De poolede studier bestod af studierne 046 (Europa/Australien), 047 (Nordamerika [NA]) og 074 (Europa/NA). </w:t>
      </w:r>
    </w:p>
    <w:p w14:paraId="7AC45689"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 Mindste kvadraters gennemsnit justeret for </w:t>
      </w:r>
      <w:r w:rsidRPr="00B2252E">
        <w:rPr>
          <w:i/>
          <w:sz w:val="20"/>
          <w:lang w:eastAsia="da-DK"/>
        </w:rPr>
        <w:t>baseline</w:t>
      </w:r>
      <w:r w:rsidRPr="00B2252E">
        <w:rPr>
          <w:sz w:val="20"/>
          <w:lang w:eastAsia="da-DK"/>
        </w:rPr>
        <w:t xml:space="preserve">, køn og studie. </w:t>
      </w:r>
    </w:p>
    <w:p w14:paraId="5938B051" w14:textId="77777777" w:rsidR="00B2252E" w:rsidRPr="00B2252E" w:rsidRDefault="00B2252E" w:rsidP="00B2252E">
      <w:pPr>
        <w:widowControl w:val="0"/>
        <w:suppressAutoHyphens/>
        <w:autoSpaceDE w:val="0"/>
        <w:autoSpaceDN w:val="0"/>
        <w:adjustRightInd w:val="0"/>
        <w:rPr>
          <w:sz w:val="20"/>
          <w:lang w:eastAsia="da-DK"/>
        </w:rPr>
      </w:pPr>
      <w:r w:rsidRPr="00B2252E">
        <w:rPr>
          <w:sz w:val="22"/>
          <w:szCs w:val="22"/>
          <w:lang w:eastAsia="da-DK"/>
        </w:rPr>
        <w:t xml:space="preserve">† </w:t>
      </w:r>
      <w:r w:rsidRPr="00B2252E">
        <w:rPr>
          <w:sz w:val="20"/>
          <w:lang w:eastAsia="da-DK"/>
        </w:rPr>
        <w:t xml:space="preserve">Statistisk signifikant overlegent sammenlignet med placebo ved 0,05-niveauet uden multiplicitetsjustering. </w:t>
      </w:r>
    </w:p>
    <w:p w14:paraId="6ED0F8A7" w14:textId="77777777" w:rsidR="00B2252E" w:rsidRPr="00B2252E" w:rsidRDefault="00B2252E" w:rsidP="00B2252E">
      <w:pPr>
        <w:widowControl w:val="0"/>
        <w:suppressAutoHyphens/>
        <w:autoSpaceDE w:val="0"/>
        <w:autoSpaceDN w:val="0"/>
        <w:adjustRightInd w:val="0"/>
        <w:rPr>
          <w:sz w:val="20"/>
          <w:lang w:eastAsia="da-DK"/>
        </w:rPr>
      </w:pPr>
      <w:r w:rsidRPr="00B2252E">
        <w:rPr>
          <w:sz w:val="22"/>
          <w:szCs w:val="22"/>
          <w:lang w:eastAsia="da-DK"/>
        </w:rPr>
        <w:t xml:space="preserve">‡ </w:t>
      </w:r>
      <w:r w:rsidRPr="00B2252E">
        <w:rPr>
          <w:sz w:val="20"/>
          <w:lang w:eastAsia="da-DK"/>
        </w:rPr>
        <w:t xml:space="preserve">Statistisk signifikant overlegent sammenlignet med placebo ved 0,05-niveauet med multiplicitetsjustering. </w:t>
      </w:r>
    </w:p>
    <w:p w14:paraId="61E007B7"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FAS: Fuldt analysesæt, alle randomiserede patienter, som tog mindst 1 dosis dobbeltblindt studielægemiddel, og som havde en vandladningsmåling i </w:t>
      </w:r>
      <w:r w:rsidRPr="00B2252E">
        <w:rPr>
          <w:i/>
          <w:sz w:val="20"/>
          <w:lang w:eastAsia="da-DK"/>
        </w:rPr>
        <w:t>baseline</w:t>
      </w:r>
      <w:r w:rsidRPr="00B2252E">
        <w:rPr>
          <w:sz w:val="20"/>
          <w:lang w:eastAsia="da-DK"/>
        </w:rPr>
        <w:t xml:space="preserve">-dagbogen og mindst 1 dagbog med en vandladningsmåling fra efter </w:t>
      </w:r>
      <w:r w:rsidRPr="00B2252E">
        <w:rPr>
          <w:i/>
          <w:sz w:val="20"/>
          <w:lang w:eastAsia="da-DK"/>
        </w:rPr>
        <w:t>baseline</w:t>
      </w:r>
      <w:r w:rsidRPr="00B2252E">
        <w:rPr>
          <w:sz w:val="20"/>
          <w:lang w:eastAsia="da-DK"/>
        </w:rPr>
        <w:t xml:space="preserve">-besøget. </w:t>
      </w:r>
    </w:p>
    <w:p w14:paraId="6A94EACB"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FAS-I: Undergruppe af FAS, som også havde mindst 1 inkontinensepisode i </w:t>
      </w:r>
      <w:r w:rsidRPr="00B2252E">
        <w:rPr>
          <w:i/>
          <w:sz w:val="20"/>
          <w:lang w:eastAsia="da-DK"/>
        </w:rPr>
        <w:t>baseline</w:t>
      </w:r>
      <w:r w:rsidRPr="00B2252E">
        <w:rPr>
          <w:sz w:val="20"/>
          <w:lang w:eastAsia="da-DK"/>
        </w:rPr>
        <w:t xml:space="preserve">-dagbogen. KI: Konfidensinterval </w:t>
      </w:r>
    </w:p>
    <w:p w14:paraId="6E005C7D" w14:textId="77777777" w:rsidR="00B2252E" w:rsidRPr="00B2252E" w:rsidRDefault="00B2252E" w:rsidP="00B2252E">
      <w:pPr>
        <w:widowControl w:val="0"/>
        <w:suppressAutoHyphens/>
        <w:autoSpaceDE w:val="0"/>
        <w:autoSpaceDN w:val="0"/>
        <w:adjustRightInd w:val="0"/>
        <w:rPr>
          <w:sz w:val="22"/>
          <w:szCs w:val="22"/>
          <w:lang w:eastAsia="da-DK"/>
        </w:rPr>
      </w:pPr>
    </w:p>
    <w:p w14:paraId="1EE91316" w14:textId="77777777" w:rsidR="00B2252E" w:rsidRPr="00B2252E" w:rsidRDefault="00B2252E" w:rsidP="00B2252E">
      <w:pPr>
        <w:keepNext/>
        <w:suppressAutoHyphens/>
        <w:autoSpaceDE w:val="0"/>
        <w:autoSpaceDN w:val="0"/>
        <w:adjustRightInd w:val="0"/>
        <w:rPr>
          <w:b/>
          <w:sz w:val="22"/>
          <w:szCs w:val="22"/>
          <w:lang w:eastAsia="da-DK"/>
        </w:rPr>
      </w:pPr>
      <w:r w:rsidRPr="00B2252E">
        <w:rPr>
          <w:b/>
          <w:sz w:val="22"/>
          <w:szCs w:val="22"/>
          <w:lang w:eastAsia="da-DK"/>
        </w:rPr>
        <w:t>Tabel 4:</w:t>
      </w:r>
      <w:r w:rsidRPr="00B2252E">
        <w:rPr>
          <w:sz w:val="22"/>
          <w:szCs w:val="22"/>
          <w:lang w:eastAsia="da-DK"/>
        </w:rPr>
        <w:t xml:space="preserve"> </w:t>
      </w:r>
      <w:r w:rsidRPr="00B2252E">
        <w:rPr>
          <w:b/>
          <w:sz w:val="22"/>
          <w:szCs w:val="22"/>
          <w:lang w:eastAsia="da-DK"/>
        </w:rPr>
        <w:t>Co-primære og udvalgte sekundære virkningsendepunkter ved behandlingsafslutning for studierne 046, 047 og 074 hos voksne</w:t>
      </w:r>
    </w:p>
    <w:tbl>
      <w:tblPr>
        <w:tblW w:w="10141" w:type="dxa"/>
        <w:jc w:val="center"/>
        <w:tblCellMar>
          <w:top w:w="58" w:type="dxa"/>
          <w:right w:w="58" w:type="dxa"/>
        </w:tblCellMar>
        <w:tblLook w:val="04A0" w:firstRow="1" w:lastRow="0" w:firstColumn="1" w:lastColumn="0" w:noHBand="0" w:noVBand="1"/>
      </w:tblPr>
      <w:tblGrid>
        <w:gridCol w:w="1977"/>
        <w:gridCol w:w="850"/>
        <w:gridCol w:w="1446"/>
        <w:gridCol w:w="1381"/>
        <w:gridCol w:w="844"/>
        <w:gridCol w:w="1401"/>
        <w:gridCol w:w="843"/>
        <w:gridCol w:w="1399"/>
      </w:tblGrid>
      <w:tr w:rsidR="00B2252E" w:rsidRPr="00B2252E" w14:paraId="0730285D" w14:textId="77777777">
        <w:trPr>
          <w:trHeight w:val="227"/>
          <w:jc w:val="center"/>
        </w:trPr>
        <w:tc>
          <w:tcPr>
            <w:tcW w:w="1977" w:type="dxa"/>
            <w:vMerge w:val="restart"/>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8DE737"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Parameter</w:t>
            </w:r>
          </w:p>
        </w:tc>
        <w:tc>
          <w:tcPr>
            <w:tcW w:w="3677" w:type="dxa"/>
            <w:gridSpan w:val="3"/>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4EC19F9"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Studie 046</w:t>
            </w:r>
          </w:p>
        </w:tc>
        <w:tc>
          <w:tcPr>
            <w:tcW w:w="2245" w:type="dxa"/>
            <w:gridSpan w:val="2"/>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AD3C01"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Studie 047</w:t>
            </w:r>
          </w:p>
        </w:tc>
        <w:tc>
          <w:tcPr>
            <w:tcW w:w="2242" w:type="dxa"/>
            <w:gridSpan w:val="2"/>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E39DFA"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Studie 074</w:t>
            </w:r>
          </w:p>
        </w:tc>
      </w:tr>
      <w:tr w:rsidR="00B2252E" w:rsidRPr="00B2252E" w14:paraId="2AA069BA" w14:textId="77777777">
        <w:trPr>
          <w:trHeight w:val="227"/>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891AAA" w14:textId="77777777" w:rsidR="00B2252E" w:rsidRPr="00B2252E" w:rsidRDefault="00B2252E" w:rsidP="00B2252E">
            <w:pPr>
              <w:rPr>
                <w:sz w:val="22"/>
                <w:szCs w:val="22"/>
                <w:lang w:val="ru-RU" w:eastAsia="ru-RU"/>
              </w:rPr>
            </w:pP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D0C7A8"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885CBC" w14:textId="77777777" w:rsidR="00B2252E" w:rsidRPr="00B2252E" w:rsidRDefault="00B2252E" w:rsidP="00B2252E">
            <w:pPr>
              <w:keepNext/>
              <w:suppressAutoHyphens/>
              <w:autoSpaceDE w:val="0"/>
              <w:autoSpaceDN w:val="0"/>
              <w:adjustRightInd w:val="0"/>
              <w:jc w:val="center"/>
              <w:rPr>
                <w:b/>
                <w:sz w:val="22"/>
                <w:szCs w:val="22"/>
                <w:lang w:val="ru-RU" w:eastAsia="ru-RU"/>
              </w:rPr>
            </w:pPr>
            <w:r w:rsidRPr="00B2252E">
              <w:rPr>
                <w:b/>
                <w:sz w:val="22"/>
                <w:szCs w:val="22"/>
                <w:lang w:val="ru-RU" w:eastAsia="ru-RU"/>
              </w:rPr>
              <w:t xml:space="preserve">Mirabegron  </w:t>
            </w:r>
          </w:p>
          <w:p w14:paraId="055A76EF"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50 mg</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91721B" w14:textId="77777777" w:rsidR="00B2252E" w:rsidRPr="00B2252E" w:rsidRDefault="00B2252E" w:rsidP="00B2252E">
            <w:pPr>
              <w:keepNext/>
              <w:suppressAutoHyphens/>
              <w:autoSpaceDE w:val="0"/>
              <w:autoSpaceDN w:val="0"/>
              <w:adjustRightInd w:val="0"/>
              <w:jc w:val="center"/>
              <w:rPr>
                <w:b/>
                <w:sz w:val="22"/>
                <w:szCs w:val="22"/>
                <w:lang w:val="ru-RU" w:eastAsia="ru-RU"/>
              </w:rPr>
            </w:pPr>
            <w:r w:rsidRPr="00B2252E">
              <w:rPr>
                <w:b/>
                <w:sz w:val="22"/>
                <w:szCs w:val="22"/>
                <w:lang w:val="ru-RU" w:eastAsia="ru-RU"/>
              </w:rPr>
              <w:t xml:space="preserve">Tolterodin </w:t>
            </w:r>
          </w:p>
          <w:p w14:paraId="38D37A5C"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ER 4 mg</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409DB56"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3049C3"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C8A774F"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0FF7C1"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r>
      <w:tr w:rsidR="00B2252E" w:rsidRPr="00B2252E" w14:paraId="4AC14182" w14:textId="77777777">
        <w:trPr>
          <w:trHeight w:val="227"/>
          <w:jc w:val="center"/>
        </w:trPr>
        <w:tc>
          <w:tcPr>
            <w:tcW w:w="7899" w:type="dxa"/>
            <w:gridSpan w:val="6"/>
            <w:tcBorders>
              <w:top w:val="single" w:sz="6" w:space="0" w:color="000000"/>
              <w:left w:val="single" w:sz="6" w:space="0" w:color="000000"/>
              <w:bottom w:val="single" w:sz="6" w:space="0" w:color="000000"/>
              <w:right w:val="nil"/>
            </w:tcBorders>
            <w:tcMar>
              <w:top w:w="28" w:type="dxa"/>
              <w:left w:w="0" w:type="dxa"/>
              <w:bottom w:w="28" w:type="dxa"/>
              <w:right w:w="0" w:type="dxa"/>
            </w:tcMar>
            <w:hideMark/>
          </w:tcPr>
          <w:p w14:paraId="6704CA67" w14:textId="77777777" w:rsidR="00B2252E" w:rsidRPr="00B2252E" w:rsidRDefault="00B2252E" w:rsidP="00B2252E">
            <w:pPr>
              <w:keepNext/>
              <w:suppressAutoHyphens/>
              <w:autoSpaceDE w:val="0"/>
              <w:autoSpaceDN w:val="0"/>
              <w:adjustRightInd w:val="0"/>
              <w:ind w:left="57"/>
              <w:rPr>
                <w:sz w:val="22"/>
                <w:szCs w:val="22"/>
                <w:lang w:val="ru-RU" w:eastAsia="ru-RU"/>
              </w:rPr>
            </w:pPr>
            <w:r w:rsidRPr="00B2252E">
              <w:rPr>
                <w:b/>
                <w:sz w:val="22"/>
                <w:szCs w:val="22"/>
                <w:lang w:val="ru-RU" w:eastAsia="ru-RU"/>
              </w:rPr>
              <w:t>Gennemsnitligt antal inkontinensepisoder pr. 24 timer (FAS</w:t>
            </w:r>
            <w:r w:rsidRPr="00B2252E">
              <w:rPr>
                <w:sz w:val="22"/>
                <w:szCs w:val="22"/>
                <w:lang w:val="ru-RU" w:eastAsia="ru-RU"/>
              </w:rPr>
              <w:t>-</w:t>
            </w:r>
            <w:r w:rsidRPr="00B2252E">
              <w:rPr>
                <w:b/>
                <w:sz w:val="22"/>
                <w:szCs w:val="22"/>
                <w:lang w:val="ru-RU" w:eastAsia="ru-RU"/>
              </w:rPr>
              <w:t>I) (co-primært)</w:t>
            </w:r>
            <w:r w:rsidRPr="00B2252E">
              <w:rPr>
                <w:sz w:val="22"/>
                <w:szCs w:val="22"/>
                <w:lang w:val="ru-RU" w:eastAsia="ru-RU"/>
              </w:rPr>
              <w:t xml:space="preserve"> </w:t>
            </w:r>
          </w:p>
        </w:tc>
        <w:tc>
          <w:tcPr>
            <w:tcW w:w="2242" w:type="dxa"/>
            <w:gridSpan w:val="2"/>
            <w:tcBorders>
              <w:top w:val="single" w:sz="6" w:space="0" w:color="000000"/>
              <w:left w:val="nil"/>
              <w:bottom w:val="single" w:sz="6" w:space="0" w:color="000000"/>
              <w:right w:val="single" w:sz="6" w:space="0" w:color="000000"/>
            </w:tcBorders>
            <w:tcMar>
              <w:top w:w="28" w:type="dxa"/>
              <w:left w:w="0" w:type="dxa"/>
              <w:bottom w:w="28" w:type="dxa"/>
              <w:right w:w="0" w:type="dxa"/>
            </w:tcMar>
          </w:tcPr>
          <w:p w14:paraId="3DD5B659" w14:textId="77777777" w:rsidR="00B2252E" w:rsidRPr="00B2252E" w:rsidRDefault="00B2252E" w:rsidP="00B2252E">
            <w:pPr>
              <w:keepNext/>
              <w:suppressAutoHyphens/>
              <w:autoSpaceDE w:val="0"/>
              <w:autoSpaceDN w:val="0"/>
              <w:adjustRightInd w:val="0"/>
              <w:rPr>
                <w:sz w:val="22"/>
                <w:szCs w:val="22"/>
                <w:lang w:val="ru-RU" w:eastAsia="ru-RU"/>
              </w:rPr>
            </w:pPr>
          </w:p>
        </w:tc>
      </w:tr>
      <w:tr w:rsidR="00B2252E" w:rsidRPr="00B2252E" w14:paraId="11B883B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2FAF582" w14:textId="77777777" w:rsidR="00B2252E" w:rsidRPr="00B2252E" w:rsidRDefault="00B2252E" w:rsidP="00B2252E">
            <w:pPr>
              <w:keepNext/>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0A981E7"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291</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E93032"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293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EAA743"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300</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1F788E"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325</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609070"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312</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920303"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262</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78A5A56"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257</w:t>
            </w:r>
          </w:p>
        </w:tc>
      </w:tr>
      <w:tr w:rsidR="00B2252E" w:rsidRPr="00B2252E" w14:paraId="45C8139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A0C6E2" w14:textId="77777777" w:rsidR="00B2252E" w:rsidRPr="00B2252E" w:rsidRDefault="00B2252E" w:rsidP="00B2252E">
            <w:pPr>
              <w:keepNext/>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8FAC50A"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2,67</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765CAB4"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2,83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71E2C76"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2,63</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B9C993D"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3,03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1AF81FF"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2,77</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51AB607"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2,43</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CC612B2"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2,51</w:t>
            </w:r>
          </w:p>
        </w:tc>
      </w:tr>
      <w:tr w:rsidR="00B2252E" w:rsidRPr="00B2252E" w14:paraId="74A68EE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A3D13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29EB4A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D862E6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-1,57</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FB02D2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-1,27</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4C0AF9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F1D3B2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-1,47</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F7408F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-0,96</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1898B0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-1,38</w:t>
            </w:r>
          </w:p>
        </w:tc>
      </w:tr>
      <w:tr w:rsidR="00B2252E" w:rsidRPr="00B2252E" w14:paraId="1AAAD675"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C6646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3A06ADB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D44223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9E0BFA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-0,41</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E24CA8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-0,10</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47954C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DB5828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-0,34</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75D25A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B7B0CE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-0,42</w:t>
            </w:r>
          </w:p>
        </w:tc>
      </w:tr>
      <w:tr w:rsidR="00B2252E" w:rsidRPr="00B2252E" w14:paraId="4901AB8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6F2067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DEFEE4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89435B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(-0,72; -0,09)</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8DC875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(-0,42; 0,21)</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F41E03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445BB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(-0,66; -0,03)</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280BB8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FA7F22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(-0,76; -0,08)</w:t>
            </w:r>
          </w:p>
        </w:tc>
      </w:tr>
      <w:tr w:rsidR="00B2252E" w:rsidRPr="00B2252E" w14:paraId="3DD7EB6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1DCFA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2B323C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71B19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0,003‡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DB79FC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0,11</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879D45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D4AE7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0,026‡</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357A9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4AD0CF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0,001‡</w:t>
            </w:r>
          </w:p>
        </w:tc>
      </w:tr>
      <w:tr w:rsidR="00B2252E" w:rsidRPr="00B2252E" w14:paraId="0E14DC9F" w14:textId="77777777">
        <w:trPr>
          <w:trHeight w:val="227"/>
          <w:jc w:val="center"/>
        </w:trPr>
        <w:tc>
          <w:tcPr>
            <w:tcW w:w="7899" w:type="dxa"/>
            <w:gridSpan w:val="6"/>
            <w:tcBorders>
              <w:top w:val="single" w:sz="6" w:space="0" w:color="000000"/>
              <w:left w:val="single" w:sz="6" w:space="0" w:color="000000"/>
              <w:bottom w:val="single" w:sz="6" w:space="0" w:color="000000"/>
              <w:right w:val="nil"/>
            </w:tcBorders>
            <w:tcMar>
              <w:top w:w="28" w:type="dxa"/>
              <w:left w:w="0" w:type="dxa"/>
              <w:bottom w:w="28" w:type="dxa"/>
              <w:right w:w="0" w:type="dxa"/>
            </w:tcMar>
            <w:hideMark/>
          </w:tcPr>
          <w:p w14:paraId="1F6D94D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vandladninger pr. 24 timer (FAS) (co-primært)</w:t>
            </w:r>
            <w:r w:rsidRPr="00B2252E">
              <w:rPr>
                <w:sz w:val="22"/>
                <w:szCs w:val="22"/>
                <w:lang w:val="ru-RU" w:eastAsia="ru-RU"/>
              </w:rPr>
              <w:t xml:space="preserve"> </w:t>
            </w:r>
          </w:p>
        </w:tc>
        <w:tc>
          <w:tcPr>
            <w:tcW w:w="2242" w:type="dxa"/>
            <w:gridSpan w:val="2"/>
            <w:tcBorders>
              <w:top w:val="single" w:sz="6" w:space="0" w:color="000000"/>
              <w:left w:val="nil"/>
              <w:bottom w:val="single" w:sz="6" w:space="0" w:color="000000"/>
              <w:right w:val="single" w:sz="6" w:space="0" w:color="000000"/>
            </w:tcBorders>
            <w:tcMar>
              <w:top w:w="28" w:type="dxa"/>
              <w:left w:w="0" w:type="dxa"/>
              <w:bottom w:w="28" w:type="dxa"/>
              <w:right w:w="0" w:type="dxa"/>
            </w:tcMar>
          </w:tcPr>
          <w:p w14:paraId="49F3190D" w14:textId="77777777" w:rsidR="00B2252E" w:rsidRPr="00B2252E" w:rsidRDefault="00B2252E" w:rsidP="00B2252E">
            <w:pPr>
              <w:widowControl w:val="0"/>
              <w:suppressAutoHyphens/>
              <w:autoSpaceDE w:val="0"/>
              <w:autoSpaceDN w:val="0"/>
              <w:adjustRightInd w:val="0"/>
              <w:rPr>
                <w:sz w:val="22"/>
                <w:szCs w:val="22"/>
                <w:lang w:val="ru-RU" w:eastAsia="ru-RU"/>
              </w:rPr>
            </w:pPr>
          </w:p>
        </w:tc>
      </w:tr>
      <w:tr w:rsidR="00B2252E" w:rsidRPr="00B2252E" w14:paraId="21D6305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1606B85"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B09AA2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480</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CD176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473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AA9DF0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475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1DF07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433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42558E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425</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7D029C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415</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7DF6FF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426</w:t>
            </w:r>
          </w:p>
        </w:tc>
      </w:tr>
      <w:tr w:rsidR="00B2252E" w:rsidRPr="00B2252E" w14:paraId="790EE96D"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1085D0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8E4D77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11,71</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E29C8F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11,65</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41081E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855503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11,51</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BF3362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11,80</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C707C4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11,48</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25BDBD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11,66</w:t>
            </w:r>
          </w:p>
        </w:tc>
      </w:tr>
      <w:tr w:rsidR="00B2252E" w:rsidRPr="00B2252E" w14:paraId="0D6898E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1DFE9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BDF5B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-1,34</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387A8F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-1,93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66B17B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57A134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-1,05</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742B3C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-1,66</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4F6E3F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-1,18</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E93F69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-1,60</w:t>
            </w:r>
          </w:p>
        </w:tc>
      </w:tr>
      <w:tr w:rsidR="00B2252E" w:rsidRPr="00B2252E" w14:paraId="4821550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BE0A9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sz w:val="22"/>
                <w:szCs w:val="22"/>
                <w:lang w:val="ru-RU" w:eastAsia="ru-RU"/>
              </w:rPr>
              <w:lastRenderedPageBreak/>
              <w:t xml:space="preserve">forskel i </w:t>
            </w:r>
          </w:p>
          <w:p w14:paraId="15AA142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8D51F2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lastRenderedPageBreak/>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319C6F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-0,60</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EF3E4E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-0,25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DA22C1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182600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-0,61</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1AA8EB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731AF5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-0,42</w:t>
            </w:r>
          </w:p>
        </w:tc>
      </w:tr>
      <w:tr w:rsidR="00B2252E" w:rsidRPr="00B2252E" w14:paraId="534C8E4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1C8E50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3065F4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6823A0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(-0,90; -0,29)</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CF8F57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(-0,55; 0,06)</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ED7E5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313CA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(-0,98; -0,24)</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93C6D9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E45B56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(-0,76; -0,08)</w:t>
            </w:r>
          </w:p>
        </w:tc>
      </w:tr>
      <w:tr w:rsidR="00B2252E" w:rsidRPr="00B2252E" w14:paraId="1B32A01A"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AFA0DA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5EBC3A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BD7F4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C9E8E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0,11</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CF861F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D2691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0,001‡</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61577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864C8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0,015‡</w:t>
            </w:r>
          </w:p>
        </w:tc>
      </w:tr>
      <w:tr w:rsidR="00B2252E" w:rsidRPr="00B2252E" w14:paraId="77DB1298" w14:textId="77777777">
        <w:trPr>
          <w:trHeight w:val="227"/>
          <w:jc w:val="center"/>
        </w:trPr>
        <w:tc>
          <w:tcPr>
            <w:tcW w:w="7899" w:type="dxa"/>
            <w:gridSpan w:val="6"/>
            <w:tcBorders>
              <w:top w:val="single" w:sz="6" w:space="0" w:color="000000"/>
              <w:left w:val="single" w:sz="6" w:space="0" w:color="000000"/>
              <w:bottom w:val="single" w:sz="6" w:space="0" w:color="000000"/>
              <w:right w:val="nil"/>
            </w:tcBorders>
            <w:tcMar>
              <w:top w:w="28" w:type="dxa"/>
              <w:left w:w="0" w:type="dxa"/>
              <w:bottom w:w="28" w:type="dxa"/>
              <w:right w:w="0" w:type="dxa"/>
            </w:tcMar>
            <w:hideMark/>
          </w:tcPr>
          <w:p w14:paraId="0034BCB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 udtømt mængde (ml) pr. vandladning (FAS) (sekundært)</w:t>
            </w:r>
            <w:r w:rsidRPr="00B2252E">
              <w:rPr>
                <w:sz w:val="22"/>
                <w:szCs w:val="22"/>
                <w:lang w:val="ru-RU" w:eastAsia="ru-RU"/>
              </w:rPr>
              <w:t xml:space="preserve"> </w:t>
            </w:r>
          </w:p>
        </w:tc>
        <w:tc>
          <w:tcPr>
            <w:tcW w:w="2242" w:type="dxa"/>
            <w:gridSpan w:val="2"/>
            <w:tcBorders>
              <w:top w:val="single" w:sz="6" w:space="0" w:color="000000"/>
              <w:left w:val="nil"/>
              <w:bottom w:val="single" w:sz="6" w:space="0" w:color="000000"/>
              <w:right w:val="single" w:sz="6" w:space="0" w:color="000000"/>
            </w:tcBorders>
            <w:tcMar>
              <w:top w:w="28" w:type="dxa"/>
              <w:left w:w="0" w:type="dxa"/>
              <w:bottom w:w="28" w:type="dxa"/>
              <w:right w:w="0" w:type="dxa"/>
            </w:tcMar>
          </w:tcPr>
          <w:p w14:paraId="0239A0D1" w14:textId="77777777" w:rsidR="00B2252E" w:rsidRPr="00B2252E" w:rsidRDefault="00B2252E" w:rsidP="00B2252E">
            <w:pPr>
              <w:widowControl w:val="0"/>
              <w:suppressAutoHyphens/>
              <w:autoSpaceDE w:val="0"/>
              <w:autoSpaceDN w:val="0"/>
              <w:adjustRightInd w:val="0"/>
              <w:rPr>
                <w:sz w:val="22"/>
                <w:szCs w:val="22"/>
                <w:lang w:val="ru-RU" w:eastAsia="ru-RU"/>
              </w:rPr>
            </w:pPr>
          </w:p>
        </w:tc>
      </w:tr>
      <w:tr w:rsidR="00B2252E" w:rsidRPr="00B2252E" w14:paraId="10EEF21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A6540E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78977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480</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2589CF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472</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8B2BB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475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218DFE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433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F5355C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424</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B0E5C2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415</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F1379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426</w:t>
            </w:r>
          </w:p>
        </w:tc>
      </w:tr>
      <w:tr w:rsidR="00B2252E" w:rsidRPr="00B2252E" w14:paraId="03D761C6"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9C9A8A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85802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156,7</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356A8A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161,1</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E918B8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158,6</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0A37B7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157,5</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AC5270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156,3</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8770F5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164,0</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A9511C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159,3</w:t>
            </w:r>
          </w:p>
        </w:tc>
      </w:tr>
      <w:tr w:rsidR="00B2252E" w:rsidRPr="00B2252E" w14:paraId="54AD08D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8CEAD0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BD136B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12,3</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42DF6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24,2</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24D16A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25,0</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26A9B8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7,0</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EDD268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18,2</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1B70B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8,3</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8BF0EF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20,7</w:t>
            </w:r>
          </w:p>
        </w:tc>
      </w:tr>
      <w:tr w:rsidR="00B2252E" w:rsidRPr="00B2252E" w14:paraId="2978623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382F0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3F7168C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CCE55F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2C4C83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11,9</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24288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12,6</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D69536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CB16E9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11,1</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DED289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3A310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12,4</w:t>
            </w:r>
          </w:p>
        </w:tc>
      </w:tr>
      <w:tr w:rsidR="00B2252E" w:rsidRPr="00B2252E" w14:paraId="2345CF92"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5BBA8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C10C1B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E5359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(6,3; 17,4)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944E7A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(7,1; 18,2)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3779B5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8EBF0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(4,4; 17,9)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544584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FA52C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(6,3; 18,6) </w:t>
            </w:r>
          </w:p>
        </w:tc>
      </w:tr>
      <w:tr w:rsidR="00B2252E" w:rsidRPr="00B2252E" w14:paraId="1CB4DA97"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838C78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54AE4A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531A78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CF4412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1754D7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C299A3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30DC4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22A52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r>
      <w:tr w:rsidR="00B2252E" w:rsidRPr="00B2252E" w14:paraId="6DF18319"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1329E5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 grad af imperiøs vandladning (FAS) (sekundært)</w:t>
            </w:r>
          </w:p>
        </w:tc>
      </w:tr>
      <w:tr w:rsidR="00B2252E" w:rsidRPr="00B2252E" w14:paraId="6B6DCDFC"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3F589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A371C5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480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F46C38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8C87D1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473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E73D4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432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C9E3B6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5A8FF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413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652395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426 </w:t>
            </w:r>
          </w:p>
        </w:tc>
      </w:tr>
      <w:tr w:rsidR="00B2252E" w:rsidRPr="00B2252E" w14:paraId="1337E7C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843C8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12C3C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2,37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4EEC2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2,40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965A9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2,41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11F0B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2,45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EFEBA3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3B8DE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2,36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0BFA55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2,41 </w:t>
            </w:r>
          </w:p>
        </w:tc>
      </w:tr>
      <w:tr w:rsidR="00B2252E" w:rsidRPr="00B2252E" w14:paraId="3E0A67AD"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C4AFD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99A09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-0,22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B1CAF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-0,31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C556D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-0,29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A0D3B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-0,08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2E6DF1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-0,19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090D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C45D5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-0,29 </w:t>
            </w:r>
          </w:p>
        </w:tc>
      </w:tr>
      <w:tr w:rsidR="00B2252E" w:rsidRPr="00B2252E" w14:paraId="7B5431D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38348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774439B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F6637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F7B9BD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-0,09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415874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F38D4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7FB88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8D6134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AEE35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-0,14 </w:t>
            </w:r>
          </w:p>
        </w:tc>
      </w:tr>
      <w:tr w:rsidR="00B2252E" w:rsidRPr="00B2252E" w14:paraId="2B130469"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089F2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DCF89A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E041E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(-0,17; -0,02)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4E09C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(-0,15; 0,01)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D9C14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FD7A9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(-0,18; -0,04)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F94AA7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55B4FD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(-0,22; -0,06) </w:t>
            </w:r>
          </w:p>
        </w:tc>
      </w:tr>
      <w:tr w:rsidR="00B2252E" w:rsidRPr="00B2252E" w14:paraId="1A99644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39CFC0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87E324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C5B801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0,018†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D4D07D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0,085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F315EF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414667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DAAF8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31BBFC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r>
      <w:tr w:rsidR="00B2252E" w:rsidRPr="00B2252E" w14:paraId="05016C5E"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A7CA1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urge-inkontinensepisoder pr. 24 timer (FAS-I) (sekundært)</w:t>
            </w:r>
          </w:p>
        </w:tc>
      </w:tr>
      <w:tr w:rsidR="00B2252E" w:rsidRPr="00B2252E" w14:paraId="5C6CC77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A6FD9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B5C0AA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283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510D53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286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1CFD22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289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CBF019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319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6AC86E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297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3C0E4C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256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A146B7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251 </w:t>
            </w:r>
          </w:p>
        </w:tc>
      </w:tr>
      <w:tr w:rsidR="00B2252E" w:rsidRPr="00B2252E" w14:paraId="19FE810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42E1D3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8249FA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2,43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0D922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3ABA1E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2,37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6EF15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2,56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2C5BB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2,42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C814B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2,24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CE722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2,33 </w:t>
            </w:r>
          </w:p>
        </w:tc>
      </w:tr>
      <w:tr w:rsidR="00B2252E" w:rsidRPr="00B2252E" w14:paraId="38C9E295"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3A81C1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349990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-1,11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81A8F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-1,46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3C07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-1,18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001A8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-0,89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AB334A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-1,32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7F7A3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-0,95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258192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-1,33 </w:t>
            </w:r>
          </w:p>
        </w:tc>
      </w:tr>
      <w:tr w:rsidR="00B2252E" w:rsidRPr="00B2252E" w14:paraId="428F5F7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0639E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6DE75F1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37632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7E37D6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-0,35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4E8EA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C3FD1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ED0C2B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-0,43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CA567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263325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-0,39 </w:t>
            </w:r>
          </w:p>
        </w:tc>
      </w:tr>
      <w:tr w:rsidR="00B2252E" w:rsidRPr="00B2252E" w14:paraId="1B0F30DC"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14F327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65033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DDA9CD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(-0,65; -0,05)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6C05BD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(-0,38; 0,23)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8F4E3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B9A15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(-0,72; -0,15)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C6ED03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36600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(-0,69; -0,08) </w:t>
            </w:r>
          </w:p>
        </w:tc>
      </w:tr>
      <w:tr w:rsidR="00B2252E" w:rsidRPr="00B2252E" w14:paraId="56E36216"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D2178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6DC707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1D2DBA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0,003†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1412A0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0,26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BF6F7C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C8CA34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A618D2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B71C6C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0,002§ </w:t>
            </w:r>
          </w:p>
        </w:tc>
      </w:tr>
      <w:tr w:rsidR="00B2252E" w:rsidRPr="00B2252E" w14:paraId="0AF7253A"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C36BCD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Gennemsnitligt antal episoder med imperiøs vandladning af grad 3 eller 4 pr. 24 timer (FAS) (sekundært)</w:t>
            </w:r>
          </w:p>
        </w:tc>
      </w:tr>
      <w:tr w:rsidR="00B2252E" w:rsidRPr="00B2252E" w14:paraId="62F0A58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65BE0A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DC59A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479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0C0CB9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470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F50255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472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0B57C9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432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7A25D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20A99B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413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BB8285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426 </w:t>
            </w:r>
          </w:p>
        </w:tc>
      </w:tr>
      <w:tr w:rsidR="00B2252E" w:rsidRPr="00B2252E" w14:paraId="11D64B62"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50A820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F2A646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5,78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85A05C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5,72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9B842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5,79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92960C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5,61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37263E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5,90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6F2B7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5,42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1E38E4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5,80 </w:t>
            </w:r>
          </w:p>
        </w:tc>
      </w:tr>
      <w:tr w:rsidR="00B2252E" w:rsidRPr="00B2252E" w14:paraId="5D5ABBE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169F4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lastRenderedPageBreak/>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FEA66B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-1,65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E73BCE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-2,25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236AE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-2,07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C9BA9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-0,82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094C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-1,57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BBF92C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-1,35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6E165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-1,94 </w:t>
            </w:r>
          </w:p>
        </w:tc>
      </w:tr>
      <w:tr w:rsidR="00B2252E" w:rsidRPr="00B2252E" w14:paraId="15D646D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CE65EC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2CCF19C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01C387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AEF2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-0,60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3A9D20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-0,42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EA1F7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4C7084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-0,75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2956E0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AABB0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-0,59 </w:t>
            </w:r>
          </w:p>
        </w:tc>
      </w:tr>
      <w:tr w:rsidR="00B2252E" w:rsidRPr="00B2252E" w14:paraId="66D6FD5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867DE7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3CEAF4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B27498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(-1,02; -0,18)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D3BA65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(-0,84; -0,00)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6A29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7B6E8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(-1,20; -0,30)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089A0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809B0F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(-1,01; -0,16) </w:t>
            </w:r>
          </w:p>
        </w:tc>
      </w:tr>
      <w:tr w:rsidR="00B2252E" w:rsidRPr="00B2252E" w14:paraId="519CFC47"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C3193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7AAA4C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87F30D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2809E5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0,050†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B463B7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0649E0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F100D5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DBF0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0,007§ </w:t>
            </w:r>
          </w:p>
        </w:tc>
      </w:tr>
      <w:tr w:rsidR="00B2252E" w:rsidRPr="00B2252E" w14:paraId="6CA367DE"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E8703A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Tilfredshed med behandlingen – visuel analog skala (FAS) (sekundært)</w:t>
            </w:r>
          </w:p>
        </w:tc>
      </w:tr>
      <w:tr w:rsidR="00B2252E" w:rsidRPr="00B2252E" w14:paraId="0992722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3D49FD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F03EB9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428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472EC4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414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7E0595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4D0DCF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390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BBAA32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387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212403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377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136ACD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388 </w:t>
            </w:r>
          </w:p>
        </w:tc>
      </w:tr>
      <w:tr w:rsidR="00B2252E" w:rsidRPr="00B2252E" w14:paraId="4EEA8DB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23304A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4698D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4,11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1625AF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3,95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5481D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3,87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962B0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5,5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DFEDB5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32041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5,13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AD455C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5,13 </w:t>
            </w:r>
          </w:p>
        </w:tc>
      </w:tr>
      <w:tr w:rsidR="00B2252E" w:rsidRPr="00B2252E" w14:paraId="1042DDE2"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74AFBE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2AE614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1,89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6D78A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D7448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2,44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6DA16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0,7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D6A21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B15683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1,05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F4B8BE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1,88 </w:t>
            </w:r>
          </w:p>
        </w:tc>
      </w:tr>
      <w:tr w:rsidR="00B2252E" w:rsidRPr="00B2252E" w14:paraId="15097CA8"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046ED2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C05115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978041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0,66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C42929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0,55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FEA4B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400DB1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FE2C5F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9D0A9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0,83 </w:t>
            </w:r>
          </w:p>
        </w:tc>
      </w:tr>
      <w:tr w:rsidR="00B2252E" w:rsidRPr="00B2252E" w14:paraId="1CEC530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FFFEB7"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DB897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35BC6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(0,25; 1,07)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888B6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(0,14; 0,95)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C59218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266E39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(0,4; 1,3)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037267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CBD66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(0,41; 1,25) </w:t>
            </w:r>
          </w:p>
        </w:tc>
      </w:tr>
      <w:tr w:rsidR="00B2252E" w:rsidRPr="00B2252E" w14:paraId="4E51E82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13B17D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30DEE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87F4C0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0,001†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6941F8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0,008†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B8B45D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903B00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D851C1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692870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r>
    </w:tbl>
    <w:p w14:paraId="37435816"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 Mindste kvadraters gennemsnit justeret for </w:t>
      </w:r>
      <w:r w:rsidRPr="00B2252E">
        <w:rPr>
          <w:i/>
          <w:sz w:val="20"/>
          <w:lang w:eastAsia="da-DK"/>
        </w:rPr>
        <w:t>baseline</w:t>
      </w:r>
      <w:r w:rsidRPr="00B2252E">
        <w:rPr>
          <w:sz w:val="20"/>
          <w:lang w:eastAsia="da-DK"/>
        </w:rPr>
        <w:t xml:space="preserve">, køn og geografisk region. </w:t>
      </w:r>
    </w:p>
    <w:p w14:paraId="2D9727E0"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 Statistisk signifikant overlegent sammenlignet med placebo ved 0,05-niveauet uden multiplicitetsjustering. </w:t>
      </w:r>
    </w:p>
    <w:p w14:paraId="1AE174B9" w14:textId="77777777" w:rsidR="00B2252E" w:rsidRPr="00B2252E" w:rsidRDefault="00B2252E" w:rsidP="00B2252E">
      <w:pPr>
        <w:widowControl w:val="0"/>
        <w:suppressAutoHyphens/>
        <w:autoSpaceDE w:val="0"/>
        <w:autoSpaceDN w:val="0"/>
        <w:adjustRightInd w:val="0"/>
        <w:ind w:left="10"/>
        <w:rPr>
          <w:sz w:val="20"/>
          <w:lang w:eastAsia="da-DK"/>
        </w:rPr>
      </w:pPr>
      <w:r w:rsidRPr="00B2252E">
        <w:rPr>
          <w:sz w:val="22"/>
          <w:szCs w:val="22"/>
          <w:lang w:eastAsia="da-DK"/>
        </w:rPr>
        <w:t xml:space="preserve">‡ </w:t>
      </w:r>
      <w:r w:rsidRPr="00B2252E">
        <w:rPr>
          <w:sz w:val="20"/>
          <w:lang w:eastAsia="da-DK"/>
        </w:rPr>
        <w:t xml:space="preserve">Statistisk signifikant overlegent sammenlignet med placebo ved 0,05-niveauet med multiplicitetsjustering. </w:t>
      </w:r>
    </w:p>
    <w:p w14:paraId="5647A776" w14:textId="77777777" w:rsidR="00B2252E" w:rsidRPr="00B2252E" w:rsidRDefault="00B2252E" w:rsidP="00B2252E">
      <w:pPr>
        <w:widowControl w:val="0"/>
        <w:suppressAutoHyphens/>
        <w:autoSpaceDE w:val="0"/>
        <w:autoSpaceDN w:val="0"/>
        <w:adjustRightInd w:val="0"/>
        <w:ind w:left="10"/>
        <w:rPr>
          <w:sz w:val="20"/>
          <w:lang w:eastAsia="da-DK"/>
        </w:rPr>
      </w:pPr>
      <w:r w:rsidRPr="00B2252E">
        <w:rPr>
          <w:sz w:val="22"/>
          <w:szCs w:val="22"/>
          <w:lang w:eastAsia="da-DK"/>
        </w:rPr>
        <w:t xml:space="preserve">§ </w:t>
      </w:r>
      <w:r w:rsidRPr="00B2252E">
        <w:rPr>
          <w:sz w:val="20"/>
          <w:lang w:eastAsia="da-DK"/>
        </w:rPr>
        <w:t xml:space="preserve">Ikke statistisk signifikant overlegent sammenlignet med placebo ved 0,05-niveauet med multiplicitetsjustering. </w:t>
      </w:r>
    </w:p>
    <w:p w14:paraId="15F033EF"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FAS: Fuldt analysesæt, alle randomiserede patienter, som tog mindst 1 dosis dobbeltblindt studielægemiddel, og som havde en vandladningsmåling i </w:t>
      </w:r>
      <w:r w:rsidRPr="00B2252E">
        <w:rPr>
          <w:i/>
          <w:sz w:val="20"/>
          <w:lang w:eastAsia="da-DK"/>
        </w:rPr>
        <w:t>baseline</w:t>
      </w:r>
      <w:r w:rsidRPr="00B2252E">
        <w:rPr>
          <w:sz w:val="20"/>
          <w:lang w:eastAsia="da-DK"/>
        </w:rPr>
        <w:t xml:space="preserve">-dagbogen og mindst 1 dagbog med en vandladningsmåling fra efter </w:t>
      </w:r>
      <w:r w:rsidRPr="00B2252E">
        <w:rPr>
          <w:i/>
          <w:sz w:val="20"/>
          <w:lang w:eastAsia="da-DK"/>
        </w:rPr>
        <w:t>baseline</w:t>
      </w:r>
      <w:r w:rsidRPr="00B2252E">
        <w:rPr>
          <w:sz w:val="20"/>
          <w:lang w:eastAsia="da-DK"/>
        </w:rPr>
        <w:t xml:space="preserve">-besøget. </w:t>
      </w:r>
    </w:p>
    <w:p w14:paraId="3B05180A"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FAS-I: Undergruppe af FAS, som også havde mindst 1 inkontinensepisode i </w:t>
      </w:r>
      <w:r w:rsidRPr="00B2252E">
        <w:rPr>
          <w:i/>
          <w:sz w:val="20"/>
          <w:lang w:eastAsia="da-DK"/>
        </w:rPr>
        <w:t>baseline</w:t>
      </w:r>
      <w:r w:rsidRPr="00B2252E">
        <w:rPr>
          <w:sz w:val="20"/>
          <w:lang w:eastAsia="da-DK"/>
        </w:rPr>
        <w:t xml:space="preserve">-dagbogen. </w:t>
      </w:r>
    </w:p>
    <w:p w14:paraId="066ADCF6" w14:textId="77777777" w:rsidR="00527CF5" w:rsidRDefault="00527CF5" w:rsidP="004931E3">
      <w:pPr>
        <w:tabs>
          <w:tab w:val="left" w:pos="851"/>
        </w:tabs>
        <w:ind w:left="851"/>
        <w:rPr>
          <w:sz w:val="24"/>
          <w:szCs w:val="24"/>
        </w:rPr>
      </w:pPr>
    </w:p>
    <w:p w14:paraId="353E0437" w14:textId="77777777" w:rsidR="00B2252E" w:rsidRPr="00B2252E" w:rsidRDefault="00B2252E" w:rsidP="00B2252E">
      <w:pPr>
        <w:tabs>
          <w:tab w:val="left" w:pos="851"/>
        </w:tabs>
        <w:ind w:left="851"/>
        <w:rPr>
          <w:sz w:val="24"/>
          <w:szCs w:val="24"/>
        </w:rPr>
      </w:pPr>
      <w:r w:rsidRPr="00B2252E">
        <w:rPr>
          <w:sz w:val="24"/>
          <w:szCs w:val="24"/>
        </w:rPr>
        <w:t xml:space="preserve">Mirabegron 50 mg én gang dagligt var effektivt på tidspunktet for første måling, uge 4, og virkningen blev opretholdt i hele 12-ugers behandlingsperioden. Et randomiseret aktivt kontrolleret langtidsstudie påviste, at virkningen blev opretholdt under hele forløbet af en 1-års behandlingsperiode. </w:t>
      </w:r>
    </w:p>
    <w:p w14:paraId="27348A8C" w14:textId="77777777" w:rsidR="00B2252E" w:rsidRPr="00B2252E" w:rsidRDefault="00B2252E" w:rsidP="00B2252E">
      <w:pPr>
        <w:tabs>
          <w:tab w:val="left" w:pos="851"/>
        </w:tabs>
        <w:ind w:left="851"/>
        <w:rPr>
          <w:sz w:val="24"/>
          <w:szCs w:val="24"/>
        </w:rPr>
      </w:pPr>
      <w:r w:rsidRPr="00B2252E">
        <w:rPr>
          <w:sz w:val="24"/>
          <w:szCs w:val="24"/>
        </w:rPr>
        <w:t xml:space="preserve"> </w:t>
      </w:r>
    </w:p>
    <w:p w14:paraId="25B3EB29" w14:textId="77777777" w:rsidR="00B2252E" w:rsidRPr="00B2252E" w:rsidRDefault="00B2252E" w:rsidP="00B2252E">
      <w:pPr>
        <w:tabs>
          <w:tab w:val="left" w:pos="851"/>
        </w:tabs>
        <w:ind w:left="851"/>
        <w:rPr>
          <w:sz w:val="24"/>
          <w:szCs w:val="24"/>
        </w:rPr>
      </w:pPr>
      <w:r w:rsidRPr="00B2252E">
        <w:rPr>
          <w:i/>
          <w:sz w:val="24"/>
          <w:szCs w:val="24"/>
        </w:rPr>
        <w:t>Subjektiv forbedring i målinger af helbredsrelateret livskvalitet</w:t>
      </w:r>
      <w:r w:rsidRPr="00B2252E">
        <w:rPr>
          <w:sz w:val="24"/>
          <w:szCs w:val="24"/>
        </w:rPr>
        <w:t xml:space="preserve"> </w:t>
      </w:r>
    </w:p>
    <w:p w14:paraId="0251569F" w14:textId="77777777" w:rsidR="00B2252E" w:rsidRPr="00B2252E" w:rsidRDefault="00B2252E" w:rsidP="00B2252E">
      <w:pPr>
        <w:tabs>
          <w:tab w:val="left" w:pos="851"/>
        </w:tabs>
        <w:ind w:left="851"/>
        <w:rPr>
          <w:sz w:val="24"/>
          <w:szCs w:val="24"/>
        </w:rPr>
      </w:pPr>
      <w:r w:rsidRPr="00B2252E">
        <w:rPr>
          <w:sz w:val="24"/>
          <w:szCs w:val="24"/>
        </w:rPr>
        <w:t xml:space="preserve">I de tre 12-ugers dobbeltblinde placebokontrollerede fase 3-studier resulterede behandling af symptomerne på OAB med mirabegron én gang dagligt i en statistisk signifikant forbedring i forhold til placebo for følgende mål for helbredsrelateret livskvalitet: tilfredshed med behandlingen og symptomgener. </w:t>
      </w:r>
    </w:p>
    <w:p w14:paraId="0574B342" w14:textId="77777777" w:rsidR="00B2252E" w:rsidRPr="00B2252E" w:rsidRDefault="00B2252E" w:rsidP="00B2252E">
      <w:pPr>
        <w:tabs>
          <w:tab w:val="left" w:pos="851"/>
        </w:tabs>
        <w:ind w:left="851"/>
        <w:rPr>
          <w:sz w:val="24"/>
          <w:szCs w:val="24"/>
        </w:rPr>
      </w:pPr>
      <w:r w:rsidRPr="00B2252E">
        <w:rPr>
          <w:sz w:val="24"/>
          <w:szCs w:val="24"/>
        </w:rPr>
        <w:t xml:space="preserve"> </w:t>
      </w:r>
    </w:p>
    <w:p w14:paraId="690DA5DF" w14:textId="77777777" w:rsidR="00B2252E" w:rsidRPr="00B2252E" w:rsidRDefault="00B2252E" w:rsidP="00B2252E">
      <w:pPr>
        <w:tabs>
          <w:tab w:val="left" w:pos="851"/>
        </w:tabs>
        <w:ind w:left="851"/>
        <w:rPr>
          <w:sz w:val="24"/>
          <w:szCs w:val="24"/>
        </w:rPr>
      </w:pPr>
      <w:r w:rsidRPr="00B2252E">
        <w:rPr>
          <w:i/>
          <w:sz w:val="24"/>
          <w:szCs w:val="24"/>
        </w:rPr>
        <w:t>Virkning hos patienter med eller uden tidligere antimuskarin OAB-behandling</w:t>
      </w:r>
      <w:r w:rsidRPr="00B2252E">
        <w:rPr>
          <w:sz w:val="24"/>
          <w:szCs w:val="24"/>
        </w:rPr>
        <w:t xml:space="preserve"> </w:t>
      </w:r>
    </w:p>
    <w:p w14:paraId="4BA14401" w14:textId="77777777" w:rsidR="00B2252E" w:rsidRPr="00B2252E" w:rsidRDefault="00B2252E" w:rsidP="00B2252E">
      <w:pPr>
        <w:tabs>
          <w:tab w:val="left" w:pos="851"/>
        </w:tabs>
        <w:ind w:left="851"/>
        <w:rPr>
          <w:sz w:val="24"/>
          <w:szCs w:val="24"/>
        </w:rPr>
      </w:pPr>
      <w:r w:rsidRPr="00B2252E">
        <w:rPr>
          <w:sz w:val="24"/>
          <w:szCs w:val="24"/>
        </w:rPr>
        <w:t xml:space="preserve">Der blev påvist virkning hos patienter med og uden tidligere antimuskarin OAB-behandling. Mirabegron udviste desuden virkning hos patienter, der tidligere havde fået seponeret antimuskarin OAB-behandling som følge af utilstrækkelig virkning (se tabel 5). </w:t>
      </w:r>
    </w:p>
    <w:p w14:paraId="6A3D3800" w14:textId="0D5D90C6" w:rsidR="00B2252E" w:rsidRDefault="00B2252E">
      <w:pPr>
        <w:rPr>
          <w:sz w:val="24"/>
          <w:szCs w:val="24"/>
        </w:rPr>
      </w:pPr>
      <w:r>
        <w:rPr>
          <w:sz w:val="24"/>
          <w:szCs w:val="24"/>
        </w:rPr>
        <w:br w:type="page"/>
      </w:r>
    </w:p>
    <w:p w14:paraId="5987A2AB" w14:textId="77777777" w:rsidR="00527CF5" w:rsidRDefault="00527CF5" w:rsidP="004931E3">
      <w:pPr>
        <w:tabs>
          <w:tab w:val="left" w:pos="851"/>
        </w:tabs>
        <w:ind w:left="851"/>
        <w:rPr>
          <w:sz w:val="24"/>
          <w:szCs w:val="24"/>
        </w:rPr>
      </w:pPr>
    </w:p>
    <w:p w14:paraId="665BEFAD" w14:textId="77777777" w:rsidR="00B2252E" w:rsidRPr="00B2252E" w:rsidRDefault="00B2252E" w:rsidP="00B2252E">
      <w:pPr>
        <w:widowControl w:val="0"/>
        <w:suppressAutoHyphens/>
        <w:autoSpaceDE w:val="0"/>
        <w:autoSpaceDN w:val="0"/>
        <w:adjustRightInd w:val="0"/>
        <w:ind w:left="142"/>
        <w:rPr>
          <w:b/>
          <w:sz w:val="22"/>
          <w:szCs w:val="22"/>
          <w:lang w:eastAsia="da-DK"/>
        </w:rPr>
      </w:pPr>
      <w:r w:rsidRPr="00B2252E">
        <w:rPr>
          <w:b/>
          <w:sz w:val="22"/>
          <w:szCs w:val="22"/>
          <w:lang w:eastAsia="da-DK"/>
        </w:rPr>
        <w:t>Tabel 5:</w:t>
      </w:r>
      <w:r w:rsidRPr="00B2252E">
        <w:rPr>
          <w:sz w:val="22"/>
          <w:szCs w:val="22"/>
          <w:lang w:eastAsia="da-DK"/>
        </w:rPr>
        <w:t xml:space="preserve"> </w:t>
      </w:r>
      <w:r w:rsidRPr="00B2252E">
        <w:rPr>
          <w:b/>
          <w:sz w:val="22"/>
          <w:szCs w:val="22"/>
          <w:lang w:eastAsia="da-DK"/>
        </w:rPr>
        <w:t>Co-primære virkningsendepunkter for voksne patienter med tidligere antimuskarin OAB-behandling</w:t>
      </w:r>
    </w:p>
    <w:tbl>
      <w:tblPr>
        <w:tblW w:w="9306" w:type="dxa"/>
        <w:jc w:val="center"/>
        <w:tblCellMar>
          <w:top w:w="58" w:type="dxa"/>
          <w:bottom w:w="7" w:type="dxa"/>
          <w:right w:w="53" w:type="dxa"/>
        </w:tblCellMar>
        <w:tblLook w:val="04A0" w:firstRow="1" w:lastRow="0" w:firstColumn="1" w:lastColumn="0" w:noHBand="0" w:noVBand="1"/>
      </w:tblPr>
      <w:tblGrid>
        <w:gridCol w:w="3232"/>
        <w:gridCol w:w="996"/>
        <w:gridCol w:w="1395"/>
        <w:gridCol w:w="953"/>
        <w:gridCol w:w="1397"/>
        <w:gridCol w:w="1333"/>
      </w:tblGrid>
      <w:tr w:rsidR="00B2252E" w:rsidRPr="00B2252E" w14:paraId="3F6A60A1" w14:textId="77777777">
        <w:trPr>
          <w:trHeight w:val="227"/>
          <w:jc w:val="center"/>
        </w:trPr>
        <w:tc>
          <w:tcPr>
            <w:tcW w:w="3232" w:type="dxa"/>
            <w:vMerge w:val="restart"/>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bottom"/>
            <w:hideMark/>
          </w:tcPr>
          <w:p w14:paraId="7006BB0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Parameter</w:t>
            </w:r>
          </w:p>
        </w:tc>
        <w:tc>
          <w:tcPr>
            <w:tcW w:w="2391" w:type="dxa"/>
            <w:gridSpan w:val="2"/>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D41ED0F" w14:textId="77777777" w:rsidR="00B2252E" w:rsidRPr="00B2252E" w:rsidRDefault="00B2252E" w:rsidP="00B2252E">
            <w:pPr>
              <w:widowControl w:val="0"/>
              <w:suppressAutoHyphens/>
              <w:autoSpaceDE w:val="0"/>
              <w:autoSpaceDN w:val="0"/>
              <w:adjustRightInd w:val="0"/>
              <w:jc w:val="center"/>
              <w:rPr>
                <w:b/>
                <w:sz w:val="22"/>
                <w:szCs w:val="22"/>
                <w:lang w:val="ru-RU" w:eastAsia="ru-RU"/>
              </w:rPr>
            </w:pPr>
            <w:r w:rsidRPr="00B2252E">
              <w:rPr>
                <w:b/>
                <w:sz w:val="22"/>
                <w:szCs w:val="22"/>
                <w:lang w:val="ru-RU" w:eastAsia="ru-RU"/>
              </w:rPr>
              <w:t xml:space="preserve">Poolede studier </w:t>
            </w:r>
          </w:p>
          <w:p w14:paraId="7530397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(046, 047, 074)</w:t>
            </w:r>
          </w:p>
        </w:tc>
        <w:tc>
          <w:tcPr>
            <w:tcW w:w="3683" w:type="dxa"/>
            <w:gridSpan w:val="3"/>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1A06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Studie 046</w:t>
            </w:r>
          </w:p>
        </w:tc>
      </w:tr>
      <w:tr w:rsidR="00B2252E" w:rsidRPr="00B2252E" w14:paraId="6E5DB1D0" w14:textId="77777777">
        <w:trPr>
          <w:trHeight w:val="227"/>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09DA40" w14:textId="77777777" w:rsidR="00B2252E" w:rsidRPr="00B2252E" w:rsidRDefault="00B2252E" w:rsidP="00B2252E">
            <w:pPr>
              <w:rPr>
                <w:sz w:val="22"/>
                <w:szCs w:val="22"/>
                <w:lang w:val="ru-RU" w:eastAsia="ru-RU"/>
              </w:rPr>
            </w:pP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06BA5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26930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3E2AE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5CEBC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9CED21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Tolterodin ER 4 mg</w:t>
            </w:r>
          </w:p>
        </w:tc>
      </w:tr>
      <w:tr w:rsidR="00B2252E" w:rsidRPr="00B2252E" w14:paraId="65ECA18A" w14:textId="77777777">
        <w:trPr>
          <w:trHeight w:val="39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B7B5806" w14:textId="77777777" w:rsidR="00B2252E" w:rsidRPr="00B2252E" w:rsidRDefault="00B2252E" w:rsidP="00B2252E">
            <w:pPr>
              <w:widowControl w:val="0"/>
              <w:suppressAutoHyphens/>
              <w:autoSpaceDE w:val="0"/>
              <w:autoSpaceDN w:val="0"/>
              <w:adjustRightInd w:val="0"/>
              <w:ind w:left="57"/>
              <w:rPr>
                <w:b/>
                <w:sz w:val="22"/>
                <w:szCs w:val="22"/>
                <w:lang w:val="ru-RU" w:eastAsia="ru-RU"/>
              </w:rPr>
            </w:pPr>
            <w:r w:rsidRPr="00B2252E">
              <w:rPr>
                <w:b/>
                <w:sz w:val="22"/>
                <w:szCs w:val="22"/>
                <w:lang w:val="ru-RU" w:eastAsia="ru-RU"/>
              </w:rPr>
              <w:t>Patienter med tidligere antimuskarin OAB-behandling</w:t>
            </w:r>
          </w:p>
        </w:tc>
      </w:tr>
      <w:tr w:rsidR="00B2252E" w:rsidRPr="00B2252E" w14:paraId="4AC3A29A"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1FE104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inkontinensepisoder pr. 24 timer (FAS</w:t>
            </w:r>
            <w:r w:rsidRPr="00B2252E">
              <w:rPr>
                <w:sz w:val="22"/>
                <w:szCs w:val="22"/>
                <w:lang w:val="ru-RU" w:eastAsia="ru-RU"/>
              </w:rPr>
              <w:t>-</w:t>
            </w:r>
            <w:r w:rsidRPr="00B2252E">
              <w:rPr>
                <w:b/>
                <w:sz w:val="22"/>
                <w:szCs w:val="22"/>
                <w:lang w:val="ru-RU" w:eastAsia="ru-RU"/>
              </w:rPr>
              <w:t>I)</w:t>
            </w:r>
            <w:r w:rsidRPr="00B2252E">
              <w:rPr>
                <w:sz w:val="22"/>
                <w:szCs w:val="22"/>
                <w:lang w:val="ru-RU" w:eastAsia="ru-RU"/>
              </w:rPr>
              <w:t xml:space="preserve"> </w:t>
            </w:r>
          </w:p>
        </w:tc>
      </w:tr>
      <w:tr w:rsidR="00B2252E" w:rsidRPr="00B2252E" w14:paraId="035A8880"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E41BED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B442B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518</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13595B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506</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FBCE26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167</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C462BE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164</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B0E6C3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160</w:t>
            </w:r>
          </w:p>
        </w:tc>
      </w:tr>
      <w:tr w:rsidR="00B2252E" w:rsidRPr="00B2252E" w14:paraId="07D26C3B"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333360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EAD2FE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2,93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132D3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2,98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BBBA78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2,97</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1781C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3,31</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5DB442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2,86</w:t>
            </w:r>
          </w:p>
        </w:tc>
      </w:tr>
      <w:tr w:rsidR="00B2252E" w:rsidRPr="00B2252E" w14:paraId="14C23A31"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8EC1A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A8735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-0,92</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A5ECA7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-1,49</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18A37F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-1,00</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E918E1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-1,48</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104EB4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-1,10</w:t>
            </w:r>
          </w:p>
        </w:tc>
      </w:tr>
      <w:tr w:rsidR="00B2252E" w:rsidRPr="00B2252E" w14:paraId="4CE58AA5"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3F1CE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2449F1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98E33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D5294D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424FBB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-0,48</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9D9357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-0,10</w:t>
            </w:r>
          </w:p>
        </w:tc>
      </w:tr>
      <w:tr w:rsidR="00B2252E" w:rsidRPr="00B2252E" w14:paraId="79ACC506"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D04C96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AFA97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044E4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(-0,81; -0,33)</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3B1DA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EC99C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(-0,90; -0,06)</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ED558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(-0,52; 0,32)</w:t>
            </w:r>
          </w:p>
        </w:tc>
      </w:tr>
      <w:tr w:rsidR="00B2252E" w:rsidRPr="00B2252E" w14:paraId="0E3EB4FA"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0F691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vandladninger pr. 24 timer (FAS)</w:t>
            </w:r>
            <w:r w:rsidRPr="00B2252E">
              <w:rPr>
                <w:sz w:val="22"/>
                <w:szCs w:val="22"/>
                <w:lang w:val="ru-RU" w:eastAsia="ru-RU"/>
              </w:rPr>
              <w:t xml:space="preserve"> </w:t>
            </w:r>
          </w:p>
        </w:tc>
      </w:tr>
      <w:tr w:rsidR="00B2252E" w:rsidRPr="00B2252E" w14:paraId="2556D5D4"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B1A1C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9829A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704</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382EE1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688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F5D7C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238</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64CAA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240</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FC0750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231</w:t>
            </w:r>
          </w:p>
        </w:tc>
      </w:tr>
      <w:tr w:rsidR="00B2252E" w:rsidRPr="00B2252E" w14:paraId="2DC82F82"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F55EDA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8AC5A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CCD9B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CF31C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11,90</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B49E9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11,85</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33F84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11,76</w:t>
            </w:r>
          </w:p>
        </w:tc>
      </w:tr>
      <w:tr w:rsidR="00B2252E" w:rsidRPr="00B2252E" w14:paraId="2D5D723F"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3D349C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BC2DA1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D35B38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035B9C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-1,06</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8240E4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-1,74</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A44D2F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-1,26</w:t>
            </w:r>
          </w:p>
        </w:tc>
      </w:tr>
      <w:tr w:rsidR="00B2252E" w:rsidRPr="00B2252E" w14:paraId="4251A7D8"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F496A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645691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FDDE6D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ED51C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167BF7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-0,68</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4295FE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-0,20</w:t>
            </w:r>
          </w:p>
        </w:tc>
      </w:tr>
      <w:tr w:rsidR="00B2252E" w:rsidRPr="00B2252E" w14:paraId="5648DA4C"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1A0D6E7"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6136C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680635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(-1,01; -0,47)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66FC6A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253B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(-1,12; -0,25)</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5E073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(-0,64; 0,23)</w:t>
            </w:r>
          </w:p>
        </w:tc>
      </w:tr>
      <w:tr w:rsidR="00B2252E" w:rsidRPr="00B2252E" w14:paraId="395BE93E" w14:textId="77777777">
        <w:trPr>
          <w:trHeight w:val="624"/>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3EB6A5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Patienter med tidligere antimuskarin OAB-behandling, hvis behandling blev seponeret som følge af utilstrækkelig virkning</w:t>
            </w:r>
          </w:p>
        </w:tc>
      </w:tr>
      <w:tr w:rsidR="00B2252E" w:rsidRPr="00B2252E" w14:paraId="785BF30E"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0FD49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inkontinensepisoder pr. 24 timer (FAS</w:t>
            </w:r>
            <w:r w:rsidRPr="00B2252E">
              <w:rPr>
                <w:sz w:val="22"/>
                <w:szCs w:val="22"/>
                <w:lang w:val="ru-RU" w:eastAsia="ru-RU"/>
              </w:rPr>
              <w:t>-</w:t>
            </w:r>
            <w:r w:rsidRPr="00B2252E">
              <w:rPr>
                <w:b/>
                <w:sz w:val="22"/>
                <w:szCs w:val="22"/>
                <w:lang w:val="ru-RU" w:eastAsia="ru-RU"/>
              </w:rPr>
              <w:t xml:space="preserve">I) </w:t>
            </w:r>
          </w:p>
        </w:tc>
      </w:tr>
      <w:tr w:rsidR="00B2252E" w:rsidRPr="00B2252E" w14:paraId="563673CB"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885B7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C2AD0E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336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19D2FE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335</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64429D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112</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00593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105</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019ED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102</w:t>
            </w:r>
          </w:p>
        </w:tc>
      </w:tr>
      <w:tr w:rsidR="00B2252E" w:rsidRPr="00B2252E" w14:paraId="356B9B7E"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205119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7813F8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3,03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46DE35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2,94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B6BF1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3,15</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BCEC52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3,50</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66F430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2,63</w:t>
            </w:r>
          </w:p>
        </w:tc>
      </w:tr>
      <w:tr w:rsidR="00B2252E" w:rsidRPr="00B2252E" w14:paraId="0239931B"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C3907D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2EE9F7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-0,86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7697D4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-1,56</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4F761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-0,87</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1526D1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-1,63</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230B91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-0,93</w:t>
            </w:r>
          </w:p>
        </w:tc>
      </w:tr>
      <w:tr w:rsidR="00B2252E" w:rsidRPr="00B2252E" w14:paraId="6FABC2C7"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CD2DE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B67C30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6B0C91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-0,70</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7204FE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DA5254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-0,76</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393297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-0,06</w:t>
            </w:r>
          </w:p>
        </w:tc>
      </w:tr>
      <w:tr w:rsidR="00B2252E" w:rsidRPr="00B2252E" w14:paraId="647BD547"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B5C3DD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CBC0F3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5A12CE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(-1,01; -0,38)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343F4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0FD47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(-1,32; -0,19)</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A3A84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(-0,63, 0,50)</w:t>
            </w:r>
          </w:p>
        </w:tc>
      </w:tr>
      <w:tr w:rsidR="00B2252E" w:rsidRPr="00B2252E" w14:paraId="30B8C4D8"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B2000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vandladninger pr. 24 timer (FAS)</w:t>
            </w:r>
            <w:r w:rsidRPr="00B2252E">
              <w:rPr>
                <w:sz w:val="22"/>
                <w:szCs w:val="22"/>
                <w:lang w:val="ru-RU" w:eastAsia="ru-RU"/>
              </w:rPr>
              <w:t xml:space="preserve"> </w:t>
            </w:r>
          </w:p>
        </w:tc>
      </w:tr>
      <w:tr w:rsidR="00B2252E" w:rsidRPr="00B2252E" w14:paraId="04EDB203"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B646F4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70EDF3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466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95758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464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0CA994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662AF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160</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58AB27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155</w:t>
            </w:r>
          </w:p>
        </w:tc>
      </w:tr>
      <w:tr w:rsidR="00B2252E" w:rsidRPr="00B2252E" w14:paraId="7493D59A"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DD2DFB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DCC23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11,60</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13E9A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11,67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BF6DF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11,89</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8E4DC9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11,49</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EF0525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11,99</w:t>
            </w:r>
          </w:p>
        </w:tc>
      </w:tr>
      <w:tr w:rsidR="00B2252E" w:rsidRPr="00B2252E" w14:paraId="31322A5B"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6767AC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A509AE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-0,86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1545B4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C3D885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-1,03</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FA3F5C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-1,62</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01999E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-1,11</w:t>
            </w:r>
          </w:p>
        </w:tc>
      </w:tr>
      <w:tr w:rsidR="00B2252E" w:rsidRPr="00B2252E" w14:paraId="192AE7F3"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C8FAD1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EEF2E0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8C4CB7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0BF15D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DB578A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-0,59</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5E2643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-0,08</w:t>
            </w:r>
          </w:p>
        </w:tc>
      </w:tr>
      <w:tr w:rsidR="00B2252E" w:rsidRPr="00B2252E" w14:paraId="5000FAF8"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E110C9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F1C3F3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B101D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(-0,99; -0,36)</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6A029B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6D03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 -0,04)</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1C1F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(-0,64; 0,47)</w:t>
            </w:r>
          </w:p>
        </w:tc>
      </w:tr>
    </w:tbl>
    <w:p w14:paraId="50A8E751" w14:textId="77777777" w:rsidR="00B2252E" w:rsidRPr="00B2252E" w:rsidRDefault="00B2252E" w:rsidP="00B2252E">
      <w:pPr>
        <w:widowControl w:val="0"/>
        <w:suppressAutoHyphens/>
        <w:autoSpaceDE w:val="0"/>
        <w:autoSpaceDN w:val="0"/>
        <w:adjustRightInd w:val="0"/>
        <w:ind w:left="284"/>
        <w:rPr>
          <w:sz w:val="20"/>
          <w:lang w:eastAsia="da-DK"/>
        </w:rPr>
      </w:pPr>
      <w:r w:rsidRPr="00B2252E">
        <w:rPr>
          <w:sz w:val="20"/>
          <w:lang w:eastAsia="da-DK"/>
        </w:rPr>
        <w:t xml:space="preserve">De poolede studier bestod af studierne 046 (Europa/Australien), 047 (Nordamerika [NA]) og 074 (Europa/NA). </w:t>
      </w:r>
    </w:p>
    <w:p w14:paraId="7ABEE57D" w14:textId="77777777" w:rsidR="00B2252E" w:rsidRPr="00B2252E" w:rsidRDefault="00B2252E" w:rsidP="00B2252E">
      <w:pPr>
        <w:widowControl w:val="0"/>
        <w:suppressAutoHyphens/>
        <w:autoSpaceDE w:val="0"/>
        <w:autoSpaceDN w:val="0"/>
        <w:adjustRightInd w:val="0"/>
        <w:ind w:left="284"/>
        <w:rPr>
          <w:sz w:val="20"/>
          <w:lang w:eastAsia="da-DK"/>
        </w:rPr>
      </w:pPr>
      <w:r w:rsidRPr="00B2252E">
        <w:rPr>
          <w:sz w:val="20"/>
          <w:lang w:eastAsia="da-DK"/>
        </w:rPr>
        <w:t xml:space="preserve">* Mindste kvadraters gennemsnit justeret for </w:t>
      </w:r>
      <w:r w:rsidRPr="00B2252E">
        <w:rPr>
          <w:i/>
          <w:sz w:val="20"/>
          <w:lang w:eastAsia="da-DK"/>
        </w:rPr>
        <w:t>baseline</w:t>
      </w:r>
      <w:r w:rsidRPr="00B2252E">
        <w:rPr>
          <w:sz w:val="20"/>
          <w:lang w:eastAsia="da-DK"/>
        </w:rPr>
        <w:t xml:space="preserve">, køn, studie, undergruppe og undergruppe baseret på behandlingsinteraktion for de poolede studier og mindste kvadraters gennemsnit justeret for </w:t>
      </w:r>
      <w:r w:rsidRPr="00B2252E">
        <w:rPr>
          <w:i/>
          <w:sz w:val="20"/>
          <w:lang w:eastAsia="da-DK"/>
        </w:rPr>
        <w:t>baseline</w:t>
      </w:r>
      <w:r w:rsidRPr="00B2252E">
        <w:rPr>
          <w:sz w:val="20"/>
          <w:lang w:eastAsia="da-DK"/>
        </w:rPr>
        <w:t xml:space="preserve">, køn, geografisk region, undergruppe og undergruppe baseret på behandlingsinteraktion for studie 046. </w:t>
      </w:r>
    </w:p>
    <w:p w14:paraId="0876EF2A" w14:textId="77777777" w:rsidR="00B2252E" w:rsidRPr="00B2252E" w:rsidRDefault="00B2252E" w:rsidP="00B2252E">
      <w:pPr>
        <w:widowControl w:val="0"/>
        <w:suppressAutoHyphens/>
        <w:autoSpaceDE w:val="0"/>
        <w:autoSpaceDN w:val="0"/>
        <w:adjustRightInd w:val="0"/>
        <w:ind w:left="284"/>
        <w:rPr>
          <w:sz w:val="20"/>
          <w:lang w:eastAsia="da-DK"/>
        </w:rPr>
      </w:pPr>
      <w:r w:rsidRPr="00B2252E">
        <w:rPr>
          <w:sz w:val="20"/>
          <w:lang w:eastAsia="da-DK"/>
        </w:rPr>
        <w:t xml:space="preserve">FAS: Fuldt analysesæt, alle randomiserede patienter, som tog mindst 1 dosis dobbeltblindt studielægemiddel, og </w:t>
      </w:r>
      <w:r w:rsidRPr="00B2252E">
        <w:rPr>
          <w:sz w:val="20"/>
          <w:lang w:eastAsia="da-DK"/>
        </w:rPr>
        <w:lastRenderedPageBreak/>
        <w:t xml:space="preserve">som havde en vandladningsmåling i </w:t>
      </w:r>
      <w:r w:rsidRPr="00B2252E">
        <w:rPr>
          <w:i/>
          <w:sz w:val="20"/>
          <w:lang w:eastAsia="da-DK"/>
        </w:rPr>
        <w:t>baseline</w:t>
      </w:r>
      <w:r w:rsidRPr="00B2252E">
        <w:rPr>
          <w:sz w:val="20"/>
          <w:lang w:eastAsia="da-DK"/>
        </w:rPr>
        <w:t xml:space="preserve">-dagbogen og mindst 1 dagbog med en vandladningsmåling fra efter </w:t>
      </w:r>
      <w:r w:rsidRPr="00B2252E">
        <w:rPr>
          <w:i/>
          <w:sz w:val="20"/>
          <w:lang w:eastAsia="da-DK"/>
        </w:rPr>
        <w:t>baseline</w:t>
      </w:r>
      <w:r w:rsidRPr="00B2252E">
        <w:rPr>
          <w:sz w:val="20"/>
          <w:lang w:eastAsia="da-DK"/>
        </w:rPr>
        <w:t xml:space="preserve">-besøget. </w:t>
      </w:r>
    </w:p>
    <w:p w14:paraId="55C1D062" w14:textId="77777777" w:rsidR="00B2252E" w:rsidRPr="00B2252E" w:rsidRDefault="00B2252E" w:rsidP="00B2252E">
      <w:pPr>
        <w:widowControl w:val="0"/>
        <w:suppressAutoHyphens/>
        <w:autoSpaceDE w:val="0"/>
        <w:autoSpaceDN w:val="0"/>
        <w:adjustRightInd w:val="0"/>
        <w:ind w:left="284"/>
        <w:rPr>
          <w:sz w:val="20"/>
          <w:lang w:eastAsia="da-DK"/>
        </w:rPr>
      </w:pPr>
      <w:r w:rsidRPr="00B2252E">
        <w:rPr>
          <w:sz w:val="20"/>
          <w:lang w:eastAsia="da-DK"/>
        </w:rPr>
        <w:t xml:space="preserve">FAS-I: Undergruppe af FAS, som også havde mindst 1 inkontinensepisode i </w:t>
      </w:r>
      <w:r w:rsidRPr="00B2252E">
        <w:rPr>
          <w:i/>
          <w:sz w:val="20"/>
          <w:lang w:eastAsia="da-DK"/>
        </w:rPr>
        <w:t>baseline</w:t>
      </w:r>
      <w:r w:rsidRPr="00B2252E">
        <w:rPr>
          <w:sz w:val="20"/>
          <w:lang w:eastAsia="da-DK"/>
        </w:rPr>
        <w:t xml:space="preserve">-dagbogen. </w:t>
      </w:r>
    </w:p>
    <w:p w14:paraId="5B204CD6" w14:textId="77777777" w:rsidR="00B2252E" w:rsidRDefault="00B2252E" w:rsidP="004931E3">
      <w:pPr>
        <w:tabs>
          <w:tab w:val="left" w:pos="851"/>
        </w:tabs>
        <w:ind w:left="851"/>
        <w:rPr>
          <w:sz w:val="24"/>
          <w:szCs w:val="24"/>
        </w:rPr>
      </w:pPr>
    </w:p>
    <w:p w14:paraId="4B0A0AAA" w14:textId="77777777" w:rsidR="00B2252E" w:rsidRPr="00B2252E" w:rsidRDefault="00B2252E" w:rsidP="00B2252E">
      <w:pPr>
        <w:tabs>
          <w:tab w:val="left" w:pos="851"/>
        </w:tabs>
        <w:ind w:left="851"/>
        <w:rPr>
          <w:sz w:val="24"/>
          <w:szCs w:val="24"/>
        </w:rPr>
      </w:pPr>
      <w:r w:rsidRPr="00B2252E">
        <w:rPr>
          <w:i/>
          <w:sz w:val="24"/>
          <w:szCs w:val="24"/>
        </w:rPr>
        <w:t xml:space="preserve">Neurogen detrusoroveraktivitet hos pædiatriske patienter </w:t>
      </w:r>
    </w:p>
    <w:p w14:paraId="5B47E915" w14:textId="77777777" w:rsidR="00B2252E" w:rsidRPr="00B2252E" w:rsidRDefault="00B2252E" w:rsidP="00B2252E">
      <w:pPr>
        <w:tabs>
          <w:tab w:val="left" w:pos="851"/>
        </w:tabs>
        <w:ind w:left="851"/>
        <w:rPr>
          <w:sz w:val="24"/>
          <w:szCs w:val="24"/>
        </w:rPr>
      </w:pPr>
      <w:r w:rsidRPr="00B2252E">
        <w:rPr>
          <w:sz w:val="24"/>
          <w:szCs w:val="24"/>
        </w:rPr>
        <w:t xml:space="preserve">Virkningen af mirabegron-tabletter og oral suspension blev vurderet i et 52-ugers åbent, </w:t>
      </w:r>
      <w:r w:rsidRPr="00B2252E">
        <w:rPr>
          <w:i/>
          <w:sz w:val="24"/>
          <w:szCs w:val="24"/>
        </w:rPr>
        <w:t>baseline</w:t>
      </w:r>
      <w:r w:rsidRPr="00B2252E">
        <w:rPr>
          <w:sz w:val="24"/>
          <w:szCs w:val="24"/>
        </w:rPr>
        <w:t>-kontrolleret, dosistitrerings-, multicenterstudie til behandling af NDO hos pædiatriske patienter. Patienterne havde en NDO-diagnose med ufrivillige detrusorkontraktioner med en stigning i detrusortryk, der var større end 15 cm H</w:t>
      </w:r>
      <w:r w:rsidRPr="00B2252E">
        <w:rPr>
          <w:sz w:val="24"/>
          <w:szCs w:val="24"/>
          <w:vertAlign w:val="subscript"/>
        </w:rPr>
        <w:t>2</w:t>
      </w:r>
      <w:r w:rsidRPr="00B2252E">
        <w:rPr>
          <w:sz w:val="24"/>
          <w:szCs w:val="24"/>
        </w:rPr>
        <w:t xml:space="preserve">O og udførte ren intermitterende kateterisering (RIK). Patienter ≥ 35 kg fik tabletter, og patienter &lt; 35 kg (eller ≥ 35 kg, men ikke i stand til at tage tabletter) fik oral suspension. Mirabegron blev administreret oralt til alle patienter én gang dagligt sammen med mad. Startdosis var en 25 mg tablet eller mellem 3-6 ml oral suspension (afhængigt af patientens vægt). Denne dosis blev optitreret til 50 mg tablet eller mellem 6-11 ml oral suspension (afhængig af patientens kropsvægt). Dosistitreringsperioden var maksimalt 8 uger efterfulgt af en dosisvedligeholdelsesperiode på mindst 52 uger. </w:t>
      </w:r>
    </w:p>
    <w:p w14:paraId="70C5B5D9" w14:textId="77777777" w:rsidR="00B2252E" w:rsidRPr="00B2252E" w:rsidRDefault="00B2252E" w:rsidP="00B2252E">
      <w:pPr>
        <w:tabs>
          <w:tab w:val="left" w:pos="851"/>
        </w:tabs>
        <w:ind w:left="851"/>
        <w:rPr>
          <w:sz w:val="24"/>
          <w:szCs w:val="24"/>
        </w:rPr>
      </w:pPr>
      <w:r w:rsidRPr="00B2252E">
        <w:rPr>
          <w:sz w:val="24"/>
          <w:szCs w:val="24"/>
        </w:rPr>
        <w:t xml:space="preserve"> </w:t>
      </w:r>
    </w:p>
    <w:p w14:paraId="6BDE4342" w14:textId="77777777" w:rsidR="00B2252E" w:rsidRPr="00B2252E" w:rsidRDefault="00B2252E" w:rsidP="00B2252E">
      <w:pPr>
        <w:tabs>
          <w:tab w:val="left" w:pos="851"/>
        </w:tabs>
        <w:ind w:left="851"/>
        <w:rPr>
          <w:sz w:val="24"/>
          <w:szCs w:val="24"/>
        </w:rPr>
      </w:pPr>
      <w:r w:rsidRPr="00B2252E">
        <w:rPr>
          <w:sz w:val="24"/>
          <w:szCs w:val="24"/>
        </w:rPr>
        <w:t xml:space="preserve">I alt 86 patienter i alderen 3 år til under 18 år fik mirabegron. Ud af disse, fuldførte 71 patienter behandlingen til og med uge 24, og 70 fuldførte 52 ugers behandling. I alt 68 patienter havde valide urodynamiske målinger til vurdering af virkningen. Studiepopulationen omfattede 39 (45,3 %) mænd og 47 (54,7 %) kvinder. Den optimerede vedligeholdelsesdosis i denne studiepopulation omfattede 94 % patienter på maksimal dosis og 6 % patienter på startdosis. </w:t>
      </w:r>
    </w:p>
    <w:p w14:paraId="48C73DE0" w14:textId="77777777" w:rsidR="00B2252E" w:rsidRPr="00B2252E" w:rsidRDefault="00B2252E" w:rsidP="00B2252E">
      <w:pPr>
        <w:tabs>
          <w:tab w:val="left" w:pos="851"/>
        </w:tabs>
        <w:ind w:left="851"/>
        <w:rPr>
          <w:sz w:val="24"/>
          <w:szCs w:val="24"/>
        </w:rPr>
      </w:pPr>
      <w:r w:rsidRPr="00B2252E">
        <w:rPr>
          <w:sz w:val="24"/>
          <w:szCs w:val="24"/>
        </w:rPr>
        <w:t xml:space="preserve"> </w:t>
      </w:r>
    </w:p>
    <w:p w14:paraId="202EBDEE" w14:textId="4F0DFDD0" w:rsidR="00B2252E" w:rsidRPr="00B2252E" w:rsidRDefault="00B2252E" w:rsidP="00B2252E">
      <w:pPr>
        <w:tabs>
          <w:tab w:val="left" w:pos="851"/>
        </w:tabs>
        <w:ind w:left="851"/>
        <w:rPr>
          <w:sz w:val="24"/>
          <w:szCs w:val="24"/>
        </w:rPr>
      </w:pPr>
      <w:r w:rsidRPr="00B2252E">
        <w:rPr>
          <w:sz w:val="24"/>
          <w:szCs w:val="24"/>
        </w:rPr>
        <w:t xml:space="preserve">De mest almindelige (hos flere end 10 % af alle patienter) underliggende medicinske tilstande, som var relateret til NDO hos børn og unge, der var inkluderet i studiet, var medfødt anomali i centralnervesystemet (henholdsvis 54,5 % og 48,4 %), meningomyelocele (henholdsvis 27,3 % og 19,4 %) og rygmarvsbrok (henholdsvis 10,9 % og 12,9 %). Hos unge havde 12,9 % en rygmarvsskade. </w:t>
      </w:r>
    </w:p>
    <w:p w14:paraId="3C3904B0" w14:textId="77777777" w:rsidR="00B2252E" w:rsidRPr="00B2252E" w:rsidRDefault="00B2252E" w:rsidP="00B2252E">
      <w:pPr>
        <w:tabs>
          <w:tab w:val="left" w:pos="851"/>
        </w:tabs>
        <w:ind w:left="851"/>
        <w:rPr>
          <w:sz w:val="24"/>
          <w:szCs w:val="24"/>
        </w:rPr>
      </w:pPr>
      <w:r w:rsidRPr="00B2252E">
        <w:rPr>
          <w:sz w:val="24"/>
          <w:szCs w:val="24"/>
        </w:rPr>
        <w:t xml:space="preserve"> </w:t>
      </w:r>
    </w:p>
    <w:p w14:paraId="7275BABD" w14:textId="77777777" w:rsidR="00B2252E" w:rsidRPr="00B2252E" w:rsidRDefault="00B2252E" w:rsidP="00B2252E">
      <w:pPr>
        <w:tabs>
          <w:tab w:val="left" w:pos="851"/>
        </w:tabs>
        <w:ind w:left="851"/>
        <w:rPr>
          <w:sz w:val="24"/>
          <w:szCs w:val="24"/>
        </w:rPr>
      </w:pPr>
      <w:r w:rsidRPr="00B2252E">
        <w:rPr>
          <w:sz w:val="24"/>
          <w:szCs w:val="24"/>
        </w:rPr>
        <w:t xml:space="preserve">Det primære virkningsendepunkt var ændring fra </w:t>
      </w:r>
      <w:r w:rsidRPr="00B2252E">
        <w:rPr>
          <w:i/>
          <w:sz w:val="24"/>
          <w:szCs w:val="24"/>
        </w:rPr>
        <w:t>baseline</w:t>
      </w:r>
      <w:r w:rsidRPr="00B2252E">
        <w:rPr>
          <w:sz w:val="24"/>
          <w:szCs w:val="24"/>
        </w:rPr>
        <w:t xml:space="preserve"> i maksimal cystometrisk kapacitet (MCC) efter 24 ugers behandling med mirabegron. Der blev observeret forbedringer i MCC i alle patientgrupper (se tabel 6). </w:t>
      </w:r>
    </w:p>
    <w:p w14:paraId="1EE6F0CC" w14:textId="41587E72" w:rsidR="00B2252E" w:rsidRPr="00B2252E" w:rsidRDefault="00B2252E" w:rsidP="00B2252E">
      <w:pPr>
        <w:tabs>
          <w:tab w:val="left" w:pos="851"/>
        </w:tabs>
        <w:ind w:left="851"/>
        <w:rPr>
          <w:sz w:val="22"/>
          <w:szCs w:val="22"/>
          <w:lang w:eastAsia="da-DK"/>
        </w:rPr>
      </w:pPr>
    </w:p>
    <w:p w14:paraId="1CB07BF5" w14:textId="77777777" w:rsidR="00B2252E" w:rsidRPr="00B2252E" w:rsidRDefault="00B2252E" w:rsidP="00B2252E">
      <w:pPr>
        <w:widowControl w:val="0"/>
        <w:suppressAutoHyphens/>
        <w:autoSpaceDE w:val="0"/>
        <w:autoSpaceDN w:val="0"/>
        <w:adjustRightInd w:val="0"/>
        <w:ind w:left="567"/>
        <w:rPr>
          <w:b/>
          <w:bCs/>
          <w:sz w:val="22"/>
          <w:szCs w:val="22"/>
          <w:lang w:eastAsia="da-DK"/>
        </w:rPr>
      </w:pPr>
      <w:r w:rsidRPr="00B2252E">
        <w:rPr>
          <w:b/>
          <w:bCs/>
          <w:sz w:val="22"/>
          <w:szCs w:val="22"/>
          <w:lang w:eastAsia="da-DK"/>
        </w:rPr>
        <w:t>Tabel 6: Primært virkningsendepunkt hos pædiatriske patienter med NDO</w:t>
      </w:r>
    </w:p>
    <w:tbl>
      <w:tblPr>
        <w:tblW w:w="8443" w:type="dxa"/>
        <w:jc w:val="center"/>
        <w:tblCellMar>
          <w:top w:w="55" w:type="dxa"/>
          <w:left w:w="115" w:type="dxa"/>
          <w:right w:w="46" w:type="dxa"/>
        </w:tblCellMar>
        <w:tblLook w:val="04A0" w:firstRow="1" w:lastRow="0" w:firstColumn="1" w:lastColumn="0" w:noHBand="0" w:noVBand="1"/>
      </w:tblPr>
      <w:tblGrid>
        <w:gridCol w:w="3222"/>
        <w:gridCol w:w="2521"/>
        <w:gridCol w:w="2700"/>
      </w:tblGrid>
      <w:tr w:rsidR="00B2252E" w:rsidRPr="00B2252E" w14:paraId="2FBD74F5" w14:textId="77777777">
        <w:trPr>
          <w:trHeight w:val="227"/>
          <w:jc w:val="center"/>
        </w:trPr>
        <w:tc>
          <w:tcPr>
            <w:tcW w:w="322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990222C"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Parameter</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97BC65A" w14:textId="77777777" w:rsidR="00B2252E" w:rsidRPr="00B2252E" w:rsidRDefault="00B2252E" w:rsidP="00B2252E">
            <w:pPr>
              <w:widowControl w:val="0"/>
              <w:suppressAutoHyphens/>
              <w:kinsoku w:val="0"/>
              <w:overflowPunct w:val="0"/>
              <w:autoSpaceDE w:val="0"/>
              <w:autoSpaceDN w:val="0"/>
              <w:adjustRightInd w:val="0"/>
              <w:ind w:left="118"/>
              <w:jc w:val="center"/>
              <w:rPr>
                <w:b/>
                <w:color w:val="000000"/>
                <w:sz w:val="22"/>
                <w:szCs w:val="22"/>
                <w:lang w:val="ru-RU" w:eastAsia="ru-RU"/>
              </w:rPr>
            </w:pPr>
            <w:r w:rsidRPr="00B2252E">
              <w:rPr>
                <w:b/>
                <w:color w:val="000000"/>
                <w:sz w:val="22"/>
                <w:szCs w:val="22"/>
                <w:lang w:val="ru-RU" w:eastAsia="ru-RU"/>
              </w:rPr>
              <w:t xml:space="preserve">Børn i alderen </w:t>
            </w:r>
          </w:p>
          <w:p w14:paraId="4C7558C4"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3 år til &lt; 12 år</w:t>
            </w:r>
          </w:p>
          <w:p w14:paraId="4CDB2A86"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(N = 43)*</w:t>
            </w:r>
          </w:p>
          <w:p w14:paraId="0EFB2FEC"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Middel (SD)</w:t>
            </w:r>
          </w:p>
        </w:tc>
        <w:tc>
          <w:tcPr>
            <w:tcW w:w="270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56A3106" w14:textId="77777777" w:rsidR="00B2252E" w:rsidRPr="00B2252E" w:rsidRDefault="00B2252E" w:rsidP="00B2252E">
            <w:pPr>
              <w:widowControl w:val="0"/>
              <w:suppressAutoHyphens/>
              <w:kinsoku w:val="0"/>
              <w:overflowPunct w:val="0"/>
              <w:autoSpaceDE w:val="0"/>
              <w:autoSpaceDN w:val="0"/>
              <w:adjustRightInd w:val="0"/>
              <w:ind w:left="118"/>
              <w:jc w:val="center"/>
              <w:rPr>
                <w:b/>
                <w:color w:val="000000"/>
                <w:sz w:val="22"/>
                <w:szCs w:val="22"/>
                <w:lang w:val="ru-RU" w:eastAsia="ru-RU"/>
              </w:rPr>
            </w:pPr>
            <w:r w:rsidRPr="00B2252E">
              <w:rPr>
                <w:b/>
                <w:color w:val="000000"/>
                <w:sz w:val="22"/>
                <w:szCs w:val="22"/>
                <w:lang w:val="ru-RU" w:eastAsia="ru-RU"/>
              </w:rPr>
              <w:t xml:space="preserve">Unge i alderen </w:t>
            </w:r>
          </w:p>
          <w:p w14:paraId="65E7872C"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12 år til &lt; 18 år</w:t>
            </w:r>
          </w:p>
          <w:p w14:paraId="7E399492"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(N = 25)*</w:t>
            </w:r>
          </w:p>
          <w:p w14:paraId="0205B355"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Middel (SD)</w:t>
            </w:r>
          </w:p>
        </w:tc>
      </w:tr>
      <w:tr w:rsidR="00B2252E" w:rsidRPr="00B2252E" w14:paraId="3DCD4CD3" w14:textId="77777777">
        <w:trPr>
          <w:trHeight w:val="227"/>
          <w:jc w:val="center"/>
        </w:trPr>
        <w:tc>
          <w:tcPr>
            <w:tcW w:w="8443"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23CB3E0"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b/>
                <w:color w:val="000000"/>
                <w:sz w:val="22"/>
                <w:szCs w:val="22"/>
                <w:lang w:val="ru-RU" w:eastAsia="ru-RU"/>
              </w:rPr>
              <w:t>Maksimal cystometrisk kapacitet (ml)</w:t>
            </w:r>
          </w:p>
        </w:tc>
      </w:tr>
      <w:tr w:rsidR="00B2252E" w:rsidRPr="00B2252E" w14:paraId="3BE32F39" w14:textId="77777777">
        <w:trPr>
          <w:trHeight w:val="227"/>
          <w:jc w:val="center"/>
        </w:trPr>
        <w:tc>
          <w:tcPr>
            <w:tcW w:w="322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8091A31" w14:textId="77777777" w:rsidR="00B2252E" w:rsidRPr="00B2252E" w:rsidRDefault="00B2252E" w:rsidP="00B2252E">
            <w:pPr>
              <w:widowControl w:val="0"/>
              <w:suppressAutoHyphens/>
              <w:kinsoku w:val="0"/>
              <w:overflowPunct w:val="0"/>
              <w:autoSpaceDE w:val="0"/>
              <w:autoSpaceDN w:val="0"/>
              <w:adjustRightInd w:val="0"/>
              <w:ind w:left="57"/>
              <w:rPr>
                <w:i/>
                <w:color w:val="000000"/>
                <w:sz w:val="22"/>
                <w:szCs w:val="22"/>
                <w:lang w:val="ru-RU" w:eastAsia="ru-RU"/>
              </w:rPr>
            </w:pPr>
            <w:r w:rsidRPr="00B2252E">
              <w:rPr>
                <w:i/>
                <w:color w:val="000000"/>
                <w:sz w:val="22"/>
                <w:szCs w:val="22"/>
                <w:lang w:val="ru-RU" w:eastAsia="ru-RU"/>
              </w:rPr>
              <w:t>Baseline</w:t>
            </w:r>
          </w:p>
          <w:p w14:paraId="603E6D9D" w14:textId="77777777" w:rsidR="00B2252E" w:rsidRPr="00B2252E" w:rsidRDefault="00B2252E" w:rsidP="00B2252E">
            <w:pPr>
              <w:widowControl w:val="0"/>
              <w:autoSpaceDE w:val="0"/>
              <w:autoSpaceDN w:val="0"/>
              <w:adjustRightInd w:val="0"/>
              <w:ind w:left="57"/>
              <w:rPr>
                <w:sz w:val="22"/>
                <w:szCs w:val="22"/>
                <w:lang w:val="ru-RU" w:eastAsia="ru-RU"/>
              </w:rPr>
            </w:pPr>
            <w:r w:rsidRPr="00B2252E">
              <w:rPr>
                <w:sz w:val="22"/>
                <w:szCs w:val="22"/>
                <w:lang w:val="ru-RU" w:eastAsia="ru-RU"/>
              </w:rPr>
              <w:t>Uge 24</w:t>
            </w:r>
          </w:p>
          <w:p w14:paraId="5600197E" w14:textId="77777777" w:rsidR="00B2252E" w:rsidRPr="00B2252E" w:rsidRDefault="00B2252E" w:rsidP="00B2252E">
            <w:pPr>
              <w:widowControl w:val="0"/>
              <w:autoSpaceDE w:val="0"/>
              <w:autoSpaceDN w:val="0"/>
              <w:adjustRightInd w:val="0"/>
              <w:ind w:left="57"/>
              <w:rPr>
                <w:i/>
                <w:iCs/>
                <w:sz w:val="22"/>
                <w:szCs w:val="22"/>
                <w:lang w:val="ru-RU" w:eastAsia="ru-RU"/>
              </w:rPr>
            </w:pPr>
            <w:r w:rsidRPr="00B2252E">
              <w:rPr>
                <w:sz w:val="22"/>
                <w:szCs w:val="22"/>
                <w:lang w:val="ru-RU" w:eastAsia="ru-RU"/>
              </w:rPr>
              <w:t>Ændring fra</w:t>
            </w:r>
            <w:r w:rsidRPr="00B2252E">
              <w:rPr>
                <w:i/>
                <w:iCs/>
                <w:sz w:val="22"/>
                <w:szCs w:val="22"/>
                <w:lang w:val="ru-RU" w:eastAsia="ru-RU"/>
              </w:rPr>
              <w:t xml:space="preserve"> baseline</w:t>
            </w:r>
          </w:p>
          <w:p w14:paraId="5CDEE178"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sz w:val="22"/>
                <w:szCs w:val="22"/>
                <w:lang w:val="ru-RU" w:eastAsia="ru-RU"/>
              </w:rPr>
              <w:t>95% konfidensinterval</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D7CAB9B"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158,6 (94,5)</w:t>
            </w:r>
          </w:p>
          <w:p w14:paraId="62D0528A"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230,7 (129,1)</w:t>
            </w:r>
          </w:p>
          <w:p w14:paraId="6CFB7470"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72,0 (87,0)</w:t>
            </w:r>
          </w:p>
          <w:p w14:paraId="05AED3A5"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(45,2, 98,8)</w:t>
            </w:r>
          </w:p>
        </w:tc>
        <w:tc>
          <w:tcPr>
            <w:tcW w:w="270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EFA043C"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238,9 (99,1)</w:t>
            </w:r>
          </w:p>
          <w:p w14:paraId="78813A79"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352,1 (125,2)</w:t>
            </w:r>
          </w:p>
          <w:p w14:paraId="10AD3B81"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113,2 (82,9)</w:t>
            </w:r>
          </w:p>
          <w:p w14:paraId="60D08DF7"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(78,9, 147,4)</w:t>
            </w:r>
          </w:p>
        </w:tc>
      </w:tr>
    </w:tbl>
    <w:p w14:paraId="1597662A" w14:textId="77777777" w:rsidR="00B2252E" w:rsidRPr="00B2252E" w:rsidRDefault="00B2252E" w:rsidP="00B2252E">
      <w:pPr>
        <w:widowControl w:val="0"/>
        <w:suppressAutoHyphens/>
        <w:kinsoku w:val="0"/>
        <w:overflowPunct w:val="0"/>
        <w:autoSpaceDE w:val="0"/>
        <w:autoSpaceDN w:val="0"/>
        <w:adjustRightInd w:val="0"/>
        <w:ind w:left="567"/>
        <w:rPr>
          <w:color w:val="000000"/>
          <w:sz w:val="20"/>
          <w:lang w:eastAsia="da-DK"/>
        </w:rPr>
      </w:pPr>
      <w:r w:rsidRPr="00B2252E">
        <w:rPr>
          <w:color w:val="000000"/>
          <w:sz w:val="20"/>
          <w:lang w:eastAsia="da-DK"/>
        </w:rPr>
        <w:t xml:space="preserve">* N er det antal patienter, som tog mindst én dosis og fik valide værdier for MCC ved </w:t>
      </w:r>
      <w:r w:rsidRPr="00B2252E">
        <w:rPr>
          <w:i/>
          <w:color w:val="000000"/>
          <w:sz w:val="20"/>
          <w:lang w:eastAsia="da-DK"/>
        </w:rPr>
        <w:t>baseline</w:t>
      </w:r>
      <w:r w:rsidRPr="00B2252E">
        <w:rPr>
          <w:color w:val="000000"/>
          <w:sz w:val="20"/>
          <w:lang w:eastAsia="da-DK"/>
        </w:rPr>
        <w:t xml:space="preserve"> og uge 24.</w:t>
      </w:r>
    </w:p>
    <w:p w14:paraId="6C372588"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p>
    <w:p w14:paraId="1AA7CF2A"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r w:rsidRPr="00B2252E">
        <w:rPr>
          <w:color w:val="000000"/>
          <w:sz w:val="24"/>
          <w:szCs w:val="24"/>
          <w:lang w:eastAsia="da-DK"/>
        </w:rPr>
        <w:t xml:space="preserve">De sekundære virkningsendepunkter var ændring fra </w:t>
      </w:r>
      <w:r w:rsidRPr="00B2252E">
        <w:rPr>
          <w:i/>
          <w:color w:val="000000"/>
          <w:sz w:val="24"/>
          <w:szCs w:val="24"/>
          <w:lang w:eastAsia="da-DK"/>
        </w:rPr>
        <w:t>baseline</w:t>
      </w:r>
      <w:r w:rsidRPr="00B2252E">
        <w:rPr>
          <w:color w:val="000000"/>
          <w:sz w:val="24"/>
          <w:szCs w:val="24"/>
          <w:lang w:eastAsia="da-DK"/>
        </w:rPr>
        <w:t xml:space="preserve"> i blærekomplians, antal af overaktive detrusorkontraktioner, detrusortryk ved afslutningen af blærefyldning, blærevolumen før første detrusorkontraktion, maksimal kateteriseret urinvolumen pr. dag og antallet af episoder med lækage pr. dag efter 24 ugers behandling med mirabegron (se tabel 7).</w:t>
      </w:r>
    </w:p>
    <w:p w14:paraId="32C3425E"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p>
    <w:p w14:paraId="07D5EE43" w14:textId="77777777" w:rsidR="00B2252E" w:rsidRPr="00B2252E" w:rsidRDefault="00B2252E" w:rsidP="00B2252E">
      <w:pPr>
        <w:keepNext/>
        <w:suppressAutoHyphens/>
        <w:kinsoku w:val="0"/>
        <w:overflowPunct w:val="0"/>
        <w:autoSpaceDE w:val="0"/>
        <w:autoSpaceDN w:val="0"/>
        <w:adjustRightInd w:val="0"/>
        <w:ind w:left="426"/>
        <w:rPr>
          <w:b/>
          <w:color w:val="000000"/>
          <w:sz w:val="22"/>
          <w:szCs w:val="22"/>
          <w:lang w:eastAsia="da-DK"/>
        </w:rPr>
      </w:pPr>
      <w:r w:rsidRPr="00B2252E">
        <w:rPr>
          <w:b/>
          <w:color w:val="000000"/>
          <w:sz w:val="22"/>
          <w:szCs w:val="22"/>
          <w:lang w:eastAsia="da-DK"/>
        </w:rPr>
        <w:lastRenderedPageBreak/>
        <w:t>Tabel 7: Sekundære virkningsendepunkter hos pædiatriske patienter med NDO</w:t>
      </w:r>
    </w:p>
    <w:tbl>
      <w:tblPr>
        <w:tblStyle w:val="Tabel-Gitter"/>
        <w:tblW w:w="8926" w:type="dxa"/>
        <w:jc w:val="center"/>
        <w:tblInd w:w="0" w:type="dxa"/>
        <w:tblLook w:val="04A0" w:firstRow="1" w:lastRow="0" w:firstColumn="1" w:lastColumn="0" w:noHBand="0" w:noVBand="1"/>
      </w:tblPr>
      <w:tblGrid>
        <w:gridCol w:w="3153"/>
        <w:gridCol w:w="2995"/>
        <w:gridCol w:w="2778"/>
      </w:tblGrid>
      <w:tr w:rsidR="00B2252E" w:rsidRPr="00B2252E" w14:paraId="1F36FC1D" w14:textId="77777777">
        <w:trPr>
          <w:cantSplit/>
          <w:trHeight w:val="227"/>
          <w:tblHeader/>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5223936" w14:textId="77777777" w:rsidR="00B2252E" w:rsidRPr="00B2252E" w:rsidRDefault="00B2252E" w:rsidP="00B2252E">
            <w:pPr>
              <w:keepNext/>
              <w:autoSpaceDE w:val="0"/>
              <w:autoSpaceDN w:val="0"/>
              <w:adjustRightInd w:val="0"/>
              <w:rPr>
                <w:bCs/>
                <w:sz w:val="22"/>
              </w:rPr>
            </w:pPr>
            <w:r w:rsidRPr="00B2252E">
              <w:rPr>
                <w:bCs/>
                <w:sz w:val="22"/>
              </w:rPr>
              <w:t>Parameter</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CF9A148" w14:textId="77777777" w:rsidR="00B2252E" w:rsidRPr="00B2252E" w:rsidRDefault="00B2252E" w:rsidP="00B2252E">
            <w:pPr>
              <w:keepNext/>
              <w:autoSpaceDE w:val="0"/>
              <w:autoSpaceDN w:val="0"/>
              <w:adjustRightInd w:val="0"/>
              <w:rPr>
                <w:bCs/>
                <w:sz w:val="22"/>
                <w:lang w:val="da-DK"/>
              </w:rPr>
            </w:pPr>
            <w:r w:rsidRPr="00B2252E">
              <w:rPr>
                <w:bCs/>
                <w:sz w:val="22"/>
                <w:lang w:val="da-DK"/>
              </w:rPr>
              <w:t xml:space="preserve">Børn i alderen </w:t>
            </w:r>
          </w:p>
          <w:p w14:paraId="0FAD511A" w14:textId="77777777" w:rsidR="00B2252E" w:rsidRPr="00B2252E" w:rsidRDefault="00B2252E" w:rsidP="00B2252E">
            <w:pPr>
              <w:keepNext/>
              <w:autoSpaceDE w:val="0"/>
              <w:autoSpaceDN w:val="0"/>
              <w:adjustRightInd w:val="0"/>
              <w:rPr>
                <w:bCs/>
                <w:sz w:val="22"/>
                <w:lang w:val="da-DK"/>
              </w:rPr>
            </w:pPr>
            <w:r w:rsidRPr="00B2252E">
              <w:rPr>
                <w:bCs/>
                <w:sz w:val="22"/>
                <w:lang w:val="da-DK"/>
              </w:rPr>
              <w:t xml:space="preserve">3 år til &lt; 12 år </w:t>
            </w:r>
          </w:p>
          <w:p w14:paraId="070D155C" w14:textId="77777777" w:rsidR="00B2252E" w:rsidRPr="00B2252E" w:rsidRDefault="00B2252E" w:rsidP="00B2252E">
            <w:pPr>
              <w:keepNext/>
              <w:autoSpaceDE w:val="0"/>
              <w:autoSpaceDN w:val="0"/>
              <w:adjustRightInd w:val="0"/>
              <w:rPr>
                <w:bCs/>
                <w:sz w:val="22"/>
              </w:rPr>
            </w:pPr>
            <w:r w:rsidRPr="00B2252E">
              <w:rPr>
                <w:bCs/>
                <w:sz w:val="22"/>
              </w:rPr>
              <w:t xml:space="preserve">(N = 43)* </w:t>
            </w:r>
          </w:p>
          <w:p w14:paraId="1BF925C5" w14:textId="77777777" w:rsidR="00B2252E" w:rsidRPr="00B2252E" w:rsidRDefault="00B2252E" w:rsidP="00B2252E">
            <w:pPr>
              <w:keepNext/>
              <w:autoSpaceDE w:val="0"/>
              <w:autoSpaceDN w:val="0"/>
              <w:adjustRightInd w:val="0"/>
              <w:rPr>
                <w:bCs/>
                <w:sz w:val="22"/>
              </w:rPr>
            </w:pPr>
            <w:r w:rsidRPr="00B2252E">
              <w:rPr>
                <w:bCs/>
                <w:sz w:val="22"/>
              </w:rPr>
              <w:t>Middel (SD)</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02AA4A6" w14:textId="77777777" w:rsidR="00B2252E" w:rsidRPr="00B2252E" w:rsidRDefault="00B2252E" w:rsidP="00B2252E">
            <w:pPr>
              <w:keepNext/>
              <w:autoSpaceDE w:val="0"/>
              <w:autoSpaceDN w:val="0"/>
              <w:adjustRightInd w:val="0"/>
              <w:rPr>
                <w:bCs/>
                <w:sz w:val="22"/>
                <w:lang w:val="da-DK"/>
              </w:rPr>
            </w:pPr>
            <w:r w:rsidRPr="00B2252E">
              <w:rPr>
                <w:bCs/>
                <w:sz w:val="22"/>
                <w:lang w:val="da-DK"/>
              </w:rPr>
              <w:t xml:space="preserve">Unge i alderen </w:t>
            </w:r>
          </w:p>
          <w:p w14:paraId="3EFB42FB" w14:textId="77777777" w:rsidR="00B2252E" w:rsidRPr="00B2252E" w:rsidRDefault="00B2252E" w:rsidP="00B2252E">
            <w:pPr>
              <w:keepNext/>
              <w:autoSpaceDE w:val="0"/>
              <w:autoSpaceDN w:val="0"/>
              <w:adjustRightInd w:val="0"/>
              <w:rPr>
                <w:bCs/>
                <w:sz w:val="22"/>
                <w:lang w:val="da-DK"/>
              </w:rPr>
            </w:pPr>
            <w:r w:rsidRPr="00B2252E">
              <w:rPr>
                <w:bCs/>
                <w:sz w:val="22"/>
                <w:lang w:val="da-DK"/>
              </w:rPr>
              <w:t xml:space="preserve">12 år til &lt; 18 år </w:t>
            </w:r>
          </w:p>
          <w:p w14:paraId="48456662" w14:textId="77777777" w:rsidR="00B2252E" w:rsidRPr="00B2252E" w:rsidRDefault="00B2252E" w:rsidP="00B2252E">
            <w:pPr>
              <w:keepNext/>
              <w:autoSpaceDE w:val="0"/>
              <w:autoSpaceDN w:val="0"/>
              <w:adjustRightInd w:val="0"/>
              <w:rPr>
                <w:bCs/>
                <w:sz w:val="22"/>
              </w:rPr>
            </w:pPr>
            <w:r w:rsidRPr="00B2252E">
              <w:rPr>
                <w:bCs/>
                <w:sz w:val="22"/>
              </w:rPr>
              <w:t xml:space="preserve">(N = 25)* </w:t>
            </w:r>
          </w:p>
          <w:p w14:paraId="29759738" w14:textId="77777777" w:rsidR="00B2252E" w:rsidRPr="00B2252E" w:rsidRDefault="00B2252E" w:rsidP="00B2252E">
            <w:pPr>
              <w:keepNext/>
              <w:autoSpaceDE w:val="0"/>
              <w:autoSpaceDN w:val="0"/>
              <w:adjustRightInd w:val="0"/>
              <w:rPr>
                <w:bCs/>
                <w:sz w:val="22"/>
              </w:rPr>
            </w:pPr>
            <w:r w:rsidRPr="00B2252E">
              <w:rPr>
                <w:bCs/>
                <w:sz w:val="22"/>
              </w:rPr>
              <w:t>Middel (SD)</w:t>
            </w:r>
          </w:p>
        </w:tc>
      </w:tr>
      <w:tr w:rsidR="00B2252E" w:rsidRPr="00B2252E" w14:paraId="18078834"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1B72A3ED" w14:textId="77777777" w:rsidR="00B2252E" w:rsidRPr="00B2252E" w:rsidRDefault="00B2252E" w:rsidP="00B2252E">
            <w:pPr>
              <w:widowControl w:val="0"/>
              <w:autoSpaceDE w:val="0"/>
              <w:autoSpaceDN w:val="0"/>
              <w:adjustRightInd w:val="0"/>
              <w:ind w:left="57"/>
              <w:rPr>
                <w:bCs/>
                <w:sz w:val="22"/>
              </w:rPr>
            </w:pPr>
            <w:r w:rsidRPr="00B2252E">
              <w:rPr>
                <w:bCs/>
                <w:sz w:val="22"/>
              </w:rPr>
              <w:t>Blærekomplians (ml/cm H</w:t>
            </w:r>
            <w:r w:rsidRPr="00B2252E">
              <w:rPr>
                <w:bCs/>
                <w:sz w:val="22"/>
                <w:vertAlign w:val="subscript"/>
              </w:rPr>
              <w:t>2</w:t>
            </w:r>
            <w:r w:rsidRPr="00B2252E">
              <w:rPr>
                <w:bCs/>
                <w:sz w:val="22"/>
              </w:rPr>
              <w:t>O)†</w:t>
            </w:r>
          </w:p>
        </w:tc>
      </w:tr>
      <w:tr w:rsidR="00B2252E" w:rsidRPr="00B2252E" w14:paraId="3E0E5462"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400E2D8"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610B5BE6"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0BD161E5"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7AA551C6"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33F12FD" w14:textId="77777777" w:rsidR="00B2252E" w:rsidRPr="00B2252E" w:rsidRDefault="00B2252E" w:rsidP="00B2252E">
            <w:pPr>
              <w:widowControl w:val="0"/>
              <w:autoSpaceDE w:val="0"/>
              <w:autoSpaceDN w:val="0"/>
              <w:adjustRightInd w:val="0"/>
              <w:rPr>
                <w:sz w:val="22"/>
              </w:rPr>
            </w:pPr>
            <w:r w:rsidRPr="00B2252E">
              <w:rPr>
                <w:sz w:val="22"/>
              </w:rPr>
              <w:t>14.5 (50.7)</w:t>
            </w:r>
          </w:p>
          <w:p w14:paraId="15C849B5" w14:textId="77777777" w:rsidR="00B2252E" w:rsidRPr="00B2252E" w:rsidRDefault="00B2252E" w:rsidP="00B2252E">
            <w:pPr>
              <w:widowControl w:val="0"/>
              <w:autoSpaceDE w:val="0"/>
              <w:autoSpaceDN w:val="0"/>
              <w:adjustRightInd w:val="0"/>
              <w:rPr>
                <w:sz w:val="22"/>
              </w:rPr>
            </w:pPr>
            <w:r w:rsidRPr="00B2252E">
              <w:rPr>
                <w:sz w:val="22"/>
              </w:rPr>
              <w:t>29.6 (52.8)</w:t>
            </w:r>
          </w:p>
          <w:p w14:paraId="3FC05768" w14:textId="77777777" w:rsidR="00B2252E" w:rsidRPr="00B2252E" w:rsidRDefault="00B2252E" w:rsidP="00B2252E">
            <w:pPr>
              <w:widowControl w:val="0"/>
              <w:autoSpaceDE w:val="0"/>
              <w:autoSpaceDN w:val="0"/>
              <w:adjustRightInd w:val="0"/>
              <w:rPr>
                <w:sz w:val="22"/>
              </w:rPr>
            </w:pPr>
            <w:r w:rsidRPr="00B2252E">
              <w:rPr>
                <w:sz w:val="22"/>
              </w:rPr>
              <w:t>14.6 (42.0)</w:t>
            </w:r>
          </w:p>
          <w:p w14:paraId="50E60287" w14:textId="77777777" w:rsidR="00B2252E" w:rsidRPr="00B2252E" w:rsidRDefault="00B2252E" w:rsidP="00B2252E">
            <w:pPr>
              <w:widowControl w:val="0"/>
              <w:autoSpaceDE w:val="0"/>
              <w:autoSpaceDN w:val="0"/>
              <w:adjustRightInd w:val="0"/>
              <w:rPr>
                <w:sz w:val="22"/>
              </w:rPr>
            </w:pPr>
            <w:r w:rsidRPr="00B2252E">
              <w:rPr>
                <w:sz w:val="22"/>
              </w:rPr>
              <w:t>(-0.3, 29.5)</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2FBD567" w14:textId="77777777" w:rsidR="00B2252E" w:rsidRPr="00B2252E" w:rsidRDefault="00B2252E" w:rsidP="00B2252E">
            <w:pPr>
              <w:widowControl w:val="0"/>
              <w:autoSpaceDE w:val="0"/>
              <w:autoSpaceDN w:val="0"/>
              <w:adjustRightInd w:val="0"/>
              <w:rPr>
                <w:sz w:val="22"/>
              </w:rPr>
            </w:pPr>
            <w:r w:rsidRPr="00B2252E">
              <w:rPr>
                <w:sz w:val="22"/>
              </w:rPr>
              <w:t>11.0 (10.0)</w:t>
            </w:r>
          </w:p>
          <w:p w14:paraId="32369A86" w14:textId="77777777" w:rsidR="00B2252E" w:rsidRPr="00B2252E" w:rsidRDefault="00B2252E" w:rsidP="00B2252E">
            <w:pPr>
              <w:widowControl w:val="0"/>
              <w:autoSpaceDE w:val="0"/>
              <w:autoSpaceDN w:val="0"/>
              <w:adjustRightInd w:val="0"/>
              <w:rPr>
                <w:sz w:val="22"/>
              </w:rPr>
            </w:pPr>
            <w:r w:rsidRPr="00B2252E">
              <w:rPr>
                <w:sz w:val="22"/>
              </w:rPr>
              <w:t>23.8 (15.3)</w:t>
            </w:r>
          </w:p>
          <w:p w14:paraId="73D2D2CE" w14:textId="77777777" w:rsidR="00B2252E" w:rsidRPr="00B2252E" w:rsidRDefault="00B2252E" w:rsidP="00B2252E">
            <w:pPr>
              <w:widowControl w:val="0"/>
              <w:autoSpaceDE w:val="0"/>
              <w:autoSpaceDN w:val="0"/>
              <w:adjustRightInd w:val="0"/>
              <w:rPr>
                <w:sz w:val="22"/>
              </w:rPr>
            </w:pPr>
            <w:r w:rsidRPr="00B2252E">
              <w:rPr>
                <w:sz w:val="22"/>
              </w:rPr>
              <w:t>13.5 (15.0)</w:t>
            </w:r>
          </w:p>
          <w:p w14:paraId="79EE17A7" w14:textId="77777777" w:rsidR="00B2252E" w:rsidRPr="00B2252E" w:rsidRDefault="00B2252E" w:rsidP="00B2252E">
            <w:pPr>
              <w:widowControl w:val="0"/>
              <w:autoSpaceDE w:val="0"/>
              <w:autoSpaceDN w:val="0"/>
              <w:adjustRightInd w:val="0"/>
              <w:rPr>
                <w:sz w:val="22"/>
              </w:rPr>
            </w:pPr>
            <w:r w:rsidRPr="00B2252E">
              <w:rPr>
                <w:sz w:val="22"/>
              </w:rPr>
              <w:t>(6.7, 20.4)</w:t>
            </w:r>
          </w:p>
        </w:tc>
      </w:tr>
      <w:tr w:rsidR="00B2252E" w:rsidRPr="00B2252E" w14:paraId="04427385"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6C81109" w14:textId="77777777" w:rsidR="00B2252E" w:rsidRPr="00B2252E" w:rsidRDefault="00B2252E" w:rsidP="00B2252E">
            <w:pPr>
              <w:widowControl w:val="0"/>
              <w:autoSpaceDE w:val="0"/>
              <w:autoSpaceDN w:val="0"/>
              <w:adjustRightInd w:val="0"/>
              <w:ind w:left="57"/>
              <w:rPr>
                <w:bCs/>
                <w:sz w:val="22"/>
                <w:lang w:val="da-DK"/>
              </w:rPr>
            </w:pPr>
            <w:r w:rsidRPr="00B2252E">
              <w:rPr>
                <w:bCs/>
                <w:sz w:val="22"/>
                <w:lang w:val="da-DK"/>
              </w:rPr>
              <w:t>Antal overaktive detrusorkontraktioner (&gt; 15 cm H</w:t>
            </w:r>
            <w:r w:rsidRPr="00B2252E">
              <w:rPr>
                <w:bCs/>
                <w:sz w:val="22"/>
                <w:vertAlign w:val="subscript"/>
                <w:lang w:val="da-DK"/>
              </w:rPr>
              <w:t>2</w:t>
            </w:r>
            <w:r w:rsidRPr="00B2252E">
              <w:rPr>
                <w:bCs/>
                <w:sz w:val="22"/>
                <w:lang w:val="da-DK"/>
              </w:rPr>
              <w:t>O)†</w:t>
            </w:r>
          </w:p>
        </w:tc>
      </w:tr>
      <w:tr w:rsidR="00B2252E" w:rsidRPr="00B2252E" w14:paraId="6CCF6C8A"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456625A"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0107D08B"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23D820AA"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3569EE21"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BE13B32" w14:textId="77777777" w:rsidR="00B2252E" w:rsidRPr="00B2252E" w:rsidRDefault="00B2252E" w:rsidP="00B2252E">
            <w:pPr>
              <w:widowControl w:val="0"/>
              <w:autoSpaceDE w:val="0"/>
              <w:autoSpaceDN w:val="0"/>
              <w:adjustRightInd w:val="0"/>
              <w:rPr>
                <w:sz w:val="22"/>
              </w:rPr>
            </w:pPr>
            <w:r w:rsidRPr="00B2252E">
              <w:rPr>
                <w:sz w:val="22"/>
              </w:rPr>
              <w:t>3.0 (3.8)</w:t>
            </w:r>
          </w:p>
          <w:p w14:paraId="4AA8CF2C" w14:textId="77777777" w:rsidR="00B2252E" w:rsidRPr="00B2252E" w:rsidRDefault="00B2252E" w:rsidP="00B2252E">
            <w:pPr>
              <w:widowControl w:val="0"/>
              <w:autoSpaceDE w:val="0"/>
              <w:autoSpaceDN w:val="0"/>
              <w:adjustRightInd w:val="0"/>
              <w:rPr>
                <w:sz w:val="22"/>
              </w:rPr>
            </w:pPr>
            <w:r w:rsidRPr="00B2252E">
              <w:rPr>
                <w:sz w:val="22"/>
              </w:rPr>
              <w:t>1.0 (2.2)</w:t>
            </w:r>
          </w:p>
          <w:p w14:paraId="492094F0" w14:textId="77777777" w:rsidR="00B2252E" w:rsidRPr="00B2252E" w:rsidRDefault="00B2252E" w:rsidP="00B2252E">
            <w:pPr>
              <w:widowControl w:val="0"/>
              <w:autoSpaceDE w:val="0"/>
              <w:autoSpaceDN w:val="0"/>
              <w:adjustRightInd w:val="0"/>
              <w:rPr>
                <w:sz w:val="22"/>
              </w:rPr>
            </w:pPr>
            <w:r w:rsidRPr="00B2252E">
              <w:rPr>
                <w:sz w:val="22"/>
              </w:rPr>
              <w:t>-1.8 (4.1)</w:t>
            </w:r>
          </w:p>
          <w:p w14:paraId="01FE9FBF" w14:textId="77777777" w:rsidR="00B2252E" w:rsidRPr="00B2252E" w:rsidRDefault="00B2252E" w:rsidP="00B2252E">
            <w:pPr>
              <w:widowControl w:val="0"/>
              <w:autoSpaceDE w:val="0"/>
              <w:autoSpaceDN w:val="0"/>
              <w:adjustRightInd w:val="0"/>
              <w:rPr>
                <w:sz w:val="22"/>
              </w:rPr>
            </w:pPr>
            <w:r w:rsidRPr="00B2252E">
              <w:rPr>
                <w:sz w:val="22"/>
              </w:rPr>
              <w:t>(-3.2, -0.4)</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0430CB9" w14:textId="77777777" w:rsidR="00B2252E" w:rsidRPr="00B2252E" w:rsidRDefault="00B2252E" w:rsidP="00B2252E">
            <w:pPr>
              <w:widowControl w:val="0"/>
              <w:autoSpaceDE w:val="0"/>
              <w:autoSpaceDN w:val="0"/>
              <w:adjustRightInd w:val="0"/>
              <w:rPr>
                <w:sz w:val="22"/>
              </w:rPr>
            </w:pPr>
            <w:r w:rsidRPr="00B2252E">
              <w:rPr>
                <w:sz w:val="22"/>
              </w:rPr>
              <w:t>2.0 (2.9)</w:t>
            </w:r>
          </w:p>
          <w:p w14:paraId="474BE0BD" w14:textId="77777777" w:rsidR="00B2252E" w:rsidRPr="00B2252E" w:rsidRDefault="00B2252E" w:rsidP="00B2252E">
            <w:pPr>
              <w:widowControl w:val="0"/>
              <w:autoSpaceDE w:val="0"/>
              <w:autoSpaceDN w:val="0"/>
              <w:adjustRightInd w:val="0"/>
              <w:rPr>
                <w:sz w:val="22"/>
              </w:rPr>
            </w:pPr>
            <w:r w:rsidRPr="00B2252E">
              <w:rPr>
                <w:sz w:val="22"/>
              </w:rPr>
              <w:t>1.4 (2.3)</w:t>
            </w:r>
          </w:p>
          <w:p w14:paraId="44F980BC" w14:textId="77777777" w:rsidR="00B2252E" w:rsidRPr="00B2252E" w:rsidRDefault="00B2252E" w:rsidP="00B2252E">
            <w:pPr>
              <w:widowControl w:val="0"/>
              <w:autoSpaceDE w:val="0"/>
              <w:autoSpaceDN w:val="0"/>
              <w:adjustRightInd w:val="0"/>
              <w:rPr>
                <w:sz w:val="22"/>
              </w:rPr>
            </w:pPr>
            <w:r w:rsidRPr="00B2252E">
              <w:rPr>
                <w:sz w:val="22"/>
              </w:rPr>
              <w:t>-0.7 (3.8)</w:t>
            </w:r>
          </w:p>
          <w:p w14:paraId="32CC907A" w14:textId="77777777" w:rsidR="00B2252E" w:rsidRPr="00B2252E" w:rsidRDefault="00B2252E" w:rsidP="00B2252E">
            <w:pPr>
              <w:widowControl w:val="0"/>
              <w:autoSpaceDE w:val="0"/>
              <w:autoSpaceDN w:val="0"/>
              <w:adjustRightInd w:val="0"/>
              <w:rPr>
                <w:sz w:val="22"/>
              </w:rPr>
            </w:pPr>
            <w:r w:rsidRPr="00B2252E">
              <w:rPr>
                <w:sz w:val="22"/>
              </w:rPr>
              <w:t>(-2.4, 0.9)</w:t>
            </w:r>
          </w:p>
        </w:tc>
      </w:tr>
      <w:tr w:rsidR="00B2252E" w:rsidRPr="00B2252E" w14:paraId="16F36E58"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6C83CA43"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Detrusortryk (cm H</w:t>
            </w:r>
            <w:r w:rsidRPr="00B2252E">
              <w:rPr>
                <w:sz w:val="22"/>
                <w:vertAlign w:val="subscript"/>
                <w:lang w:val="da-DK"/>
              </w:rPr>
              <w:t>2</w:t>
            </w:r>
            <w:r w:rsidRPr="00B2252E">
              <w:rPr>
                <w:sz w:val="22"/>
                <w:lang w:val="da-DK"/>
              </w:rPr>
              <w:t>O) ved afslutningen af blærefyldning†</w:t>
            </w:r>
          </w:p>
        </w:tc>
      </w:tr>
      <w:tr w:rsidR="00B2252E" w:rsidRPr="00B2252E" w14:paraId="57FC57E0"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13DCDF24"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1B693242"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2DB9E113"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4EFC5A3D"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21EA2D0" w14:textId="77777777" w:rsidR="00B2252E" w:rsidRPr="00B2252E" w:rsidRDefault="00B2252E" w:rsidP="00B2252E">
            <w:pPr>
              <w:widowControl w:val="0"/>
              <w:autoSpaceDE w:val="0"/>
              <w:autoSpaceDN w:val="0"/>
              <w:adjustRightInd w:val="0"/>
              <w:rPr>
                <w:sz w:val="22"/>
              </w:rPr>
            </w:pPr>
            <w:r w:rsidRPr="00B2252E">
              <w:rPr>
                <w:sz w:val="22"/>
              </w:rPr>
              <w:t>42.2 (26.2)</w:t>
            </w:r>
          </w:p>
          <w:p w14:paraId="2C58D86F" w14:textId="77777777" w:rsidR="00B2252E" w:rsidRPr="00B2252E" w:rsidRDefault="00B2252E" w:rsidP="00B2252E">
            <w:pPr>
              <w:widowControl w:val="0"/>
              <w:autoSpaceDE w:val="0"/>
              <w:autoSpaceDN w:val="0"/>
              <w:adjustRightInd w:val="0"/>
              <w:rPr>
                <w:sz w:val="22"/>
              </w:rPr>
            </w:pPr>
            <w:r w:rsidRPr="00B2252E">
              <w:rPr>
                <w:sz w:val="22"/>
              </w:rPr>
              <w:t>25.6 (21.2)</w:t>
            </w:r>
          </w:p>
          <w:p w14:paraId="6773F01D" w14:textId="77777777" w:rsidR="00B2252E" w:rsidRPr="00B2252E" w:rsidRDefault="00B2252E" w:rsidP="00B2252E">
            <w:pPr>
              <w:widowControl w:val="0"/>
              <w:autoSpaceDE w:val="0"/>
              <w:autoSpaceDN w:val="0"/>
              <w:adjustRightInd w:val="0"/>
              <w:rPr>
                <w:sz w:val="22"/>
              </w:rPr>
            </w:pPr>
            <w:r w:rsidRPr="00B2252E">
              <w:rPr>
                <w:sz w:val="22"/>
              </w:rPr>
              <w:t>-18.1 (19.9)</w:t>
            </w:r>
          </w:p>
          <w:p w14:paraId="65CF87E9" w14:textId="77777777" w:rsidR="00B2252E" w:rsidRPr="00B2252E" w:rsidRDefault="00B2252E" w:rsidP="00B2252E">
            <w:pPr>
              <w:widowControl w:val="0"/>
              <w:autoSpaceDE w:val="0"/>
              <w:autoSpaceDN w:val="0"/>
              <w:adjustRightInd w:val="0"/>
              <w:rPr>
                <w:sz w:val="22"/>
              </w:rPr>
            </w:pPr>
            <w:r w:rsidRPr="00B2252E">
              <w:rPr>
                <w:sz w:val="22"/>
              </w:rPr>
              <w:t>(-24.8, -11.3)</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659DEDC1" w14:textId="77777777" w:rsidR="00B2252E" w:rsidRPr="00B2252E" w:rsidRDefault="00B2252E" w:rsidP="00B2252E">
            <w:pPr>
              <w:widowControl w:val="0"/>
              <w:autoSpaceDE w:val="0"/>
              <w:autoSpaceDN w:val="0"/>
              <w:adjustRightInd w:val="0"/>
              <w:rPr>
                <w:sz w:val="22"/>
              </w:rPr>
            </w:pPr>
            <w:r w:rsidRPr="00B2252E">
              <w:rPr>
                <w:sz w:val="22"/>
              </w:rPr>
              <w:t>38.6 (17.9)</w:t>
            </w:r>
          </w:p>
          <w:p w14:paraId="76B6E578" w14:textId="77777777" w:rsidR="00B2252E" w:rsidRPr="00B2252E" w:rsidRDefault="00B2252E" w:rsidP="00B2252E">
            <w:pPr>
              <w:widowControl w:val="0"/>
              <w:autoSpaceDE w:val="0"/>
              <w:autoSpaceDN w:val="0"/>
              <w:adjustRightInd w:val="0"/>
              <w:rPr>
                <w:sz w:val="22"/>
              </w:rPr>
            </w:pPr>
            <w:r w:rsidRPr="00B2252E">
              <w:rPr>
                <w:sz w:val="22"/>
              </w:rPr>
              <w:t>27.8 (27.8)</w:t>
            </w:r>
          </w:p>
          <w:p w14:paraId="618E1D0F" w14:textId="77777777" w:rsidR="00B2252E" w:rsidRPr="00B2252E" w:rsidRDefault="00B2252E" w:rsidP="00B2252E">
            <w:pPr>
              <w:widowControl w:val="0"/>
              <w:autoSpaceDE w:val="0"/>
              <w:autoSpaceDN w:val="0"/>
              <w:adjustRightInd w:val="0"/>
              <w:rPr>
                <w:sz w:val="22"/>
              </w:rPr>
            </w:pPr>
            <w:r w:rsidRPr="00B2252E">
              <w:rPr>
                <w:sz w:val="22"/>
              </w:rPr>
              <w:t>-13.1 (19.9)</w:t>
            </w:r>
          </w:p>
          <w:p w14:paraId="23FDBB04" w14:textId="77777777" w:rsidR="00B2252E" w:rsidRPr="00B2252E" w:rsidRDefault="00B2252E" w:rsidP="00B2252E">
            <w:pPr>
              <w:widowControl w:val="0"/>
              <w:autoSpaceDE w:val="0"/>
              <w:autoSpaceDN w:val="0"/>
              <w:adjustRightInd w:val="0"/>
              <w:rPr>
                <w:sz w:val="22"/>
              </w:rPr>
            </w:pPr>
            <w:r w:rsidRPr="00B2252E">
              <w:rPr>
                <w:sz w:val="22"/>
              </w:rPr>
              <w:t>(-22.0, -4.3)</w:t>
            </w:r>
          </w:p>
        </w:tc>
      </w:tr>
      <w:tr w:rsidR="00B2252E" w:rsidRPr="00B2252E" w14:paraId="2C4899F6"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6C41AE6" w14:textId="77777777" w:rsidR="00B2252E" w:rsidRPr="00B2252E" w:rsidRDefault="00B2252E" w:rsidP="00B2252E">
            <w:pPr>
              <w:widowControl w:val="0"/>
              <w:autoSpaceDE w:val="0"/>
              <w:autoSpaceDN w:val="0"/>
              <w:adjustRightInd w:val="0"/>
              <w:ind w:left="57"/>
              <w:rPr>
                <w:bCs/>
                <w:sz w:val="22"/>
                <w:lang w:val="da-DK"/>
              </w:rPr>
            </w:pPr>
            <w:r w:rsidRPr="00B2252E">
              <w:rPr>
                <w:bCs/>
                <w:sz w:val="22"/>
                <w:lang w:val="da-DK"/>
              </w:rPr>
              <w:t>Blærevolumen før første detrusorkontraktion (&gt; 15 cm H</w:t>
            </w:r>
            <w:r w:rsidRPr="00B2252E">
              <w:rPr>
                <w:bCs/>
                <w:sz w:val="22"/>
                <w:vertAlign w:val="subscript"/>
                <w:lang w:val="da-DK"/>
              </w:rPr>
              <w:t>2</w:t>
            </w:r>
            <w:r w:rsidRPr="00B2252E">
              <w:rPr>
                <w:bCs/>
                <w:sz w:val="22"/>
                <w:lang w:val="da-DK"/>
              </w:rPr>
              <w:t>O)†</w:t>
            </w:r>
          </w:p>
        </w:tc>
      </w:tr>
      <w:tr w:rsidR="00B2252E" w:rsidRPr="00B2252E" w14:paraId="5CDAC483"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84732E1"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5E77CAA3"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34A5B472"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54083C19"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5AF67E3F" w14:textId="77777777" w:rsidR="00B2252E" w:rsidRPr="00B2252E" w:rsidRDefault="00B2252E" w:rsidP="00B2252E">
            <w:pPr>
              <w:widowControl w:val="0"/>
              <w:autoSpaceDE w:val="0"/>
              <w:autoSpaceDN w:val="0"/>
              <w:adjustRightInd w:val="0"/>
              <w:rPr>
                <w:sz w:val="22"/>
              </w:rPr>
            </w:pPr>
            <w:r w:rsidRPr="00B2252E">
              <w:rPr>
                <w:sz w:val="22"/>
              </w:rPr>
              <w:t>115.8 (87.0)</w:t>
            </w:r>
          </w:p>
          <w:p w14:paraId="3D5617B2" w14:textId="77777777" w:rsidR="00B2252E" w:rsidRPr="00B2252E" w:rsidRDefault="00B2252E" w:rsidP="00B2252E">
            <w:pPr>
              <w:widowControl w:val="0"/>
              <w:autoSpaceDE w:val="0"/>
              <w:autoSpaceDN w:val="0"/>
              <w:adjustRightInd w:val="0"/>
              <w:rPr>
                <w:sz w:val="22"/>
              </w:rPr>
            </w:pPr>
            <w:r w:rsidRPr="00B2252E">
              <w:rPr>
                <w:sz w:val="22"/>
              </w:rPr>
              <w:t>207.9 (97.8)</w:t>
            </w:r>
          </w:p>
          <w:p w14:paraId="2AD7D537" w14:textId="77777777" w:rsidR="00B2252E" w:rsidRPr="00B2252E" w:rsidRDefault="00B2252E" w:rsidP="00B2252E">
            <w:pPr>
              <w:widowControl w:val="0"/>
              <w:autoSpaceDE w:val="0"/>
              <w:autoSpaceDN w:val="0"/>
              <w:adjustRightInd w:val="0"/>
              <w:rPr>
                <w:sz w:val="22"/>
              </w:rPr>
            </w:pPr>
            <w:r w:rsidRPr="00B2252E">
              <w:rPr>
                <w:sz w:val="22"/>
              </w:rPr>
              <w:t>93.1 (88.1)</w:t>
            </w:r>
          </w:p>
          <w:p w14:paraId="351B78BF" w14:textId="77777777" w:rsidR="00B2252E" w:rsidRPr="00B2252E" w:rsidRDefault="00B2252E" w:rsidP="00B2252E">
            <w:pPr>
              <w:widowControl w:val="0"/>
              <w:autoSpaceDE w:val="0"/>
              <w:autoSpaceDN w:val="0"/>
              <w:adjustRightInd w:val="0"/>
              <w:rPr>
                <w:sz w:val="22"/>
              </w:rPr>
            </w:pPr>
            <w:r w:rsidRPr="00B2252E">
              <w:rPr>
                <w:sz w:val="22"/>
              </w:rPr>
              <w:t>(64.1, 122.1)</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9F40216" w14:textId="77777777" w:rsidR="00B2252E" w:rsidRPr="00B2252E" w:rsidRDefault="00B2252E" w:rsidP="00B2252E">
            <w:pPr>
              <w:widowControl w:val="0"/>
              <w:autoSpaceDE w:val="0"/>
              <w:autoSpaceDN w:val="0"/>
              <w:adjustRightInd w:val="0"/>
              <w:rPr>
                <w:sz w:val="22"/>
              </w:rPr>
            </w:pPr>
            <w:r w:rsidRPr="00B2252E">
              <w:rPr>
                <w:sz w:val="22"/>
              </w:rPr>
              <w:t>185.2 (121.2)</w:t>
            </w:r>
          </w:p>
          <w:p w14:paraId="210109DE" w14:textId="77777777" w:rsidR="00B2252E" w:rsidRPr="00B2252E" w:rsidRDefault="00B2252E" w:rsidP="00B2252E">
            <w:pPr>
              <w:widowControl w:val="0"/>
              <w:autoSpaceDE w:val="0"/>
              <w:autoSpaceDN w:val="0"/>
              <w:adjustRightInd w:val="0"/>
              <w:rPr>
                <w:sz w:val="22"/>
              </w:rPr>
            </w:pPr>
            <w:r w:rsidRPr="00B2252E">
              <w:rPr>
                <w:sz w:val="22"/>
              </w:rPr>
              <w:t>298.7 (144.4)</w:t>
            </w:r>
          </w:p>
          <w:p w14:paraId="3FE45780" w14:textId="77777777" w:rsidR="00B2252E" w:rsidRPr="00B2252E" w:rsidRDefault="00B2252E" w:rsidP="00B2252E">
            <w:pPr>
              <w:widowControl w:val="0"/>
              <w:autoSpaceDE w:val="0"/>
              <w:autoSpaceDN w:val="0"/>
              <w:adjustRightInd w:val="0"/>
              <w:rPr>
                <w:sz w:val="22"/>
              </w:rPr>
            </w:pPr>
            <w:r w:rsidRPr="00B2252E">
              <w:rPr>
                <w:sz w:val="22"/>
              </w:rPr>
              <w:t>121.3 (159.8)</w:t>
            </w:r>
          </w:p>
          <w:p w14:paraId="35FD98C6" w14:textId="77777777" w:rsidR="00B2252E" w:rsidRPr="00B2252E" w:rsidRDefault="00B2252E" w:rsidP="00B2252E">
            <w:pPr>
              <w:widowControl w:val="0"/>
              <w:autoSpaceDE w:val="0"/>
              <w:autoSpaceDN w:val="0"/>
              <w:adjustRightInd w:val="0"/>
              <w:rPr>
                <w:sz w:val="22"/>
              </w:rPr>
            </w:pPr>
            <w:r w:rsidRPr="00B2252E">
              <w:rPr>
                <w:sz w:val="22"/>
              </w:rPr>
              <w:t>(53.8, 188.8)</w:t>
            </w:r>
          </w:p>
        </w:tc>
      </w:tr>
      <w:tr w:rsidR="00B2252E" w:rsidRPr="00B2252E" w14:paraId="6F6A37B5"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FB1B499" w14:textId="77777777" w:rsidR="00B2252E" w:rsidRPr="00B2252E" w:rsidRDefault="00B2252E" w:rsidP="00B2252E">
            <w:pPr>
              <w:widowControl w:val="0"/>
              <w:autoSpaceDE w:val="0"/>
              <w:autoSpaceDN w:val="0"/>
              <w:adjustRightInd w:val="0"/>
              <w:ind w:left="57"/>
              <w:rPr>
                <w:bCs/>
                <w:sz w:val="22"/>
                <w:lang w:val="da-DK"/>
              </w:rPr>
            </w:pPr>
            <w:r w:rsidRPr="00B2252E">
              <w:rPr>
                <w:bCs/>
                <w:sz w:val="22"/>
                <w:lang w:val="da-DK"/>
              </w:rPr>
              <w:t>Maksimal kateteriseret urinvolumen pr. dag (ml)†</w:t>
            </w:r>
          </w:p>
        </w:tc>
      </w:tr>
      <w:tr w:rsidR="00B2252E" w:rsidRPr="00B2252E" w14:paraId="75C113B5"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58E80AB2"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58EF36E3"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6C1995B4"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2C91022B"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520CF520" w14:textId="77777777" w:rsidR="00B2252E" w:rsidRPr="00B2252E" w:rsidRDefault="00B2252E" w:rsidP="00B2252E">
            <w:pPr>
              <w:widowControl w:val="0"/>
              <w:autoSpaceDE w:val="0"/>
              <w:autoSpaceDN w:val="0"/>
              <w:adjustRightInd w:val="0"/>
              <w:rPr>
                <w:sz w:val="22"/>
              </w:rPr>
            </w:pPr>
            <w:r w:rsidRPr="00B2252E">
              <w:rPr>
                <w:sz w:val="22"/>
              </w:rPr>
              <w:t>300.1 (105.7)</w:t>
            </w:r>
          </w:p>
          <w:p w14:paraId="5624ADBB" w14:textId="77777777" w:rsidR="00B2252E" w:rsidRPr="00B2252E" w:rsidRDefault="00B2252E" w:rsidP="00B2252E">
            <w:pPr>
              <w:widowControl w:val="0"/>
              <w:autoSpaceDE w:val="0"/>
              <w:autoSpaceDN w:val="0"/>
              <w:adjustRightInd w:val="0"/>
              <w:rPr>
                <w:sz w:val="22"/>
              </w:rPr>
            </w:pPr>
            <w:r w:rsidRPr="00B2252E">
              <w:rPr>
                <w:sz w:val="22"/>
              </w:rPr>
              <w:t>345.9 (84.6)</w:t>
            </w:r>
          </w:p>
          <w:p w14:paraId="5829C85B" w14:textId="77777777" w:rsidR="00B2252E" w:rsidRPr="00B2252E" w:rsidRDefault="00B2252E" w:rsidP="00B2252E">
            <w:pPr>
              <w:widowControl w:val="0"/>
              <w:autoSpaceDE w:val="0"/>
              <w:autoSpaceDN w:val="0"/>
              <w:adjustRightInd w:val="0"/>
              <w:rPr>
                <w:sz w:val="22"/>
              </w:rPr>
            </w:pPr>
            <w:r w:rsidRPr="00B2252E">
              <w:rPr>
                <w:sz w:val="22"/>
              </w:rPr>
              <w:t>44.2 (98.3)</w:t>
            </w:r>
          </w:p>
          <w:p w14:paraId="55F83AB3" w14:textId="77777777" w:rsidR="00B2252E" w:rsidRPr="00B2252E" w:rsidRDefault="00B2252E" w:rsidP="00B2252E">
            <w:pPr>
              <w:widowControl w:val="0"/>
              <w:autoSpaceDE w:val="0"/>
              <w:autoSpaceDN w:val="0"/>
              <w:adjustRightInd w:val="0"/>
              <w:rPr>
                <w:sz w:val="22"/>
              </w:rPr>
            </w:pPr>
            <w:r w:rsidRPr="00B2252E">
              <w:rPr>
                <w:sz w:val="22"/>
              </w:rPr>
              <w:t>(13.2, 75.2)</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EF0D798" w14:textId="77777777" w:rsidR="00B2252E" w:rsidRPr="00B2252E" w:rsidRDefault="00B2252E" w:rsidP="00B2252E">
            <w:pPr>
              <w:widowControl w:val="0"/>
              <w:autoSpaceDE w:val="0"/>
              <w:autoSpaceDN w:val="0"/>
              <w:adjustRightInd w:val="0"/>
              <w:rPr>
                <w:sz w:val="22"/>
              </w:rPr>
            </w:pPr>
            <w:r w:rsidRPr="00B2252E">
              <w:rPr>
                <w:sz w:val="22"/>
              </w:rPr>
              <w:t>367.5 (119.0)</w:t>
            </w:r>
          </w:p>
          <w:p w14:paraId="688BB1A4" w14:textId="77777777" w:rsidR="00B2252E" w:rsidRPr="00B2252E" w:rsidRDefault="00B2252E" w:rsidP="00B2252E">
            <w:pPr>
              <w:widowControl w:val="0"/>
              <w:autoSpaceDE w:val="0"/>
              <w:autoSpaceDN w:val="0"/>
              <w:adjustRightInd w:val="0"/>
              <w:rPr>
                <w:sz w:val="22"/>
              </w:rPr>
            </w:pPr>
            <w:r w:rsidRPr="00B2252E">
              <w:rPr>
                <w:sz w:val="22"/>
              </w:rPr>
              <w:t>449.9 (146.6)</w:t>
            </w:r>
          </w:p>
          <w:p w14:paraId="522ACF19" w14:textId="77777777" w:rsidR="00B2252E" w:rsidRPr="00B2252E" w:rsidRDefault="00B2252E" w:rsidP="00B2252E">
            <w:pPr>
              <w:widowControl w:val="0"/>
              <w:autoSpaceDE w:val="0"/>
              <w:autoSpaceDN w:val="0"/>
              <w:adjustRightInd w:val="0"/>
              <w:rPr>
                <w:sz w:val="22"/>
              </w:rPr>
            </w:pPr>
            <w:r w:rsidRPr="00B2252E">
              <w:rPr>
                <w:sz w:val="22"/>
              </w:rPr>
              <w:t>81.3 (117.7)</w:t>
            </w:r>
          </w:p>
          <w:p w14:paraId="4F57C8D9" w14:textId="77777777" w:rsidR="00B2252E" w:rsidRPr="00B2252E" w:rsidRDefault="00B2252E" w:rsidP="00B2252E">
            <w:pPr>
              <w:widowControl w:val="0"/>
              <w:autoSpaceDE w:val="0"/>
              <w:autoSpaceDN w:val="0"/>
              <w:adjustRightInd w:val="0"/>
              <w:rPr>
                <w:sz w:val="22"/>
              </w:rPr>
            </w:pPr>
            <w:r w:rsidRPr="00B2252E">
              <w:rPr>
                <w:sz w:val="22"/>
              </w:rPr>
              <w:t>(30.4, 132.3)</w:t>
            </w:r>
          </w:p>
        </w:tc>
      </w:tr>
      <w:tr w:rsidR="00B2252E" w:rsidRPr="00B2252E" w14:paraId="167FBEE6"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B1DEFA8" w14:textId="77777777" w:rsidR="00B2252E" w:rsidRPr="00B2252E" w:rsidRDefault="00B2252E" w:rsidP="00B2252E">
            <w:pPr>
              <w:widowControl w:val="0"/>
              <w:autoSpaceDE w:val="0"/>
              <w:autoSpaceDN w:val="0"/>
              <w:adjustRightInd w:val="0"/>
              <w:ind w:left="57"/>
              <w:rPr>
                <w:bCs/>
                <w:sz w:val="22"/>
                <w:lang w:val="da-DK"/>
              </w:rPr>
            </w:pPr>
            <w:r w:rsidRPr="00B2252E">
              <w:rPr>
                <w:bCs/>
                <w:sz w:val="22"/>
                <w:lang w:val="da-DK"/>
              </w:rPr>
              <w:t>Antal episoder med lækage pr. dag†</w:t>
            </w:r>
          </w:p>
        </w:tc>
      </w:tr>
      <w:tr w:rsidR="00B2252E" w:rsidRPr="00B2252E" w14:paraId="360B20D6"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DCB403E"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396C5753"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0C5EEBF7"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308F09EB"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A7C5622" w14:textId="77777777" w:rsidR="00B2252E" w:rsidRPr="00B2252E" w:rsidRDefault="00B2252E" w:rsidP="00B2252E">
            <w:pPr>
              <w:widowControl w:val="0"/>
              <w:autoSpaceDE w:val="0"/>
              <w:autoSpaceDN w:val="0"/>
              <w:adjustRightInd w:val="0"/>
              <w:rPr>
                <w:sz w:val="22"/>
              </w:rPr>
            </w:pPr>
            <w:r w:rsidRPr="00B2252E">
              <w:rPr>
                <w:sz w:val="22"/>
              </w:rPr>
              <w:t>3.2 (3.7)</w:t>
            </w:r>
          </w:p>
          <w:p w14:paraId="0F01476C" w14:textId="77777777" w:rsidR="00B2252E" w:rsidRPr="00B2252E" w:rsidRDefault="00B2252E" w:rsidP="00B2252E">
            <w:pPr>
              <w:widowControl w:val="0"/>
              <w:autoSpaceDE w:val="0"/>
              <w:autoSpaceDN w:val="0"/>
              <w:adjustRightInd w:val="0"/>
              <w:rPr>
                <w:sz w:val="22"/>
              </w:rPr>
            </w:pPr>
            <w:r w:rsidRPr="00B2252E">
              <w:rPr>
                <w:sz w:val="22"/>
              </w:rPr>
              <w:t>0.7 (1.2)</w:t>
            </w:r>
          </w:p>
          <w:p w14:paraId="3F1DB175" w14:textId="77777777" w:rsidR="00B2252E" w:rsidRPr="00B2252E" w:rsidRDefault="00B2252E" w:rsidP="00B2252E">
            <w:pPr>
              <w:widowControl w:val="0"/>
              <w:autoSpaceDE w:val="0"/>
              <w:autoSpaceDN w:val="0"/>
              <w:adjustRightInd w:val="0"/>
              <w:rPr>
                <w:sz w:val="22"/>
              </w:rPr>
            </w:pPr>
            <w:r w:rsidRPr="00B2252E">
              <w:rPr>
                <w:sz w:val="22"/>
              </w:rPr>
              <w:t>-2.0 (3.2)</w:t>
            </w:r>
          </w:p>
          <w:p w14:paraId="712DAA52" w14:textId="77777777" w:rsidR="00B2252E" w:rsidRPr="00B2252E" w:rsidRDefault="00B2252E" w:rsidP="00B2252E">
            <w:pPr>
              <w:widowControl w:val="0"/>
              <w:autoSpaceDE w:val="0"/>
              <w:autoSpaceDN w:val="0"/>
              <w:adjustRightInd w:val="0"/>
              <w:rPr>
                <w:sz w:val="22"/>
              </w:rPr>
            </w:pPr>
            <w:r w:rsidRPr="00B2252E">
              <w:rPr>
                <w:sz w:val="22"/>
              </w:rPr>
              <w:t>(-3.2, -0.7)</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FEBFD4D" w14:textId="77777777" w:rsidR="00B2252E" w:rsidRPr="00B2252E" w:rsidRDefault="00B2252E" w:rsidP="00B2252E">
            <w:pPr>
              <w:widowControl w:val="0"/>
              <w:autoSpaceDE w:val="0"/>
              <w:autoSpaceDN w:val="0"/>
              <w:adjustRightInd w:val="0"/>
              <w:rPr>
                <w:sz w:val="22"/>
              </w:rPr>
            </w:pPr>
            <w:r w:rsidRPr="00B2252E">
              <w:rPr>
                <w:sz w:val="22"/>
              </w:rPr>
              <w:t>1.8 (1.7)</w:t>
            </w:r>
          </w:p>
          <w:p w14:paraId="1B617A5F" w14:textId="77777777" w:rsidR="00B2252E" w:rsidRPr="00B2252E" w:rsidRDefault="00B2252E" w:rsidP="00B2252E">
            <w:pPr>
              <w:widowControl w:val="0"/>
              <w:autoSpaceDE w:val="0"/>
              <w:autoSpaceDN w:val="0"/>
              <w:adjustRightInd w:val="0"/>
              <w:rPr>
                <w:sz w:val="22"/>
              </w:rPr>
            </w:pPr>
            <w:r w:rsidRPr="00B2252E">
              <w:rPr>
                <w:sz w:val="22"/>
              </w:rPr>
              <w:t>0.9 (1.2)</w:t>
            </w:r>
          </w:p>
          <w:p w14:paraId="05A04AAF" w14:textId="77777777" w:rsidR="00B2252E" w:rsidRPr="00B2252E" w:rsidRDefault="00B2252E" w:rsidP="00B2252E">
            <w:pPr>
              <w:widowControl w:val="0"/>
              <w:autoSpaceDE w:val="0"/>
              <w:autoSpaceDN w:val="0"/>
              <w:adjustRightInd w:val="0"/>
              <w:rPr>
                <w:sz w:val="22"/>
              </w:rPr>
            </w:pPr>
            <w:r w:rsidRPr="00B2252E">
              <w:rPr>
                <w:sz w:val="22"/>
              </w:rPr>
              <w:t>-1.0 (1.1)</w:t>
            </w:r>
          </w:p>
          <w:p w14:paraId="715DC994" w14:textId="77777777" w:rsidR="00B2252E" w:rsidRPr="00B2252E" w:rsidRDefault="00B2252E" w:rsidP="00B2252E">
            <w:pPr>
              <w:widowControl w:val="0"/>
              <w:autoSpaceDE w:val="0"/>
              <w:autoSpaceDN w:val="0"/>
              <w:adjustRightInd w:val="0"/>
              <w:rPr>
                <w:sz w:val="22"/>
              </w:rPr>
            </w:pPr>
            <w:r w:rsidRPr="00B2252E">
              <w:rPr>
                <w:sz w:val="22"/>
              </w:rPr>
              <w:t>(-1.5, -0.5)</w:t>
            </w:r>
          </w:p>
        </w:tc>
      </w:tr>
    </w:tbl>
    <w:p w14:paraId="63F78523" w14:textId="77777777" w:rsidR="00B2252E" w:rsidRPr="00B2252E" w:rsidRDefault="00B2252E" w:rsidP="00B2252E">
      <w:pPr>
        <w:widowControl w:val="0"/>
        <w:suppressAutoHyphens/>
        <w:kinsoku w:val="0"/>
        <w:overflowPunct w:val="0"/>
        <w:autoSpaceDE w:val="0"/>
        <w:autoSpaceDN w:val="0"/>
        <w:adjustRightInd w:val="0"/>
        <w:ind w:left="426"/>
        <w:rPr>
          <w:color w:val="000000"/>
          <w:sz w:val="20"/>
          <w:lang w:eastAsia="da-DK"/>
        </w:rPr>
      </w:pPr>
      <w:r w:rsidRPr="00B2252E">
        <w:rPr>
          <w:color w:val="000000"/>
          <w:sz w:val="20"/>
          <w:lang w:eastAsia="da-DK"/>
        </w:rPr>
        <w:t xml:space="preserve">* N er det antal patienter, som tog mindst én dosis og fik valide værdier for MCC ved </w:t>
      </w:r>
      <w:r w:rsidRPr="00B2252E">
        <w:rPr>
          <w:i/>
          <w:color w:val="000000"/>
          <w:sz w:val="20"/>
          <w:lang w:eastAsia="da-DK"/>
        </w:rPr>
        <w:t>baseline</w:t>
      </w:r>
      <w:r w:rsidRPr="00B2252E">
        <w:rPr>
          <w:color w:val="000000"/>
          <w:sz w:val="20"/>
          <w:lang w:eastAsia="da-DK"/>
        </w:rPr>
        <w:t xml:space="preserve"> og uge 24. </w:t>
      </w:r>
    </w:p>
    <w:p w14:paraId="29BB6FED" w14:textId="77777777" w:rsidR="00B2252E" w:rsidRPr="00B2252E" w:rsidRDefault="00B2252E" w:rsidP="00B2252E">
      <w:pPr>
        <w:widowControl w:val="0"/>
        <w:suppressAutoHyphens/>
        <w:kinsoku w:val="0"/>
        <w:overflowPunct w:val="0"/>
        <w:autoSpaceDE w:val="0"/>
        <w:autoSpaceDN w:val="0"/>
        <w:adjustRightInd w:val="0"/>
        <w:ind w:left="426"/>
        <w:rPr>
          <w:color w:val="000000"/>
          <w:sz w:val="20"/>
          <w:lang w:eastAsia="da-DK"/>
        </w:rPr>
      </w:pPr>
      <w:r w:rsidRPr="00B2252E">
        <w:rPr>
          <w:color w:val="000000"/>
          <w:sz w:val="20"/>
          <w:lang w:eastAsia="da-DK"/>
        </w:rPr>
        <w:t xml:space="preserve">† Antallet af patienter (børn/unge) med tilgængelige data for både </w:t>
      </w:r>
      <w:r w:rsidRPr="00B2252E">
        <w:rPr>
          <w:i/>
          <w:color w:val="000000"/>
          <w:sz w:val="20"/>
          <w:lang w:eastAsia="da-DK"/>
        </w:rPr>
        <w:t>baseline</w:t>
      </w:r>
      <w:r w:rsidRPr="00B2252E">
        <w:rPr>
          <w:color w:val="000000"/>
          <w:sz w:val="20"/>
          <w:lang w:eastAsia="da-DK"/>
        </w:rPr>
        <w:t xml:space="preserve"> og uge 24; blærekomplians: n = 33/21; antal overaktive detrusorkontraktioner: n = 36/22; detrusortryk ved afslutningen af blærefyldning: n = 36/22; blærevolumen før første detrusorkontraktion: n = 38/24; maksimal kateteriseret urinvolumen pr. dag: n = 41/23; antal episoder med lækage pr. dag: n = 26/21. </w:t>
      </w:r>
    </w:p>
    <w:p w14:paraId="16C19345"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r w:rsidRPr="00B2252E">
        <w:rPr>
          <w:color w:val="000000"/>
          <w:sz w:val="24"/>
          <w:szCs w:val="24"/>
          <w:lang w:eastAsia="da-DK"/>
        </w:rPr>
        <w:t xml:space="preserve"> </w:t>
      </w:r>
    </w:p>
    <w:p w14:paraId="51ADDC9C" w14:textId="1CF831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r w:rsidRPr="00B2252E">
        <w:rPr>
          <w:color w:val="000000"/>
          <w:sz w:val="24"/>
          <w:szCs w:val="24"/>
          <w:lang w:eastAsia="da-DK"/>
        </w:rPr>
        <w:t xml:space="preserve">Patient- eller klinikerrapporterede spørgeskema-endepunkter inkluderede acceptabilitet, ændring fra </w:t>
      </w:r>
      <w:r w:rsidRPr="00B2252E">
        <w:rPr>
          <w:i/>
          <w:color w:val="000000"/>
          <w:sz w:val="24"/>
          <w:szCs w:val="24"/>
          <w:lang w:eastAsia="da-DK"/>
        </w:rPr>
        <w:t>baseline</w:t>
      </w:r>
      <w:r w:rsidRPr="00B2252E">
        <w:rPr>
          <w:color w:val="000000"/>
          <w:sz w:val="24"/>
          <w:szCs w:val="24"/>
          <w:lang w:eastAsia="da-DK"/>
        </w:rPr>
        <w:t xml:space="preserve"> i </w:t>
      </w:r>
      <w:r w:rsidRPr="00B2252E">
        <w:rPr>
          <w:i/>
          <w:color w:val="000000"/>
          <w:sz w:val="24"/>
          <w:szCs w:val="24"/>
          <w:lang w:eastAsia="da-DK"/>
        </w:rPr>
        <w:t>Pediatric Incontinence Questionnaire</w:t>
      </w:r>
      <w:r w:rsidRPr="00B2252E">
        <w:rPr>
          <w:color w:val="000000"/>
          <w:sz w:val="24"/>
          <w:szCs w:val="24"/>
          <w:lang w:eastAsia="da-DK"/>
        </w:rPr>
        <w:t xml:space="preserve"> (PIN-Q), ændring fra </w:t>
      </w:r>
      <w:r w:rsidRPr="00B2252E">
        <w:rPr>
          <w:i/>
          <w:color w:val="000000"/>
          <w:sz w:val="24"/>
          <w:szCs w:val="24"/>
          <w:lang w:eastAsia="da-DK"/>
        </w:rPr>
        <w:t>baseline</w:t>
      </w:r>
      <w:r w:rsidRPr="00B2252E">
        <w:rPr>
          <w:color w:val="000000"/>
          <w:sz w:val="24"/>
          <w:szCs w:val="24"/>
          <w:lang w:eastAsia="da-DK"/>
        </w:rPr>
        <w:t xml:space="preserve"> i </w:t>
      </w:r>
      <w:r w:rsidRPr="00B2252E">
        <w:rPr>
          <w:i/>
          <w:color w:val="000000"/>
          <w:sz w:val="24"/>
          <w:szCs w:val="24"/>
          <w:lang w:eastAsia="da-DK"/>
        </w:rPr>
        <w:t>Patient Global Impression of Severity Scale</w:t>
      </w:r>
      <w:r w:rsidRPr="00B2252E">
        <w:rPr>
          <w:color w:val="000000"/>
          <w:sz w:val="24"/>
          <w:szCs w:val="24"/>
          <w:lang w:eastAsia="da-DK"/>
        </w:rPr>
        <w:t xml:space="preserve"> (PGI-S) og </w:t>
      </w:r>
      <w:r w:rsidRPr="00B2252E">
        <w:rPr>
          <w:i/>
          <w:color w:val="000000"/>
          <w:sz w:val="24"/>
          <w:szCs w:val="24"/>
          <w:lang w:eastAsia="da-DK"/>
        </w:rPr>
        <w:t>Clinician Global Impression of Change</w:t>
      </w:r>
      <w:r w:rsidRPr="00B2252E">
        <w:rPr>
          <w:color w:val="000000"/>
          <w:sz w:val="24"/>
          <w:szCs w:val="24"/>
          <w:lang w:eastAsia="da-DK"/>
        </w:rPr>
        <w:t xml:space="preserve"> (CGI-C) (se tabel 8). </w:t>
      </w:r>
    </w:p>
    <w:p w14:paraId="15F51FFF"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r w:rsidRPr="00B2252E">
        <w:rPr>
          <w:color w:val="000000"/>
          <w:sz w:val="24"/>
          <w:szCs w:val="24"/>
          <w:lang w:eastAsia="da-DK"/>
        </w:rPr>
        <w:t xml:space="preserve"> </w:t>
      </w:r>
    </w:p>
    <w:p w14:paraId="77D92C83" w14:textId="77777777" w:rsidR="00B2252E" w:rsidRPr="00B2252E" w:rsidRDefault="00B2252E" w:rsidP="00B2252E">
      <w:pPr>
        <w:keepNext/>
        <w:suppressAutoHyphens/>
        <w:kinsoku w:val="0"/>
        <w:overflowPunct w:val="0"/>
        <w:autoSpaceDE w:val="0"/>
        <w:autoSpaceDN w:val="0"/>
        <w:adjustRightInd w:val="0"/>
        <w:ind w:left="567"/>
        <w:rPr>
          <w:b/>
          <w:bCs/>
          <w:color w:val="000000"/>
          <w:sz w:val="22"/>
          <w:szCs w:val="22"/>
          <w:lang w:eastAsia="da-DK"/>
        </w:rPr>
      </w:pPr>
      <w:r w:rsidRPr="00B2252E">
        <w:rPr>
          <w:b/>
          <w:bCs/>
          <w:color w:val="000000"/>
          <w:sz w:val="22"/>
          <w:szCs w:val="22"/>
          <w:lang w:eastAsia="da-DK"/>
        </w:rPr>
        <w:lastRenderedPageBreak/>
        <w:t>Tabel 8: Patient- eller klinikerrapporterede spørgeskema-endepunkter hos pædiatriske patienter med NDO</w:t>
      </w:r>
    </w:p>
    <w:tbl>
      <w:tblPr>
        <w:tblW w:w="8585" w:type="dxa"/>
        <w:jc w:val="center"/>
        <w:tblCellMar>
          <w:top w:w="56" w:type="dxa"/>
          <w:left w:w="115" w:type="dxa"/>
          <w:right w:w="115" w:type="dxa"/>
        </w:tblCellMar>
        <w:tblLook w:val="04A0" w:firstRow="1" w:lastRow="0" w:firstColumn="1" w:lastColumn="0" w:noHBand="0" w:noVBand="1"/>
      </w:tblPr>
      <w:tblGrid>
        <w:gridCol w:w="3635"/>
        <w:gridCol w:w="2429"/>
        <w:gridCol w:w="2521"/>
      </w:tblGrid>
      <w:tr w:rsidR="00B2252E" w:rsidRPr="00B2252E" w14:paraId="25E05648"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18D843D"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Parameter</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D1712AC" w14:textId="77777777" w:rsidR="00B2252E" w:rsidRPr="00B2252E" w:rsidRDefault="00B2252E" w:rsidP="00B2252E">
            <w:pPr>
              <w:keepNext/>
              <w:suppressAutoHyphens/>
              <w:kinsoku w:val="0"/>
              <w:overflowPunct w:val="0"/>
              <w:autoSpaceDE w:val="0"/>
              <w:autoSpaceDN w:val="0"/>
              <w:adjustRightInd w:val="0"/>
              <w:jc w:val="center"/>
              <w:rPr>
                <w:b/>
                <w:color w:val="000000"/>
                <w:sz w:val="22"/>
                <w:szCs w:val="22"/>
                <w:lang w:val="ru-RU" w:eastAsia="ru-RU"/>
              </w:rPr>
            </w:pPr>
            <w:r w:rsidRPr="00B2252E">
              <w:rPr>
                <w:b/>
                <w:color w:val="000000"/>
                <w:sz w:val="22"/>
                <w:szCs w:val="22"/>
                <w:lang w:val="ru-RU" w:eastAsia="ru-RU"/>
              </w:rPr>
              <w:t>Børn i alderen</w:t>
            </w:r>
          </w:p>
          <w:p w14:paraId="49340349"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3 år til &lt; 12 år</w:t>
            </w:r>
          </w:p>
          <w:p w14:paraId="6B6EE733"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(N = 43)*</w:t>
            </w:r>
          </w:p>
          <w:p w14:paraId="18A88E02"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Middel (SD)</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55CAD95" w14:textId="77777777" w:rsidR="00B2252E" w:rsidRPr="00B2252E" w:rsidRDefault="00B2252E" w:rsidP="00B2252E">
            <w:pPr>
              <w:keepNext/>
              <w:suppressAutoHyphens/>
              <w:kinsoku w:val="0"/>
              <w:overflowPunct w:val="0"/>
              <w:autoSpaceDE w:val="0"/>
              <w:autoSpaceDN w:val="0"/>
              <w:adjustRightInd w:val="0"/>
              <w:jc w:val="center"/>
              <w:rPr>
                <w:b/>
                <w:color w:val="000000"/>
                <w:sz w:val="22"/>
                <w:szCs w:val="22"/>
                <w:lang w:val="ru-RU" w:eastAsia="ru-RU"/>
              </w:rPr>
            </w:pPr>
            <w:r w:rsidRPr="00B2252E">
              <w:rPr>
                <w:b/>
                <w:color w:val="000000"/>
                <w:sz w:val="22"/>
                <w:szCs w:val="22"/>
                <w:lang w:val="ru-RU" w:eastAsia="ru-RU"/>
              </w:rPr>
              <w:t>Unge i alderen</w:t>
            </w:r>
          </w:p>
          <w:p w14:paraId="1F7BF237"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12 år til &lt; 18 år</w:t>
            </w:r>
          </w:p>
          <w:p w14:paraId="7107ED96"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(N = 25)*</w:t>
            </w:r>
          </w:p>
          <w:p w14:paraId="583289E1"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Middel (SD)</w:t>
            </w:r>
          </w:p>
        </w:tc>
      </w:tr>
      <w:tr w:rsidR="00B2252E" w:rsidRPr="004265AD" w14:paraId="76362383" w14:textId="77777777">
        <w:trPr>
          <w:trHeight w:val="227"/>
          <w:jc w:val="center"/>
        </w:trPr>
        <w:tc>
          <w:tcPr>
            <w:tcW w:w="8585"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A5ABDF5"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en-US" w:eastAsia="ru-RU"/>
              </w:rPr>
            </w:pPr>
            <w:r w:rsidRPr="00B2252E">
              <w:rPr>
                <w:b/>
                <w:color w:val="000000"/>
                <w:sz w:val="22"/>
                <w:szCs w:val="22"/>
                <w:lang w:val="en-US" w:eastAsia="ru-RU"/>
              </w:rPr>
              <w:t xml:space="preserve">Score for </w:t>
            </w:r>
            <w:r w:rsidRPr="00B2252E">
              <w:rPr>
                <w:b/>
                <w:i/>
                <w:color w:val="000000"/>
                <w:sz w:val="22"/>
                <w:szCs w:val="22"/>
                <w:lang w:val="en-US" w:eastAsia="ru-RU"/>
              </w:rPr>
              <w:t>Pediatric Incontinence Questionnaire</w:t>
            </w:r>
            <w:r w:rsidRPr="00B2252E">
              <w:rPr>
                <w:b/>
                <w:color w:val="000000"/>
                <w:sz w:val="22"/>
                <w:szCs w:val="22"/>
                <w:lang w:val="en-US" w:eastAsia="ru-RU"/>
              </w:rPr>
              <w:t xml:space="preserve"> (PIN-Q)† </w:t>
            </w:r>
          </w:p>
        </w:tc>
      </w:tr>
      <w:tr w:rsidR="00B2252E" w:rsidRPr="00B2252E" w14:paraId="41353A0C"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5FD4BAF"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ru-RU" w:eastAsia="ru-RU"/>
              </w:rPr>
            </w:pPr>
            <w:r w:rsidRPr="00B2252E">
              <w:rPr>
                <w:i/>
                <w:color w:val="000000"/>
                <w:sz w:val="22"/>
                <w:szCs w:val="22"/>
                <w:lang w:val="ru-RU" w:eastAsia="ru-RU"/>
              </w:rPr>
              <w:t>Baseline</w:t>
            </w:r>
            <w:r w:rsidRPr="00B2252E">
              <w:rPr>
                <w:color w:val="000000"/>
                <w:sz w:val="22"/>
                <w:szCs w:val="22"/>
                <w:lang w:val="ru-RU" w:eastAsia="ru-RU"/>
              </w:rPr>
              <w:t xml:space="preserve"> </w:t>
            </w:r>
          </w:p>
          <w:p w14:paraId="314D2C0D"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Uge 24 </w:t>
            </w:r>
          </w:p>
          <w:p w14:paraId="789FC064"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Ændring fra </w:t>
            </w:r>
            <w:r w:rsidRPr="00B2252E">
              <w:rPr>
                <w:i/>
                <w:color w:val="000000"/>
                <w:sz w:val="22"/>
                <w:szCs w:val="22"/>
                <w:lang w:val="ru-RU" w:eastAsia="ru-RU"/>
              </w:rPr>
              <w:t>baseline</w:t>
            </w:r>
            <w:r w:rsidRPr="00B2252E">
              <w:rPr>
                <w:color w:val="000000"/>
                <w:sz w:val="22"/>
                <w:szCs w:val="22"/>
                <w:lang w:val="ru-RU" w:eastAsia="ru-RU"/>
              </w:rPr>
              <w:t xml:space="preserve"> </w:t>
            </w:r>
          </w:p>
          <w:p w14:paraId="23A4BC15"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95 % konfidensinterval </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1D03FEF"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30,8 (15,7)</w:t>
            </w:r>
          </w:p>
          <w:p w14:paraId="2D31602F"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30,6 (15,2)</w:t>
            </w:r>
          </w:p>
          <w:p w14:paraId="5A43B2EE"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2,0 (10,5)</w:t>
            </w:r>
          </w:p>
          <w:p w14:paraId="72344CB8"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(-2,4; 6,4)</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B701D23"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29,4 (14,6)</w:t>
            </w:r>
          </w:p>
          <w:p w14:paraId="771AAFF0"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25,2 (15,5)</w:t>
            </w:r>
          </w:p>
          <w:p w14:paraId="55DC7D6D"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-4,9 (14,1)</w:t>
            </w:r>
          </w:p>
          <w:p w14:paraId="06C4A687"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(-11,3; 1,5)</w:t>
            </w:r>
          </w:p>
        </w:tc>
      </w:tr>
      <w:tr w:rsidR="00B2252E" w:rsidRPr="004265AD" w14:paraId="5F769BE8" w14:textId="77777777">
        <w:trPr>
          <w:trHeight w:val="227"/>
          <w:jc w:val="center"/>
        </w:trPr>
        <w:tc>
          <w:tcPr>
            <w:tcW w:w="8585"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200B042"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en-US" w:eastAsia="ru-RU"/>
              </w:rPr>
            </w:pPr>
            <w:r w:rsidRPr="00B2252E">
              <w:rPr>
                <w:b/>
                <w:color w:val="000000"/>
                <w:sz w:val="22"/>
                <w:szCs w:val="22"/>
                <w:lang w:val="en-US" w:eastAsia="ru-RU"/>
              </w:rPr>
              <w:t xml:space="preserve">Samlet score for </w:t>
            </w:r>
            <w:r w:rsidRPr="00B2252E">
              <w:rPr>
                <w:b/>
                <w:i/>
                <w:color w:val="000000"/>
                <w:sz w:val="22"/>
                <w:szCs w:val="22"/>
                <w:lang w:val="en-US" w:eastAsia="ru-RU"/>
              </w:rPr>
              <w:t>Patient Global Impression of Severity Scale</w:t>
            </w:r>
            <w:r w:rsidRPr="00B2252E">
              <w:rPr>
                <w:b/>
                <w:color w:val="000000"/>
                <w:sz w:val="22"/>
                <w:szCs w:val="22"/>
                <w:lang w:val="en-US" w:eastAsia="ru-RU"/>
              </w:rPr>
              <w:t xml:space="preserve"> (PGI-S)† </w:t>
            </w:r>
          </w:p>
        </w:tc>
      </w:tr>
      <w:tr w:rsidR="00B2252E" w:rsidRPr="00B2252E" w14:paraId="1CD8E8EC"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47FB81"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i/>
                <w:color w:val="000000"/>
                <w:sz w:val="22"/>
                <w:szCs w:val="22"/>
                <w:lang w:val="ru-RU" w:eastAsia="ru-RU"/>
              </w:rPr>
              <w:t>Baseline</w:t>
            </w:r>
            <w:r w:rsidRPr="00B2252E">
              <w:rPr>
                <w:color w:val="000000"/>
                <w:sz w:val="22"/>
                <w:szCs w:val="22"/>
                <w:lang w:val="ru-RU" w:eastAsia="ru-RU"/>
              </w:rPr>
              <w:t xml:space="preserve"> </w:t>
            </w:r>
          </w:p>
          <w:p w14:paraId="3888771B"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Uge 24 </w:t>
            </w:r>
          </w:p>
          <w:p w14:paraId="664E0838"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Ændring fra </w:t>
            </w:r>
            <w:r w:rsidRPr="00B2252E">
              <w:rPr>
                <w:i/>
                <w:color w:val="000000"/>
                <w:sz w:val="22"/>
                <w:szCs w:val="22"/>
                <w:lang w:val="ru-RU" w:eastAsia="ru-RU"/>
              </w:rPr>
              <w:t>baseline</w:t>
            </w:r>
            <w:r w:rsidRPr="00B2252E">
              <w:rPr>
                <w:color w:val="000000"/>
                <w:sz w:val="22"/>
                <w:szCs w:val="22"/>
                <w:lang w:val="ru-RU" w:eastAsia="ru-RU"/>
              </w:rPr>
              <w:t xml:space="preserve"> </w:t>
            </w:r>
          </w:p>
          <w:p w14:paraId="5A9E3C23"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95 % konfidensinterval </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375E4DC"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2,2 (0,8)</w:t>
            </w:r>
          </w:p>
          <w:p w14:paraId="5CD96CBD"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2,6 (0,8)</w:t>
            </w:r>
          </w:p>
          <w:p w14:paraId="1C2D7DEE"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0,3 (1,2)</w:t>
            </w:r>
          </w:p>
          <w:p w14:paraId="1844E330"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(-0,1; 0,8)</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5CC661B"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2,3 (0,9)</w:t>
            </w:r>
          </w:p>
          <w:p w14:paraId="2D75E018"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3,0 (0,7)</w:t>
            </w:r>
          </w:p>
          <w:p w14:paraId="1E22BABC"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0,6 (1,0)</w:t>
            </w:r>
          </w:p>
          <w:p w14:paraId="356272BF"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(0,1; 1,0)</w:t>
            </w:r>
          </w:p>
        </w:tc>
      </w:tr>
      <w:tr w:rsidR="00B2252E" w:rsidRPr="00B2252E" w14:paraId="030E371B" w14:textId="77777777">
        <w:trPr>
          <w:trHeight w:val="227"/>
          <w:jc w:val="center"/>
        </w:trPr>
        <w:tc>
          <w:tcPr>
            <w:tcW w:w="8585"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86C6FEA"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b/>
                <w:color w:val="000000"/>
                <w:sz w:val="22"/>
                <w:szCs w:val="22"/>
                <w:lang w:val="ru-RU" w:eastAsia="ru-RU"/>
              </w:rPr>
              <w:t xml:space="preserve">Samlet </w:t>
            </w:r>
            <w:r w:rsidRPr="00B2252E">
              <w:rPr>
                <w:b/>
                <w:i/>
                <w:color w:val="000000"/>
                <w:sz w:val="22"/>
                <w:szCs w:val="22"/>
                <w:lang w:val="ru-RU" w:eastAsia="ru-RU"/>
              </w:rPr>
              <w:t>Clinician Global Impression of Change</w:t>
            </w:r>
            <w:r w:rsidRPr="00B2252E">
              <w:rPr>
                <w:b/>
                <w:color w:val="000000"/>
                <w:sz w:val="22"/>
                <w:szCs w:val="22"/>
                <w:lang w:val="ru-RU" w:eastAsia="ru-RU"/>
              </w:rPr>
              <w:t xml:space="preserve"> (CGI-C) ved uge 24, N (%)†</w:t>
            </w:r>
            <w:r w:rsidRPr="00B2252E">
              <w:rPr>
                <w:color w:val="000000"/>
                <w:sz w:val="22"/>
                <w:szCs w:val="22"/>
                <w:lang w:val="ru-RU" w:eastAsia="ru-RU"/>
              </w:rPr>
              <w:t xml:space="preserve"> </w:t>
            </w:r>
          </w:p>
        </w:tc>
      </w:tr>
      <w:tr w:rsidR="00B2252E" w:rsidRPr="00B2252E" w14:paraId="3C969081"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364CB24"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Rigtig meget forbedret </w:t>
            </w:r>
          </w:p>
          <w:p w14:paraId="5CD21718"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Meget forbedret </w:t>
            </w:r>
          </w:p>
          <w:p w14:paraId="02CCDD99"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Minimalt forbedret </w:t>
            </w:r>
          </w:p>
          <w:p w14:paraId="085DDCF3"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Ingen ændring </w:t>
            </w:r>
          </w:p>
          <w:p w14:paraId="13F209C2"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Minimalt værre </w:t>
            </w:r>
          </w:p>
          <w:p w14:paraId="476D19C7"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Meget værre </w:t>
            </w:r>
          </w:p>
          <w:p w14:paraId="3F82CEBB"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Rigtig meget værre </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841BF97"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6 (14,6 %)</w:t>
            </w:r>
          </w:p>
          <w:p w14:paraId="2D5FCDA9"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24 (58,5 %)</w:t>
            </w:r>
          </w:p>
          <w:p w14:paraId="4F61A303"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6 (14,6 %)</w:t>
            </w:r>
          </w:p>
          <w:p w14:paraId="6FB78307"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4 (9,8 %)</w:t>
            </w:r>
          </w:p>
          <w:p w14:paraId="6E2A94AF"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 (2,4 %)</w:t>
            </w:r>
          </w:p>
          <w:p w14:paraId="7296E233"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w:t>
            </w:r>
          </w:p>
          <w:p w14:paraId="2170BCA2"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D01614C"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10 (41,7 %)</w:t>
            </w:r>
          </w:p>
          <w:p w14:paraId="38FEA7A2"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7 (29,2 %)</w:t>
            </w:r>
          </w:p>
          <w:p w14:paraId="1C71B19E"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5 (20,8 %)</w:t>
            </w:r>
          </w:p>
          <w:p w14:paraId="50B7C3FA"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 (4,2 %)</w:t>
            </w:r>
          </w:p>
          <w:p w14:paraId="34E635E6"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 (4,2 %)</w:t>
            </w:r>
          </w:p>
          <w:p w14:paraId="7EAE777E"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w:t>
            </w:r>
          </w:p>
          <w:p w14:paraId="062B0CCC"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w:t>
            </w:r>
          </w:p>
        </w:tc>
      </w:tr>
    </w:tbl>
    <w:p w14:paraId="773266A6" w14:textId="77777777" w:rsidR="00B2252E" w:rsidRPr="00B2252E" w:rsidRDefault="00B2252E" w:rsidP="00B2252E">
      <w:pPr>
        <w:widowControl w:val="0"/>
        <w:suppressAutoHyphens/>
        <w:kinsoku w:val="0"/>
        <w:overflowPunct w:val="0"/>
        <w:autoSpaceDE w:val="0"/>
        <w:autoSpaceDN w:val="0"/>
        <w:adjustRightInd w:val="0"/>
        <w:ind w:left="567"/>
        <w:rPr>
          <w:color w:val="000000"/>
          <w:sz w:val="20"/>
          <w:lang w:eastAsia="da-DK"/>
        </w:rPr>
      </w:pPr>
      <w:r w:rsidRPr="00B2252E">
        <w:rPr>
          <w:color w:val="000000"/>
          <w:sz w:val="20"/>
          <w:lang w:eastAsia="da-DK"/>
        </w:rPr>
        <w:t xml:space="preserve">* N er det antal patienter, som tog mindst én dosis og fik valide værdier for MCC ved </w:t>
      </w:r>
      <w:r w:rsidRPr="00B2252E">
        <w:rPr>
          <w:i/>
          <w:color w:val="000000"/>
          <w:sz w:val="20"/>
          <w:lang w:eastAsia="da-DK"/>
        </w:rPr>
        <w:t>baseline</w:t>
      </w:r>
      <w:r w:rsidRPr="00B2252E">
        <w:rPr>
          <w:color w:val="000000"/>
          <w:sz w:val="20"/>
          <w:lang w:eastAsia="da-DK"/>
        </w:rPr>
        <w:t xml:space="preserve"> og uge 24. </w:t>
      </w:r>
    </w:p>
    <w:p w14:paraId="6398DA93" w14:textId="77777777" w:rsidR="00B2252E" w:rsidRPr="00B2252E" w:rsidRDefault="00B2252E" w:rsidP="00B2252E">
      <w:pPr>
        <w:widowControl w:val="0"/>
        <w:suppressAutoHyphens/>
        <w:kinsoku w:val="0"/>
        <w:overflowPunct w:val="0"/>
        <w:autoSpaceDE w:val="0"/>
        <w:autoSpaceDN w:val="0"/>
        <w:adjustRightInd w:val="0"/>
        <w:ind w:left="567"/>
        <w:rPr>
          <w:color w:val="000000"/>
          <w:sz w:val="20"/>
          <w:lang w:eastAsia="da-DK"/>
        </w:rPr>
      </w:pPr>
      <w:r w:rsidRPr="00B2252E">
        <w:rPr>
          <w:color w:val="000000"/>
          <w:sz w:val="20"/>
          <w:lang w:eastAsia="da-DK"/>
        </w:rPr>
        <w:t xml:space="preserve">† Antallet af patienter (børn/unge) med tilgængelige data for både </w:t>
      </w:r>
      <w:r w:rsidRPr="00B2252E">
        <w:rPr>
          <w:i/>
          <w:color w:val="000000"/>
          <w:sz w:val="20"/>
          <w:lang w:eastAsia="da-DK"/>
        </w:rPr>
        <w:t>baseline</w:t>
      </w:r>
      <w:r w:rsidRPr="00B2252E">
        <w:rPr>
          <w:color w:val="000000"/>
          <w:sz w:val="20"/>
          <w:lang w:eastAsia="da-DK"/>
        </w:rPr>
        <w:t xml:space="preserve"> og uge 24. PIN-Q-score: n = 24/21, samlet PGI-S-score: n = 25/22; samlet CGI-C ved uge 24: n = 41/24. </w:t>
      </w:r>
    </w:p>
    <w:p w14:paraId="3ED984C6" w14:textId="77777777" w:rsidR="00B2252E" w:rsidRDefault="00B2252E" w:rsidP="004931E3">
      <w:pPr>
        <w:tabs>
          <w:tab w:val="left" w:pos="851"/>
        </w:tabs>
        <w:ind w:left="851"/>
        <w:rPr>
          <w:sz w:val="24"/>
          <w:szCs w:val="24"/>
        </w:rPr>
      </w:pPr>
    </w:p>
    <w:p w14:paraId="743890A0" w14:textId="77777777" w:rsidR="00B2252E" w:rsidRPr="00B2252E" w:rsidRDefault="00B2252E" w:rsidP="00B2252E">
      <w:pPr>
        <w:tabs>
          <w:tab w:val="left" w:pos="851"/>
        </w:tabs>
        <w:ind w:left="851"/>
        <w:rPr>
          <w:iCs/>
          <w:sz w:val="24"/>
          <w:szCs w:val="24"/>
          <w:u w:val="single"/>
        </w:rPr>
      </w:pPr>
      <w:r w:rsidRPr="00B2252E">
        <w:rPr>
          <w:iCs/>
          <w:sz w:val="24"/>
          <w:szCs w:val="24"/>
          <w:u w:val="single"/>
        </w:rPr>
        <w:t xml:space="preserve">Pædiatrisk population </w:t>
      </w:r>
    </w:p>
    <w:p w14:paraId="3911398B" w14:textId="77777777" w:rsidR="00B2252E" w:rsidRPr="00B2252E" w:rsidRDefault="00B2252E" w:rsidP="00B2252E">
      <w:pPr>
        <w:tabs>
          <w:tab w:val="left" w:pos="851"/>
        </w:tabs>
        <w:ind w:left="851"/>
        <w:rPr>
          <w:sz w:val="24"/>
          <w:szCs w:val="24"/>
        </w:rPr>
      </w:pPr>
      <w:r w:rsidRPr="00B2252E">
        <w:rPr>
          <w:sz w:val="24"/>
          <w:szCs w:val="24"/>
        </w:rPr>
        <w:t xml:space="preserve"> </w:t>
      </w:r>
    </w:p>
    <w:p w14:paraId="64D9673B" w14:textId="77777777" w:rsidR="00B2252E" w:rsidRPr="00B2252E" w:rsidRDefault="00B2252E" w:rsidP="00B2252E">
      <w:pPr>
        <w:tabs>
          <w:tab w:val="left" w:pos="851"/>
        </w:tabs>
        <w:ind w:left="851"/>
        <w:rPr>
          <w:sz w:val="24"/>
          <w:szCs w:val="24"/>
        </w:rPr>
      </w:pPr>
      <w:r w:rsidRPr="00B2252E">
        <w:rPr>
          <w:i/>
          <w:sz w:val="24"/>
          <w:szCs w:val="24"/>
        </w:rPr>
        <w:t>Overaktiv blære</w:t>
      </w:r>
      <w:r w:rsidRPr="00B2252E">
        <w:rPr>
          <w:sz w:val="24"/>
          <w:szCs w:val="24"/>
        </w:rPr>
        <w:t xml:space="preserve"> </w:t>
      </w:r>
    </w:p>
    <w:p w14:paraId="035A2531" w14:textId="77777777" w:rsidR="00B2252E" w:rsidRPr="00B2252E" w:rsidRDefault="00B2252E" w:rsidP="00B2252E">
      <w:pPr>
        <w:tabs>
          <w:tab w:val="left" w:pos="851"/>
        </w:tabs>
        <w:ind w:left="851"/>
        <w:rPr>
          <w:sz w:val="24"/>
          <w:szCs w:val="24"/>
        </w:rPr>
      </w:pPr>
      <w:r w:rsidRPr="00B2252E">
        <w:rPr>
          <w:sz w:val="24"/>
          <w:szCs w:val="24"/>
        </w:rPr>
        <w:t xml:space="preserve">Virkningen af mirabegron-tabletter og oral suspension blev vurderet i et 12 ugers dobbeltblindet, randomiseret, placebokontrolleret parallelgruppe-multicenterstudie med sekventiel dosistitrering til behandling af OAB hos pædiatriske patienter (i alderen 5 til under 18 år). Patienter ≥ 35 kg fik tabletter, og patienter &lt; 35 kg (eller ≥ 35 kg, men som ikke kunne synke tabletter) fik oral suspension. Mirabegron blev administreret oralt til alle patienter én gang dagligt sammen med mad. Startdosis var en 25 mg tablet eller mellem 3-6 ml oral suspension (afhængigt af patientens vægt). Denne dosis blev optitreret til 50 mg tablet eller mellem 6-11 ml oral suspension (afhængigt af patientens vægt). Dosistitrering til den høje dosis blev udført efter 4 ugers behandling, medmindre investigator traf en anden beslutning. </w:t>
      </w:r>
    </w:p>
    <w:p w14:paraId="34518BB6" w14:textId="77777777" w:rsidR="00B2252E" w:rsidRPr="00B2252E" w:rsidRDefault="00B2252E" w:rsidP="00B2252E">
      <w:pPr>
        <w:tabs>
          <w:tab w:val="left" w:pos="851"/>
        </w:tabs>
        <w:ind w:left="851"/>
        <w:rPr>
          <w:sz w:val="24"/>
          <w:szCs w:val="24"/>
        </w:rPr>
      </w:pPr>
      <w:r w:rsidRPr="00B2252E">
        <w:rPr>
          <w:sz w:val="24"/>
          <w:szCs w:val="24"/>
        </w:rPr>
        <w:t xml:space="preserve"> </w:t>
      </w:r>
    </w:p>
    <w:p w14:paraId="3769A6D3" w14:textId="77777777" w:rsidR="00B2252E" w:rsidRPr="00B2252E" w:rsidRDefault="00B2252E" w:rsidP="00B2252E">
      <w:pPr>
        <w:tabs>
          <w:tab w:val="left" w:pos="851"/>
        </w:tabs>
        <w:ind w:left="851"/>
        <w:rPr>
          <w:sz w:val="24"/>
          <w:szCs w:val="24"/>
        </w:rPr>
      </w:pPr>
      <w:r w:rsidRPr="00B2252E">
        <w:rPr>
          <w:sz w:val="24"/>
          <w:szCs w:val="24"/>
        </w:rPr>
        <w:t xml:space="preserve">I alt 23 børn (i alderen 5 til under 12 år) og 3 unge (i alderen 12 til under 18 år) fik studielægemidlet: 13 forsøgspersoner fik placebo, og 13 forsøgspersoner fik mirabegron. 10 ud af de 12 forsøgspersoner i placebogruppen og 9 ud af 11 forsøgspersoner i mirabegrongruppen fuldførte studiet med 12 ugers behandling. </w:t>
      </w:r>
    </w:p>
    <w:p w14:paraId="6B31C118" w14:textId="77777777" w:rsidR="00B2252E" w:rsidRPr="00B2252E" w:rsidRDefault="00B2252E" w:rsidP="00B2252E">
      <w:pPr>
        <w:tabs>
          <w:tab w:val="left" w:pos="851"/>
        </w:tabs>
        <w:ind w:left="851"/>
        <w:rPr>
          <w:sz w:val="24"/>
          <w:szCs w:val="24"/>
        </w:rPr>
      </w:pPr>
      <w:r w:rsidRPr="00B2252E">
        <w:rPr>
          <w:sz w:val="24"/>
          <w:szCs w:val="24"/>
        </w:rPr>
        <w:t xml:space="preserve"> </w:t>
      </w:r>
    </w:p>
    <w:p w14:paraId="6EC9AAC1" w14:textId="77777777" w:rsidR="00B2252E" w:rsidRPr="00B2252E" w:rsidRDefault="00B2252E" w:rsidP="00B2252E">
      <w:pPr>
        <w:tabs>
          <w:tab w:val="left" w:pos="851"/>
        </w:tabs>
        <w:ind w:left="851"/>
        <w:rPr>
          <w:sz w:val="24"/>
          <w:szCs w:val="24"/>
        </w:rPr>
      </w:pPr>
      <w:r w:rsidRPr="00B2252E">
        <w:rPr>
          <w:sz w:val="24"/>
          <w:szCs w:val="24"/>
        </w:rPr>
        <w:t xml:space="preserve">Det primære virkningsendepunkt var ændring fra </w:t>
      </w:r>
      <w:r w:rsidRPr="00B2252E">
        <w:rPr>
          <w:i/>
          <w:sz w:val="24"/>
          <w:szCs w:val="24"/>
        </w:rPr>
        <w:t>baseline</w:t>
      </w:r>
      <w:r w:rsidRPr="00B2252E">
        <w:rPr>
          <w:sz w:val="24"/>
          <w:szCs w:val="24"/>
        </w:rPr>
        <w:t xml:space="preserve"> i gennemsnitligt antal vandladninger pr. 24 timer efter 12 ugers behandling og blev kun vurderet hos børn (i alderen 5 til under 12 år). På grund af det lille antal forsøgspersoner var det ikke muligt at foretage en rigtig vurdering af virkningsendepunktet, og de observerede resultater var ikke entydige. </w:t>
      </w:r>
    </w:p>
    <w:p w14:paraId="49A8A3D3" w14:textId="77777777" w:rsidR="00B2252E" w:rsidRPr="00B2252E" w:rsidRDefault="00B2252E" w:rsidP="00B2252E">
      <w:pPr>
        <w:tabs>
          <w:tab w:val="left" w:pos="851"/>
        </w:tabs>
        <w:ind w:left="851"/>
        <w:rPr>
          <w:sz w:val="24"/>
          <w:szCs w:val="24"/>
        </w:rPr>
      </w:pPr>
      <w:r w:rsidRPr="00B2252E">
        <w:rPr>
          <w:sz w:val="24"/>
          <w:szCs w:val="24"/>
        </w:rPr>
        <w:lastRenderedPageBreak/>
        <w:t xml:space="preserve"> </w:t>
      </w:r>
    </w:p>
    <w:p w14:paraId="65A1BD47" w14:textId="77777777" w:rsidR="00B2252E" w:rsidRPr="00B2252E" w:rsidRDefault="00B2252E" w:rsidP="00B2252E">
      <w:pPr>
        <w:tabs>
          <w:tab w:val="left" w:pos="851"/>
        </w:tabs>
        <w:ind w:left="851"/>
        <w:rPr>
          <w:sz w:val="24"/>
          <w:szCs w:val="24"/>
        </w:rPr>
      </w:pPr>
      <w:r w:rsidRPr="00B2252E">
        <w:rPr>
          <w:sz w:val="24"/>
          <w:szCs w:val="24"/>
        </w:rPr>
        <w:t xml:space="preserve">Den justerede LS-middelændring (SEM) fra </w:t>
      </w:r>
      <w:r w:rsidRPr="00B2252E">
        <w:rPr>
          <w:i/>
          <w:sz w:val="24"/>
          <w:szCs w:val="24"/>
        </w:rPr>
        <w:t>baseline</w:t>
      </w:r>
      <w:r w:rsidRPr="00B2252E">
        <w:rPr>
          <w:sz w:val="24"/>
          <w:szCs w:val="24"/>
        </w:rPr>
        <w:t xml:space="preserve"> til uge 12/behandlingsafslutning i frekvensen af vandladningshændelser pr. 24 timer var -3,84 (0,89) hos børn på placebo og -1,62 (0,89) hos børn på mirabegron. LS-middelforskellen (SEM) mellem behandlingsgrupperne (placebo minus mirabegron) var ikke statistisk signifikant: 2,22 (1,34) (90 % CI: -0,15; 4,59; P = 0,121). </w:t>
      </w:r>
    </w:p>
    <w:p w14:paraId="08E72EA7" w14:textId="77777777" w:rsidR="00B2252E" w:rsidRPr="00B2252E" w:rsidRDefault="00B2252E" w:rsidP="00B2252E">
      <w:pPr>
        <w:tabs>
          <w:tab w:val="left" w:pos="851"/>
        </w:tabs>
        <w:ind w:left="851"/>
        <w:rPr>
          <w:sz w:val="24"/>
          <w:szCs w:val="24"/>
        </w:rPr>
      </w:pPr>
      <w:r w:rsidRPr="00B2252E">
        <w:rPr>
          <w:sz w:val="24"/>
          <w:szCs w:val="24"/>
        </w:rPr>
        <w:t xml:space="preserve"> </w:t>
      </w:r>
    </w:p>
    <w:p w14:paraId="27F578B0" w14:textId="440DAD1B" w:rsidR="00B2252E" w:rsidRPr="00B2252E" w:rsidRDefault="00B2252E" w:rsidP="00B2252E">
      <w:pPr>
        <w:tabs>
          <w:tab w:val="left" w:pos="851"/>
        </w:tabs>
        <w:ind w:left="851"/>
        <w:rPr>
          <w:sz w:val="24"/>
          <w:szCs w:val="24"/>
        </w:rPr>
      </w:pPr>
      <w:r w:rsidRPr="00B2252E">
        <w:rPr>
          <w:sz w:val="24"/>
          <w:szCs w:val="24"/>
        </w:rPr>
        <w:t>Det Europæiske Lægemiddelagentur har dispenseret fra kravet om at fremlægge resultaterne af studier med referencelægemidlet indeholdende mirabegron i alle undergrupper af den pædiatriske population ved "Behandling af idiopatisk overaktiv blære" (se pkt. 4.2 for oplysninger om pædiatrisk anvendelse).</w:t>
      </w:r>
    </w:p>
    <w:p w14:paraId="3EA1724F" w14:textId="77777777" w:rsidR="00527CF5" w:rsidRDefault="00527CF5" w:rsidP="004931E3">
      <w:pPr>
        <w:tabs>
          <w:tab w:val="left" w:pos="851"/>
        </w:tabs>
        <w:ind w:left="851"/>
        <w:rPr>
          <w:sz w:val="24"/>
          <w:szCs w:val="24"/>
        </w:rPr>
      </w:pPr>
    </w:p>
    <w:p w14:paraId="68CD79FA" w14:textId="77777777" w:rsidR="009260DE" w:rsidRPr="00C84483" w:rsidRDefault="009260DE" w:rsidP="004931E3">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65CBB404" w14:textId="77777777" w:rsidR="006C28AA" w:rsidRPr="006C28AA" w:rsidRDefault="006C28AA" w:rsidP="006C28AA">
      <w:pPr>
        <w:tabs>
          <w:tab w:val="left" w:pos="851"/>
        </w:tabs>
        <w:ind w:left="851"/>
        <w:rPr>
          <w:sz w:val="24"/>
          <w:szCs w:val="24"/>
        </w:rPr>
      </w:pPr>
    </w:p>
    <w:p w14:paraId="52C5E920" w14:textId="77777777" w:rsidR="006C28AA" w:rsidRPr="006C28AA" w:rsidRDefault="006C28AA" w:rsidP="006C28AA">
      <w:pPr>
        <w:tabs>
          <w:tab w:val="left" w:pos="851"/>
        </w:tabs>
        <w:ind w:left="851"/>
        <w:rPr>
          <w:sz w:val="24"/>
          <w:szCs w:val="24"/>
          <w:u w:val="single"/>
        </w:rPr>
      </w:pPr>
      <w:r w:rsidRPr="006C28AA">
        <w:rPr>
          <w:sz w:val="24"/>
          <w:szCs w:val="24"/>
          <w:u w:val="single"/>
        </w:rPr>
        <w:t>Absorption</w:t>
      </w:r>
      <w:r w:rsidRPr="006C28AA">
        <w:rPr>
          <w:sz w:val="24"/>
          <w:szCs w:val="24"/>
        </w:rPr>
        <w:t xml:space="preserve"> </w:t>
      </w:r>
    </w:p>
    <w:p w14:paraId="0D8D4B24" w14:textId="77777777" w:rsidR="006C28AA" w:rsidRPr="006C28AA" w:rsidRDefault="006C28AA" w:rsidP="006C28AA">
      <w:pPr>
        <w:tabs>
          <w:tab w:val="left" w:pos="851"/>
        </w:tabs>
        <w:ind w:left="851"/>
        <w:rPr>
          <w:sz w:val="24"/>
          <w:szCs w:val="24"/>
        </w:rPr>
      </w:pPr>
      <w:r w:rsidRPr="006C28AA">
        <w:rPr>
          <w:sz w:val="24"/>
          <w:szCs w:val="24"/>
        </w:rPr>
        <w:t xml:space="preserve"> </w:t>
      </w:r>
    </w:p>
    <w:p w14:paraId="008867BE" w14:textId="77777777" w:rsidR="006C28AA" w:rsidRPr="006C28AA" w:rsidRDefault="006C28AA" w:rsidP="006C28AA">
      <w:pPr>
        <w:tabs>
          <w:tab w:val="left" w:pos="851"/>
        </w:tabs>
        <w:ind w:left="851"/>
        <w:rPr>
          <w:sz w:val="24"/>
          <w:szCs w:val="24"/>
        </w:rPr>
      </w:pPr>
      <w:r w:rsidRPr="006C28AA">
        <w:rPr>
          <w:i/>
          <w:sz w:val="24"/>
          <w:szCs w:val="24"/>
        </w:rPr>
        <w:t>Voksne</w:t>
      </w:r>
      <w:r w:rsidRPr="006C28AA">
        <w:rPr>
          <w:sz w:val="24"/>
          <w:szCs w:val="24"/>
        </w:rPr>
        <w:t xml:space="preserve"> </w:t>
      </w:r>
    </w:p>
    <w:p w14:paraId="0C009854" w14:textId="77777777" w:rsidR="006C28AA" w:rsidRPr="006C28AA" w:rsidRDefault="006C28AA" w:rsidP="006C28AA">
      <w:pPr>
        <w:tabs>
          <w:tab w:val="left" w:pos="851"/>
        </w:tabs>
        <w:ind w:left="851"/>
        <w:rPr>
          <w:sz w:val="24"/>
          <w:szCs w:val="24"/>
        </w:rPr>
      </w:pPr>
      <w:r w:rsidRPr="006C28AA">
        <w:rPr>
          <w:sz w:val="24"/>
          <w:szCs w:val="24"/>
        </w:rPr>
        <w:t>Efter oral administration af mirabegron hos raske frivillige absorberes mirabegron til opnåelse af maksimale plasmakoncentrationer (C</w:t>
      </w:r>
      <w:r w:rsidRPr="006C28AA">
        <w:rPr>
          <w:sz w:val="24"/>
          <w:szCs w:val="24"/>
          <w:vertAlign w:val="subscript"/>
        </w:rPr>
        <w:t>max</w:t>
      </w:r>
      <w:r w:rsidRPr="006C28AA">
        <w:rPr>
          <w:sz w:val="24"/>
          <w:szCs w:val="24"/>
        </w:rPr>
        <w:t>) i løbet af mellem 3 og 4 timer. Den absolutte biotilgængelighed steg fra 29 % ved en dosis på 25 mg til 35 % ved en dosis på 50 mg. De gennemsnitlige C</w:t>
      </w:r>
      <w:r w:rsidRPr="006C28AA">
        <w:rPr>
          <w:sz w:val="24"/>
          <w:szCs w:val="24"/>
          <w:vertAlign w:val="subscript"/>
        </w:rPr>
        <w:t>max</w:t>
      </w:r>
      <w:r w:rsidRPr="006C28AA">
        <w:rPr>
          <w:sz w:val="24"/>
          <w:szCs w:val="24"/>
        </w:rPr>
        <w:t>- og AUC-værdier steg mere end dosisproportionalt i dosisintervallet. I den samlede voksne population af mænd og kvinder øgede en fordobling af dosis fra 50 mg til 100 mg mirabegron C</w:t>
      </w:r>
      <w:r w:rsidRPr="006C28AA">
        <w:rPr>
          <w:sz w:val="24"/>
          <w:szCs w:val="24"/>
          <w:vertAlign w:val="subscript"/>
        </w:rPr>
        <w:t>max</w:t>
      </w:r>
      <w:r w:rsidRPr="006C28AA">
        <w:rPr>
          <w:sz w:val="24"/>
          <w:szCs w:val="24"/>
        </w:rPr>
        <w:t xml:space="preserve"> og AUC</w:t>
      </w:r>
      <w:r w:rsidRPr="006C28AA">
        <w:rPr>
          <w:sz w:val="24"/>
          <w:szCs w:val="24"/>
          <w:vertAlign w:val="subscript"/>
        </w:rPr>
        <w:t>tau</w:t>
      </w:r>
      <w:r w:rsidRPr="006C28AA">
        <w:rPr>
          <w:sz w:val="24"/>
          <w:szCs w:val="24"/>
        </w:rPr>
        <w:t xml:space="preserve"> med en faktor på henholdsvis ca. 2,9 og 2,6, mens en firedobling af dosis fra 50 mg til 200 mg mirabegron øgede C</w:t>
      </w:r>
      <w:r w:rsidRPr="006C28AA">
        <w:rPr>
          <w:sz w:val="24"/>
          <w:szCs w:val="24"/>
          <w:vertAlign w:val="subscript"/>
        </w:rPr>
        <w:t>max</w:t>
      </w:r>
      <w:r w:rsidRPr="006C28AA">
        <w:rPr>
          <w:sz w:val="24"/>
          <w:szCs w:val="24"/>
        </w:rPr>
        <w:t xml:space="preserve"> og AUC</w:t>
      </w:r>
      <w:r w:rsidRPr="006C28AA">
        <w:rPr>
          <w:sz w:val="24"/>
          <w:szCs w:val="24"/>
          <w:vertAlign w:val="subscript"/>
        </w:rPr>
        <w:t>tau</w:t>
      </w:r>
      <w:r w:rsidRPr="006C28AA">
        <w:rPr>
          <w:sz w:val="24"/>
          <w:szCs w:val="24"/>
        </w:rPr>
        <w:t xml:space="preserve"> med en faktor på ca. 8,4 og 6,5. </w:t>
      </w:r>
      <w:r w:rsidRPr="006C28AA">
        <w:rPr>
          <w:i/>
          <w:sz w:val="24"/>
          <w:szCs w:val="24"/>
        </w:rPr>
        <w:t>Steady state</w:t>
      </w:r>
      <w:r w:rsidRPr="006C28AA">
        <w:rPr>
          <w:sz w:val="24"/>
          <w:szCs w:val="24"/>
        </w:rPr>
        <w:t xml:space="preserve">koncentrationer opnås inden for 7 dage med dosering af mirabegron én gang dagligt. Efter administration én gang dagligt er plasmaeksponeringen for mirabegron ved </w:t>
      </w:r>
      <w:r w:rsidRPr="006C28AA">
        <w:rPr>
          <w:i/>
          <w:sz w:val="24"/>
          <w:szCs w:val="24"/>
        </w:rPr>
        <w:t>steady state</w:t>
      </w:r>
      <w:r w:rsidRPr="006C28AA">
        <w:rPr>
          <w:sz w:val="24"/>
          <w:szCs w:val="24"/>
        </w:rPr>
        <w:t xml:space="preserve"> ca. dobbelt så høj som efter en enkeltdosis. </w:t>
      </w:r>
    </w:p>
    <w:p w14:paraId="0DE079C1" w14:textId="77777777" w:rsidR="006C28AA" w:rsidRPr="006C28AA" w:rsidRDefault="006C28AA" w:rsidP="006C28AA">
      <w:pPr>
        <w:tabs>
          <w:tab w:val="left" w:pos="851"/>
        </w:tabs>
        <w:ind w:left="851"/>
        <w:rPr>
          <w:sz w:val="24"/>
          <w:szCs w:val="24"/>
        </w:rPr>
      </w:pPr>
      <w:r w:rsidRPr="006C28AA">
        <w:rPr>
          <w:sz w:val="24"/>
          <w:szCs w:val="24"/>
        </w:rPr>
        <w:t xml:space="preserve"> </w:t>
      </w:r>
    </w:p>
    <w:p w14:paraId="77AB98AB"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0D0CDF7C" w14:textId="77777777" w:rsidR="006C28AA" w:rsidRPr="006C28AA" w:rsidRDefault="006C28AA" w:rsidP="006C28AA">
      <w:pPr>
        <w:tabs>
          <w:tab w:val="left" w:pos="851"/>
        </w:tabs>
        <w:ind w:left="851"/>
        <w:rPr>
          <w:sz w:val="24"/>
          <w:szCs w:val="24"/>
        </w:rPr>
      </w:pPr>
      <w:r w:rsidRPr="006C28AA">
        <w:rPr>
          <w:sz w:val="24"/>
          <w:szCs w:val="24"/>
        </w:rPr>
        <w:t>Det mediane T</w:t>
      </w:r>
      <w:r w:rsidRPr="006C28AA">
        <w:rPr>
          <w:sz w:val="24"/>
          <w:szCs w:val="24"/>
          <w:vertAlign w:val="subscript"/>
        </w:rPr>
        <w:t>max</w:t>
      </w:r>
      <w:r w:rsidRPr="006C28AA">
        <w:rPr>
          <w:sz w:val="24"/>
          <w:szCs w:val="24"/>
        </w:rPr>
        <w:t xml:space="preserve"> for mirabegron efter oral administration af en enkelt dosis mirabegron-tabletter eller oral suspension hos patienter, der havde indtaget mad, var 4-5 timer. En farmakokinetisk populationsanalyse forudsagde, at median T</w:t>
      </w:r>
      <w:r w:rsidRPr="006C28AA">
        <w:rPr>
          <w:sz w:val="24"/>
          <w:szCs w:val="24"/>
          <w:vertAlign w:val="subscript"/>
        </w:rPr>
        <w:t>max</w:t>
      </w:r>
      <w:r w:rsidRPr="006C28AA">
        <w:rPr>
          <w:sz w:val="24"/>
          <w:szCs w:val="24"/>
        </w:rPr>
        <w:t xml:space="preserve"> for mirabegron-tabletter eller oral suspension ved </w:t>
      </w:r>
      <w:r w:rsidRPr="006C28AA">
        <w:rPr>
          <w:i/>
          <w:sz w:val="24"/>
          <w:szCs w:val="24"/>
        </w:rPr>
        <w:t>steady state</w:t>
      </w:r>
      <w:r w:rsidRPr="006C28AA">
        <w:rPr>
          <w:sz w:val="24"/>
          <w:szCs w:val="24"/>
        </w:rPr>
        <w:t xml:space="preserve"> var 3-4 timer. </w:t>
      </w:r>
    </w:p>
    <w:p w14:paraId="41E63D96" w14:textId="77777777" w:rsidR="006C28AA" w:rsidRPr="006C28AA" w:rsidRDefault="006C28AA" w:rsidP="006C28AA">
      <w:pPr>
        <w:tabs>
          <w:tab w:val="left" w:pos="851"/>
        </w:tabs>
        <w:ind w:left="851"/>
        <w:rPr>
          <w:sz w:val="24"/>
          <w:szCs w:val="24"/>
        </w:rPr>
      </w:pPr>
      <w:r w:rsidRPr="006C28AA">
        <w:rPr>
          <w:sz w:val="24"/>
          <w:szCs w:val="24"/>
        </w:rPr>
        <w:t xml:space="preserve"> </w:t>
      </w:r>
    </w:p>
    <w:p w14:paraId="38D57D68" w14:textId="77777777" w:rsidR="006C28AA" w:rsidRPr="006C28AA" w:rsidRDefault="006C28AA" w:rsidP="006C28AA">
      <w:pPr>
        <w:tabs>
          <w:tab w:val="left" w:pos="851"/>
        </w:tabs>
        <w:ind w:left="851"/>
        <w:rPr>
          <w:sz w:val="24"/>
          <w:szCs w:val="24"/>
        </w:rPr>
      </w:pPr>
      <w:r w:rsidRPr="006C28AA">
        <w:rPr>
          <w:sz w:val="24"/>
          <w:szCs w:val="24"/>
        </w:rPr>
        <w:t>Biotilgængeligheden af den orale suspensionsformulering er lavere end for tabletten. Forholdet mellem populationens middeleksponering (AUC</w:t>
      </w:r>
      <w:r w:rsidRPr="006C28AA">
        <w:rPr>
          <w:sz w:val="24"/>
          <w:szCs w:val="24"/>
          <w:vertAlign w:val="subscript"/>
        </w:rPr>
        <w:t>tau</w:t>
      </w:r>
      <w:r w:rsidRPr="006C28AA">
        <w:rPr>
          <w:sz w:val="24"/>
          <w:szCs w:val="24"/>
        </w:rPr>
        <w:t xml:space="preserve">) for den orale suspension og for tabletten er ca. 45 %. </w:t>
      </w:r>
    </w:p>
    <w:p w14:paraId="7138D76B" w14:textId="77777777" w:rsidR="006C28AA" w:rsidRPr="006C28AA" w:rsidRDefault="006C28AA" w:rsidP="006C28AA">
      <w:pPr>
        <w:tabs>
          <w:tab w:val="left" w:pos="851"/>
        </w:tabs>
        <w:ind w:left="851"/>
        <w:rPr>
          <w:sz w:val="24"/>
          <w:szCs w:val="24"/>
        </w:rPr>
      </w:pPr>
      <w:r w:rsidRPr="006C28AA">
        <w:rPr>
          <w:sz w:val="24"/>
          <w:szCs w:val="24"/>
        </w:rPr>
        <w:t xml:space="preserve"> </w:t>
      </w:r>
    </w:p>
    <w:p w14:paraId="2CAD1F81" w14:textId="77777777" w:rsidR="006C28AA" w:rsidRPr="006C28AA" w:rsidRDefault="006C28AA" w:rsidP="006C28AA">
      <w:pPr>
        <w:tabs>
          <w:tab w:val="left" w:pos="851"/>
        </w:tabs>
        <w:ind w:left="851"/>
        <w:rPr>
          <w:sz w:val="24"/>
          <w:szCs w:val="24"/>
          <w:u w:val="single"/>
        </w:rPr>
      </w:pPr>
      <w:r w:rsidRPr="006C28AA">
        <w:rPr>
          <w:sz w:val="24"/>
          <w:szCs w:val="24"/>
          <w:u w:val="single"/>
        </w:rPr>
        <w:t>Virkningen af mad på absorption</w:t>
      </w:r>
      <w:r w:rsidRPr="006C28AA">
        <w:rPr>
          <w:sz w:val="24"/>
          <w:szCs w:val="24"/>
        </w:rPr>
        <w:t xml:space="preserve"> </w:t>
      </w:r>
    </w:p>
    <w:p w14:paraId="089E669E" w14:textId="77777777" w:rsidR="006C28AA" w:rsidRPr="006C28AA" w:rsidRDefault="006C28AA" w:rsidP="006C28AA">
      <w:pPr>
        <w:tabs>
          <w:tab w:val="left" w:pos="851"/>
        </w:tabs>
        <w:ind w:left="851"/>
        <w:rPr>
          <w:sz w:val="24"/>
          <w:szCs w:val="24"/>
        </w:rPr>
      </w:pPr>
      <w:r w:rsidRPr="006C28AA">
        <w:rPr>
          <w:sz w:val="24"/>
          <w:szCs w:val="24"/>
        </w:rPr>
        <w:t xml:space="preserve"> </w:t>
      </w:r>
    </w:p>
    <w:p w14:paraId="3FD36B34" w14:textId="77777777" w:rsidR="006C28AA" w:rsidRPr="006C28AA" w:rsidRDefault="006C28AA" w:rsidP="006C28AA">
      <w:pPr>
        <w:tabs>
          <w:tab w:val="left" w:pos="851"/>
        </w:tabs>
        <w:ind w:left="851"/>
        <w:rPr>
          <w:sz w:val="24"/>
          <w:szCs w:val="24"/>
        </w:rPr>
      </w:pPr>
      <w:r w:rsidRPr="006C28AA">
        <w:rPr>
          <w:i/>
          <w:sz w:val="24"/>
          <w:szCs w:val="24"/>
        </w:rPr>
        <w:t>Voksne</w:t>
      </w:r>
    </w:p>
    <w:p w14:paraId="2CC47F63" w14:textId="77777777" w:rsidR="006C28AA" w:rsidRPr="006C28AA" w:rsidRDefault="006C28AA" w:rsidP="006C28AA">
      <w:pPr>
        <w:tabs>
          <w:tab w:val="left" w:pos="851"/>
        </w:tabs>
        <w:ind w:left="851"/>
        <w:rPr>
          <w:sz w:val="24"/>
          <w:szCs w:val="24"/>
        </w:rPr>
      </w:pPr>
      <w:r w:rsidRPr="006C28AA">
        <w:rPr>
          <w:sz w:val="24"/>
          <w:szCs w:val="24"/>
        </w:rPr>
        <w:t>Administration af en 50 mg tablet samtidig med et måltid med højt fedtindhold reducerede mirabegrons C</w:t>
      </w:r>
      <w:r w:rsidRPr="006C28AA">
        <w:rPr>
          <w:sz w:val="24"/>
          <w:szCs w:val="24"/>
          <w:vertAlign w:val="subscript"/>
        </w:rPr>
        <w:t>max</w:t>
      </w:r>
      <w:r w:rsidRPr="006C28AA">
        <w:rPr>
          <w:sz w:val="24"/>
          <w:szCs w:val="24"/>
        </w:rPr>
        <w:t xml:space="preserve"> og AUC med henholdsvis 45 % og 17 %. Et måltid med lavt fedtindhold reducerede mirabegrons C</w:t>
      </w:r>
      <w:r w:rsidRPr="006C28AA">
        <w:rPr>
          <w:sz w:val="24"/>
          <w:szCs w:val="24"/>
          <w:vertAlign w:val="subscript"/>
        </w:rPr>
        <w:t>max</w:t>
      </w:r>
      <w:r w:rsidRPr="006C28AA">
        <w:rPr>
          <w:sz w:val="24"/>
          <w:szCs w:val="24"/>
        </w:rPr>
        <w:t xml:space="preserve"> og AUC med henholdsvis 75 % og 51 %. I fase 3-studierne blev mirabegron administreret med eller uden mad og udviste både sikkerhed og virkning. Mirabegron kan derfor tages med eller uden mad i den anbefalede dosis. </w:t>
      </w:r>
    </w:p>
    <w:p w14:paraId="0957B61C" w14:textId="77777777" w:rsidR="006C28AA" w:rsidRPr="006C28AA" w:rsidRDefault="006C28AA" w:rsidP="006C28AA">
      <w:pPr>
        <w:tabs>
          <w:tab w:val="left" w:pos="851"/>
        </w:tabs>
        <w:ind w:left="851"/>
        <w:rPr>
          <w:sz w:val="24"/>
          <w:szCs w:val="24"/>
        </w:rPr>
      </w:pPr>
      <w:r w:rsidRPr="006C28AA">
        <w:rPr>
          <w:sz w:val="24"/>
          <w:szCs w:val="24"/>
        </w:rPr>
        <w:t xml:space="preserve"> </w:t>
      </w:r>
    </w:p>
    <w:p w14:paraId="04F20C0B"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54C4BA7E" w14:textId="77777777" w:rsidR="006C28AA" w:rsidRPr="006C28AA" w:rsidRDefault="006C28AA" w:rsidP="006C28AA">
      <w:pPr>
        <w:tabs>
          <w:tab w:val="left" w:pos="851"/>
        </w:tabs>
        <w:ind w:left="851"/>
        <w:rPr>
          <w:sz w:val="24"/>
          <w:szCs w:val="24"/>
        </w:rPr>
      </w:pPr>
      <w:r w:rsidRPr="006C28AA">
        <w:rPr>
          <w:sz w:val="24"/>
          <w:szCs w:val="24"/>
        </w:rPr>
        <w:t xml:space="preserve">Den farmakokinetiske populationsmodel forudsagde, at de patienter, der fik mirabegron efter at have indtaget mad, ville have 44,7 % </w:t>
      </w:r>
      <w:r w:rsidRPr="006C28AA">
        <w:rPr>
          <w:i/>
          <w:sz w:val="24"/>
          <w:szCs w:val="24"/>
        </w:rPr>
        <w:t>steady state</w:t>
      </w:r>
      <w:r w:rsidRPr="006C28AA">
        <w:rPr>
          <w:sz w:val="24"/>
          <w:szCs w:val="24"/>
        </w:rPr>
        <w:t xml:space="preserve"> AUC</w:t>
      </w:r>
      <w:r w:rsidRPr="006C28AA">
        <w:rPr>
          <w:sz w:val="24"/>
          <w:szCs w:val="24"/>
          <w:vertAlign w:val="subscript"/>
        </w:rPr>
        <w:t>tau</w:t>
      </w:r>
      <w:r w:rsidRPr="006C28AA">
        <w:rPr>
          <w:sz w:val="24"/>
          <w:szCs w:val="24"/>
        </w:rPr>
        <w:t xml:space="preserve"> i forhold til en </w:t>
      </w:r>
      <w:r w:rsidRPr="006C28AA">
        <w:rPr>
          <w:sz w:val="24"/>
          <w:szCs w:val="24"/>
        </w:rPr>
        <w:lastRenderedPageBreak/>
        <w:t>tilsvarende dosis administreret under faste. Denne værdi er i overensstemmelse med AUC</w:t>
      </w:r>
      <w:r w:rsidRPr="006C28AA">
        <w:rPr>
          <w:sz w:val="24"/>
          <w:szCs w:val="24"/>
          <w:vertAlign w:val="subscript"/>
        </w:rPr>
        <w:t>inf</w:t>
      </w:r>
      <w:r w:rsidRPr="006C28AA">
        <w:rPr>
          <w:sz w:val="24"/>
          <w:szCs w:val="24"/>
        </w:rPr>
        <w:t>-resultaterne, som ses i studierne af virkningen af mirabegron ved enkeltdosis og mad. I det pædiatriske fase 3-studie blev mirabegron administreret sammen med mad og udviste både sikkerhed og virkning. Doseringsanbefalingerne er baseret på den forventede eksponering efter indtagelse af mad. Derfor skal mirabegron hos pædiatriske patienter tages sammen med mad i den anbefalede dosis.</w:t>
      </w:r>
    </w:p>
    <w:p w14:paraId="1A334BF7" w14:textId="77777777" w:rsidR="006C28AA" w:rsidRPr="006C28AA" w:rsidRDefault="006C28AA" w:rsidP="006C28AA">
      <w:pPr>
        <w:tabs>
          <w:tab w:val="left" w:pos="851"/>
        </w:tabs>
        <w:ind w:left="851"/>
        <w:rPr>
          <w:sz w:val="24"/>
          <w:szCs w:val="24"/>
        </w:rPr>
      </w:pPr>
    </w:p>
    <w:p w14:paraId="3CF6148D" w14:textId="77777777" w:rsidR="006C28AA" w:rsidRPr="006C28AA" w:rsidRDefault="006C28AA" w:rsidP="006C28AA">
      <w:pPr>
        <w:tabs>
          <w:tab w:val="left" w:pos="851"/>
        </w:tabs>
        <w:ind w:left="851"/>
        <w:rPr>
          <w:sz w:val="24"/>
          <w:szCs w:val="24"/>
          <w:u w:val="single"/>
        </w:rPr>
      </w:pPr>
      <w:r w:rsidRPr="006C28AA">
        <w:rPr>
          <w:sz w:val="24"/>
          <w:szCs w:val="24"/>
          <w:u w:val="single"/>
        </w:rPr>
        <w:t>Fordeling</w:t>
      </w:r>
      <w:r w:rsidRPr="006C28AA">
        <w:rPr>
          <w:sz w:val="24"/>
          <w:szCs w:val="24"/>
        </w:rPr>
        <w:t xml:space="preserve"> </w:t>
      </w:r>
    </w:p>
    <w:p w14:paraId="477F4C8C" w14:textId="77777777" w:rsidR="006C28AA" w:rsidRPr="006C28AA" w:rsidRDefault="006C28AA" w:rsidP="006C28AA">
      <w:pPr>
        <w:tabs>
          <w:tab w:val="left" w:pos="851"/>
        </w:tabs>
        <w:ind w:left="851"/>
        <w:rPr>
          <w:sz w:val="24"/>
          <w:szCs w:val="24"/>
        </w:rPr>
      </w:pPr>
      <w:r w:rsidRPr="006C28AA">
        <w:rPr>
          <w:sz w:val="24"/>
          <w:szCs w:val="24"/>
        </w:rPr>
        <w:t xml:space="preserve"> </w:t>
      </w:r>
    </w:p>
    <w:p w14:paraId="79A88334" w14:textId="77777777" w:rsidR="006C28AA" w:rsidRPr="006C28AA" w:rsidRDefault="006C28AA" w:rsidP="006C28AA">
      <w:pPr>
        <w:tabs>
          <w:tab w:val="left" w:pos="851"/>
        </w:tabs>
        <w:ind w:left="851"/>
        <w:rPr>
          <w:sz w:val="24"/>
          <w:szCs w:val="24"/>
        </w:rPr>
      </w:pPr>
      <w:r w:rsidRPr="006C28AA">
        <w:rPr>
          <w:i/>
          <w:sz w:val="24"/>
          <w:szCs w:val="24"/>
        </w:rPr>
        <w:t>Voksne</w:t>
      </w:r>
    </w:p>
    <w:p w14:paraId="50BE54C1" w14:textId="77777777" w:rsidR="006C28AA" w:rsidRPr="006C28AA" w:rsidRDefault="006C28AA" w:rsidP="006C28AA">
      <w:pPr>
        <w:tabs>
          <w:tab w:val="left" w:pos="851"/>
        </w:tabs>
        <w:ind w:left="851"/>
        <w:rPr>
          <w:sz w:val="24"/>
          <w:szCs w:val="24"/>
        </w:rPr>
      </w:pPr>
      <w:r w:rsidRPr="006C28AA">
        <w:rPr>
          <w:sz w:val="24"/>
          <w:szCs w:val="24"/>
        </w:rPr>
        <w:t xml:space="preserve">Mirabegron distribueres i udstrakt grad. Distributionsvolumenet ved </w:t>
      </w:r>
      <w:r w:rsidRPr="006C28AA">
        <w:rPr>
          <w:i/>
          <w:sz w:val="24"/>
          <w:szCs w:val="24"/>
        </w:rPr>
        <w:t>steady state</w:t>
      </w:r>
      <w:r w:rsidRPr="006C28AA">
        <w:rPr>
          <w:sz w:val="24"/>
          <w:szCs w:val="24"/>
        </w:rPr>
        <w:t xml:space="preserve"> (V</w:t>
      </w:r>
      <w:r w:rsidRPr="006C28AA">
        <w:rPr>
          <w:sz w:val="24"/>
          <w:szCs w:val="24"/>
          <w:vertAlign w:val="subscript"/>
        </w:rPr>
        <w:t>ss</w:t>
      </w:r>
      <w:r w:rsidRPr="006C28AA">
        <w:rPr>
          <w:sz w:val="24"/>
          <w:szCs w:val="24"/>
        </w:rPr>
        <w:t xml:space="preserve">) er ca. 1.670 l. Mirabegron bindes (ca. 71 %) til humane plasmaproteiner og udviser moderat affinitet for albumin og alfa-1-syre glycoprotein. Mirabegron distribueres til erytrocytterne. </w:t>
      </w:r>
      <w:r w:rsidRPr="006C28AA">
        <w:rPr>
          <w:i/>
          <w:sz w:val="24"/>
          <w:szCs w:val="24"/>
        </w:rPr>
        <w:t>In vitro</w:t>
      </w:r>
      <w:r w:rsidRPr="006C28AA">
        <w:rPr>
          <w:sz w:val="24"/>
          <w:szCs w:val="24"/>
        </w:rPr>
        <w:t xml:space="preserve">erytrocyt-koncentrationerne af </w:t>
      </w:r>
      <w:r w:rsidRPr="006C28AA">
        <w:rPr>
          <w:sz w:val="24"/>
          <w:szCs w:val="24"/>
          <w:vertAlign w:val="superscript"/>
        </w:rPr>
        <w:t>14</w:t>
      </w:r>
      <w:r w:rsidRPr="006C28AA">
        <w:rPr>
          <w:sz w:val="24"/>
          <w:szCs w:val="24"/>
        </w:rPr>
        <w:t>C-mirabegron var ca. dobbelt så høje som i plasma.</w:t>
      </w:r>
    </w:p>
    <w:p w14:paraId="30C65B7D" w14:textId="77777777" w:rsidR="006C28AA" w:rsidRPr="006C28AA" w:rsidRDefault="006C28AA" w:rsidP="006C28AA">
      <w:pPr>
        <w:tabs>
          <w:tab w:val="left" w:pos="851"/>
        </w:tabs>
        <w:ind w:left="851"/>
        <w:rPr>
          <w:sz w:val="24"/>
          <w:szCs w:val="24"/>
        </w:rPr>
      </w:pPr>
    </w:p>
    <w:p w14:paraId="44B0890D"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43868BDE" w14:textId="77777777" w:rsidR="006C28AA" w:rsidRPr="006C28AA" w:rsidRDefault="006C28AA" w:rsidP="006C28AA">
      <w:pPr>
        <w:tabs>
          <w:tab w:val="left" w:pos="851"/>
        </w:tabs>
        <w:ind w:left="851"/>
        <w:rPr>
          <w:sz w:val="24"/>
          <w:szCs w:val="24"/>
        </w:rPr>
      </w:pPr>
      <w:r w:rsidRPr="006C28AA">
        <w:rPr>
          <w:sz w:val="24"/>
          <w:szCs w:val="24"/>
        </w:rPr>
        <w:t>Distributionssvolumenet for mirabegron var relativt stort og blev øget ved stigende kropsvægt i overensstemmelse med allometriske principper på baggrund af farmakokinetisk populationsanalyse. Alder, køn og patientpopulation havde ingen indflydelse på distributionsvolumen, når der tages højde for potentielle forskelle i kropsvægt.</w:t>
      </w:r>
    </w:p>
    <w:p w14:paraId="1BB09CD1" w14:textId="77777777" w:rsidR="006C28AA" w:rsidRPr="006C28AA" w:rsidRDefault="006C28AA" w:rsidP="006C28AA">
      <w:pPr>
        <w:tabs>
          <w:tab w:val="left" w:pos="851"/>
        </w:tabs>
        <w:ind w:left="851"/>
        <w:rPr>
          <w:sz w:val="24"/>
          <w:szCs w:val="24"/>
        </w:rPr>
      </w:pPr>
    </w:p>
    <w:p w14:paraId="617CB73F" w14:textId="77777777" w:rsidR="006C28AA" w:rsidRPr="006C28AA" w:rsidRDefault="006C28AA" w:rsidP="006C28AA">
      <w:pPr>
        <w:tabs>
          <w:tab w:val="left" w:pos="851"/>
        </w:tabs>
        <w:ind w:left="851"/>
        <w:rPr>
          <w:sz w:val="24"/>
          <w:szCs w:val="24"/>
          <w:u w:val="single"/>
        </w:rPr>
      </w:pPr>
      <w:r w:rsidRPr="006C28AA">
        <w:rPr>
          <w:sz w:val="24"/>
          <w:szCs w:val="24"/>
          <w:u w:val="single"/>
        </w:rPr>
        <w:t>Biotransformation</w:t>
      </w:r>
      <w:r w:rsidRPr="006C28AA">
        <w:rPr>
          <w:sz w:val="24"/>
          <w:szCs w:val="24"/>
        </w:rPr>
        <w:t xml:space="preserve"> </w:t>
      </w:r>
    </w:p>
    <w:p w14:paraId="68022537" w14:textId="77777777" w:rsidR="006C28AA" w:rsidRPr="006C28AA" w:rsidRDefault="006C28AA" w:rsidP="006C28AA">
      <w:pPr>
        <w:tabs>
          <w:tab w:val="left" w:pos="851"/>
        </w:tabs>
        <w:ind w:left="851"/>
        <w:rPr>
          <w:sz w:val="24"/>
          <w:szCs w:val="24"/>
        </w:rPr>
      </w:pPr>
      <w:r w:rsidRPr="006C28AA">
        <w:rPr>
          <w:sz w:val="24"/>
          <w:szCs w:val="24"/>
        </w:rPr>
        <w:t xml:space="preserve">Mirabegron metaboliseres via flere pathways, som involverer dealkylering, oxidation, (direkte) glucuronidering og amidhydrolyse. Mirabegron er den væsentligste cirkulerende komponent efter en enkeltdosis af </w:t>
      </w:r>
      <w:r w:rsidRPr="006C28AA">
        <w:rPr>
          <w:sz w:val="24"/>
          <w:szCs w:val="24"/>
          <w:vertAlign w:val="superscript"/>
        </w:rPr>
        <w:t>14</w:t>
      </w:r>
      <w:r w:rsidRPr="006C28AA">
        <w:rPr>
          <w:sz w:val="24"/>
          <w:szCs w:val="24"/>
        </w:rPr>
        <w:t xml:space="preserve">C-mirabegron. Der blev observeret to væsentlige metabolitter i humant plasma fra voksne; begge er fase 2-glucuronider, som udgør 16 % og 11 % af den samlede eksponering. Disse metabolitter er ikke farmakologisk aktive. </w:t>
      </w:r>
    </w:p>
    <w:p w14:paraId="355A9A6E" w14:textId="77777777" w:rsidR="006C28AA" w:rsidRPr="006C28AA" w:rsidRDefault="006C28AA" w:rsidP="006C28AA">
      <w:pPr>
        <w:tabs>
          <w:tab w:val="left" w:pos="851"/>
        </w:tabs>
        <w:ind w:left="851"/>
        <w:rPr>
          <w:sz w:val="24"/>
          <w:szCs w:val="24"/>
        </w:rPr>
      </w:pPr>
      <w:r w:rsidRPr="006C28AA">
        <w:rPr>
          <w:sz w:val="24"/>
          <w:szCs w:val="24"/>
        </w:rPr>
        <w:t xml:space="preserve"> </w:t>
      </w:r>
    </w:p>
    <w:p w14:paraId="6FE33391" w14:textId="77777777" w:rsidR="006C28AA" w:rsidRPr="006C28AA" w:rsidRDefault="006C28AA" w:rsidP="006C28AA">
      <w:pPr>
        <w:tabs>
          <w:tab w:val="left" w:pos="851"/>
        </w:tabs>
        <w:ind w:left="851"/>
        <w:rPr>
          <w:sz w:val="24"/>
          <w:szCs w:val="24"/>
        </w:rPr>
      </w:pPr>
      <w:r w:rsidRPr="006C28AA">
        <w:rPr>
          <w:sz w:val="24"/>
          <w:szCs w:val="24"/>
        </w:rPr>
        <w:t xml:space="preserve">Ud fra </w:t>
      </w:r>
      <w:r w:rsidRPr="006C28AA">
        <w:rPr>
          <w:i/>
          <w:sz w:val="24"/>
          <w:szCs w:val="24"/>
        </w:rPr>
        <w:t>in vitro-</w:t>
      </w:r>
      <w:r w:rsidRPr="006C28AA">
        <w:rPr>
          <w:sz w:val="24"/>
          <w:szCs w:val="24"/>
        </w:rPr>
        <w:t xml:space="preserve">studier er det usandsynligt, at mirabegron hæmmer metabolismen af samtidigt administrerede lægemidler, der metaboliseres af følgende cytochrom P450-enzymer: CYP1A2, CYP2B6, CYP2C8, CYP2C9, CYP2C19 og CYP2E1, eftersom mirabegron ikke hæmmede aktiviteten af disse enzymer ved klinisk relevante koncentrationer. Mirabegron inducerede hverken CYP1A2 eller CYP3A. Mirabegron forventes ikke at forårsage klinisk relevant hæmning af OCTmedieret lægemiddeltransport. </w:t>
      </w:r>
    </w:p>
    <w:p w14:paraId="7A3E380F" w14:textId="77777777" w:rsidR="006C28AA" w:rsidRPr="006C28AA" w:rsidRDefault="006C28AA" w:rsidP="006C28AA">
      <w:pPr>
        <w:tabs>
          <w:tab w:val="left" w:pos="851"/>
        </w:tabs>
        <w:ind w:left="851"/>
        <w:rPr>
          <w:sz w:val="24"/>
          <w:szCs w:val="24"/>
        </w:rPr>
      </w:pPr>
      <w:r w:rsidRPr="006C28AA">
        <w:rPr>
          <w:sz w:val="24"/>
          <w:szCs w:val="24"/>
        </w:rPr>
        <w:t xml:space="preserve"> </w:t>
      </w:r>
    </w:p>
    <w:p w14:paraId="3FF9975A" w14:textId="77777777" w:rsidR="006C28AA" w:rsidRPr="006C28AA" w:rsidRDefault="006C28AA" w:rsidP="006C28AA">
      <w:pPr>
        <w:tabs>
          <w:tab w:val="left" w:pos="851"/>
        </w:tabs>
        <w:ind w:left="851"/>
        <w:rPr>
          <w:sz w:val="24"/>
          <w:szCs w:val="24"/>
        </w:rPr>
      </w:pPr>
      <w:r w:rsidRPr="006C28AA">
        <w:rPr>
          <w:sz w:val="24"/>
          <w:szCs w:val="24"/>
        </w:rPr>
        <w:t xml:space="preserve">Selvom </w:t>
      </w:r>
      <w:r w:rsidRPr="006C28AA">
        <w:rPr>
          <w:i/>
          <w:sz w:val="24"/>
          <w:szCs w:val="24"/>
        </w:rPr>
        <w:t>in vitro</w:t>
      </w:r>
      <w:r w:rsidRPr="006C28AA">
        <w:rPr>
          <w:sz w:val="24"/>
          <w:szCs w:val="24"/>
        </w:rPr>
        <w:t xml:space="preserve">-studier indikerer, at CYP2D6 og CYP3A4 har en rolle i den oxidative metabolisme af mirabegron, indikerer </w:t>
      </w:r>
      <w:r w:rsidRPr="006C28AA">
        <w:rPr>
          <w:i/>
          <w:sz w:val="24"/>
          <w:szCs w:val="24"/>
        </w:rPr>
        <w:t>in vivo</w:t>
      </w:r>
      <w:r w:rsidRPr="006C28AA">
        <w:rPr>
          <w:sz w:val="24"/>
          <w:szCs w:val="24"/>
        </w:rPr>
        <w:t xml:space="preserve">-resultater, at disse isozymer har begrænset betydning i den samlede elimination. </w:t>
      </w:r>
      <w:r w:rsidRPr="006C28AA">
        <w:rPr>
          <w:i/>
          <w:sz w:val="24"/>
          <w:szCs w:val="24"/>
        </w:rPr>
        <w:t>In vitro</w:t>
      </w:r>
      <w:r w:rsidRPr="006C28AA">
        <w:rPr>
          <w:sz w:val="24"/>
          <w:szCs w:val="24"/>
        </w:rPr>
        <w:t xml:space="preserve">- og </w:t>
      </w:r>
      <w:r w:rsidRPr="006C28AA">
        <w:rPr>
          <w:i/>
          <w:sz w:val="24"/>
          <w:szCs w:val="24"/>
        </w:rPr>
        <w:t>ex vivo</w:t>
      </w:r>
      <w:r w:rsidRPr="006C28AA">
        <w:rPr>
          <w:sz w:val="24"/>
          <w:szCs w:val="24"/>
        </w:rPr>
        <w:t xml:space="preserve">-studier har påvist, at der foruden CYP3A4 og CYP2D6 er involvering af butyrylcholinesterase, UGT og muligvis alkoholdehydrogenase (ADH) i metabolismen af mirabegron. </w:t>
      </w:r>
    </w:p>
    <w:p w14:paraId="653033EE" w14:textId="77777777" w:rsidR="006C28AA" w:rsidRPr="006C28AA" w:rsidRDefault="006C28AA" w:rsidP="006C28AA">
      <w:pPr>
        <w:tabs>
          <w:tab w:val="left" w:pos="851"/>
        </w:tabs>
        <w:ind w:left="851"/>
        <w:rPr>
          <w:sz w:val="24"/>
          <w:szCs w:val="24"/>
        </w:rPr>
      </w:pPr>
      <w:r w:rsidRPr="006C28AA">
        <w:rPr>
          <w:sz w:val="24"/>
          <w:szCs w:val="24"/>
        </w:rPr>
        <w:t xml:space="preserve"> </w:t>
      </w:r>
    </w:p>
    <w:p w14:paraId="0545224F" w14:textId="77777777" w:rsidR="006C28AA" w:rsidRPr="006C28AA" w:rsidRDefault="006C28AA" w:rsidP="006C28AA">
      <w:pPr>
        <w:tabs>
          <w:tab w:val="left" w:pos="851"/>
        </w:tabs>
        <w:ind w:left="851"/>
        <w:rPr>
          <w:sz w:val="24"/>
          <w:szCs w:val="24"/>
        </w:rPr>
      </w:pPr>
      <w:r w:rsidRPr="006C28AA">
        <w:rPr>
          <w:i/>
          <w:sz w:val="24"/>
          <w:szCs w:val="24"/>
        </w:rPr>
        <w:t>CYP2D6-polymorfisme</w:t>
      </w:r>
      <w:r w:rsidRPr="006C28AA">
        <w:rPr>
          <w:sz w:val="24"/>
          <w:szCs w:val="24"/>
        </w:rPr>
        <w:t xml:space="preserve"> </w:t>
      </w:r>
    </w:p>
    <w:p w14:paraId="4841D2F1" w14:textId="77777777" w:rsidR="006C28AA" w:rsidRPr="006C28AA" w:rsidRDefault="006C28AA" w:rsidP="006C28AA">
      <w:pPr>
        <w:tabs>
          <w:tab w:val="left" w:pos="851"/>
        </w:tabs>
        <w:ind w:left="851"/>
        <w:rPr>
          <w:sz w:val="24"/>
          <w:szCs w:val="24"/>
        </w:rPr>
      </w:pPr>
      <w:r w:rsidRPr="006C28AA">
        <w:rPr>
          <w:sz w:val="24"/>
          <w:szCs w:val="24"/>
        </w:rPr>
        <w:t>Hos raske voksne forsøgspersoner, som har genotypisk ringe metabolisme af CYP2D6-substrater (anvendt som surrogat for CYP2D6-hæmning), var de gennemsnitlige C</w:t>
      </w:r>
      <w:r w:rsidRPr="006C28AA">
        <w:rPr>
          <w:sz w:val="24"/>
          <w:szCs w:val="24"/>
          <w:vertAlign w:val="subscript"/>
        </w:rPr>
        <w:t>max</w:t>
      </w:r>
      <w:r w:rsidRPr="006C28AA">
        <w:rPr>
          <w:sz w:val="24"/>
          <w:szCs w:val="24"/>
        </w:rPr>
        <w:t>- og AUC</w:t>
      </w:r>
      <w:r w:rsidRPr="006C28AA">
        <w:rPr>
          <w:sz w:val="24"/>
          <w:szCs w:val="24"/>
          <w:vertAlign w:val="subscript"/>
        </w:rPr>
        <w:t>inf</w:t>
      </w:r>
      <w:r w:rsidRPr="006C28AA">
        <w:rPr>
          <w:sz w:val="24"/>
          <w:szCs w:val="24"/>
        </w:rPr>
        <w:t xml:space="preserve">-værdier ved en enkelt dosering af 160 mg af en mirabegronformulering IR 14 % og 19 % højere end hos personer med omfattende metabolisme, hvilket indikerer, at genetisk polymorfisme i CYP2D6 har minimal indflydelse på den gennemsnitlige plasmaeksponering for mirabegron. Interaktion af mirabegron med en kendt CYP2D6-hæmmer forventes ikke og blev ikke undersøgt. Dosisjustering er ikke nødvendig for </w:t>
      </w:r>
      <w:r w:rsidRPr="006C28AA">
        <w:rPr>
          <w:sz w:val="24"/>
          <w:szCs w:val="24"/>
        </w:rPr>
        <w:lastRenderedPageBreak/>
        <w:t>mirabegron ved administration sammen med CYP2D6-hæmmere eller hos voksne patienter med ringe CYP2D6-metabolisme.</w:t>
      </w:r>
    </w:p>
    <w:p w14:paraId="204641C4" w14:textId="77777777" w:rsidR="006C28AA" w:rsidRPr="006C28AA" w:rsidRDefault="006C28AA" w:rsidP="006C28AA">
      <w:pPr>
        <w:tabs>
          <w:tab w:val="left" w:pos="851"/>
        </w:tabs>
        <w:ind w:left="851"/>
        <w:rPr>
          <w:sz w:val="24"/>
          <w:szCs w:val="24"/>
        </w:rPr>
      </w:pPr>
    </w:p>
    <w:p w14:paraId="4255CA5B" w14:textId="77777777" w:rsidR="006C28AA" w:rsidRPr="006C28AA" w:rsidRDefault="006C28AA" w:rsidP="006C28AA">
      <w:pPr>
        <w:tabs>
          <w:tab w:val="left" w:pos="851"/>
        </w:tabs>
        <w:ind w:left="851"/>
        <w:rPr>
          <w:sz w:val="24"/>
          <w:szCs w:val="24"/>
          <w:u w:val="single"/>
        </w:rPr>
      </w:pPr>
      <w:r w:rsidRPr="006C28AA">
        <w:rPr>
          <w:sz w:val="24"/>
          <w:szCs w:val="24"/>
          <w:u w:val="single"/>
        </w:rPr>
        <w:t>Elimination</w:t>
      </w:r>
      <w:r w:rsidRPr="006C28AA">
        <w:rPr>
          <w:sz w:val="24"/>
          <w:szCs w:val="24"/>
        </w:rPr>
        <w:t xml:space="preserve"> </w:t>
      </w:r>
    </w:p>
    <w:p w14:paraId="7040C9D7" w14:textId="77777777" w:rsidR="006C28AA" w:rsidRPr="006C28AA" w:rsidRDefault="006C28AA" w:rsidP="006C28AA">
      <w:pPr>
        <w:tabs>
          <w:tab w:val="left" w:pos="851"/>
        </w:tabs>
        <w:ind w:left="851"/>
        <w:rPr>
          <w:sz w:val="24"/>
          <w:szCs w:val="24"/>
        </w:rPr>
      </w:pPr>
      <w:r w:rsidRPr="006C28AA">
        <w:rPr>
          <w:sz w:val="24"/>
          <w:szCs w:val="24"/>
        </w:rPr>
        <w:t xml:space="preserve"> </w:t>
      </w:r>
    </w:p>
    <w:p w14:paraId="008C3392" w14:textId="77777777" w:rsidR="006C28AA" w:rsidRPr="006C28AA" w:rsidRDefault="006C28AA" w:rsidP="006C28AA">
      <w:pPr>
        <w:tabs>
          <w:tab w:val="left" w:pos="851"/>
        </w:tabs>
        <w:ind w:left="851"/>
        <w:rPr>
          <w:sz w:val="24"/>
          <w:szCs w:val="24"/>
        </w:rPr>
      </w:pPr>
      <w:r w:rsidRPr="006C28AA">
        <w:rPr>
          <w:i/>
          <w:sz w:val="24"/>
          <w:szCs w:val="24"/>
        </w:rPr>
        <w:t>Voksne</w:t>
      </w:r>
    </w:p>
    <w:p w14:paraId="1DA32243" w14:textId="77777777" w:rsidR="006C28AA" w:rsidRPr="006C28AA" w:rsidRDefault="006C28AA" w:rsidP="006C28AA">
      <w:pPr>
        <w:tabs>
          <w:tab w:val="left" w:pos="851"/>
        </w:tabs>
        <w:ind w:left="851"/>
        <w:rPr>
          <w:sz w:val="24"/>
          <w:szCs w:val="24"/>
        </w:rPr>
      </w:pPr>
      <w:r w:rsidRPr="006C28AA">
        <w:rPr>
          <w:sz w:val="24"/>
          <w:szCs w:val="24"/>
        </w:rPr>
        <w:t>Kroppens totale plasmaclearance (CL</w:t>
      </w:r>
      <w:r w:rsidRPr="006C28AA">
        <w:rPr>
          <w:sz w:val="24"/>
          <w:szCs w:val="24"/>
          <w:vertAlign w:val="subscript"/>
        </w:rPr>
        <w:t>tot</w:t>
      </w:r>
      <w:r w:rsidRPr="006C28AA">
        <w:rPr>
          <w:sz w:val="24"/>
          <w:szCs w:val="24"/>
        </w:rPr>
        <w:t>) er ca. 57 l/t. Den terminale eliminationshalveringstid (t</w:t>
      </w:r>
      <w:r w:rsidRPr="006C28AA">
        <w:rPr>
          <w:sz w:val="24"/>
          <w:szCs w:val="24"/>
          <w:vertAlign w:val="subscript"/>
        </w:rPr>
        <w:t>1/2</w:t>
      </w:r>
      <w:r w:rsidRPr="006C28AA">
        <w:rPr>
          <w:sz w:val="24"/>
          <w:szCs w:val="24"/>
        </w:rPr>
        <w:t>) er ca. 50 timer. Den renale clearance (CL</w:t>
      </w:r>
      <w:r w:rsidRPr="006C28AA">
        <w:rPr>
          <w:sz w:val="24"/>
          <w:szCs w:val="24"/>
          <w:vertAlign w:val="subscript"/>
        </w:rPr>
        <w:t>R</w:t>
      </w:r>
      <w:r w:rsidRPr="006C28AA">
        <w:rPr>
          <w:sz w:val="24"/>
          <w:szCs w:val="24"/>
        </w:rPr>
        <w:t>) er ca. 13 l/t., hvilket svarer til næsten 25 % af CL</w:t>
      </w:r>
      <w:r w:rsidRPr="006C28AA">
        <w:rPr>
          <w:sz w:val="24"/>
          <w:szCs w:val="24"/>
          <w:vertAlign w:val="subscript"/>
        </w:rPr>
        <w:t>tot</w:t>
      </w:r>
      <w:r w:rsidRPr="006C28AA">
        <w:rPr>
          <w:sz w:val="24"/>
          <w:szCs w:val="24"/>
        </w:rPr>
        <w:t xml:space="preserve">. Den renale elimination af mirabegron sker primært via aktiv tubulær sekretion sammen med glomerulær filtrering. Urinudskillelsen af uomdannet mirabegron er dosisafhængig og varierer fra ca. 6,0 % efter en daglig dosis på 25 mg til 12,2 % efter en daglig dosis på 100 mg. Efter administration af 160 mg </w:t>
      </w:r>
      <w:r w:rsidRPr="006C28AA">
        <w:rPr>
          <w:sz w:val="24"/>
          <w:szCs w:val="24"/>
          <w:vertAlign w:val="superscript"/>
        </w:rPr>
        <w:t>14</w:t>
      </w:r>
      <w:r w:rsidRPr="006C28AA">
        <w:rPr>
          <w:sz w:val="24"/>
          <w:szCs w:val="24"/>
        </w:rPr>
        <w:t xml:space="preserve">C-mirabegron til raske frivillige blev ca. 55 % af det radioaktivt mærkede stof genfundet i urinen og 34 % i fæces. Uomdannet mirabegron udgjorde 45 % af radioaktiviteten i urinen, hvilket indikerede tilstedeværelse af metabolitter. Uomdannet mirabegron udgjorde størstedelen af radioaktiviteten i fæces. </w:t>
      </w:r>
    </w:p>
    <w:p w14:paraId="16661CFD" w14:textId="77777777" w:rsidR="006C28AA" w:rsidRPr="006C28AA" w:rsidRDefault="006C28AA" w:rsidP="006C28AA">
      <w:pPr>
        <w:tabs>
          <w:tab w:val="left" w:pos="851"/>
        </w:tabs>
        <w:ind w:left="851"/>
        <w:rPr>
          <w:sz w:val="24"/>
          <w:szCs w:val="24"/>
        </w:rPr>
      </w:pPr>
      <w:r w:rsidRPr="006C28AA">
        <w:rPr>
          <w:sz w:val="24"/>
          <w:szCs w:val="24"/>
        </w:rPr>
        <w:t xml:space="preserve"> </w:t>
      </w:r>
    </w:p>
    <w:p w14:paraId="6672E12C"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60355393" w14:textId="77777777" w:rsidR="006C28AA" w:rsidRPr="006C28AA" w:rsidRDefault="006C28AA" w:rsidP="006C28AA">
      <w:pPr>
        <w:tabs>
          <w:tab w:val="left" w:pos="851"/>
        </w:tabs>
        <w:ind w:left="851"/>
        <w:rPr>
          <w:sz w:val="24"/>
          <w:szCs w:val="24"/>
        </w:rPr>
      </w:pPr>
      <w:r w:rsidRPr="006C28AA">
        <w:rPr>
          <w:sz w:val="24"/>
          <w:szCs w:val="24"/>
        </w:rPr>
        <w:t>Det var forventet, at clearance for mirabegron ville stige hos patienter med stigende kropsvægt i overensstemmelse med allometriske principper på baggrund af farmakokinetisk populationsanalyse. Det tilsyneladende clearanceparameter blev påvirket signifikant af dosis, formulering og madens virkning på den relative biotilgængelighed. Værdierne for tilsyneladende clearance var meget variable, men generelt ens blandt børn og unge på trods af forskelle i kropsvægt på grund af disse virkninger på biotilgængeligheden.</w:t>
      </w:r>
    </w:p>
    <w:p w14:paraId="78D416D9" w14:textId="77777777" w:rsidR="006C28AA" w:rsidRPr="006C28AA" w:rsidRDefault="006C28AA" w:rsidP="006C28AA">
      <w:pPr>
        <w:tabs>
          <w:tab w:val="left" w:pos="851"/>
        </w:tabs>
        <w:ind w:left="851"/>
        <w:rPr>
          <w:sz w:val="24"/>
          <w:szCs w:val="24"/>
        </w:rPr>
      </w:pPr>
    </w:p>
    <w:p w14:paraId="7B7D8AF9" w14:textId="77777777" w:rsidR="006C28AA" w:rsidRPr="006C28AA" w:rsidRDefault="006C28AA" w:rsidP="006C28AA">
      <w:pPr>
        <w:tabs>
          <w:tab w:val="left" w:pos="851"/>
        </w:tabs>
        <w:ind w:left="851"/>
        <w:rPr>
          <w:sz w:val="24"/>
          <w:szCs w:val="24"/>
          <w:u w:val="single"/>
        </w:rPr>
      </w:pPr>
      <w:r w:rsidRPr="006C28AA">
        <w:rPr>
          <w:sz w:val="24"/>
          <w:szCs w:val="24"/>
          <w:u w:val="single"/>
        </w:rPr>
        <w:t>Alder</w:t>
      </w:r>
      <w:r w:rsidRPr="006C28AA">
        <w:rPr>
          <w:sz w:val="24"/>
          <w:szCs w:val="24"/>
        </w:rPr>
        <w:t xml:space="preserve"> </w:t>
      </w:r>
    </w:p>
    <w:p w14:paraId="1A49744F" w14:textId="77777777" w:rsidR="006C28AA" w:rsidRPr="006C28AA" w:rsidRDefault="006C28AA" w:rsidP="006C28AA">
      <w:pPr>
        <w:tabs>
          <w:tab w:val="left" w:pos="851"/>
        </w:tabs>
        <w:ind w:left="851"/>
        <w:rPr>
          <w:sz w:val="24"/>
          <w:szCs w:val="24"/>
        </w:rPr>
      </w:pPr>
      <w:r w:rsidRPr="006C28AA">
        <w:rPr>
          <w:sz w:val="24"/>
          <w:szCs w:val="24"/>
        </w:rPr>
        <w:t xml:space="preserve"> </w:t>
      </w:r>
    </w:p>
    <w:p w14:paraId="0EFFCC4D" w14:textId="77777777" w:rsidR="006C28AA" w:rsidRPr="006C28AA" w:rsidRDefault="006C28AA" w:rsidP="006C28AA">
      <w:pPr>
        <w:tabs>
          <w:tab w:val="left" w:pos="851"/>
        </w:tabs>
        <w:ind w:left="851"/>
        <w:rPr>
          <w:sz w:val="24"/>
          <w:szCs w:val="24"/>
        </w:rPr>
      </w:pPr>
      <w:r w:rsidRPr="006C28AA">
        <w:rPr>
          <w:i/>
          <w:sz w:val="24"/>
          <w:szCs w:val="24"/>
        </w:rPr>
        <w:t>Voksne</w:t>
      </w:r>
    </w:p>
    <w:p w14:paraId="064D5209" w14:textId="77777777" w:rsidR="006C28AA" w:rsidRPr="006C28AA" w:rsidRDefault="006C28AA" w:rsidP="006C28AA">
      <w:pPr>
        <w:tabs>
          <w:tab w:val="left" w:pos="851"/>
        </w:tabs>
        <w:ind w:left="851"/>
        <w:rPr>
          <w:sz w:val="24"/>
          <w:szCs w:val="24"/>
        </w:rPr>
      </w:pPr>
      <w:r w:rsidRPr="006C28AA">
        <w:rPr>
          <w:sz w:val="24"/>
          <w:szCs w:val="24"/>
        </w:rPr>
        <w:t>C</w:t>
      </w:r>
      <w:r w:rsidRPr="006C28AA">
        <w:rPr>
          <w:sz w:val="24"/>
          <w:szCs w:val="24"/>
          <w:vertAlign w:val="subscript"/>
        </w:rPr>
        <w:t>max</w:t>
      </w:r>
      <w:r w:rsidRPr="006C28AA">
        <w:rPr>
          <w:sz w:val="24"/>
          <w:szCs w:val="24"/>
        </w:rPr>
        <w:t xml:space="preserve"> og AUC for mirabegron og metabolitter deraf efter flere orale doser hos ældre frivillige (≥ 65 år) svarede til dem hos yngre frivillige (18–45 år). </w:t>
      </w:r>
    </w:p>
    <w:p w14:paraId="5F50CF40" w14:textId="77777777" w:rsidR="006C28AA" w:rsidRPr="006C28AA" w:rsidRDefault="006C28AA" w:rsidP="006C28AA">
      <w:pPr>
        <w:tabs>
          <w:tab w:val="left" w:pos="851"/>
        </w:tabs>
        <w:ind w:left="851"/>
        <w:rPr>
          <w:sz w:val="24"/>
          <w:szCs w:val="24"/>
        </w:rPr>
      </w:pPr>
      <w:r w:rsidRPr="006C28AA">
        <w:rPr>
          <w:sz w:val="24"/>
          <w:szCs w:val="24"/>
        </w:rPr>
        <w:t xml:space="preserve"> </w:t>
      </w:r>
    </w:p>
    <w:p w14:paraId="3A2BBBFE"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3AD7CEC6" w14:textId="77777777" w:rsidR="006C28AA" w:rsidRPr="006C28AA" w:rsidRDefault="006C28AA" w:rsidP="006C28AA">
      <w:pPr>
        <w:tabs>
          <w:tab w:val="left" w:pos="851"/>
        </w:tabs>
        <w:ind w:left="851"/>
        <w:rPr>
          <w:sz w:val="24"/>
          <w:szCs w:val="24"/>
        </w:rPr>
      </w:pPr>
      <w:r w:rsidRPr="006C28AA">
        <w:rPr>
          <w:sz w:val="24"/>
          <w:szCs w:val="24"/>
        </w:rPr>
        <w:t xml:space="preserve">Hos patienter i alderen 3 år til under 18 år var det ikke forventet, at alder havde nogen indflydelse på de vigtigste farmakokinetiske parametre for mirabegron, når der var taget højde for forskelle i kropsvægt. Modeller, der omfattede alder, gav ingen betydningsfulde forbedringer i den pædiatriske farmakokinetiske populationsmodel, hvilket indikerede, at inklusion af kropsvægt var tilstrækkeligt til at håndtere forskelle i mirabegrons farmakokinetik på grund af alder. </w:t>
      </w:r>
    </w:p>
    <w:p w14:paraId="0424510F" w14:textId="77777777" w:rsidR="006C28AA" w:rsidRPr="006C28AA" w:rsidRDefault="006C28AA" w:rsidP="006C28AA">
      <w:pPr>
        <w:tabs>
          <w:tab w:val="left" w:pos="851"/>
        </w:tabs>
        <w:ind w:left="851"/>
        <w:rPr>
          <w:sz w:val="24"/>
          <w:szCs w:val="24"/>
        </w:rPr>
      </w:pPr>
      <w:r w:rsidRPr="006C28AA">
        <w:rPr>
          <w:sz w:val="24"/>
          <w:szCs w:val="24"/>
        </w:rPr>
        <w:t xml:space="preserve"> </w:t>
      </w:r>
    </w:p>
    <w:p w14:paraId="004658BC" w14:textId="77777777" w:rsidR="006C28AA" w:rsidRPr="006C28AA" w:rsidRDefault="006C28AA" w:rsidP="006C28AA">
      <w:pPr>
        <w:tabs>
          <w:tab w:val="left" w:pos="851"/>
        </w:tabs>
        <w:ind w:left="851"/>
        <w:rPr>
          <w:sz w:val="24"/>
          <w:szCs w:val="24"/>
          <w:u w:val="single"/>
        </w:rPr>
      </w:pPr>
      <w:r w:rsidRPr="006C28AA">
        <w:rPr>
          <w:sz w:val="24"/>
          <w:szCs w:val="24"/>
          <w:u w:val="single"/>
        </w:rPr>
        <w:t>Køn</w:t>
      </w:r>
      <w:r w:rsidRPr="006C28AA">
        <w:rPr>
          <w:sz w:val="24"/>
          <w:szCs w:val="24"/>
        </w:rPr>
        <w:t xml:space="preserve"> </w:t>
      </w:r>
    </w:p>
    <w:p w14:paraId="25C6E530" w14:textId="77777777" w:rsidR="006C28AA" w:rsidRPr="006C28AA" w:rsidRDefault="006C28AA" w:rsidP="006C28AA">
      <w:pPr>
        <w:tabs>
          <w:tab w:val="left" w:pos="851"/>
        </w:tabs>
        <w:ind w:left="851"/>
        <w:rPr>
          <w:sz w:val="24"/>
          <w:szCs w:val="24"/>
        </w:rPr>
      </w:pPr>
      <w:r w:rsidRPr="006C28AA">
        <w:rPr>
          <w:sz w:val="24"/>
          <w:szCs w:val="24"/>
        </w:rPr>
        <w:t xml:space="preserve"> </w:t>
      </w:r>
    </w:p>
    <w:p w14:paraId="5A532174" w14:textId="77777777" w:rsidR="006C28AA" w:rsidRPr="006C28AA" w:rsidRDefault="006C28AA" w:rsidP="006C28AA">
      <w:pPr>
        <w:tabs>
          <w:tab w:val="left" w:pos="851"/>
        </w:tabs>
        <w:ind w:left="851"/>
        <w:rPr>
          <w:sz w:val="24"/>
          <w:szCs w:val="24"/>
        </w:rPr>
      </w:pPr>
      <w:r w:rsidRPr="006C28AA">
        <w:rPr>
          <w:i/>
          <w:sz w:val="24"/>
          <w:szCs w:val="24"/>
        </w:rPr>
        <w:t>Voksne</w:t>
      </w:r>
    </w:p>
    <w:p w14:paraId="42373E26" w14:textId="77777777" w:rsidR="006C28AA" w:rsidRPr="006C28AA" w:rsidRDefault="006C28AA" w:rsidP="006C28AA">
      <w:pPr>
        <w:tabs>
          <w:tab w:val="left" w:pos="851"/>
        </w:tabs>
        <w:ind w:left="851"/>
        <w:rPr>
          <w:sz w:val="24"/>
          <w:szCs w:val="24"/>
        </w:rPr>
      </w:pPr>
      <w:r w:rsidRPr="006C28AA">
        <w:rPr>
          <w:sz w:val="24"/>
          <w:szCs w:val="24"/>
        </w:rPr>
        <w:t>C</w:t>
      </w:r>
      <w:r w:rsidRPr="006C28AA">
        <w:rPr>
          <w:sz w:val="24"/>
          <w:szCs w:val="24"/>
          <w:vertAlign w:val="subscript"/>
        </w:rPr>
        <w:t>max</w:t>
      </w:r>
      <w:r w:rsidRPr="006C28AA">
        <w:rPr>
          <w:sz w:val="24"/>
          <w:szCs w:val="24"/>
        </w:rPr>
        <w:t xml:space="preserve"> og AUC er ca. 40 % til 50 % højere hos kvinder end hos mænd. Kønsforskelle i C</w:t>
      </w:r>
      <w:r w:rsidRPr="006C28AA">
        <w:rPr>
          <w:sz w:val="24"/>
          <w:szCs w:val="24"/>
          <w:vertAlign w:val="subscript"/>
        </w:rPr>
        <w:t>max</w:t>
      </w:r>
      <w:r w:rsidRPr="006C28AA">
        <w:rPr>
          <w:sz w:val="24"/>
          <w:szCs w:val="24"/>
        </w:rPr>
        <w:t xml:space="preserve"> og AUC tilskrives forskelle i kropsvægt og biotilgængelighed. </w:t>
      </w:r>
    </w:p>
    <w:p w14:paraId="5C581DEE" w14:textId="77777777" w:rsidR="006C28AA" w:rsidRPr="006C28AA" w:rsidRDefault="006C28AA" w:rsidP="006C28AA">
      <w:pPr>
        <w:tabs>
          <w:tab w:val="left" w:pos="851"/>
        </w:tabs>
        <w:ind w:left="851"/>
        <w:rPr>
          <w:sz w:val="24"/>
          <w:szCs w:val="24"/>
        </w:rPr>
      </w:pPr>
      <w:r w:rsidRPr="006C28AA">
        <w:rPr>
          <w:sz w:val="24"/>
          <w:szCs w:val="24"/>
        </w:rPr>
        <w:t xml:space="preserve"> </w:t>
      </w:r>
    </w:p>
    <w:p w14:paraId="3B812368"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64380E7E" w14:textId="77777777" w:rsidR="006C28AA" w:rsidRPr="006C28AA" w:rsidRDefault="006C28AA" w:rsidP="006C28AA">
      <w:pPr>
        <w:tabs>
          <w:tab w:val="left" w:pos="851"/>
        </w:tabs>
        <w:ind w:left="851"/>
        <w:rPr>
          <w:sz w:val="24"/>
          <w:szCs w:val="24"/>
        </w:rPr>
      </w:pPr>
      <w:r w:rsidRPr="006C28AA">
        <w:rPr>
          <w:sz w:val="24"/>
          <w:szCs w:val="24"/>
        </w:rPr>
        <w:t xml:space="preserve">Køn havde ingen betydningsfuld indflydelse på mirabegrons farmakokinetik i den pædiatriske population fra alderen 3 år til under 18 år. </w:t>
      </w:r>
    </w:p>
    <w:p w14:paraId="5590DD13" w14:textId="49A0439A" w:rsidR="00F50F68" w:rsidRDefault="00F50F68">
      <w:pPr>
        <w:rPr>
          <w:sz w:val="24"/>
          <w:szCs w:val="24"/>
        </w:rPr>
      </w:pPr>
      <w:r>
        <w:rPr>
          <w:sz w:val="24"/>
          <w:szCs w:val="24"/>
        </w:rPr>
        <w:br w:type="page"/>
      </w:r>
    </w:p>
    <w:p w14:paraId="244E5293" w14:textId="77777777" w:rsidR="006C28AA" w:rsidRPr="006C28AA" w:rsidRDefault="006C28AA" w:rsidP="006C28AA">
      <w:pPr>
        <w:tabs>
          <w:tab w:val="left" w:pos="851"/>
        </w:tabs>
        <w:ind w:left="851"/>
        <w:rPr>
          <w:sz w:val="24"/>
          <w:szCs w:val="24"/>
        </w:rPr>
      </w:pPr>
    </w:p>
    <w:p w14:paraId="317E11EC" w14:textId="77777777" w:rsidR="006C28AA" w:rsidRPr="006C28AA" w:rsidRDefault="006C28AA" w:rsidP="006C28AA">
      <w:pPr>
        <w:tabs>
          <w:tab w:val="left" w:pos="851"/>
        </w:tabs>
        <w:ind w:left="851"/>
        <w:rPr>
          <w:sz w:val="24"/>
          <w:szCs w:val="24"/>
        </w:rPr>
      </w:pPr>
      <w:r w:rsidRPr="006C28AA">
        <w:rPr>
          <w:sz w:val="24"/>
          <w:szCs w:val="24"/>
          <w:u w:val="single"/>
        </w:rPr>
        <w:t>Race</w:t>
      </w:r>
      <w:r w:rsidRPr="006C28AA">
        <w:rPr>
          <w:sz w:val="24"/>
          <w:szCs w:val="24"/>
        </w:rPr>
        <w:t xml:space="preserve"> </w:t>
      </w:r>
    </w:p>
    <w:p w14:paraId="3EC6EAB1" w14:textId="21A40F93" w:rsidR="006C28AA" w:rsidRPr="006C28AA" w:rsidRDefault="006C28AA" w:rsidP="006C28AA">
      <w:pPr>
        <w:tabs>
          <w:tab w:val="left" w:pos="851"/>
        </w:tabs>
        <w:ind w:left="851"/>
        <w:rPr>
          <w:sz w:val="24"/>
          <w:szCs w:val="24"/>
        </w:rPr>
      </w:pPr>
      <w:r w:rsidRPr="006C28AA">
        <w:rPr>
          <w:sz w:val="24"/>
          <w:szCs w:val="24"/>
        </w:rPr>
        <w:t xml:space="preserve">Mirabegrons farmakokinetik hos voksne er uafhængig af race. </w:t>
      </w:r>
    </w:p>
    <w:p w14:paraId="70265254" w14:textId="77777777" w:rsidR="006C28AA" w:rsidRPr="006C28AA" w:rsidRDefault="006C28AA" w:rsidP="006C28AA">
      <w:pPr>
        <w:tabs>
          <w:tab w:val="left" w:pos="851"/>
        </w:tabs>
        <w:ind w:left="851"/>
        <w:rPr>
          <w:sz w:val="24"/>
          <w:szCs w:val="24"/>
        </w:rPr>
      </w:pPr>
      <w:r w:rsidRPr="006C28AA">
        <w:rPr>
          <w:sz w:val="24"/>
          <w:szCs w:val="24"/>
        </w:rPr>
        <w:t xml:space="preserve"> </w:t>
      </w:r>
    </w:p>
    <w:p w14:paraId="09314C0B" w14:textId="77777777" w:rsidR="006C28AA" w:rsidRPr="006C28AA" w:rsidRDefault="006C28AA" w:rsidP="006C28AA">
      <w:pPr>
        <w:tabs>
          <w:tab w:val="left" w:pos="851"/>
        </w:tabs>
        <w:ind w:left="851"/>
        <w:rPr>
          <w:sz w:val="24"/>
          <w:szCs w:val="24"/>
          <w:u w:val="single"/>
        </w:rPr>
      </w:pPr>
      <w:r w:rsidRPr="006C28AA">
        <w:rPr>
          <w:sz w:val="24"/>
          <w:szCs w:val="24"/>
          <w:u w:val="single"/>
        </w:rPr>
        <w:t>Nedsat nyrefunktion</w:t>
      </w:r>
      <w:r w:rsidRPr="006C28AA">
        <w:rPr>
          <w:sz w:val="24"/>
          <w:szCs w:val="24"/>
        </w:rPr>
        <w:t xml:space="preserve"> </w:t>
      </w:r>
    </w:p>
    <w:p w14:paraId="5F620B63" w14:textId="5B25018F" w:rsidR="006C28AA" w:rsidRPr="006C28AA" w:rsidRDefault="006C28AA" w:rsidP="006C28AA">
      <w:pPr>
        <w:tabs>
          <w:tab w:val="left" w:pos="851"/>
        </w:tabs>
        <w:ind w:left="851"/>
        <w:rPr>
          <w:sz w:val="24"/>
          <w:szCs w:val="24"/>
        </w:rPr>
      </w:pPr>
      <w:r w:rsidRPr="006C28AA">
        <w:rPr>
          <w:sz w:val="24"/>
          <w:szCs w:val="24"/>
        </w:rPr>
        <w:t>Efter administration af 100 mg mirabegron som enkeltdosis hos voksne frivillige med let nedsat nyrefunktion (eGFR-MDRD 60 til 89 ml/min/1,73 m</w:t>
      </w:r>
      <w:r w:rsidRPr="006C28AA">
        <w:rPr>
          <w:sz w:val="24"/>
          <w:szCs w:val="24"/>
          <w:vertAlign w:val="superscript"/>
        </w:rPr>
        <w:t>2</w:t>
      </w:r>
      <w:r w:rsidRPr="006C28AA">
        <w:rPr>
          <w:sz w:val="24"/>
          <w:szCs w:val="24"/>
        </w:rPr>
        <w:t>) steg de gennemsnitlige C</w:t>
      </w:r>
      <w:r w:rsidRPr="006C28AA">
        <w:rPr>
          <w:sz w:val="24"/>
          <w:szCs w:val="24"/>
          <w:vertAlign w:val="subscript"/>
        </w:rPr>
        <w:t>max</w:t>
      </w:r>
      <w:r w:rsidRPr="006C28AA">
        <w:rPr>
          <w:sz w:val="24"/>
          <w:szCs w:val="24"/>
        </w:rPr>
        <w:t>- og AUC-værdier for mirabegron med 6 % og 31 % i forhold til værdierne for voksne frivillige med normal nyrefunktion. Hos voksne frivillige med moderat nedsat nyrefunktion (eGFR-MDRD 30 til 59 ml/min/1,73 m</w:t>
      </w:r>
      <w:r w:rsidRPr="006C28AA">
        <w:rPr>
          <w:sz w:val="24"/>
          <w:szCs w:val="24"/>
          <w:vertAlign w:val="superscript"/>
        </w:rPr>
        <w:t>2</w:t>
      </w:r>
      <w:r w:rsidRPr="006C28AA">
        <w:rPr>
          <w:sz w:val="24"/>
          <w:szCs w:val="24"/>
        </w:rPr>
        <w:t>) steg C</w:t>
      </w:r>
      <w:r w:rsidRPr="006C28AA">
        <w:rPr>
          <w:sz w:val="24"/>
          <w:szCs w:val="24"/>
          <w:vertAlign w:val="subscript"/>
        </w:rPr>
        <w:t>max</w:t>
      </w:r>
      <w:r w:rsidRPr="006C28AA">
        <w:rPr>
          <w:sz w:val="24"/>
          <w:szCs w:val="24"/>
        </w:rPr>
        <w:t xml:space="preserve"> og AUC med henholdsvis 23 % og 66 %. Hos voksne frivillige med svært nedsat nyrefunktion (eGFR-MDRD 15 til 29 ml/min/1,73 m</w:t>
      </w:r>
      <w:r w:rsidRPr="006C28AA">
        <w:rPr>
          <w:sz w:val="24"/>
          <w:szCs w:val="24"/>
          <w:vertAlign w:val="superscript"/>
        </w:rPr>
        <w:t>2</w:t>
      </w:r>
      <w:r w:rsidRPr="006C28AA">
        <w:rPr>
          <w:sz w:val="24"/>
          <w:szCs w:val="24"/>
        </w:rPr>
        <w:t>) var de gennemsnitlige C</w:t>
      </w:r>
      <w:r w:rsidRPr="006C28AA">
        <w:rPr>
          <w:sz w:val="24"/>
          <w:szCs w:val="24"/>
          <w:vertAlign w:val="subscript"/>
        </w:rPr>
        <w:t>max</w:t>
      </w:r>
      <w:r w:rsidRPr="006C28AA">
        <w:rPr>
          <w:sz w:val="24"/>
          <w:szCs w:val="24"/>
        </w:rPr>
        <w:t xml:space="preserve">- og AUC-værdier henholdsvis </w:t>
      </w:r>
    </w:p>
    <w:p w14:paraId="4F5BD11F" w14:textId="77777777" w:rsidR="006C28AA" w:rsidRPr="006C28AA" w:rsidRDefault="006C28AA" w:rsidP="006C28AA">
      <w:pPr>
        <w:tabs>
          <w:tab w:val="left" w:pos="851"/>
        </w:tabs>
        <w:ind w:left="851"/>
        <w:rPr>
          <w:sz w:val="24"/>
          <w:szCs w:val="24"/>
        </w:rPr>
      </w:pPr>
      <w:r w:rsidRPr="006C28AA">
        <w:rPr>
          <w:sz w:val="24"/>
          <w:szCs w:val="24"/>
        </w:rPr>
        <w:t xml:space="preserve">92 % og 118 % højere. Mirabegron er ikke undersøgt hos patienter med ESRD </w:t>
      </w:r>
      <w:r w:rsidRPr="006C28AA">
        <w:rPr>
          <w:sz w:val="24"/>
          <w:szCs w:val="24"/>
        </w:rPr>
        <w:br/>
        <w:t>(eGFR &lt; 15 ml/min/1,73 m</w:t>
      </w:r>
      <w:r w:rsidRPr="006C28AA">
        <w:rPr>
          <w:sz w:val="24"/>
          <w:szCs w:val="24"/>
          <w:vertAlign w:val="superscript"/>
        </w:rPr>
        <w:t>2</w:t>
      </w:r>
      <w:r w:rsidRPr="006C28AA">
        <w:rPr>
          <w:sz w:val="24"/>
          <w:szCs w:val="24"/>
        </w:rPr>
        <w:t xml:space="preserve">) eller patienter med behov for hæmodialyse. </w:t>
      </w:r>
    </w:p>
    <w:p w14:paraId="10726B48" w14:textId="77777777" w:rsidR="006C28AA" w:rsidRPr="006C28AA" w:rsidRDefault="006C28AA" w:rsidP="006C28AA">
      <w:pPr>
        <w:tabs>
          <w:tab w:val="left" w:pos="851"/>
        </w:tabs>
        <w:ind w:left="851"/>
        <w:rPr>
          <w:sz w:val="24"/>
          <w:szCs w:val="24"/>
        </w:rPr>
      </w:pPr>
      <w:r w:rsidRPr="006C28AA">
        <w:rPr>
          <w:sz w:val="24"/>
          <w:szCs w:val="24"/>
        </w:rPr>
        <w:t xml:space="preserve"> </w:t>
      </w:r>
    </w:p>
    <w:p w14:paraId="108A548B" w14:textId="77777777" w:rsidR="006C28AA" w:rsidRPr="006C28AA" w:rsidRDefault="006C28AA" w:rsidP="006C28AA">
      <w:pPr>
        <w:tabs>
          <w:tab w:val="left" w:pos="851"/>
        </w:tabs>
        <w:ind w:left="851"/>
        <w:rPr>
          <w:sz w:val="24"/>
          <w:szCs w:val="24"/>
          <w:u w:val="single"/>
        </w:rPr>
      </w:pPr>
      <w:r w:rsidRPr="006C28AA">
        <w:rPr>
          <w:sz w:val="24"/>
          <w:szCs w:val="24"/>
          <w:u w:val="single"/>
        </w:rPr>
        <w:t>Nedsat leverfunktion</w:t>
      </w:r>
      <w:r w:rsidRPr="006C28AA">
        <w:rPr>
          <w:sz w:val="24"/>
          <w:szCs w:val="24"/>
        </w:rPr>
        <w:t xml:space="preserve"> </w:t>
      </w:r>
    </w:p>
    <w:p w14:paraId="3A0435E1" w14:textId="77777777" w:rsidR="006C28AA" w:rsidRPr="006C28AA" w:rsidRDefault="006C28AA" w:rsidP="006C28AA">
      <w:pPr>
        <w:tabs>
          <w:tab w:val="left" w:pos="851"/>
        </w:tabs>
        <w:ind w:left="851"/>
        <w:rPr>
          <w:sz w:val="24"/>
          <w:szCs w:val="24"/>
        </w:rPr>
      </w:pPr>
      <w:r w:rsidRPr="006C28AA">
        <w:rPr>
          <w:sz w:val="24"/>
          <w:szCs w:val="24"/>
        </w:rPr>
        <w:t>Efter administration af 100 mg mirabegron som enkeltdosis hos voksne frivillige med let nedsat leverfunktion (Child-Pugh-klasse A) steg de gennemsnitlige C</w:t>
      </w:r>
      <w:r w:rsidRPr="006C28AA">
        <w:rPr>
          <w:sz w:val="24"/>
          <w:szCs w:val="24"/>
          <w:vertAlign w:val="subscript"/>
        </w:rPr>
        <w:t>max</w:t>
      </w:r>
      <w:r w:rsidRPr="006C28AA">
        <w:rPr>
          <w:sz w:val="24"/>
          <w:szCs w:val="24"/>
        </w:rPr>
        <w:t>- og AUC-værdier for mirabegron med 9 % og 19 % i forhold til værdierne for voksne frivillige med normal leverfunktion. Hos voksne frivillige med moderat nedsat leverfunktion (Child-Pugh-klasse B) var de gennemsnitlige C</w:t>
      </w:r>
      <w:r w:rsidRPr="006C28AA">
        <w:rPr>
          <w:sz w:val="24"/>
          <w:szCs w:val="24"/>
          <w:vertAlign w:val="subscript"/>
        </w:rPr>
        <w:t>max</w:t>
      </w:r>
      <w:r w:rsidRPr="006C28AA">
        <w:rPr>
          <w:sz w:val="24"/>
          <w:szCs w:val="24"/>
        </w:rPr>
        <w:t>- og AUC-værdier henholdsvis 175 % og 65 % højere. Mirabegron er ikke undersøgt hos patienter med svært nedsat leverfunktion (Child-Pugh-klasse C).</w:t>
      </w:r>
    </w:p>
    <w:p w14:paraId="3B9680C9" w14:textId="77777777" w:rsidR="009260DE" w:rsidRPr="00C84483" w:rsidRDefault="009260DE" w:rsidP="004931E3">
      <w:pPr>
        <w:tabs>
          <w:tab w:val="left" w:pos="851"/>
        </w:tabs>
        <w:ind w:left="851"/>
        <w:rPr>
          <w:sz w:val="24"/>
          <w:szCs w:val="24"/>
        </w:rPr>
      </w:pPr>
    </w:p>
    <w:p w14:paraId="17D76E85" w14:textId="77777777" w:rsidR="009260DE" w:rsidRPr="00C84483" w:rsidRDefault="009260DE" w:rsidP="004931E3">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A380E6F" w14:textId="77777777" w:rsidR="008E4E99" w:rsidRPr="008E4E99" w:rsidRDefault="008E4E99" w:rsidP="008E4E99">
      <w:pPr>
        <w:tabs>
          <w:tab w:val="left" w:pos="851"/>
        </w:tabs>
        <w:ind w:left="851"/>
        <w:rPr>
          <w:sz w:val="24"/>
          <w:szCs w:val="24"/>
        </w:rPr>
      </w:pPr>
      <w:r w:rsidRPr="008E4E99">
        <w:rPr>
          <w:sz w:val="24"/>
          <w:szCs w:val="24"/>
        </w:rPr>
        <w:t xml:space="preserve">Non-kliniske studier har identificeret målorganer for toksicitet, som er i overensstemmelse med kliniske observationer. Der blev set forbigående stigninger i leverenzymer og hepatocytforandringer (nekrose og reduktion i glycogenpartikler) hos rotter, og reducerede niveauer af plasmaleptin blev bemærket. Der blev observeret øget hjertefrekvens hos rotter, kaniner, hunde og aber. </w:t>
      </w:r>
    </w:p>
    <w:p w14:paraId="638E8918" w14:textId="77777777" w:rsidR="008E4E99" w:rsidRPr="008E4E99" w:rsidRDefault="008E4E99" w:rsidP="008E4E99">
      <w:pPr>
        <w:tabs>
          <w:tab w:val="left" w:pos="851"/>
        </w:tabs>
        <w:ind w:left="851"/>
        <w:rPr>
          <w:sz w:val="24"/>
          <w:szCs w:val="24"/>
        </w:rPr>
      </w:pPr>
      <w:r w:rsidRPr="008E4E99">
        <w:rPr>
          <w:sz w:val="24"/>
          <w:szCs w:val="24"/>
        </w:rPr>
        <w:t xml:space="preserve">Genotoksicitets- og karcinogenicitetsstudier har ikke påvist genotoksisk eller karcinogent potentiale </w:t>
      </w:r>
      <w:r w:rsidRPr="008E4E99">
        <w:rPr>
          <w:i/>
          <w:sz w:val="24"/>
          <w:szCs w:val="24"/>
        </w:rPr>
        <w:t>in vivo</w:t>
      </w:r>
      <w:r w:rsidRPr="008E4E99">
        <w:rPr>
          <w:sz w:val="24"/>
          <w:szCs w:val="24"/>
        </w:rPr>
        <w:t xml:space="preserve">. </w:t>
      </w:r>
    </w:p>
    <w:p w14:paraId="6E2E5693" w14:textId="77777777" w:rsidR="008E4E99" w:rsidRPr="008E4E99" w:rsidRDefault="008E4E99" w:rsidP="008E4E99">
      <w:pPr>
        <w:tabs>
          <w:tab w:val="left" w:pos="851"/>
        </w:tabs>
        <w:ind w:left="851"/>
        <w:rPr>
          <w:sz w:val="24"/>
          <w:szCs w:val="24"/>
        </w:rPr>
      </w:pPr>
      <w:r w:rsidRPr="008E4E99">
        <w:rPr>
          <w:sz w:val="24"/>
          <w:szCs w:val="24"/>
        </w:rPr>
        <w:t xml:space="preserve"> </w:t>
      </w:r>
    </w:p>
    <w:p w14:paraId="02BC4516" w14:textId="77777777" w:rsidR="008E4E99" w:rsidRPr="008E4E99" w:rsidRDefault="008E4E99" w:rsidP="008E4E99">
      <w:pPr>
        <w:tabs>
          <w:tab w:val="left" w:pos="851"/>
        </w:tabs>
        <w:ind w:left="851"/>
        <w:rPr>
          <w:sz w:val="24"/>
          <w:szCs w:val="24"/>
        </w:rPr>
      </w:pPr>
      <w:r w:rsidRPr="008E4E99">
        <w:rPr>
          <w:sz w:val="24"/>
          <w:szCs w:val="24"/>
        </w:rPr>
        <w:t xml:space="preserve">Mirabegron havde ingen mærkbar virkning på niveauet af gonadotropiner eller steroide kønshormoner. Derudover blev der ikke observeret nogen virkning på fertilitet ved subletale doser (den ækvivalente humane dosis var 19 gange højere end den maksimale anbefalede humane dosis (MRHD)). De væsentligste fund i embryoføtale udviklingsstudier hos kaniner omfattede misdannelser i hjertet (dilateret aorta, kardiomegali) ved systemiske eksponeringer, der var 36 gange højere end dem, der blev observeret ved MRHD. Der blev desuden observeret misdannelser i lungerne (fraværende accessorisk lungelap) og øget tab efter implantation hos kaninen ved systemiske eksponeringer, som var 14 gange højere end dem, der blev observeret ved MRHD, mens der hos rotten blev bemærket reversibel virkning på ossifikation (bølgede ribben, forsinket ossifikation, reduceret antal ossificerede sternebrae, metacarpi eller metatarsi) ved systemiske eksponeringer, der var 22 gange højere end dem, der blev observeret ved MRHD. Den observerede embryoføtale toksicitet forekom ved doser associeret med maternel toksicitet. Det blev påvist, at de hos kaninen observerede kardiovaskulære misdannelser medieres via aktivering af beta </w:t>
      </w:r>
    </w:p>
    <w:p w14:paraId="0BB2FDE4" w14:textId="77777777" w:rsidR="008E4E99" w:rsidRPr="008E4E99" w:rsidRDefault="008E4E99" w:rsidP="008E4E99">
      <w:pPr>
        <w:tabs>
          <w:tab w:val="left" w:pos="851"/>
        </w:tabs>
        <w:ind w:left="851"/>
        <w:rPr>
          <w:sz w:val="24"/>
          <w:szCs w:val="24"/>
        </w:rPr>
      </w:pPr>
      <w:r w:rsidRPr="008E4E99">
        <w:rPr>
          <w:sz w:val="24"/>
          <w:szCs w:val="24"/>
        </w:rPr>
        <w:t xml:space="preserve">1-adrenoceptoren. </w:t>
      </w:r>
    </w:p>
    <w:p w14:paraId="6CC2BD57" w14:textId="77777777" w:rsidR="008E4E99" w:rsidRPr="008E4E99" w:rsidRDefault="008E4E99" w:rsidP="008E4E99">
      <w:pPr>
        <w:tabs>
          <w:tab w:val="left" w:pos="851"/>
        </w:tabs>
        <w:ind w:left="851"/>
        <w:rPr>
          <w:sz w:val="24"/>
          <w:szCs w:val="24"/>
        </w:rPr>
      </w:pPr>
      <w:r w:rsidRPr="008E4E99">
        <w:rPr>
          <w:sz w:val="24"/>
          <w:szCs w:val="24"/>
        </w:rPr>
        <w:t xml:space="preserve"> </w:t>
      </w:r>
    </w:p>
    <w:p w14:paraId="05E69535" w14:textId="77777777" w:rsidR="008E4E99" w:rsidRPr="008E4E99" w:rsidRDefault="008E4E99" w:rsidP="008E4E99">
      <w:pPr>
        <w:tabs>
          <w:tab w:val="left" w:pos="851"/>
        </w:tabs>
        <w:ind w:left="851"/>
        <w:rPr>
          <w:sz w:val="24"/>
          <w:szCs w:val="24"/>
        </w:rPr>
      </w:pPr>
      <w:r w:rsidRPr="008E4E99">
        <w:rPr>
          <w:sz w:val="24"/>
          <w:szCs w:val="24"/>
        </w:rPr>
        <w:t xml:space="preserve">Den samlede sikkerhedsprofil, som ses hos juvenile rotter, kunne sammenlignes med den, der ses hos voksne dyr. Juvenile rotter, der fik mirabegron oralt i 13 uger, viste stigninger i </w:t>
      </w:r>
      <w:r w:rsidRPr="008E4E99">
        <w:rPr>
          <w:sz w:val="24"/>
          <w:szCs w:val="24"/>
        </w:rPr>
        <w:lastRenderedPageBreak/>
        <w:t xml:space="preserve">leverenzymer med en stigning i levervægt uden histopatologiske fund ved systemiske eksponeringer, der var ca. 12 gange højere end den forventede humane systemiske eksponering hos børn. Sikkerhedsstudier med gentagen dosis udført med juvenile rotter påviste ingen virkning på fysisk udvikling eller seksuel modning. Administration af mirabegron fra afvænning til og med seksuel modning havde ingen indvirkning på parringsevne, fertilitet eller embryoføtal udvikling. Administration af mirabegron øgede lipolyse og madindtag samt reducerede kropsvægtøgningen hos juvenile rotter. </w:t>
      </w:r>
    </w:p>
    <w:p w14:paraId="79F6B817" w14:textId="77777777" w:rsidR="008E4E99" w:rsidRPr="008E4E99" w:rsidRDefault="008E4E99" w:rsidP="008E4E99">
      <w:pPr>
        <w:tabs>
          <w:tab w:val="left" w:pos="851"/>
        </w:tabs>
        <w:ind w:left="851"/>
        <w:rPr>
          <w:sz w:val="24"/>
          <w:szCs w:val="24"/>
        </w:rPr>
      </w:pPr>
      <w:r w:rsidRPr="008E4E99">
        <w:rPr>
          <w:sz w:val="24"/>
          <w:szCs w:val="24"/>
        </w:rPr>
        <w:t xml:space="preserve"> </w:t>
      </w:r>
    </w:p>
    <w:p w14:paraId="09014025" w14:textId="77777777" w:rsidR="008E4E99" w:rsidRPr="008E4E99" w:rsidRDefault="008E4E99" w:rsidP="008E4E99">
      <w:pPr>
        <w:tabs>
          <w:tab w:val="left" w:pos="851"/>
        </w:tabs>
        <w:ind w:left="851"/>
        <w:rPr>
          <w:sz w:val="24"/>
          <w:szCs w:val="24"/>
        </w:rPr>
      </w:pPr>
      <w:r w:rsidRPr="008E4E99">
        <w:rPr>
          <w:sz w:val="24"/>
          <w:szCs w:val="24"/>
        </w:rPr>
        <w:t>Farmakokinetiske studier udført med radioaktivt mærket mirabegron har påvist, at modersubstansen og/eller metabolitter deraf udskilles i rottemælk i niveauer, der var ca. 1,7 gange højere end plasmaniveauerne 4 timer efter administration (se pkt. 4.6).</w:t>
      </w:r>
    </w:p>
    <w:p w14:paraId="1006939A" w14:textId="77777777" w:rsidR="008E4E99" w:rsidRPr="008E4E99" w:rsidRDefault="008E4E99" w:rsidP="008E4E99">
      <w:pPr>
        <w:tabs>
          <w:tab w:val="left" w:pos="851"/>
        </w:tabs>
        <w:ind w:left="851"/>
        <w:rPr>
          <w:sz w:val="24"/>
          <w:szCs w:val="24"/>
        </w:rPr>
      </w:pPr>
    </w:p>
    <w:p w14:paraId="49FF3BEA" w14:textId="77777777" w:rsidR="009260DE" w:rsidRPr="00C84483" w:rsidRDefault="009260DE" w:rsidP="004931E3">
      <w:pPr>
        <w:tabs>
          <w:tab w:val="left" w:pos="851"/>
        </w:tabs>
        <w:ind w:left="851"/>
        <w:rPr>
          <w:sz w:val="24"/>
          <w:szCs w:val="24"/>
        </w:rPr>
      </w:pPr>
    </w:p>
    <w:p w14:paraId="5FAA6562" w14:textId="77777777" w:rsidR="009260DE" w:rsidRPr="00C84483" w:rsidRDefault="009260DE" w:rsidP="004931E3">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27005797" w14:textId="77777777" w:rsidR="009260DE" w:rsidRPr="00BA09F1" w:rsidRDefault="009260DE" w:rsidP="004931E3">
      <w:pPr>
        <w:tabs>
          <w:tab w:val="left" w:pos="851"/>
        </w:tabs>
        <w:ind w:left="851"/>
        <w:rPr>
          <w:sz w:val="24"/>
          <w:szCs w:val="24"/>
        </w:rPr>
      </w:pPr>
    </w:p>
    <w:p w14:paraId="532D006A" w14:textId="77777777" w:rsidR="009260DE" w:rsidRPr="00C84483" w:rsidRDefault="009260DE" w:rsidP="004931E3">
      <w:pPr>
        <w:tabs>
          <w:tab w:val="left" w:pos="851"/>
        </w:tabs>
        <w:ind w:left="851" w:hanging="851"/>
        <w:rPr>
          <w:b/>
          <w:sz w:val="24"/>
          <w:szCs w:val="24"/>
        </w:rPr>
      </w:pPr>
      <w:r w:rsidRPr="00C84483">
        <w:rPr>
          <w:b/>
          <w:sz w:val="24"/>
          <w:szCs w:val="24"/>
        </w:rPr>
        <w:t>6.1</w:t>
      </w:r>
      <w:r w:rsidRPr="00C84483">
        <w:rPr>
          <w:b/>
          <w:sz w:val="24"/>
          <w:szCs w:val="24"/>
        </w:rPr>
        <w:tab/>
        <w:t>Hjælpestoffer</w:t>
      </w:r>
    </w:p>
    <w:p w14:paraId="45DB2B8A" w14:textId="77777777" w:rsidR="008E4E99" w:rsidRPr="008E4E99" w:rsidRDefault="008E4E99" w:rsidP="008E4E99">
      <w:pPr>
        <w:tabs>
          <w:tab w:val="left" w:pos="851"/>
        </w:tabs>
        <w:ind w:left="851"/>
        <w:rPr>
          <w:bCs/>
          <w:sz w:val="24"/>
          <w:szCs w:val="24"/>
        </w:rPr>
      </w:pPr>
    </w:p>
    <w:p w14:paraId="04222A59" w14:textId="77777777" w:rsidR="008E4E99" w:rsidRPr="008E4E99" w:rsidRDefault="008E4E99" w:rsidP="008E4E99">
      <w:pPr>
        <w:tabs>
          <w:tab w:val="left" w:pos="851"/>
        </w:tabs>
        <w:ind w:left="851"/>
        <w:rPr>
          <w:bCs/>
          <w:sz w:val="24"/>
          <w:szCs w:val="24"/>
          <w:u w:val="single"/>
        </w:rPr>
      </w:pPr>
      <w:r w:rsidRPr="008E4E99">
        <w:rPr>
          <w:bCs/>
          <w:sz w:val="24"/>
          <w:szCs w:val="24"/>
          <w:u w:val="single"/>
        </w:rPr>
        <w:t>Tabletkerne</w:t>
      </w:r>
    </w:p>
    <w:p w14:paraId="2DBF4A50" w14:textId="77777777" w:rsidR="008E4E99" w:rsidRPr="008E4E99" w:rsidRDefault="008E4E99" w:rsidP="008E4E99">
      <w:pPr>
        <w:tabs>
          <w:tab w:val="left" w:pos="851"/>
        </w:tabs>
        <w:ind w:left="851"/>
        <w:rPr>
          <w:sz w:val="24"/>
          <w:szCs w:val="24"/>
        </w:rPr>
      </w:pPr>
      <w:r w:rsidRPr="008E4E99">
        <w:rPr>
          <w:sz w:val="24"/>
          <w:szCs w:val="24"/>
        </w:rPr>
        <w:t>Macrogol 2.000.000</w:t>
      </w:r>
    </w:p>
    <w:p w14:paraId="1E929876" w14:textId="77777777" w:rsidR="008E4E99" w:rsidRPr="008E4E99" w:rsidRDefault="008E4E99" w:rsidP="008E4E99">
      <w:pPr>
        <w:tabs>
          <w:tab w:val="left" w:pos="851"/>
        </w:tabs>
        <w:ind w:left="851"/>
        <w:rPr>
          <w:sz w:val="24"/>
          <w:szCs w:val="24"/>
        </w:rPr>
      </w:pPr>
      <w:r w:rsidRPr="008E4E99">
        <w:rPr>
          <w:sz w:val="24"/>
          <w:szCs w:val="24"/>
        </w:rPr>
        <w:t>Mikrokrystallinsk cellulose (E460)</w:t>
      </w:r>
    </w:p>
    <w:p w14:paraId="78EF9F96" w14:textId="77777777" w:rsidR="008E4E99" w:rsidRPr="008E4E99" w:rsidRDefault="008E4E99" w:rsidP="008E4E99">
      <w:pPr>
        <w:tabs>
          <w:tab w:val="left" w:pos="851"/>
        </w:tabs>
        <w:ind w:left="851"/>
        <w:rPr>
          <w:sz w:val="24"/>
          <w:szCs w:val="24"/>
        </w:rPr>
      </w:pPr>
      <w:r w:rsidRPr="008E4E99">
        <w:rPr>
          <w:sz w:val="24"/>
          <w:szCs w:val="24"/>
        </w:rPr>
        <w:t>Hypromellose</w:t>
      </w:r>
    </w:p>
    <w:p w14:paraId="1BCA2A97" w14:textId="77777777" w:rsidR="008E4E99" w:rsidRPr="008E4E99" w:rsidRDefault="008E4E99" w:rsidP="008E4E99">
      <w:pPr>
        <w:tabs>
          <w:tab w:val="left" w:pos="851"/>
        </w:tabs>
        <w:ind w:left="851"/>
        <w:rPr>
          <w:sz w:val="24"/>
          <w:szCs w:val="24"/>
        </w:rPr>
      </w:pPr>
      <w:r w:rsidRPr="008E4E99">
        <w:rPr>
          <w:sz w:val="24"/>
          <w:szCs w:val="24"/>
        </w:rPr>
        <w:t>Hydroxypropylcellulose (E463)</w:t>
      </w:r>
    </w:p>
    <w:p w14:paraId="35D0A851" w14:textId="77777777" w:rsidR="008E4E99" w:rsidRPr="008E4E99" w:rsidRDefault="008E4E99" w:rsidP="008E4E99">
      <w:pPr>
        <w:tabs>
          <w:tab w:val="left" w:pos="851"/>
        </w:tabs>
        <w:ind w:left="851"/>
        <w:rPr>
          <w:sz w:val="24"/>
          <w:szCs w:val="24"/>
        </w:rPr>
      </w:pPr>
      <w:r w:rsidRPr="008E4E99">
        <w:rPr>
          <w:sz w:val="24"/>
          <w:szCs w:val="24"/>
        </w:rPr>
        <w:t>Butylhydroxytoluen</w:t>
      </w:r>
    </w:p>
    <w:p w14:paraId="20D5ED84" w14:textId="77777777" w:rsidR="008E4E99" w:rsidRPr="008E4E99" w:rsidRDefault="008E4E99" w:rsidP="008E4E99">
      <w:pPr>
        <w:tabs>
          <w:tab w:val="left" w:pos="851"/>
        </w:tabs>
        <w:ind w:left="851"/>
        <w:rPr>
          <w:sz w:val="24"/>
          <w:szCs w:val="24"/>
        </w:rPr>
      </w:pPr>
      <w:r w:rsidRPr="008E4E99">
        <w:rPr>
          <w:sz w:val="24"/>
          <w:szCs w:val="24"/>
        </w:rPr>
        <w:t>Magnesiumstearat (E572)</w:t>
      </w:r>
    </w:p>
    <w:p w14:paraId="4A059C5F" w14:textId="77777777" w:rsidR="008E4E99" w:rsidRPr="008E4E99" w:rsidRDefault="008E4E99" w:rsidP="008E4E99">
      <w:pPr>
        <w:tabs>
          <w:tab w:val="left" w:pos="851"/>
        </w:tabs>
        <w:ind w:left="851"/>
        <w:rPr>
          <w:sz w:val="24"/>
          <w:szCs w:val="24"/>
        </w:rPr>
      </w:pPr>
      <w:r w:rsidRPr="008E4E99">
        <w:rPr>
          <w:sz w:val="24"/>
          <w:szCs w:val="24"/>
        </w:rPr>
        <w:t>Kolloid vandfri silica</w:t>
      </w:r>
    </w:p>
    <w:p w14:paraId="544CC3EC" w14:textId="77777777" w:rsidR="008E4E99" w:rsidRPr="008E4E99" w:rsidRDefault="008E4E99" w:rsidP="008E4E99">
      <w:pPr>
        <w:tabs>
          <w:tab w:val="left" w:pos="851"/>
        </w:tabs>
        <w:ind w:left="851"/>
        <w:rPr>
          <w:sz w:val="24"/>
          <w:szCs w:val="24"/>
        </w:rPr>
      </w:pPr>
    </w:p>
    <w:p w14:paraId="200525A7" w14:textId="77777777" w:rsidR="008E4E99" w:rsidRPr="008E4E99" w:rsidRDefault="008E4E99" w:rsidP="008E4E99">
      <w:pPr>
        <w:tabs>
          <w:tab w:val="left" w:pos="851"/>
        </w:tabs>
        <w:ind w:left="851"/>
        <w:rPr>
          <w:sz w:val="24"/>
          <w:szCs w:val="24"/>
          <w:u w:val="single"/>
        </w:rPr>
      </w:pPr>
      <w:r w:rsidRPr="008E4E99">
        <w:rPr>
          <w:sz w:val="24"/>
          <w:szCs w:val="24"/>
          <w:u w:val="single"/>
        </w:rPr>
        <w:t>Filmovertræk</w:t>
      </w:r>
    </w:p>
    <w:p w14:paraId="0082473F" w14:textId="77777777" w:rsidR="008E4E99" w:rsidRPr="008E4E99" w:rsidRDefault="008E4E99" w:rsidP="008E4E99">
      <w:pPr>
        <w:tabs>
          <w:tab w:val="left" w:pos="851"/>
        </w:tabs>
        <w:ind w:left="851"/>
        <w:rPr>
          <w:sz w:val="24"/>
          <w:szCs w:val="24"/>
        </w:rPr>
      </w:pPr>
      <w:r w:rsidRPr="008E4E99">
        <w:rPr>
          <w:sz w:val="24"/>
          <w:szCs w:val="24"/>
        </w:rPr>
        <w:t>Poly(vinylalkohol) (E1209)</w:t>
      </w:r>
    </w:p>
    <w:p w14:paraId="20F3EB9E" w14:textId="77777777" w:rsidR="008E4E99" w:rsidRPr="008E4E99" w:rsidRDefault="008E4E99" w:rsidP="008E4E99">
      <w:pPr>
        <w:tabs>
          <w:tab w:val="left" w:pos="851"/>
        </w:tabs>
        <w:ind w:left="851"/>
        <w:rPr>
          <w:sz w:val="24"/>
          <w:szCs w:val="24"/>
        </w:rPr>
      </w:pPr>
      <w:r w:rsidRPr="008E4E99">
        <w:rPr>
          <w:sz w:val="24"/>
          <w:szCs w:val="24"/>
        </w:rPr>
        <w:t>Titandioxid (E171)</w:t>
      </w:r>
    </w:p>
    <w:p w14:paraId="48A2DAED" w14:textId="77777777" w:rsidR="008E4E99" w:rsidRPr="008E4E99" w:rsidRDefault="008E4E99" w:rsidP="008E4E99">
      <w:pPr>
        <w:tabs>
          <w:tab w:val="left" w:pos="851"/>
        </w:tabs>
        <w:ind w:left="851"/>
        <w:rPr>
          <w:sz w:val="24"/>
          <w:szCs w:val="24"/>
        </w:rPr>
      </w:pPr>
      <w:r w:rsidRPr="008E4E99">
        <w:rPr>
          <w:sz w:val="24"/>
          <w:szCs w:val="24"/>
        </w:rPr>
        <w:t>Macrogol 3350</w:t>
      </w:r>
    </w:p>
    <w:p w14:paraId="2AB582DD" w14:textId="77777777" w:rsidR="008E4E99" w:rsidRPr="008E4E99" w:rsidRDefault="008E4E99" w:rsidP="008E4E99">
      <w:pPr>
        <w:tabs>
          <w:tab w:val="left" w:pos="851"/>
        </w:tabs>
        <w:ind w:left="851"/>
        <w:rPr>
          <w:sz w:val="24"/>
          <w:szCs w:val="24"/>
        </w:rPr>
      </w:pPr>
      <w:r w:rsidRPr="008E4E99">
        <w:rPr>
          <w:sz w:val="24"/>
          <w:szCs w:val="24"/>
        </w:rPr>
        <w:t>Talcum (E553b)</w:t>
      </w:r>
    </w:p>
    <w:p w14:paraId="40EF86AF" w14:textId="77777777" w:rsidR="009260DE" w:rsidRPr="00C84483" w:rsidRDefault="009260DE" w:rsidP="004931E3">
      <w:pPr>
        <w:tabs>
          <w:tab w:val="left" w:pos="851"/>
        </w:tabs>
        <w:ind w:left="851"/>
        <w:rPr>
          <w:sz w:val="24"/>
          <w:szCs w:val="24"/>
        </w:rPr>
      </w:pPr>
    </w:p>
    <w:p w14:paraId="400EBE7E" w14:textId="77777777" w:rsidR="009260DE" w:rsidRPr="00C84483" w:rsidRDefault="009260DE" w:rsidP="004931E3">
      <w:pPr>
        <w:tabs>
          <w:tab w:val="left" w:pos="851"/>
        </w:tabs>
        <w:ind w:left="851" w:hanging="851"/>
        <w:rPr>
          <w:b/>
          <w:sz w:val="24"/>
          <w:szCs w:val="24"/>
        </w:rPr>
      </w:pPr>
      <w:r w:rsidRPr="00C84483">
        <w:rPr>
          <w:b/>
          <w:sz w:val="24"/>
          <w:szCs w:val="24"/>
        </w:rPr>
        <w:t>6.2</w:t>
      </w:r>
      <w:r w:rsidRPr="00C84483">
        <w:rPr>
          <w:b/>
          <w:sz w:val="24"/>
          <w:szCs w:val="24"/>
        </w:rPr>
        <w:tab/>
        <w:t>Uforligeligheder</w:t>
      </w:r>
    </w:p>
    <w:p w14:paraId="690EE327" w14:textId="77777777" w:rsidR="008E4E99" w:rsidRPr="008E4E99" w:rsidRDefault="008E4E99" w:rsidP="008E4E99">
      <w:pPr>
        <w:tabs>
          <w:tab w:val="left" w:pos="851"/>
        </w:tabs>
        <w:ind w:left="851"/>
        <w:rPr>
          <w:sz w:val="24"/>
          <w:szCs w:val="24"/>
        </w:rPr>
      </w:pPr>
      <w:r w:rsidRPr="008E4E99">
        <w:rPr>
          <w:sz w:val="24"/>
          <w:szCs w:val="24"/>
        </w:rPr>
        <w:t>Ikke relevant.</w:t>
      </w:r>
    </w:p>
    <w:p w14:paraId="1B495595" w14:textId="77777777" w:rsidR="009260DE" w:rsidRPr="00C84483" w:rsidRDefault="009260DE" w:rsidP="004931E3">
      <w:pPr>
        <w:tabs>
          <w:tab w:val="left" w:pos="851"/>
        </w:tabs>
        <w:ind w:left="851"/>
        <w:rPr>
          <w:sz w:val="24"/>
          <w:szCs w:val="24"/>
        </w:rPr>
      </w:pPr>
    </w:p>
    <w:p w14:paraId="6764E408" w14:textId="77777777" w:rsidR="009260DE" w:rsidRPr="00C84483" w:rsidRDefault="009260DE" w:rsidP="004931E3">
      <w:pPr>
        <w:tabs>
          <w:tab w:val="left" w:pos="851"/>
        </w:tabs>
        <w:ind w:left="851" w:hanging="851"/>
        <w:rPr>
          <w:b/>
          <w:sz w:val="24"/>
          <w:szCs w:val="24"/>
        </w:rPr>
      </w:pPr>
      <w:r w:rsidRPr="00C84483">
        <w:rPr>
          <w:b/>
          <w:sz w:val="24"/>
          <w:szCs w:val="24"/>
        </w:rPr>
        <w:t>6.3</w:t>
      </w:r>
      <w:r w:rsidRPr="00C84483">
        <w:rPr>
          <w:b/>
          <w:sz w:val="24"/>
          <w:szCs w:val="24"/>
        </w:rPr>
        <w:tab/>
        <w:t>Opbevaringstid</w:t>
      </w:r>
    </w:p>
    <w:p w14:paraId="02E43204" w14:textId="581D656A" w:rsidR="008E4E99" w:rsidRPr="008E4E99" w:rsidRDefault="008E4E99" w:rsidP="008E4E99">
      <w:pPr>
        <w:tabs>
          <w:tab w:val="left" w:pos="851"/>
        </w:tabs>
        <w:ind w:left="851"/>
        <w:rPr>
          <w:sz w:val="24"/>
          <w:szCs w:val="24"/>
        </w:rPr>
      </w:pPr>
      <w:r w:rsidRPr="008E4E99">
        <w:rPr>
          <w:sz w:val="24"/>
          <w:szCs w:val="24"/>
        </w:rPr>
        <w:t>3 år</w:t>
      </w:r>
      <w:r>
        <w:rPr>
          <w:sz w:val="24"/>
          <w:szCs w:val="24"/>
        </w:rPr>
        <w:t>.</w:t>
      </w:r>
    </w:p>
    <w:p w14:paraId="4FA7623E" w14:textId="77777777" w:rsidR="009260DE" w:rsidRPr="00C84483" w:rsidRDefault="009260DE" w:rsidP="004931E3">
      <w:pPr>
        <w:tabs>
          <w:tab w:val="left" w:pos="851"/>
        </w:tabs>
        <w:ind w:left="851"/>
        <w:rPr>
          <w:sz w:val="24"/>
          <w:szCs w:val="24"/>
        </w:rPr>
      </w:pPr>
    </w:p>
    <w:p w14:paraId="6370C242" w14:textId="77777777" w:rsidR="009260DE" w:rsidRPr="00C84483" w:rsidRDefault="009260DE" w:rsidP="004931E3">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7F539D7C" w14:textId="77777777" w:rsidR="007F2B9F" w:rsidRPr="007F2B9F" w:rsidRDefault="007F2B9F" w:rsidP="007F2B9F">
      <w:pPr>
        <w:tabs>
          <w:tab w:val="left" w:pos="851"/>
        </w:tabs>
        <w:ind w:left="851"/>
        <w:rPr>
          <w:sz w:val="24"/>
          <w:szCs w:val="24"/>
        </w:rPr>
      </w:pPr>
      <w:r w:rsidRPr="007F2B9F">
        <w:rPr>
          <w:sz w:val="24"/>
          <w:szCs w:val="24"/>
        </w:rPr>
        <w:t>Dette lægemiddel kræver ingen særlige forholdsregler vedrørende opbevaringen.</w:t>
      </w:r>
    </w:p>
    <w:p w14:paraId="64952F35" w14:textId="77777777" w:rsidR="009260DE" w:rsidRPr="00C84483" w:rsidRDefault="009260DE" w:rsidP="004931E3">
      <w:pPr>
        <w:tabs>
          <w:tab w:val="left" w:pos="851"/>
        </w:tabs>
        <w:ind w:left="851"/>
        <w:rPr>
          <w:sz w:val="24"/>
          <w:szCs w:val="24"/>
        </w:rPr>
      </w:pPr>
    </w:p>
    <w:p w14:paraId="4A40E609" w14:textId="77777777" w:rsidR="009260DE" w:rsidRPr="00C84483" w:rsidRDefault="009260DE" w:rsidP="004931E3">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2B98E870" w14:textId="21FA721F" w:rsidR="007F2B9F" w:rsidRPr="007F2B9F" w:rsidRDefault="007F2B9F" w:rsidP="007F2B9F">
      <w:pPr>
        <w:tabs>
          <w:tab w:val="left" w:pos="851"/>
        </w:tabs>
        <w:ind w:left="851"/>
        <w:rPr>
          <w:sz w:val="24"/>
          <w:szCs w:val="24"/>
        </w:rPr>
      </w:pPr>
      <w:r w:rsidRPr="007F2B9F">
        <w:rPr>
          <w:sz w:val="24"/>
          <w:szCs w:val="24"/>
        </w:rPr>
        <w:t>Uigennemsigtig OPA/Alu/PVC//Alu-blisterpakning</w:t>
      </w:r>
      <w:r>
        <w:rPr>
          <w:sz w:val="24"/>
          <w:szCs w:val="24"/>
        </w:rPr>
        <w:t xml:space="preserve">, </w:t>
      </w:r>
      <w:r w:rsidRPr="007F2B9F">
        <w:rPr>
          <w:sz w:val="24"/>
          <w:szCs w:val="24"/>
        </w:rPr>
        <w:t>i kartonæske.</w:t>
      </w:r>
    </w:p>
    <w:p w14:paraId="2419D09A" w14:textId="77777777" w:rsidR="007F2B9F" w:rsidRPr="007F2B9F" w:rsidRDefault="007F2B9F" w:rsidP="007F2B9F">
      <w:pPr>
        <w:tabs>
          <w:tab w:val="left" w:pos="851"/>
        </w:tabs>
        <w:ind w:left="851"/>
        <w:rPr>
          <w:sz w:val="24"/>
          <w:szCs w:val="24"/>
        </w:rPr>
      </w:pPr>
    </w:p>
    <w:p w14:paraId="0D647B77" w14:textId="139322D5" w:rsidR="007F2B9F" w:rsidRPr="007F2B9F" w:rsidRDefault="007F2B9F" w:rsidP="007F2B9F">
      <w:pPr>
        <w:tabs>
          <w:tab w:val="left" w:pos="851"/>
        </w:tabs>
        <w:ind w:left="851"/>
        <w:rPr>
          <w:sz w:val="24"/>
          <w:szCs w:val="24"/>
        </w:rPr>
      </w:pPr>
      <w:r w:rsidRPr="007F2B9F">
        <w:rPr>
          <w:sz w:val="24"/>
          <w:szCs w:val="24"/>
        </w:rPr>
        <w:t xml:space="preserve">Pakningsstørrelser: 10, 20, </w:t>
      </w:r>
      <w:r w:rsidR="000E1324">
        <w:rPr>
          <w:sz w:val="24"/>
          <w:szCs w:val="24"/>
        </w:rPr>
        <w:t xml:space="preserve">28, </w:t>
      </w:r>
      <w:r w:rsidRPr="007F2B9F">
        <w:rPr>
          <w:sz w:val="24"/>
          <w:szCs w:val="24"/>
        </w:rPr>
        <w:t xml:space="preserve">30, 50, </w:t>
      </w:r>
      <w:r w:rsidR="000E1324">
        <w:rPr>
          <w:sz w:val="24"/>
          <w:szCs w:val="24"/>
        </w:rPr>
        <w:t xml:space="preserve">56, 60, </w:t>
      </w:r>
      <w:r w:rsidRPr="007F2B9F">
        <w:rPr>
          <w:sz w:val="24"/>
          <w:szCs w:val="24"/>
        </w:rPr>
        <w:t xml:space="preserve">90 </w:t>
      </w:r>
      <w:r>
        <w:rPr>
          <w:sz w:val="24"/>
          <w:szCs w:val="24"/>
        </w:rPr>
        <w:t>og</w:t>
      </w:r>
      <w:r w:rsidRPr="007F2B9F">
        <w:rPr>
          <w:sz w:val="24"/>
          <w:szCs w:val="24"/>
        </w:rPr>
        <w:t xml:space="preserve"> 100 depottabletter</w:t>
      </w:r>
      <w:r>
        <w:rPr>
          <w:sz w:val="24"/>
          <w:szCs w:val="24"/>
        </w:rPr>
        <w:t>.</w:t>
      </w:r>
    </w:p>
    <w:p w14:paraId="62E13DB3" w14:textId="77777777" w:rsidR="007F2B9F" w:rsidRPr="007F2B9F" w:rsidRDefault="007F2B9F" w:rsidP="007F2B9F">
      <w:pPr>
        <w:tabs>
          <w:tab w:val="left" w:pos="851"/>
        </w:tabs>
        <w:ind w:left="851"/>
        <w:rPr>
          <w:sz w:val="24"/>
          <w:szCs w:val="24"/>
        </w:rPr>
      </w:pPr>
    </w:p>
    <w:p w14:paraId="7608E214" w14:textId="77777777" w:rsidR="007F2B9F" w:rsidRPr="007F2B9F" w:rsidRDefault="007F2B9F" w:rsidP="007F2B9F">
      <w:pPr>
        <w:tabs>
          <w:tab w:val="left" w:pos="851"/>
        </w:tabs>
        <w:ind w:left="851"/>
        <w:rPr>
          <w:sz w:val="24"/>
          <w:szCs w:val="24"/>
        </w:rPr>
      </w:pPr>
      <w:r w:rsidRPr="007F2B9F">
        <w:rPr>
          <w:sz w:val="24"/>
          <w:szCs w:val="24"/>
        </w:rPr>
        <w:t>Ikke alle pakningsstørrelser er nødvendigvis markedsført.</w:t>
      </w:r>
    </w:p>
    <w:p w14:paraId="5BCA7E20" w14:textId="77777777" w:rsidR="009260DE" w:rsidRPr="00C84483" w:rsidRDefault="009260DE" w:rsidP="004931E3">
      <w:pPr>
        <w:tabs>
          <w:tab w:val="left" w:pos="851"/>
        </w:tabs>
        <w:ind w:left="851"/>
        <w:rPr>
          <w:sz w:val="24"/>
          <w:szCs w:val="24"/>
        </w:rPr>
      </w:pPr>
    </w:p>
    <w:p w14:paraId="02558791" w14:textId="77777777" w:rsidR="009260DE" w:rsidRPr="00C84483" w:rsidRDefault="009260DE" w:rsidP="004931E3">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1260FD66" w14:textId="77777777" w:rsidR="00952652" w:rsidRPr="00952652" w:rsidRDefault="00952652" w:rsidP="00952652">
      <w:pPr>
        <w:tabs>
          <w:tab w:val="left" w:pos="851"/>
        </w:tabs>
        <w:ind w:left="851"/>
        <w:rPr>
          <w:sz w:val="24"/>
          <w:szCs w:val="24"/>
        </w:rPr>
      </w:pPr>
      <w:r w:rsidRPr="00952652">
        <w:rPr>
          <w:sz w:val="24"/>
          <w:szCs w:val="24"/>
        </w:rPr>
        <w:t>Ikke anvendt lægemiddel samt affald heraf skal bortskaffes i henhold til lokale retningslinjer.</w:t>
      </w:r>
    </w:p>
    <w:p w14:paraId="452AE54F" w14:textId="77777777" w:rsidR="009260DE" w:rsidRPr="00C84483" w:rsidRDefault="009260DE" w:rsidP="004931E3">
      <w:pPr>
        <w:tabs>
          <w:tab w:val="left" w:pos="851"/>
        </w:tabs>
        <w:ind w:left="851"/>
        <w:rPr>
          <w:sz w:val="24"/>
          <w:szCs w:val="24"/>
        </w:rPr>
      </w:pPr>
    </w:p>
    <w:p w14:paraId="19ABDFF8" w14:textId="77777777" w:rsidR="009260DE" w:rsidRPr="00C84483" w:rsidRDefault="009260DE" w:rsidP="004931E3">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B541FDA" w14:textId="77777777" w:rsidR="009F07ED" w:rsidRPr="00394163" w:rsidRDefault="009F07ED" w:rsidP="000E1324">
      <w:pPr>
        <w:numPr>
          <w:ilvl w:val="12"/>
          <w:numId w:val="0"/>
        </w:numPr>
        <w:ind w:left="851" w:right="-2"/>
        <w:rPr>
          <w:sz w:val="24"/>
          <w:szCs w:val="24"/>
        </w:rPr>
      </w:pPr>
      <w:r w:rsidRPr="00394163">
        <w:rPr>
          <w:sz w:val="24"/>
          <w:szCs w:val="24"/>
        </w:rPr>
        <w:t>STADA Arzneimittel AG</w:t>
      </w:r>
    </w:p>
    <w:p w14:paraId="7556BE84" w14:textId="77777777" w:rsidR="009F07ED" w:rsidRPr="00394163" w:rsidRDefault="009F07ED" w:rsidP="000E1324">
      <w:pPr>
        <w:numPr>
          <w:ilvl w:val="12"/>
          <w:numId w:val="0"/>
        </w:numPr>
        <w:ind w:left="851" w:right="-2"/>
        <w:rPr>
          <w:sz w:val="24"/>
          <w:szCs w:val="24"/>
        </w:rPr>
      </w:pPr>
      <w:r w:rsidRPr="00394163">
        <w:rPr>
          <w:sz w:val="24"/>
          <w:szCs w:val="24"/>
        </w:rPr>
        <w:t>Stadastrasse 2-18</w:t>
      </w:r>
    </w:p>
    <w:p w14:paraId="1BD7C35E" w14:textId="77777777" w:rsidR="009F07ED" w:rsidRPr="00394163" w:rsidRDefault="009F07ED" w:rsidP="000E1324">
      <w:pPr>
        <w:numPr>
          <w:ilvl w:val="12"/>
          <w:numId w:val="0"/>
        </w:numPr>
        <w:ind w:left="851" w:right="-2"/>
        <w:rPr>
          <w:sz w:val="24"/>
          <w:szCs w:val="24"/>
        </w:rPr>
      </w:pPr>
      <w:r w:rsidRPr="00394163">
        <w:rPr>
          <w:sz w:val="24"/>
          <w:szCs w:val="24"/>
        </w:rPr>
        <w:t>61118 Bad Vilbel</w:t>
      </w:r>
    </w:p>
    <w:p w14:paraId="038C75FF" w14:textId="3F6EB8E7" w:rsidR="00952652" w:rsidRPr="00394163" w:rsidRDefault="009F07ED" w:rsidP="000E1324">
      <w:pPr>
        <w:tabs>
          <w:tab w:val="left" w:pos="851"/>
        </w:tabs>
        <w:ind w:left="851"/>
        <w:rPr>
          <w:sz w:val="24"/>
          <w:szCs w:val="24"/>
        </w:rPr>
      </w:pPr>
      <w:r w:rsidRPr="00394163">
        <w:rPr>
          <w:sz w:val="24"/>
          <w:szCs w:val="24"/>
        </w:rPr>
        <w:t>Tyskland</w:t>
      </w:r>
    </w:p>
    <w:p w14:paraId="41FFD10A" w14:textId="77777777" w:rsidR="009F07ED" w:rsidRPr="00394163" w:rsidRDefault="009F07ED" w:rsidP="009F07ED">
      <w:pPr>
        <w:tabs>
          <w:tab w:val="left" w:pos="851"/>
        </w:tabs>
        <w:ind w:left="851"/>
        <w:rPr>
          <w:b/>
          <w:sz w:val="24"/>
          <w:szCs w:val="24"/>
        </w:rPr>
      </w:pPr>
    </w:p>
    <w:p w14:paraId="3E976006" w14:textId="77777777" w:rsidR="00952652" w:rsidRPr="00952652" w:rsidRDefault="00952652" w:rsidP="00952652">
      <w:pPr>
        <w:tabs>
          <w:tab w:val="left" w:pos="851"/>
        </w:tabs>
        <w:ind w:left="851"/>
        <w:rPr>
          <w:sz w:val="24"/>
          <w:szCs w:val="24"/>
        </w:rPr>
      </w:pPr>
      <w:r w:rsidRPr="00952652">
        <w:rPr>
          <w:b/>
          <w:sz w:val="24"/>
          <w:szCs w:val="24"/>
        </w:rPr>
        <w:t>Repræsentant</w:t>
      </w:r>
    </w:p>
    <w:p w14:paraId="1EB600F6" w14:textId="77777777" w:rsidR="00394163" w:rsidRPr="00394163" w:rsidRDefault="00394163" w:rsidP="00394163">
      <w:pPr>
        <w:tabs>
          <w:tab w:val="left" w:pos="851"/>
        </w:tabs>
        <w:ind w:left="851"/>
        <w:rPr>
          <w:sz w:val="24"/>
          <w:szCs w:val="24"/>
        </w:rPr>
      </w:pPr>
      <w:r w:rsidRPr="00394163">
        <w:rPr>
          <w:sz w:val="24"/>
          <w:szCs w:val="24"/>
        </w:rPr>
        <w:t>STADA Nordic ApS</w:t>
      </w:r>
    </w:p>
    <w:p w14:paraId="474FACB7" w14:textId="77777777" w:rsidR="00394163" w:rsidRPr="00394163" w:rsidRDefault="00394163" w:rsidP="00394163">
      <w:pPr>
        <w:tabs>
          <w:tab w:val="left" w:pos="851"/>
        </w:tabs>
        <w:ind w:left="851"/>
        <w:rPr>
          <w:sz w:val="24"/>
          <w:szCs w:val="24"/>
        </w:rPr>
      </w:pPr>
      <w:r w:rsidRPr="00394163">
        <w:rPr>
          <w:sz w:val="24"/>
          <w:szCs w:val="24"/>
        </w:rPr>
        <w:t>Marielundsvej 46 A</w:t>
      </w:r>
    </w:p>
    <w:p w14:paraId="56A1D008" w14:textId="77777777" w:rsidR="00394163" w:rsidRPr="00394163" w:rsidRDefault="00394163" w:rsidP="00394163">
      <w:pPr>
        <w:tabs>
          <w:tab w:val="left" w:pos="851"/>
        </w:tabs>
        <w:ind w:left="851"/>
        <w:rPr>
          <w:sz w:val="24"/>
          <w:szCs w:val="24"/>
        </w:rPr>
      </w:pPr>
      <w:r w:rsidRPr="00394163">
        <w:rPr>
          <w:sz w:val="24"/>
          <w:szCs w:val="24"/>
        </w:rPr>
        <w:t>2730 Herlev</w:t>
      </w:r>
    </w:p>
    <w:p w14:paraId="35C1C88D" w14:textId="77777777" w:rsidR="000E1324" w:rsidRPr="00641C65" w:rsidRDefault="000E1324" w:rsidP="004931E3">
      <w:pPr>
        <w:tabs>
          <w:tab w:val="left" w:pos="851"/>
        </w:tabs>
        <w:ind w:left="851"/>
        <w:rPr>
          <w:sz w:val="24"/>
          <w:szCs w:val="24"/>
        </w:rPr>
      </w:pPr>
    </w:p>
    <w:p w14:paraId="60DA6B7A" w14:textId="77777777" w:rsidR="009260DE" w:rsidRPr="00C84483" w:rsidRDefault="009260DE" w:rsidP="004931E3">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365A1458" w14:textId="7EE6D1A6" w:rsidR="009260DE" w:rsidRPr="00C84483" w:rsidRDefault="00952652" w:rsidP="004931E3">
      <w:pPr>
        <w:tabs>
          <w:tab w:val="left" w:pos="851"/>
        </w:tabs>
        <w:ind w:left="851"/>
        <w:rPr>
          <w:sz w:val="24"/>
          <w:szCs w:val="24"/>
        </w:rPr>
      </w:pPr>
      <w:r>
        <w:rPr>
          <w:sz w:val="24"/>
          <w:szCs w:val="24"/>
        </w:rPr>
        <w:t>7213</w:t>
      </w:r>
      <w:r w:rsidR="000E1324">
        <w:rPr>
          <w:sz w:val="24"/>
          <w:szCs w:val="24"/>
        </w:rPr>
        <w:t>1</w:t>
      </w:r>
    </w:p>
    <w:p w14:paraId="38CB3276" w14:textId="77777777" w:rsidR="009260DE" w:rsidRPr="00C84483" w:rsidRDefault="009260DE" w:rsidP="004931E3">
      <w:pPr>
        <w:tabs>
          <w:tab w:val="left" w:pos="851"/>
        </w:tabs>
        <w:ind w:left="851"/>
        <w:jc w:val="both"/>
        <w:rPr>
          <w:sz w:val="24"/>
          <w:szCs w:val="24"/>
        </w:rPr>
      </w:pPr>
    </w:p>
    <w:p w14:paraId="665B9F13" w14:textId="77777777" w:rsidR="009260DE" w:rsidRPr="00C84483" w:rsidRDefault="009260DE" w:rsidP="004931E3">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63F27D4F" w14:textId="5A1407B3" w:rsidR="009260DE" w:rsidRPr="00C84483" w:rsidRDefault="000E1324" w:rsidP="004931E3">
      <w:pPr>
        <w:tabs>
          <w:tab w:val="left" w:pos="851"/>
        </w:tabs>
        <w:ind w:left="851"/>
        <w:rPr>
          <w:sz w:val="24"/>
          <w:szCs w:val="24"/>
        </w:rPr>
      </w:pPr>
      <w:r>
        <w:rPr>
          <w:sz w:val="24"/>
          <w:szCs w:val="24"/>
        </w:rPr>
        <w:t>13. januar 2025</w:t>
      </w:r>
      <w:r w:rsidR="00E371D5">
        <w:rPr>
          <w:sz w:val="24"/>
          <w:szCs w:val="24"/>
        </w:rPr>
        <w:t xml:space="preserve"> (depottabletter 50 mg)</w:t>
      </w:r>
    </w:p>
    <w:p w14:paraId="68BE1EA2" w14:textId="77777777" w:rsidR="009260DE" w:rsidRPr="00C84483" w:rsidRDefault="009260DE" w:rsidP="004931E3">
      <w:pPr>
        <w:tabs>
          <w:tab w:val="left" w:pos="851"/>
        </w:tabs>
        <w:ind w:left="851"/>
        <w:rPr>
          <w:sz w:val="24"/>
          <w:szCs w:val="24"/>
        </w:rPr>
      </w:pPr>
    </w:p>
    <w:p w14:paraId="60AA0C02" w14:textId="77777777" w:rsidR="009260DE" w:rsidRPr="00C84483" w:rsidRDefault="009260DE" w:rsidP="004931E3">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69B9CCA" w14:textId="0A9CF19F" w:rsidR="009260DE" w:rsidRPr="00C84483" w:rsidRDefault="00952652" w:rsidP="004931E3">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B0E97" w14:textId="77777777" w:rsidR="00E64A9E" w:rsidRDefault="00E64A9E">
      <w:r>
        <w:separator/>
      </w:r>
    </w:p>
  </w:endnote>
  <w:endnote w:type="continuationSeparator" w:id="0">
    <w:p w14:paraId="3396BB8B" w14:textId="77777777" w:rsidR="00E64A9E" w:rsidRDefault="00E64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3DBC" w14:textId="77777777" w:rsidR="000259B9" w:rsidRDefault="000259B9">
    <w:pPr>
      <w:pStyle w:val="Sidefod"/>
      <w:pBdr>
        <w:bottom w:val="single" w:sz="6" w:space="1" w:color="auto"/>
      </w:pBdr>
    </w:pPr>
  </w:p>
  <w:p w14:paraId="2E7D2386" w14:textId="77777777" w:rsidR="000259B9" w:rsidRDefault="000259B9" w:rsidP="00C42586">
    <w:pPr>
      <w:pStyle w:val="Sidefod"/>
      <w:tabs>
        <w:tab w:val="clear" w:pos="4819"/>
        <w:tab w:val="left" w:pos="8505"/>
      </w:tabs>
      <w:rPr>
        <w:i/>
        <w:sz w:val="18"/>
        <w:szCs w:val="18"/>
      </w:rPr>
    </w:pPr>
  </w:p>
  <w:p w14:paraId="11C8976F" w14:textId="6E066CC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4931E3">
      <w:rPr>
        <w:i/>
        <w:noProof/>
        <w:sz w:val="18"/>
        <w:szCs w:val="18"/>
      </w:rPr>
      <w:t>Mirabegron Zentiva, depottabletter 25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F126C" w14:textId="77777777" w:rsidR="00E64A9E" w:rsidRDefault="00E64A9E">
      <w:r>
        <w:separator/>
      </w:r>
    </w:p>
  </w:footnote>
  <w:footnote w:type="continuationSeparator" w:id="0">
    <w:p w14:paraId="7301D46B" w14:textId="77777777" w:rsidR="00E64A9E" w:rsidRDefault="00E64A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7DE928BD"/>
    <w:multiLevelType w:val="hybridMultilevel"/>
    <w:tmpl w:val="C2524C1E"/>
    <w:lvl w:ilvl="0" w:tplc="7010AE72">
      <w:start w:val="1"/>
      <w:numFmt w:val="bullet"/>
      <w:lvlText w:val="-"/>
      <w:lvlJc w:val="left"/>
      <w:pPr>
        <w:ind w:left="720" w:hanging="360"/>
      </w:pPr>
      <w:rPr>
        <w:rFonts w:ascii="Times New Roman" w:eastAsia="Times New Roman" w:hAnsi="Times New Roman" w:cs="Times New Roman"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num w:numId="1" w16cid:durableId="205843594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450437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2936420">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9923067">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095272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68112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43"/>
    <w:rsid w:val="000259B9"/>
    <w:rsid w:val="00041491"/>
    <w:rsid w:val="00050D16"/>
    <w:rsid w:val="000730CA"/>
    <w:rsid w:val="00074F2A"/>
    <w:rsid w:val="000A1CA8"/>
    <w:rsid w:val="000A466B"/>
    <w:rsid w:val="000B058C"/>
    <w:rsid w:val="000B7D19"/>
    <w:rsid w:val="000D68B0"/>
    <w:rsid w:val="000E1324"/>
    <w:rsid w:val="000E4EE6"/>
    <w:rsid w:val="00125CD0"/>
    <w:rsid w:val="001454E2"/>
    <w:rsid w:val="00200B00"/>
    <w:rsid w:val="00206CE8"/>
    <w:rsid w:val="0021526C"/>
    <w:rsid w:val="00283A2B"/>
    <w:rsid w:val="002B30AD"/>
    <w:rsid w:val="002C1EC0"/>
    <w:rsid w:val="002C2C01"/>
    <w:rsid w:val="002D733C"/>
    <w:rsid w:val="0035128F"/>
    <w:rsid w:val="00394163"/>
    <w:rsid w:val="003A29AE"/>
    <w:rsid w:val="003A32D7"/>
    <w:rsid w:val="003B4074"/>
    <w:rsid w:val="003C769A"/>
    <w:rsid w:val="003D3A90"/>
    <w:rsid w:val="003F1838"/>
    <w:rsid w:val="004251C1"/>
    <w:rsid w:val="004265AD"/>
    <w:rsid w:val="0045746C"/>
    <w:rsid w:val="0049104B"/>
    <w:rsid w:val="004931E3"/>
    <w:rsid w:val="00495D26"/>
    <w:rsid w:val="004E3B12"/>
    <w:rsid w:val="00527CF5"/>
    <w:rsid w:val="00532310"/>
    <w:rsid w:val="00542443"/>
    <w:rsid w:val="00565F0F"/>
    <w:rsid w:val="00594A86"/>
    <w:rsid w:val="00596D86"/>
    <w:rsid w:val="00637F5A"/>
    <w:rsid w:val="00641C65"/>
    <w:rsid w:val="006560B1"/>
    <w:rsid w:val="006756DD"/>
    <w:rsid w:val="006A50AB"/>
    <w:rsid w:val="006A6063"/>
    <w:rsid w:val="006C28AA"/>
    <w:rsid w:val="0071241E"/>
    <w:rsid w:val="00737275"/>
    <w:rsid w:val="00740EEC"/>
    <w:rsid w:val="00772067"/>
    <w:rsid w:val="0078011A"/>
    <w:rsid w:val="00782AF4"/>
    <w:rsid w:val="00790EE7"/>
    <w:rsid w:val="007B6649"/>
    <w:rsid w:val="007F2B9F"/>
    <w:rsid w:val="0082576E"/>
    <w:rsid w:val="008777B6"/>
    <w:rsid w:val="0089346F"/>
    <w:rsid w:val="008E4E99"/>
    <w:rsid w:val="00907F75"/>
    <w:rsid w:val="009260DE"/>
    <w:rsid w:val="0093258A"/>
    <w:rsid w:val="00933561"/>
    <w:rsid w:val="00952652"/>
    <w:rsid w:val="009C7BA3"/>
    <w:rsid w:val="009D1F5A"/>
    <w:rsid w:val="009F07ED"/>
    <w:rsid w:val="00A10294"/>
    <w:rsid w:val="00AC2B41"/>
    <w:rsid w:val="00B003BF"/>
    <w:rsid w:val="00B2252E"/>
    <w:rsid w:val="00B373D7"/>
    <w:rsid w:val="00B55271"/>
    <w:rsid w:val="00BD7931"/>
    <w:rsid w:val="00BE2233"/>
    <w:rsid w:val="00BF6243"/>
    <w:rsid w:val="00C36276"/>
    <w:rsid w:val="00C42586"/>
    <w:rsid w:val="00C45F6B"/>
    <w:rsid w:val="00C60CCD"/>
    <w:rsid w:val="00C84483"/>
    <w:rsid w:val="00C95551"/>
    <w:rsid w:val="00CB20D7"/>
    <w:rsid w:val="00CC0331"/>
    <w:rsid w:val="00D020B0"/>
    <w:rsid w:val="00D11748"/>
    <w:rsid w:val="00D237F6"/>
    <w:rsid w:val="00D34D98"/>
    <w:rsid w:val="00D366CF"/>
    <w:rsid w:val="00D62190"/>
    <w:rsid w:val="00D72509"/>
    <w:rsid w:val="00D93992"/>
    <w:rsid w:val="00D96347"/>
    <w:rsid w:val="00D96FC2"/>
    <w:rsid w:val="00E108AA"/>
    <w:rsid w:val="00E371D5"/>
    <w:rsid w:val="00E3749A"/>
    <w:rsid w:val="00E64A9E"/>
    <w:rsid w:val="00E7437F"/>
    <w:rsid w:val="00E865B8"/>
    <w:rsid w:val="00E87C20"/>
    <w:rsid w:val="00EC0B9B"/>
    <w:rsid w:val="00ED5E9F"/>
    <w:rsid w:val="00F50F68"/>
    <w:rsid w:val="00F66D4F"/>
    <w:rsid w:val="00FB6D01"/>
    <w:rsid w:val="00FC5B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3255A"/>
  <w15:chartTrackingRefBased/>
  <w15:docId w15:val="{57307ED8-8124-4584-B5BB-6F0A5CE5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0B7D19"/>
    <w:rPr>
      <w:color w:val="0563C1" w:themeColor="hyperlink"/>
      <w:u w:val="single"/>
    </w:rPr>
  </w:style>
  <w:style w:type="character" w:styleId="Ulstomtale">
    <w:name w:val="Unresolved Mention"/>
    <w:basedOn w:val="Standardskrifttypeiafsnit"/>
    <w:uiPriority w:val="99"/>
    <w:semiHidden/>
    <w:unhideWhenUsed/>
    <w:rsid w:val="000B7D19"/>
    <w:rPr>
      <w:color w:val="605E5C"/>
      <w:shd w:val="clear" w:color="auto" w:fill="E1DFDD"/>
    </w:rPr>
  </w:style>
  <w:style w:type="table" w:styleId="Tabel-Gitter">
    <w:name w:val="Table Grid"/>
    <w:basedOn w:val="Tabel-Normal"/>
    <w:uiPriority w:val="39"/>
    <w:rsid w:val="00B2252E"/>
    <w:rPr>
      <w:rFonts w:eastAsia="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6</TotalTime>
  <Pages>25</Pages>
  <Words>8479</Words>
  <Characters>51723</Characters>
  <Application>Microsoft Office Word</Application>
  <DocSecurity>0</DocSecurity>
  <Lines>431</Lines>
  <Paragraphs>120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2024070503 mt</dc:description>
  <cp:lastModifiedBy>Hanne Thy Iversen</cp:lastModifiedBy>
  <cp:revision>3</cp:revision>
  <cp:lastPrinted>2012-08-22T08:53:00Z</cp:lastPrinted>
  <dcterms:created xsi:type="dcterms:W3CDTF">2026-10-27T12:14:00Z</dcterms:created>
  <dcterms:modified xsi:type="dcterms:W3CDTF">2026-10-27T13:29:00Z</dcterms:modified>
</cp:coreProperties>
</file>