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62211B" w14:textId="77777777" w:rsidR="009260DE" w:rsidRPr="008F49E1" w:rsidRDefault="0021526C" w:rsidP="004931E3">
      <w:pPr>
        <w:rPr>
          <w:sz w:val="24"/>
          <w:szCs w:val="24"/>
        </w:rPr>
      </w:pPr>
      <w:r w:rsidRPr="009260DE">
        <w:rPr>
          <w:noProof/>
          <w:sz w:val="24"/>
          <w:szCs w:val="24"/>
          <w:lang w:eastAsia="da-DK"/>
        </w:rPr>
        <w:drawing>
          <wp:anchor distT="0" distB="0" distL="114300" distR="114300" simplePos="0" relativeHeight="251658240" behindDoc="0" locked="0" layoutInCell="1" allowOverlap="1" wp14:anchorId="6351F8D0" wp14:editId="5AC321AC">
            <wp:simplePos x="0" y="0"/>
            <wp:positionH relativeFrom="column">
              <wp:posOffset>0</wp:posOffset>
            </wp:positionH>
            <wp:positionV relativeFrom="paragraph">
              <wp:posOffset>76200</wp:posOffset>
            </wp:positionV>
            <wp:extent cx="2428875" cy="685800"/>
            <wp:effectExtent l="0" t="0" r="9525" b="0"/>
            <wp:wrapSquare wrapText="bothSides"/>
            <wp:docPr id="1" name="Billede 3" descr="C:\Users\marh\AppData\Local\Microsoft\Windows\Temporary Internet Files\Content.Outlook\3DQ1N8R9\LMST_auto_sto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Billede 3" descr="C:\Users\marh\AppData\Local\Microsoft\Windows\Temporary Internet Files\Content.Outlook\3DQ1N8R9\LMST_auto_stor.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anchor>
        </w:drawing>
      </w:r>
      <w:r w:rsidR="00C60CCD">
        <w:rPr>
          <w:sz w:val="24"/>
          <w:szCs w:val="24"/>
        </w:rPr>
        <w:br w:type="textWrapping" w:clear="all"/>
      </w:r>
    </w:p>
    <w:p w14:paraId="249CFCF3" w14:textId="77777777" w:rsidR="009260DE" w:rsidRPr="00C84483" w:rsidRDefault="009260DE" w:rsidP="004931E3">
      <w:pPr>
        <w:pStyle w:val="Titel"/>
        <w:tabs>
          <w:tab w:val="right" w:pos="9356"/>
        </w:tabs>
        <w:jc w:val="left"/>
        <w:rPr>
          <w:b w:val="0"/>
          <w:szCs w:val="24"/>
          <w:lang w:eastAsia="en-US"/>
        </w:rPr>
      </w:pPr>
    </w:p>
    <w:p w14:paraId="35A0BE96" w14:textId="50606E74" w:rsidR="009260DE" w:rsidRPr="00C84483" w:rsidRDefault="009260DE" w:rsidP="004931E3">
      <w:pPr>
        <w:pStyle w:val="Titel"/>
        <w:tabs>
          <w:tab w:val="right" w:pos="9356"/>
        </w:tabs>
        <w:jc w:val="left"/>
        <w:rPr>
          <w:b w:val="0"/>
          <w:szCs w:val="24"/>
          <w:lang w:eastAsia="en-US"/>
        </w:rPr>
      </w:pPr>
      <w:r w:rsidRPr="00C84483">
        <w:rPr>
          <w:b w:val="0"/>
          <w:szCs w:val="24"/>
          <w:lang w:eastAsia="en-US"/>
        </w:rPr>
        <w:tab/>
      </w:r>
      <w:r w:rsidR="00D72509">
        <w:rPr>
          <w:szCs w:val="24"/>
        </w:rPr>
        <w:t>26. oktober 2026</w:t>
      </w:r>
    </w:p>
    <w:p w14:paraId="72BC3ED4" w14:textId="77777777" w:rsidR="009260DE" w:rsidRPr="00C84483" w:rsidRDefault="009260DE" w:rsidP="004931E3">
      <w:pPr>
        <w:pStyle w:val="Titel"/>
        <w:tabs>
          <w:tab w:val="left" w:pos="8222"/>
        </w:tabs>
        <w:jc w:val="left"/>
        <w:rPr>
          <w:b w:val="0"/>
          <w:szCs w:val="24"/>
        </w:rPr>
      </w:pPr>
    </w:p>
    <w:p w14:paraId="3AC35004" w14:textId="77777777" w:rsidR="009260DE" w:rsidRPr="00C84483" w:rsidRDefault="009260DE" w:rsidP="004931E3">
      <w:pPr>
        <w:pStyle w:val="Titel"/>
        <w:jc w:val="left"/>
        <w:rPr>
          <w:b w:val="0"/>
          <w:szCs w:val="24"/>
        </w:rPr>
      </w:pPr>
    </w:p>
    <w:p w14:paraId="71E16CD0" w14:textId="77777777" w:rsidR="009260DE" w:rsidRPr="00C84483" w:rsidRDefault="009260DE" w:rsidP="004931E3">
      <w:pPr>
        <w:pStyle w:val="Titel"/>
        <w:jc w:val="left"/>
        <w:rPr>
          <w:b w:val="0"/>
          <w:szCs w:val="24"/>
        </w:rPr>
      </w:pPr>
    </w:p>
    <w:p w14:paraId="70184CB7" w14:textId="77777777" w:rsidR="009260DE" w:rsidRPr="00C84483" w:rsidRDefault="009260DE" w:rsidP="004931E3">
      <w:pPr>
        <w:jc w:val="center"/>
        <w:rPr>
          <w:b/>
          <w:sz w:val="24"/>
          <w:szCs w:val="24"/>
        </w:rPr>
      </w:pPr>
      <w:r w:rsidRPr="00C84483">
        <w:rPr>
          <w:b/>
          <w:sz w:val="24"/>
          <w:szCs w:val="24"/>
        </w:rPr>
        <w:t>PRODUKTRESUMÉ</w:t>
      </w:r>
    </w:p>
    <w:p w14:paraId="6F43EAB5" w14:textId="77777777" w:rsidR="009260DE" w:rsidRPr="00C84483" w:rsidRDefault="009260DE" w:rsidP="004931E3">
      <w:pPr>
        <w:jc w:val="center"/>
        <w:rPr>
          <w:b/>
          <w:sz w:val="24"/>
          <w:szCs w:val="24"/>
        </w:rPr>
      </w:pPr>
    </w:p>
    <w:p w14:paraId="1B90270E" w14:textId="77777777" w:rsidR="009260DE" w:rsidRDefault="009260DE" w:rsidP="004931E3">
      <w:pPr>
        <w:jc w:val="center"/>
        <w:rPr>
          <w:b/>
          <w:sz w:val="24"/>
          <w:szCs w:val="24"/>
        </w:rPr>
      </w:pPr>
      <w:r w:rsidRPr="00C84483">
        <w:rPr>
          <w:b/>
          <w:sz w:val="24"/>
          <w:szCs w:val="24"/>
        </w:rPr>
        <w:t>for</w:t>
      </w:r>
    </w:p>
    <w:p w14:paraId="0436FCF6" w14:textId="77777777" w:rsidR="000B058C" w:rsidRPr="00C84483" w:rsidRDefault="000B058C" w:rsidP="004931E3">
      <w:pPr>
        <w:jc w:val="center"/>
        <w:rPr>
          <w:b/>
          <w:sz w:val="24"/>
          <w:szCs w:val="24"/>
        </w:rPr>
      </w:pPr>
    </w:p>
    <w:p w14:paraId="4C9317AC" w14:textId="31B52498" w:rsidR="009260DE" w:rsidRPr="00C84483" w:rsidRDefault="00542443" w:rsidP="004931E3">
      <w:pPr>
        <w:jc w:val="center"/>
        <w:rPr>
          <w:b/>
          <w:sz w:val="24"/>
          <w:szCs w:val="24"/>
        </w:rPr>
      </w:pPr>
      <w:r>
        <w:rPr>
          <w:b/>
          <w:sz w:val="24"/>
          <w:szCs w:val="24"/>
        </w:rPr>
        <w:t>Mirabegron "Zentiva", depottabletter</w:t>
      </w:r>
      <w:r w:rsidR="00FC5B82">
        <w:rPr>
          <w:b/>
          <w:sz w:val="24"/>
          <w:szCs w:val="24"/>
        </w:rPr>
        <w:t xml:space="preserve"> 25 mg</w:t>
      </w:r>
    </w:p>
    <w:p w14:paraId="42000510" w14:textId="77777777" w:rsidR="009260DE" w:rsidRPr="00C84483" w:rsidRDefault="009260DE" w:rsidP="004931E3">
      <w:pPr>
        <w:jc w:val="both"/>
        <w:rPr>
          <w:sz w:val="24"/>
          <w:szCs w:val="24"/>
        </w:rPr>
      </w:pPr>
    </w:p>
    <w:p w14:paraId="15CF2004" w14:textId="77777777" w:rsidR="009260DE" w:rsidRPr="00C84483" w:rsidRDefault="009260DE" w:rsidP="004931E3">
      <w:pPr>
        <w:jc w:val="both"/>
        <w:rPr>
          <w:sz w:val="24"/>
          <w:szCs w:val="24"/>
        </w:rPr>
      </w:pPr>
    </w:p>
    <w:p w14:paraId="460BEDD4" w14:textId="77777777" w:rsidR="009260DE" w:rsidRPr="00C84483" w:rsidRDefault="009260DE" w:rsidP="004931E3">
      <w:pPr>
        <w:tabs>
          <w:tab w:val="left" w:pos="851"/>
        </w:tabs>
        <w:ind w:left="851" w:hanging="851"/>
        <w:rPr>
          <w:b/>
          <w:sz w:val="24"/>
          <w:szCs w:val="24"/>
        </w:rPr>
      </w:pPr>
      <w:r w:rsidRPr="00C84483">
        <w:rPr>
          <w:b/>
          <w:sz w:val="24"/>
          <w:szCs w:val="24"/>
        </w:rPr>
        <w:t>0.</w:t>
      </w:r>
      <w:r w:rsidRPr="00C84483">
        <w:rPr>
          <w:b/>
          <w:sz w:val="24"/>
          <w:szCs w:val="24"/>
        </w:rPr>
        <w:tab/>
        <w:t>D.SP.NR.</w:t>
      </w:r>
    </w:p>
    <w:p w14:paraId="52AFB694" w14:textId="6F0EB557" w:rsidR="009260DE" w:rsidRPr="00C84483" w:rsidRDefault="00E371D5" w:rsidP="004931E3">
      <w:pPr>
        <w:tabs>
          <w:tab w:val="left" w:pos="851"/>
        </w:tabs>
        <w:ind w:left="851"/>
        <w:rPr>
          <w:sz w:val="24"/>
          <w:szCs w:val="24"/>
        </w:rPr>
      </w:pPr>
      <w:r>
        <w:rPr>
          <w:sz w:val="24"/>
          <w:szCs w:val="24"/>
        </w:rPr>
        <w:t>33544</w:t>
      </w:r>
    </w:p>
    <w:p w14:paraId="39FC406E" w14:textId="77777777" w:rsidR="009260DE" w:rsidRPr="00C84483" w:rsidRDefault="009260DE" w:rsidP="004931E3">
      <w:pPr>
        <w:tabs>
          <w:tab w:val="left" w:pos="851"/>
        </w:tabs>
        <w:ind w:left="851"/>
        <w:rPr>
          <w:sz w:val="24"/>
          <w:szCs w:val="24"/>
        </w:rPr>
      </w:pPr>
    </w:p>
    <w:p w14:paraId="1D408EAF" w14:textId="77777777" w:rsidR="009260DE" w:rsidRPr="00C84483" w:rsidRDefault="009260DE" w:rsidP="004931E3">
      <w:pPr>
        <w:tabs>
          <w:tab w:val="left" w:pos="851"/>
        </w:tabs>
        <w:ind w:left="851" w:hanging="851"/>
        <w:rPr>
          <w:b/>
          <w:sz w:val="24"/>
          <w:szCs w:val="24"/>
        </w:rPr>
      </w:pPr>
      <w:r w:rsidRPr="00C84483">
        <w:rPr>
          <w:b/>
          <w:sz w:val="24"/>
          <w:szCs w:val="24"/>
        </w:rPr>
        <w:t>1.</w:t>
      </w:r>
      <w:r w:rsidRPr="00C84483">
        <w:rPr>
          <w:b/>
          <w:sz w:val="24"/>
          <w:szCs w:val="24"/>
        </w:rPr>
        <w:tab/>
        <w:t>LÆGEMIDLETS NAVN</w:t>
      </w:r>
    </w:p>
    <w:p w14:paraId="50AE976E" w14:textId="73B403D2" w:rsidR="009260DE" w:rsidRPr="00AC2B41" w:rsidRDefault="00AC2B41" w:rsidP="004931E3">
      <w:pPr>
        <w:tabs>
          <w:tab w:val="left" w:pos="851"/>
        </w:tabs>
        <w:ind w:left="851"/>
        <w:rPr>
          <w:bCs/>
          <w:sz w:val="24"/>
          <w:szCs w:val="24"/>
        </w:rPr>
      </w:pPr>
      <w:r w:rsidRPr="00AC2B41">
        <w:rPr>
          <w:bCs/>
          <w:sz w:val="24"/>
          <w:szCs w:val="24"/>
        </w:rPr>
        <w:t>Mirabegron "Zentiva"</w:t>
      </w:r>
    </w:p>
    <w:p w14:paraId="54F43838" w14:textId="77777777" w:rsidR="009260DE" w:rsidRPr="00C84483" w:rsidRDefault="009260DE" w:rsidP="004931E3">
      <w:pPr>
        <w:tabs>
          <w:tab w:val="left" w:pos="851"/>
        </w:tabs>
        <w:ind w:left="851"/>
        <w:rPr>
          <w:sz w:val="24"/>
          <w:szCs w:val="24"/>
        </w:rPr>
      </w:pPr>
    </w:p>
    <w:p w14:paraId="381D8D58" w14:textId="77777777" w:rsidR="009260DE" w:rsidRPr="00C84483" w:rsidRDefault="009260DE" w:rsidP="004931E3">
      <w:pPr>
        <w:tabs>
          <w:tab w:val="left" w:pos="851"/>
        </w:tabs>
        <w:ind w:left="851" w:hanging="851"/>
        <w:rPr>
          <w:b/>
          <w:sz w:val="24"/>
          <w:szCs w:val="24"/>
        </w:rPr>
      </w:pPr>
      <w:r w:rsidRPr="00C84483">
        <w:rPr>
          <w:b/>
          <w:sz w:val="24"/>
          <w:szCs w:val="24"/>
        </w:rPr>
        <w:t>2.</w:t>
      </w:r>
      <w:r w:rsidRPr="00C84483">
        <w:rPr>
          <w:b/>
          <w:sz w:val="24"/>
          <w:szCs w:val="24"/>
        </w:rPr>
        <w:tab/>
        <w:t>KVALITATIV OG KVANTITATIV SAMMENSÆTNING</w:t>
      </w:r>
    </w:p>
    <w:p w14:paraId="01F5D956" w14:textId="77777777" w:rsidR="00AC2B41" w:rsidRPr="00AC2B41" w:rsidRDefault="00AC2B41" w:rsidP="004931E3">
      <w:pPr>
        <w:tabs>
          <w:tab w:val="left" w:pos="851"/>
        </w:tabs>
        <w:ind w:left="851"/>
        <w:rPr>
          <w:sz w:val="24"/>
          <w:szCs w:val="24"/>
        </w:rPr>
      </w:pPr>
      <w:r w:rsidRPr="00AC2B41">
        <w:rPr>
          <w:sz w:val="24"/>
          <w:szCs w:val="24"/>
        </w:rPr>
        <w:t>Hver depottablet indeholder 25 mg mirabegron.</w:t>
      </w:r>
    </w:p>
    <w:p w14:paraId="4F9F59BC" w14:textId="77777777" w:rsidR="00AC2B41" w:rsidRPr="00AC2B41" w:rsidRDefault="00AC2B41" w:rsidP="004931E3">
      <w:pPr>
        <w:tabs>
          <w:tab w:val="left" w:pos="851"/>
        </w:tabs>
        <w:ind w:left="851"/>
        <w:rPr>
          <w:sz w:val="24"/>
          <w:szCs w:val="24"/>
        </w:rPr>
      </w:pPr>
    </w:p>
    <w:p w14:paraId="2F42628F" w14:textId="77777777" w:rsidR="00AC2B41" w:rsidRPr="00AC2B41" w:rsidRDefault="00AC2B41" w:rsidP="004931E3">
      <w:pPr>
        <w:tabs>
          <w:tab w:val="left" w:pos="851"/>
        </w:tabs>
        <w:ind w:left="851"/>
        <w:rPr>
          <w:sz w:val="24"/>
          <w:szCs w:val="24"/>
        </w:rPr>
      </w:pPr>
      <w:r w:rsidRPr="00AC2B41">
        <w:rPr>
          <w:sz w:val="24"/>
          <w:szCs w:val="24"/>
        </w:rPr>
        <w:t>Alle hjælpestoffer er anført under pkt. 6.1.</w:t>
      </w:r>
    </w:p>
    <w:p w14:paraId="608C5BAD" w14:textId="77777777" w:rsidR="009260DE" w:rsidRPr="00C84483" w:rsidRDefault="009260DE" w:rsidP="004931E3">
      <w:pPr>
        <w:tabs>
          <w:tab w:val="left" w:pos="851"/>
        </w:tabs>
        <w:ind w:left="851"/>
        <w:rPr>
          <w:sz w:val="24"/>
          <w:szCs w:val="24"/>
        </w:rPr>
      </w:pPr>
    </w:p>
    <w:p w14:paraId="03A5EA98" w14:textId="77777777" w:rsidR="009260DE" w:rsidRPr="00C84483" w:rsidRDefault="009260DE" w:rsidP="004931E3">
      <w:pPr>
        <w:tabs>
          <w:tab w:val="left" w:pos="851"/>
        </w:tabs>
        <w:ind w:left="851" w:hanging="851"/>
        <w:rPr>
          <w:b/>
          <w:sz w:val="24"/>
          <w:szCs w:val="24"/>
        </w:rPr>
      </w:pPr>
      <w:r w:rsidRPr="00C84483">
        <w:rPr>
          <w:b/>
          <w:sz w:val="24"/>
          <w:szCs w:val="24"/>
        </w:rPr>
        <w:t>3.</w:t>
      </w:r>
      <w:r w:rsidRPr="00C84483">
        <w:rPr>
          <w:b/>
          <w:sz w:val="24"/>
          <w:szCs w:val="24"/>
        </w:rPr>
        <w:tab/>
        <w:t>LÆGEMIDDELFORM</w:t>
      </w:r>
    </w:p>
    <w:p w14:paraId="7E2D7CF1" w14:textId="2DB3C84E" w:rsidR="00AC2B41" w:rsidRDefault="00AC2B41" w:rsidP="004931E3">
      <w:pPr>
        <w:tabs>
          <w:tab w:val="left" w:pos="851"/>
        </w:tabs>
        <w:ind w:left="851"/>
        <w:rPr>
          <w:sz w:val="24"/>
          <w:szCs w:val="24"/>
        </w:rPr>
      </w:pPr>
      <w:r w:rsidRPr="00AC2B41">
        <w:rPr>
          <w:sz w:val="24"/>
          <w:szCs w:val="24"/>
        </w:rPr>
        <w:t>Depottabletter</w:t>
      </w:r>
    </w:p>
    <w:p w14:paraId="6A4FD0C7" w14:textId="77777777" w:rsidR="00AC2B41" w:rsidRDefault="00AC2B41" w:rsidP="004931E3">
      <w:pPr>
        <w:tabs>
          <w:tab w:val="left" w:pos="851"/>
        </w:tabs>
        <w:ind w:left="851"/>
        <w:rPr>
          <w:sz w:val="24"/>
          <w:szCs w:val="24"/>
        </w:rPr>
      </w:pPr>
    </w:p>
    <w:p w14:paraId="014C3824" w14:textId="77777777" w:rsidR="00AC2B41" w:rsidRPr="00AC2B41" w:rsidRDefault="00AC2B41" w:rsidP="004931E3">
      <w:pPr>
        <w:tabs>
          <w:tab w:val="left" w:pos="851"/>
        </w:tabs>
        <w:ind w:left="851"/>
        <w:rPr>
          <w:sz w:val="24"/>
          <w:szCs w:val="24"/>
        </w:rPr>
      </w:pPr>
      <w:r w:rsidRPr="00AC2B41">
        <w:rPr>
          <w:sz w:val="24"/>
          <w:szCs w:val="24"/>
        </w:rPr>
        <w:t>Hvid eller næsten hvid, aflang (13 mm i længden og 6 mm i bredden), bikonveks depottablet præget med "l" på den ene side og glat på den anden side.</w:t>
      </w:r>
    </w:p>
    <w:p w14:paraId="2ED9AB8F" w14:textId="77777777" w:rsidR="009260DE" w:rsidRPr="00C84483" w:rsidRDefault="009260DE" w:rsidP="004931E3">
      <w:pPr>
        <w:tabs>
          <w:tab w:val="left" w:pos="851"/>
        </w:tabs>
        <w:ind w:left="851"/>
        <w:rPr>
          <w:sz w:val="24"/>
          <w:szCs w:val="24"/>
        </w:rPr>
      </w:pPr>
    </w:p>
    <w:p w14:paraId="6F97509B" w14:textId="77777777" w:rsidR="009260DE" w:rsidRPr="00C84483" w:rsidRDefault="009260DE" w:rsidP="004931E3">
      <w:pPr>
        <w:tabs>
          <w:tab w:val="left" w:pos="851"/>
        </w:tabs>
        <w:ind w:left="851"/>
        <w:rPr>
          <w:sz w:val="24"/>
          <w:szCs w:val="24"/>
        </w:rPr>
      </w:pPr>
    </w:p>
    <w:p w14:paraId="1AFC4B56" w14:textId="77777777" w:rsidR="009260DE" w:rsidRPr="00C84483" w:rsidRDefault="009260DE" w:rsidP="004931E3">
      <w:pPr>
        <w:tabs>
          <w:tab w:val="left" w:pos="851"/>
        </w:tabs>
        <w:ind w:left="851" w:hanging="851"/>
        <w:rPr>
          <w:b/>
          <w:sz w:val="24"/>
          <w:szCs w:val="24"/>
        </w:rPr>
      </w:pPr>
      <w:r w:rsidRPr="00C84483">
        <w:rPr>
          <w:b/>
          <w:sz w:val="24"/>
          <w:szCs w:val="24"/>
        </w:rPr>
        <w:t>4.</w:t>
      </w:r>
      <w:r w:rsidRPr="00C84483">
        <w:rPr>
          <w:b/>
          <w:sz w:val="24"/>
          <w:szCs w:val="24"/>
        </w:rPr>
        <w:tab/>
        <w:t>KLINISKE OPLYSNINGER</w:t>
      </w:r>
    </w:p>
    <w:p w14:paraId="5BE2F3FD" w14:textId="77777777" w:rsidR="009260DE" w:rsidRPr="00C84483" w:rsidRDefault="009260DE" w:rsidP="004931E3">
      <w:pPr>
        <w:tabs>
          <w:tab w:val="left" w:pos="851"/>
        </w:tabs>
        <w:ind w:left="851"/>
        <w:rPr>
          <w:b/>
          <w:sz w:val="24"/>
          <w:szCs w:val="24"/>
        </w:rPr>
      </w:pPr>
    </w:p>
    <w:p w14:paraId="2CB71145" w14:textId="77777777" w:rsidR="009260DE" w:rsidRPr="00C84483" w:rsidRDefault="009260DE" w:rsidP="004931E3">
      <w:pPr>
        <w:tabs>
          <w:tab w:val="left" w:pos="851"/>
        </w:tabs>
        <w:ind w:left="851" w:hanging="851"/>
        <w:rPr>
          <w:b/>
          <w:sz w:val="24"/>
          <w:szCs w:val="24"/>
          <w:u w:val="single"/>
        </w:rPr>
      </w:pPr>
      <w:r w:rsidRPr="00C84483">
        <w:rPr>
          <w:b/>
          <w:sz w:val="24"/>
          <w:szCs w:val="24"/>
        </w:rPr>
        <w:t>4.1</w:t>
      </w:r>
      <w:r w:rsidRPr="00C84483">
        <w:rPr>
          <w:b/>
          <w:sz w:val="24"/>
          <w:szCs w:val="24"/>
        </w:rPr>
        <w:tab/>
        <w:t>Terapeutiske indikationer</w:t>
      </w:r>
    </w:p>
    <w:p w14:paraId="42F02704" w14:textId="77777777" w:rsidR="00AC2B41" w:rsidRPr="00AC2B41" w:rsidRDefault="00AC2B41" w:rsidP="004931E3">
      <w:pPr>
        <w:tabs>
          <w:tab w:val="left" w:pos="851"/>
        </w:tabs>
        <w:ind w:left="851"/>
        <w:rPr>
          <w:b/>
          <w:sz w:val="24"/>
          <w:szCs w:val="24"/>
        </w:rPr>
      </w:pPr>
    </w:p>
    <w:p w14:paraId="3D91C902" w14:textId="77777777" w:rsidR="00AC2B41" w:rsidRPr="00AC2B41" w:rsidRDefault="00AC2B41" w:rsidP="004931E3">
      <w:pPr>
        <w:tabs>
          <w:tab w:val="left" w:pos="851"/>
        </w:tabs>
        <w:ind w:left="851"/>
        <w:rPr>
          <w:bCs/>
          <w:sz w:val="24"/>
          <w:szCs w:val="24"/>
          <w:u w:val="single"/>
        </w:rPr>
      </w:pPr>
      <w:r w:rsidRPr="00AC2B41">
        <w:rPr>
          <w:bCs/>
          <w:sz w:val="24"/>
          <w:szCs w:val="24"/>
          <w:u w:val="single"/>
        </w:rPr>
        <w:t>Overaktiv blære hos voksne</w:t>
      </w:r>
    </w:p>
    <w:p w14:paraId="540FB856" w14:textId="1E0F6437" w:rsidR="00AC2B41" w:rsidRPr="00AC2B41" w:rsidRDefault="00AC2B41" w:rsidP="004931E3">
      <w:pPr>
        <w:tabs>
          <w:tab w:val="left" w:pos="851"/>
        </w:tabs>
        <w:ind w:left="851"/>
        <w:rPr>
          <w:bCs/>
          <w:sz w:val="24"/>
          <w:szCs w:val="24"/>
        </w:rPr>
      </w:pPr>
      <w:r w:rsidRPr="00AC2B41">
        <w:rPr>
          <w:bCs/>
          <w:sz w:val="24"/>
          <w:szCs w:val="24"/>
        </w:rPr>
        <w:t>Mirabegron "Zentiva" depottabletter er indiceret til symptomatisk behandling af imperiøs vandladning, øget vandladningshyppighed og/eller urge-inkontinens, som kan forekomme hos voksne patienter med</w:t>
      </w:r>
      <w:r>
        <w:rPr>
          <w:bCs/>
          <w:sz w:val="24"/>
          <w:szCs w:val="24"/>
        </w:rPr>
        <w:t xml:space="preserve"> </w:t>
      </w:r>
      <w:r w:rsidRPr="00AC2B41">
        <w:rPr>
          <w:bCs/>
          <w:sz w:val="24"/>
          <w:szCs w:val="24"/>
        </w:rPr>
        <w:t>overaktiv blære-syndrom (OAB-syndrom).</w:t>
      </w:r>
    </w:p>
    <w:p w14:paraId="7A1F9CA5" w14:textId="77777777" w:rsidR="00AC2B41" w:rsidRPr="00AC2B41" w:rsidRDefault="00AC2B41" w:rsidP="004931E3">
      <w:pPr>
        <w:tabs>
          <w:tab w:val="left" w:pos="851"/>
        </w:tabs>
        <w:ind w:left="851"/>
        <w:rPr>
          <w:bCs/>
          <w:sz w:val="24"/>
          <w:szCs w:val="24"/>
          <w:u w:val="single"/>
        </w:rPr>
      </w:pPr>
    </w:p>
    <w:p w14:paraId="29C96B3E" w14:textId="77777777" w:rsidR="00AC2B41" w:rsidRPr="00AC2B41" w:rsidRDefault="00AC2B41" w:rsidP="004931E3">
      <w:pPr>
        <w:tabs>
          <w:tab w:val="left" w:pos="851"/>
        </w:tabs>
        <w:ind w:left="851"/>
        <w:rPr>
          <w:bCs/>
          <w:sz w:val="24"/>
          <w:szCs w:val="24"/>
          <w:u w:val="single"/>
        </w:rPr>
      </w:pPr>
      <w:r w:rsidRPr="00AC2B41">
        <w:rPr>
          <w:bCs/>
          <w:sz w:val="24"/>
          <w:szCs w:val="24"/>
          <w:u w:val="single"/>
        </w:rPr>
        <w:t>Neurogen detrusoroveraktivitet i den pædiatriske population</w:t>
      </w:r>
    </w:p>
    <w:p w14:paraId="2F23E265" w14:textId="77777777" w:rsidR="00AC2B41" w:rsidRPr="00AC2B41" w:rsidRDefault="00AC2B41" w:rsidP="004931E3">
      <w:pPr>
        <w:tabs>
          <w:tab w:val="left" w:pos="851"/>
        </w:tabs>
        <w:ind w:left="851"/>
        <w:rPr>
          <w:bCs/>
          <w:sz w:val="24"/>
          <w:szCs w:val="24"/>
        </w:rPr>
      </w:pPr>
      <w:r w:rsidRPr="00AC2B41">
        <w:rPr>
          <w:bCs/>
          <w:sz w:val="24"/>
          <w:szCs w:val="24"/>
        </w:rPr>
        <w:t>Mirabegron "Zentiva" depottabletter er indiceret til behandling af neurogen detrusoroveraktivitet (NDO) hos pædiatriske patienter i alderen 3 år til under 18 år.</w:t>
      </w:r>
    </w:p>
    <w:p w14:paraId="53A9BA1C" w14:textId="642EE2AC" w:rsidR="004931E3" w:rsidRDefault="004931E3" w:rsidP="004931E3">
      <w:pPr>
        <w:rPr>
          <w:sz w:val="24"/>
          <w:szCs w:val="24"/>
        </w:rPr>
      </w:pPr>
      <w:r>
        <w:rPr>
          <w:sz w:val="24"/>
          <w:szCs w:val="24"/>
        </w:rPr>
        <w:br w:type="page"/>
      </w:r>
    </w:p>
    <w:p w14:paraId="75BADBE3" w14:textId="77777777" w:rsidR="009260DE" w:rsidRPr="00C84483" w:rsidRDefault="009260DE" w:rsidP="004931E3">
      <w:pPr>
        <w:tabs>
          <w:tab w:val="left" w:pos="851"/>
        </w:tabs>
        <w:ind w:left="851"/>
        <w:rPr>
          <w:sz w:val="24"/>
          <w:szCs w:val="24"/>
        </w:rPr>
      </w:pPr>
    </w:p>
    <w:p w14:paraId="3155B2FE" w14:textId="77777777" w:rsidR="009260DE" w:rsidRPr="00C84483" w:rsidRDefault="009260DE" w:rsidP="004931E3">
      <w:pPr>
        <w:tabs>
          <w:tab w:val="left" w:pos="851"/>
        </w:tabs>
        <w:ind w:left="851" w:hanging="851"/>
        <w:rPr>
          <w:b/>
          <w:sz w:val="24"/>
          <w:szCs w:val="24"/>
        </w:rPr>
      </w:pPr>
      <w:r w:rsidRPr="00C84483">
        <w:rPr>
          <w:b/>
          <w:sz w:val="24"/>
          <w:szCs w:val="24"/>
        </w:rPr>
        <w:t>4.2</w:t>
      </w:r>
      <w:r w:rsidRPr="00C84483">
        <w:rPr>
          <w:b/>
          <w:sz w:val="24"/>
          <w:szCs w:val="24"/>
        </w:rPr>
        <w:tab/>
        <w:t xml:space="preserve">Dosering og </w:t>
      </w:r>
      <w:r w:rsidR="002C1EC0">
        <w:rPr>
          <w:b/>
          <w:sz w:val="24"/>
          <w:szCs w:val="24"/>
        </w:rPr>
        <w:t>administration</w:t>
      </w:r>
    </w:p>
    <w:p w14:paraId="6D54AAF1" w14:textId="77777777" w:rsidR="004931E3" w:rsidRDefault="004931E3" w:rsidP="004931E3">
      <w:pPr>
        <w:suppressAutoHyphens/>
        <w:autoSpaceDE w:val="0"/>
        <w:autoSpaceDN w:val="0"/>
        <w:adjustRightInd w:val="0"/>
        <w:ind w:left="851"/>
        <w:rPr>
          <w:rFonts w:eastAsia="MS Mincho"/>
          <w:color w:val="000000"/>
          <w:sz w:val="24"/>
          <w:szCs w:val="24"/>
          <w:u w:val="single"/>
          <w:lang w:eastAsia="fr-FR"/>
        </w:rPr>
      </w:pPr>
    </w:p>
    <w:p w14:paraId="475561B2" w14:textId="1C39B800" w:rsidR="004931E3" w:rsidRPr="004931E3" w:rsidRDefault="004931E3" w:rsidP="004931E3">
      <w:pPr>
        <w:suppressAutoHyphens/>
        <w:autoSpaceDE w:val="0"/>
        <w:autoSpaceDN w:val="0"/>
        <w:adjustRightInd w:val="0"/>
        <w:ind w:left="851"/>
        <w:rPr>
          <w:rFonts w:eastAsia="MS Mincho"/>
          <w:color w:val="000000"/>
          <w:sz w:val="24"/>
          <w:szCs w:val="24"/>
          <w:u w:val="single"/>
          <w:lang w:eastAsia="fr-FR"/>
        </w:rPr>
      </w:pPr>
      <w:r w:rsidRPr="004931E3">
        <w:rPr>
          <w:rFonts w:eastAsia="MS Mincho"/>
          <w:color w:val="000000"/>
          <w:sz w:val="24"/>
          <w:szCs w:val="24"/>
          <w:u w:val="single"/>
          <w:lang w:eastAsia="fr-FR"/>
        </w:rPr>
        <w:t>Dosering</w:t>
      </w:r>
      <w:r w:rsidRPr="004931E3">
        <w:rPr>
          <w:rFonts w:eastAsia="MS Mincho"/>
          <w:color w:val="000000"/>
          <w:sz w:val="24"/>
          <w:szCs w:val="24"/>
          <w:lang w:eastAsia="fr-FR"/>
        </w:rPr>
        <w:t xml:space="preserve"> </w:t>
      </w:r>
    </w:p>
    <w:p w14:paraId="3191CCB8" w14:textId="77777777" w:rsidR="004931E3" w:rsidRPr="004931E3" w:rsidRDefault="004931E3" w:rsidP="004931E3">
      <w:pPr>
        <w:suppressAutoHyphens/>
        <w:autoSpaceDE w:val="0"/>
        <w:autoSpaceDN w:val="0"/>
        <w:adjustRightInd w:val="0"/>
        <w:ind w:left="851"/>
        <w:rPr>
          <w:rFonts w:eastAsia="MS Mincho"/>
          <w:color w:val="000000"/>
          <w:sz w:val="24"/>
          <w:szCs w:val="24"/>
          <w:lang w:eastAsia="fr-FR"/>
        </w:rPr>
      </w:pPr>
      <w:r w:rsidRPr="004931E3">
        <w:rPr>
          <w:rFonts w:eastAsia="MS Mincho"/>
          <w:color w:val="000000"/>
          <w:sz w:val="24"/>
          <w:szCs w:val="24"/>
          <w:lang w:eastAsia="fr-FR"/>
        </w:rPr>
        <w:t xml:space="preserve"> </w:t>
      </w:r>
    </w:p>
    <w:p w14:paraId="41678DA1" w14:textId="77777777" w:rsidR="004931E3" w:rsidRPr="004931E3" w:rsidRDefault="004931E3" w:rsidP="004931E3">
      <w:pPr>
        <w:suppressAutoHyphens/>
        <w:autoSpaceDE w:val="0"/>
        <w:autoSpaceDN w:val="0"/>
        <w:adjustRightInd w:val="0"/>
        <w:ind w:left="851"/>
        <w:rPr>
          <w:rFonts w:eastAsia="MS Mincho"/>
          <w:color w:val="000000"/>
          <w:sz w:val="24"/>
          <w:szCs w:val="24"/>
          <w:lang w:eastAsia="fr-FR"/>
        </w:rPr>
      </w:pPr>
      <w:r w:rsidRPr="004931E3">
        <w:rPr>
          <w:rFonts w:eastAsia="MS Mincho"/>
          <w:i/>
          <w:color w:val="000000"/>
          <w:sz w:val="24"/>
          <w:szCs w:val="24"/>
          <w:u w:val="single"/>
          <w:lang w:eastAsia="fr-FR"/>
        </w:rPr>
        <w:t>Overaktiv blære</w:t>
      </w:r>
      <w:r w:rsidRPr="004931E3">
        <w:rPr>
          <w:rFonts w:eastAsia="MS Mincho"/>
          <w:i/>
          <w:color w:val="000000"/>
          <w:sz w:val="24"/>
          <w:szCs w:val="24"/>
          <w:lang w:eastAsia="fr-FR"/>
        </w:rPr>
        <w:t xml:space="preserve"> </w:t>
      </w:r>
    </w:p>
    <w:p w14:paraId="3CB12AB6" w14:textId="77777777" w:rsidR="004931E3" w:rsidRPr="004931E3" w:rsidRDefault="004931E3" w:rsidP="004931E3">
      <w:pPr>
        <w:suppressAutoHyphens/>
        <w:autoSpaceDE w:val="0"/>
        <w:autoSpaceDN w:val="0"/>
        <w:adjustRightInd w:val="0"/>
        <w:ind w:left="851"/>
        <w:rPr>
          <w:rFonts w:eastAsia="MS Mincho"/>
          <w:color w:val="000000"/>
          <w:sz w:val="24"/>
          <w:szCs w:val="24"/>
          <w:lang w:eastAsia="fr-FR"/>
        </w:rPr>
      </w:pPr>
      <w:r w:rsidRPr="004931E3">
        <w:rPr>
          <w:rFonts w:eastAsia="MS Mincho"/>
          <w:i/>
          <w:color w:val="000000"/>
          <w:sz w:val="24"/>
          <w:szCs w:val="24"/>
          <w:lang w:eastAsia="fr-FR"/>
        </w:rPr>
        <w:t xml:space="preserve"> </w:t>
      </w:r>
    </w:p>
    <w:p w14:paraId="73C05E0F" w14:textId="77777777" w:rsidR="004931E3" w:rsidRPr="004931E3" w:rsidRDefault="004931E3" w:rsidP="004931E3">
      <w:pPr>
        <w:suppressAutoHyphens/>
        <w:autoSpaceDE w:val="0"/>
        <w:autoSpaceDN w:val="0"/>
        <w:adjustRightInd w:val="0"/>
        <w:ind w:left="851"/>
        <w:rPr>
          <w:rFonts w:eastAsia="MS Mincho"/>
          <w:color w:val="000000"/>
          <w:sz w:val="24"/>
          <w:szCs w:val="24"/>
          <w:lang w:eastAsia="fr-FR"/>
        </w:rPr>
      </w:pPr>
      <w:r w:rsidRPr="004931E3">
        <w:rPr>
          <w:rFonts w:eastAsia="MS Mincho"/>
          <w:i/>
          <w:color w:val="000000"/>
          <w:sz w:val="24"/>
          <w:szCs w:val="24"/>
          <w:lang w:eastAsia="fr-FR"/>
        </w:rPr>
        <w:t>Voksne (herunder ældre patienter)</w:t>
      </w:r>
      <w:r w:rsidRPr="004931E3">
        <w:rPr>
          <w:rFonts w:eastAsia="MS Mincho"/>
          <w:color w:val="000000"/>
          <w:sz w:val="24"/>
          <w:szCs w:val="24"/>
          <w:lang w:eastAsia="fr-FR"/>
        </w:rPr>
        <w:t xml:space="preserve"> </w:t>
      </w:r>
    </w:p>
    <w:p w14:paraId="35E54C67" w14:textId="77777777" w:rsidR="004931E3" w:rsidRPr="004931E3" w:rsidRDefault="004931E3" w:rsidP="004931E3">
      <w:pPr>
        <w:suppressAutoHyphens/>
        <w:autoSpaceDE w:val="0"/>
        <w:autoSpaceDN w:val="0"/>
        <w:adjustRightInd w:val="0"/>
        <w:ind w:left="851"/>
        <w:rPr>
          <w:rFonts w:eastAsia="MS Mincho"/>
          <w:color w:val="000000"/>
          <w:sz w:val="24"/>
          <w:szCs w:val="24"/>
          <w:lang w:eastAsia="fr-FR"/>
        </w:rPr>
      </w:pPr>
      <w:r w:rsidRPr="004931E3">
        <w:rPr>
          <w:rFonts w:eastAsia="MS Mincho"/>
          <w:color w:val="000000"/>
          <w:sz w:val="24"/>
          <w:szCs w:val="24"/>
          <w:lang w:eastAsia="fr-FR"/>
        </w:rPr>
        <w:t xml:space="preserve">Den anbefalede dosering er 50 mg én gang dagligt. </w:t>
      </w:r>
    </w:p>
    <w:p w14:paraId="38B0D513" w14:textId="77777777" w:rsidR="004931E3" w:rsidRPr="004931E3" w:rsidRDefault="004931E3" w:rsidP="004931E3">
      <w:pPr>
        <w:suppressAutoHyphens/>
        <w:autoSpaceDE w:val="0"/>
        <w:autoSpaceDN w:val="0"/>
        <w:adjustRightInd w:val="0"/>
        <w:ind w:left="851"/>
        <w:rPr>
          <w:rFonts w:eastAsia="MS Mincho"/>
          <w:color w:val="000000"/>
          <w:sz w:val="24"/>
          <w:szCs w:val="24"/>
          <w:lang w:eastAsia="fr-FR"/>
        </w:rPr>
      </w:pPr>
      <w:r w:rsidRPr="004931E3">
        <w:rPr>
          <w:rFonts w:eastAsia="MS Mincho"/>
          <w:color w:val="000000"/>
          <w:sz w:val="24"/>
          <w:szCs w:val="24"/>
          <w:lang w:eastAsia="fr-FR"/>
        </w:rPr>
        <w:t xml:space="preserve"> </w:t>
      </w:r>
    </w:p>
    <w:p w14:paraId="72EB0294" w14:textId="77777777" w:rsidR="004931E3" w:rsidRPr="004931E3" w:rsidRDefault="004931E3" w:rsidP="004931E3">
      <w:pPr>
        <w:suppressAutoHyphens/>
        <w:autoSpaceDE w:val="0"/>
        <w:autoSpaceDN w:val="0"/>
        <w:adjustRightInd w:val="0"/>
        <w:ind w:left="851"/>
        <w:rPr>
          <w:rFonts w:eastAsia="MS Mincho"/>
          <w:color w:val="000000"/>
          <w:sz w:val="24"/>
          <w:szCs w:val="24"/>
          <w:lang w:eastAsia="fr-FR"/>
        </w:rPr>
      </w:pPr>
      <w:r w:rsidRPr="004931E3">
        <w:rPr>
          <w:rFonts w:eastAsia="MS Mincho"/>
          <w:i/>
          <w:color w:val="000000"/>
          <w:sz w:val="24"/>
          <w:szCs w:val="24"/>
          <w:u w:val="single"/>
          <w:lang w:eastAsia="fr-FR"/>
        </w:rPr>
        <w:t>Neurogen detrusoroveraktivitet i den pædiatriske population</w:t>
      </w:r>
      <w:r w:rsidRPr="004931E3">
        <w:rPr>
          <w:rFonts w:eastAsia="MS Mincho"/>
          <w:i/>
          <w:color w:val="000000"/>
          <w:sz w:val="24"/>
          <w:szCs w:val="24"/>
          <w:lang w:eastAsia="fr-FR"/>
        </w:rPr>
        <w:t xml:space="preserve"> </w:t>
      </w:r>
    </w:p>
    <w:p w14:paraId="69BF9A2A" w14:textId="77777777" w:rsidR="004931E3" w:rsidRPr="004931E3" w:rsidRDefault="004931E3" w:rsidP="004931E3">
      <w:pPr>
        <w:suppressAutoHyphens/>
        <w:autoSpaceDE w:val="0"/>
        <w:autoSpaceDN w:val="0"/>
        <w:adjustRightInd w:val="0"/>
        <w:ind w:left="851"/>
        <w:rPr>
          <w:rFonts w:eastAsia="MS Mincho"/>
          <w:color w:val="000000"/>
          <w:sz w:val="24"/>
          <w:szCs w:val="24"/>
          <w:lang w:eastAsia="fr-FR"/>
        </w:rPr>
      </w:pPr>
      <w:r w:rsidRPr="004931E3">
        <w:rPr>
          <w:rFonts w:eastAsia="MS Mincho"/>
          <w:color w:val="000000"/>
          <w:sz w:val="24"/>
          <w:szCs w:val="24"/>
          <w:lang w:eastAsia="fr-FR"/>
        </w:rPr>
        <w:t>Pædiatriske patienter i alderen fra 3 år til under 18 år med NDO kan få administreret Mirabegron "Zentiva" depottabletter eller mirabegronholdigt produkt i form af granulat til oral depotsuspension baseret på patientens kropsvægt. Depottabletterne kan administreres til patienter, som vejer 35 kg eller mere. Til patienter, der vejer under 35 kg, findes der andre mirabegron-lægemidler end Mirabegron "Zentiva" tilgængelige på markedet, og disse bør anvendes.</w:t>
      </w:r>
    </w:p>
    <w:p w14:paraId="768A2FBF" w14:textId="77777777" w:rsidR="004931E3" w:rsidRPr="004931E3" w:rsidRDefault="004931E3" w:rsidP="004931E3">
      <w:pPr>
        <w:suppressAutoHyphens/>
        <w:autoSpaceDE w:val="0"/>
        <w:autoSpaceDN w:val="0"/>
        <w:adjustRightInd w:val="0"/>
        <w:ind w:left="851"/>
        <w:rPr>
          <w:rFonts w:eastAsia="MS Mincho"/>
          <w:color w:val="000000"/>
          <w:sz w:val="24"/>
          <w:szCs w:val="24"/>
          <w:lang w:eastAsia="fr-FR"/>
        </w:rPr>
      </w:pPr>
    </w:p>
    <w:p w14:paraId="2E56A135" w14:textId="77777777" w:rsidR="004931E3" w:rsidRPr="004931E3" w:rsidRDefault="004931E3" w:rsidP="004931E3">
      <w:pPr>
        <w:suppressAutoHyphens/>
        <w:autoSpaceDE w:val="0"/>
        <w:autoSpaceDN w:val="0"/>
        <w:adjustRightInd w:val="0"/>
        <w:ind w:left="851"/>
        <w:rPr>
          <w:rFonts w:eastAsia="MS Mincho"/>
          <w:color w:val="000000"/>
          <w:sz w:val="24"/>
          <w:szCs w:val="24"/>
          <w:lang w:eastAsia="fr-FR"/>
        </w:rPr>
      </w:pPr>
      <w:r w:rsidRPr="004931E3">
        <w:rPr>
          <w:rFonts w:eastAsia="MS Mincho"/>
          <w:color w:val="000000"/>
          <w:sz w:val="24"/>
          <w:szCs w:val="24"/>
          <w:lang w:eastAsia="fr-FR"/>
        </w:rPr>
        <w:t xml:space="preserve">Den anbefalede startdosis af Mirabegron "Zentiva" depottabletter er 25 mg én gang dagligt sammen med mad. Om nødvendigt kan dosis øges til en maksimal dosis på 50 mg én gang dagligt sammen med mad efter 4 til 8 uger. Under langtidsbehandling skal patienterne vurderes regelmæssigt med hensyn til, om behandlingen skal fortsætte, og for eventuel dosisjustering, mindst en gang om året eller hyppigere, hvis dette er indiceret. </w:t>
      </w:r>
    </w:p>
    <w:p w14:paraId="4C733A9B" w14:textId="77777777" w:rsidR="004931E3" w:rsidRPr="004931E3" w:rsidRDefault="004931E3" w:rsidP="004931E3">
      <w:pPr>
        <w:suppressAutoHyphens/>
        <w:autoSpaceDE w:val="0"/>
        <w:autoSpaceDN w:val="0"/>
        <w:adjustRightInd w:val="0"/>
        <w:ind w:left="851"/>
        <w:rPr>
          <w:rFonts w:eastAsia="MS Mincho"/>
          <w:color w:val="000000"/>
          <w:sz w:val="24"/>
          <w:szCs w:val="24"/>
          <w:lang w:eastAsia="fr-FR"/>
        </w:rPr>
      </w:pPr>
      <w:r w:rsidRPr="004931E3">
        <w:rPr>
          <w:rFonts w:eastAsia="MS Mincho"/>
          <w:color w:val="000000"/>
          <w:sz w:val="24"/>
          <w:szCs w:val="24"/>
          <w:lang w:eastAsia="fr-FR"/>
        </w:rPr>
        <w:t xml:space="preserve"> </w:t>
      </w:r>
    </w:p>
    <w:p w14:paraId="7B9C29AA" w14:textId="77777777" w:rsidR="004931E3" w:rsidRPr="004931E3" w:rsidRDefault="004931E3" w:rsidP="004931E3">
      <w:pPr>
        <w:suppressAutoHyphens/>
        <w:autoSpaceDE w:val="0"/>
        <w:autoSpaceDN w:val="0"/>
        <w:adjustRightInd w:val="0"/>
        <w:ind w:left="851"/>
        <w:rPr>
          <w:rFonts w:eastAsia="MS Mincho"/>
          <w:color w:val="000000"/>
          <w:sz w:val="24"/>
          <w:szCs w:val="24"/>
          <w:lang w:eastAsia="fr-FR"/>
        </w:rPr>
      </w:pPr>
      <w:r w:rsidRPr="004931E3">
        <w:rPr>
          <w:rFonts w:eastAsia="MS Mincho"/>
          <w:i/>
          <w:color w:val="000000"/>
          <w:sz w:val="24"/>
          <w:szCs w:val="24"/>
          <w:u w:val="single"/>
          <w:lang w:eastAsia="fr-FR"/>
        </w:rPr>
        <w:t>Glemt dosis</w:t>
      </w:r>
      <w:r w:rsidRPr="004931E3">
        <w:rPr>
          <w:rFonts w:eastAsia="MS Mincho"/>
          <w:color w:val="000000"/>
          <w:sz w:val="24"/>
          <w:szCs w:val="24"/>
          <w:lang w:eastAsia="fr-FR"/>
        </w:rPr>
        <w:t xml:space="preserve"> </w:t>
      </w:r>
    </w:p>
    <w:p w14:paraId="1EDFFFA6" w14:textId="4FA74A8D" w:rsidR="004931E3" w:rsidRPr="004931E3" w:rsidRDefault="004931E3" w:rsidP="004931E3">
      <w:pPr>
        <w:suppressAutoHyphens/>
        <w:autoSpaceDE w:val="0"/>
        <w:autoSpaceDN w:val="0"/>
        <w:adjustRightInd w:val="0"/>
        <w:ind w:left="851"/>
        <w:rPr>
          <w:rFonts w:eastAsia="MS Mincho"/>
          <w:color w:val="000000"/>
          <w:sz w:val="24"/>
          <w:szCs w:val="24"/>
          <w:lang w:eastAsia="fr-FR"/>
        </w:rPr>
      </w:pPr>
      <w:r w:rsidRPr="004931E3">
        <w:rPr>
          <w:rFonts w:eastAsia="MS Mincho"/>
          <w:color w:val="000000"/>
          <w:sz w:val="24"/>
          <w:szCs w:val="24"/>
          <w:lang w:eastAsia="fr-FR"/>
        </w:rPr>
        <w:t xml:space="preserve"> Patienterne skal instrueres i at tage eventuelt glemte doser, medmindre der er gået mere end 12 timer siden den glemte dosis. Hvis der er gået mere end 12 timer, kan den glemte dosis springes over, og den næste dosis skal tages på det sædvanlige tidspunkt. </w:t>
      </w:r>
    </w:p>
    <w:p w14:paraId="125F43BF" w14:textId="77777777" w:rsidR="004931E3" w:rsidRPr="004931E3" w:rsidRDefault="004931E3" w:rsidP="004931E3">
      <w:pPr>
        <w:suppressAutoHyphens/>
        <w:autoSpaceDE w:val="0"/>
        <w:autoSpaceDN w:val="0"/>
        <w:adjustRightInd w:val="0"/>
        <w:ind w:left="851"/>
        <w:rPr>
          <w:rFonts w:eastAsia="MS Mincho"/>
          <w:color w:val="000000"/>
          <w:sz w:val="24"/>
          <w:szCs w:val="24"/>
          <w:lang w:eastAsia="fr-FR"/>
        </w:rPr>
      </w:pPr>
      <w:r w:rsidRPr="004931E3">
        <w:rPr>
          <w:rFonts w:eastAsia="MS Mincho"/>
          <w:color w:val="000000"/>
          <w:sz w:val="24"/>
          <w:szCs w:val="24"/>
          <w:lang w:eastAsia="fr-FR"/>
        </w:rPr>
        <w:t xml:space="preserve"> </w:t>
      </w:r>
    </w:p>
    <w:p w14:paraId="6BB6B1F4" w14:textId="77777777" w:rsidR="004931E3" w:rsidRPr="004931E3" w:rsidRDefault="004931E3" w:rsidP="004931E3">
      <w:pPr>
        <w:suppressAutoHyphens/>
        <w:autoSpaceDE w:val="0"/>
        <w:autoSpaceDN w:val="0"/>
        <w:adjustRightInd w:val="0"/>
        <w:ind w:left="851"/>
        <w:rPr>
          <w:rFonts w:eastAsia="MS Mincho"/>
          <w:color w:val="000000"/>
          <w:sz w:val="24"/>
          <w:szCs w:val="24"/>
          <w:u w:val="single"/>
          <w:lang w:eastAsia="fr-FR"/>
        </w:rPr>
      </w:pPr>
      <w:r w:rsidRPr="004931E3">
        <w:rPr>
          <w:rFonts w:eastAsia="MS Mincho"/>
          <w:color w:val="000000"/>
          <w:sz w:val="24"/>
          <w:szCs w:val="24"/>
          <w:u w:val="single"/>
          <w:lang w:eastAsia="fr-FR"/>
        </w:rPr>
        <w:t>Særlige populationer</w:t>
      </w:r>
      <w:r w:rsidRPr="004931E3">
        <w:rPr>
          <w:rFonts w:eastAsia="MS Mincho"/>
          <w:color w:val="000000"/>
          <w:sz w:val="24"/>
          <w:szCs w:val="24"/>
          <w:lang w:eastAsia="fr-FR"/>
        </w:rPr>
        <w:t xml:space="preserve"> </w:t>
      </w:r>
    </w:p>
    <w:p w14:paraId="5AD5C6FD" w14:textId="77777777" w:rsidR="004931E3" w:rsidRPr="004931E3" w:rsidRDefault="004931E3" w:rsidP="004931E3">
      <w:pPr>
        <w:suppressAutoHyphens/>
        <w:autoSpaceDE w:val="0"/>
        <w:autoSpaceDN w:val="0"/>
        <w:adjustRightInd w:val="0"/>
        <w:ind w:left="851"/>
        <w:rPr>
          <w:rFonts w:eastAsia="MS Mincho"/>
          <w:color w:val="000000"/>
          <w:sz w:val="24"/>
          <w:szCs w:val="24"/>
          <w:lang w:eastAsia="fr-FR"/>
        </w:rPr>
      </w:pPr>
      <w:r w:rsidRPr="004931E3">
        <w:rPr>
          <w:rFonts w:eastAsia="MS Mincho"/>
          <w:color w:val="000000"/>
          <w:sz w:val="24"/>
          <w:szCs w:val="24"/>
          <w:lang w:eastAsia="fr-FR"/>
        </w:rPr>
        <w:t xml:space="preserve"> </w:t>
      </w:r>
    </w:p>
    <w:p w14:paraId="563FC0BC" w14:textId="77777777" w:rsidR="004931E3" w:rsidRPr="004931E3" w:rsidRDefault="004931E3" w:rsidP="004931E3">
      <w:pPr>
        <w:suppressAutoHyphens/>
        <w:autoSpaceDE w:val="0"/>
        <w:autoSpaceDN w:val="0"/>
        <w:adjustRightInd w:val="0"/>
        <w:ind w:left="851"/>
        <w:rPr>
          <w:rFonts w:eastAsia="MS Mincho"/>
          <w:color w:val="000000"/>
          <w:sz w:val="24"/>
          <w:szCs w:val="24"/>
          <w:lang w:eastAsia="fr-FR"/>
        </w:rPr>
      </w:pPr>
      <w:r w:rsidRPr="004931E3">
        <w:rPr>
          <w:rFonts w:eastAsia="MS Mincho"/>
          <w:i/>
          <w:color w:val="000000"/>
          <w:sz w:val="24"/>
          <w:szCs w:val="24"/>
          <w:lang w:eastAsia="fr-FR"/>
        </w:rPr>
        <w:t xml:space="preserve">Nedsat nyre- og leverfunktion </w:t>
      </w:r>
    </w:p>
    <w:p w14:paraId="66D1CA8E" w14:textId="77777777" w:rsidR="004931E3" w:rsidRPr="004931E3" w:rsidRDefault="004931E3" w:rsidP="004931E3">
      <w:pPr>
        <w:suppressAutoHyphens/>
        <w:autoSpaceDE w:val="0"/>
        <w:autoSpaceDN w:val="0"/>
        <w:adjustRightInd w:val="0"/>
        <w:ind w:left="851"/>
        <w:rPr>
          <w:rFonts w:eastAsia="MS Mincho"/>
          <w:color w:val="000000"/>
          <w:sz w:val="24"/>
          <w:szCs w:val="24"/>
          <w:lang w:eastAsia="fr-FR"/>
        </w:rPr>
      </w:pPr>
      <w:r w:rsidRPr="004931E3">
        <w:rPr>
          <w:rFonts w:eastAsia="MS Mincho"/>
          <w:color w:val="000000"/>
          <w:sz w:val="24"/>
          <w:szCs w:val="24"/>
          <w:lang w:eastAsia="fr-FR"/>
        </w:rPr>
        <w:t>Mirabegron er ikke undersøgt hos patienter med nyresygdom i slutstadiet (</w:t>
      </w:r>
      <w:r w:rsidRPr="004931E3">
        <w:rPr>
          <w:rFonts w:eastAsia="MS Mincho"/>
          <w:i/>
          <w:color w:val="000000"/>
          <w:sz w:val="24"/>
          <w:szCs w:val="24"/>
          <w:lang w:eastAsia="fr-FR"/>
        </w:rPr>
        <w:t>end stage renal disease,</w:t>
      </w:r>
      <w:r w:rsidRPr="004931E3">
        <w:rPr>
          <w:rFonts w:eastAsia="MS Mincho"/>
          <w:color w:val="000000"/>
          <w:sz w:val="24"/>
          <w:szCs w:val="24"/>
          <w:lang w:eastAsia="fr-FR"/>
        </w:rPr>
        <w:t xml:space="preserve"> ESRD) (estimeret glomerulær filtrationshastighed (eGFR) &lt; 15 ml/min/1,73 m</w:t>
      </w:r>
      <w:r w:rsidRPr="004931E3">
        <w:rPr>
          <w:rFonts w:eastAsia="MS Mincho"/>
          <w:color w:val="000000"/>
          <w:sz w:val="24"/>
          <w:szCs w:val="24"/>
          <w:vertAlign w:val="superscript"/>
          <w:lang w:eastAsia="fr-FR"/>
        </w:rPr>
        <w:t>2</w:t>
      </w:r>
      <w:r w:rsidRPr="004931E3">
        <w:rPr>
          <w:rFonts w:eastAsia="MS Mincho"/>
          <w:color w:val="000000"/>
          <w:sz w:val="24"/>
          <w:szCs w:val="24"/>
          <w:lang w:eastAsia="fr-FR"/>
        </w:rPr>
        <w:t xml:space="preserve">), patienter med behov for hæmodialyse eller patienter med svært nedsat leverfunktion (Child-Pugh-klasse C) og frarådes derfor til disse patientpopulationer (se pkt. 4.4 og 5.2). </w:t>
      </w:r>
    </w:p>
    <w:p w14:paraId="195496C2" w14:textId="77777777" w:rsidR="004931E3" w:rsidRPr="004931E3" w:rsidRDefault="004931E3" w:rsidP="004931E3">
      <w:pPr>
        <w:suppressAutoHyphens/>
        <w:autoSpaceDE w:val="0"/>
        <w:autoSpaceDN w:val="0"/>
        <w:adjustRightInd w:val="0"/>
        <w:ind w:left="851"/>
        <w:rPr>
          <w:rFonts w:eastAsia="MS Mincho"/>
          <w:color w:val="000000"/>
          <w:sz w:val="24"/>
          <w:szCs w:val="24"/>
          <w:lang w:eastAsia="fr-FR"/>
        </w:rPr>
      </w:pPr>
      <w:r w:rsidRPr="004931E3">
        <w:rPr>
          <w:rFonts w:eastAsia="MS Mincho"/>
          <w:i/>
          <w:color w:val="000000"/>
          <w:sz w:val="24"/>
          <w:szCs w:val="24"/>
          <w:lang w:eastAsia="fr-FR"/>
        </w:rPr>
        <w:t xml:space="preserve"> </w:t>
      </w:r>
    </w:p>
    <w:p w14:paraId="5D285CE7" w14:textId="77777777" w:rsidR="004931E3" w:rsidRPr="004931E3" w:rsidRDefault="004931E3" w:rsidP="004931E3">
      <w:pPr>
        <w:suppressAutoHyphens/>
        <w:autoSpaceDE w:val="0"/>
        <w:autoSpaceDN w:val="0"/>
        <w:adjustRightInd w:val="0"/>
        <w:ind w:left="851"/>
        <w:rPr>
          <w:rFonts w:eastAsia="MS Mincho"/>
          <w:color w:val="000000"/>
          <w:sz w:val="24"/>
          <w:szCs w:val="24"/>
          <w:lang w:eastAsia="fr-FR"/>
        </w:rPr>
      </w:pPr>
      <w:r w:rsidRPr="004931E3">
        <w:rPr>
          <w:rFonts w:eastAsia="MS Mincho"/>
          <w:color w:val="000000"/>
          <w:sz w:val="24"/>
          <w:szCs w:val="24"/>
          <w:lang w:eastAsia="fr-FR"/>
        </w:rPr>
        <w:t xml:space="preserve">Nedenstående tabel angiver den anbefalede daglige dosering til voksne OAB-patienter med nedsat nyre- eller leverfunktion (se pkt. 4.4, 4.5 og 5.2). </w:t>
      </w:r>
    </w:p>
    <w:p w14:paraId="7080EE3F" w14:textId="77777777" w:rsidR="004931E3" w:rsidRPr="004931E3" w:rsidRDefault="004931E3" w:rsidP="004931E3">
      <w:pPr>
        <w:suppressAutoHyphens/>
        <w:autoSpaceDE w:val="0"/>
        <w:autoSpaceDN w:val="0"/>
        <w:adjustRightInd w:val="0"/>
        <w:rPr>
          <w:rFonts w:eastAsia="MS Mincho"/>
          <w:color w:val="000000"/>
          <w:sz w:val="22"/>
          <w:szCs w:val="22"/>
          <w:lang w:eastAsia="fr-FR"/>
        </w:rPr>
      </w:pPr>
      <w:r w:rsidRPr="004931E3">
        <w:rPr>
          <w:rFonts w:eastAsia="MS Mincho"/>
          <w:color w:val="000000"/>
          <w:sz w:val="22"/>
          <w:szCs w:val="22"/>
          <w:lang w:eastAsia="fr-FR"/>
        </w:rPr>
        <w:t xml:space="preserve"> </w:t>
      </w:r>
    </w:p>
    <w:p w14:paraId="1D40C90C" w14:textId="77777777" w:rsidR="004931E3" w:rsidRPr="004931E3" w:rsidRDefault="004931E3" w:rsidP="004931E3">
      <w:pPr>
        <w:suppressAutoHyphens/>
        <w:autoSpaceDE w:val="0"/>
        <w:autoSpaceDN w:val="0"/>
        <w:adjustRightInd w:val="0"/>
        <w:ind w:left="851"/>
        <w:rPr>
          <w:rFonts w:eastAsia="MS Mincho"/>
          <w:b/>
          <w:color w:val="000000"/>
          <w:sz w:val="22"/>
          <w:szCs w:val="22"/>
          <w:lang w:eastAsia="fr-FR"/>
        </w:rPr>
      </w:pPr>
      <w:r w:rsidRPr="004931E3">
        <w:rPr>
          <w:rFonts w:eastAsia="MS Mincho"/>
          <w:b/>
          <w:color w:val="000000"/>
          <w:sz w:val="22"/>
          <w:szCs w:val="22"/>
          <w:lang w:eastAsia="fr-FR"/>
        </w:rPr>
        <w:t xml:space="preserve">Tabel 1: Den anbefalede daglige dosering til voksne OAB-patienter med nedsat nyre- eller leverfunktion </w:t>
      </w:r>
      <w:r w:rsidRPr="004931E3">
        <w:rPr>
          <w:rFonts w:eastAsia="MS Mincho"/>
          <w:color w:val="000000"/>
          <w:sz w:val="22"/>
          <w:szCs w:val="22"/>
          <w:lang w:eastAsia="fr-FR"/>
        </w:rPr>
        <w:t xml:space="preserve"> </w:t>
      </w:r>
    </w:p>
    <w:tbl>
      <w:tblPr>
        <w:tblW w:w="9201" w:type="dxa"/>
        <w:tblInd w:w="846" w:type="dxa"/>
        <w:tblCellMar>
          <w:top w:w="56" w:type="dxa"/>
          <w:right w:w="115" w:type="dxa"/>
        </w:tblCellMar>
        <w:tblLook w:val="04A0" w:firstRow="1" w:lastRow="0" w:firstColumn="1" w:lastColumn="0" w:noHBand="0" w:noVBand="1"/>
      </w:tblPr>
      <w:tblGrid>
        <w:gridCol w:w="3236"/>
        <w:gridCol w:w="2520"/>
        <w:gridCol w:w="3445"/>
      </w:tblGrid>
      <w:tr w:rsidR="004931E3" w:rsidRPr="004931E3" w14:paraId="5A527EEA" w14:textId="77777777" w:rsidTr="004931E3">
        <w:trPr>
          <w:trHeight w:val="227"/>
        </w:trPr>
        <w:tc>
          <w:tcPr>
            <w:tcW w:w="323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vAlign w:val="center"/>
            <w:hideMark/>
          </w:tcPr>
          <w:p w14:paraId="596D8309" w14:textId="77777777" w:rsidR="004931E3" w:rsidRPr="004931E3" w:rsidRDefault="004931E3" w:rsidP="004931E3">
            <w:pPr>
              <w:suppressAutoHyphens/>
              <w:autoSpaceDE w:val="0"/>
              <w:autoSpaceDN w:val="0"/>
              <w:adjustRightInd w:val="0"/>
              <w:jc w:val="center"/>
              <w:rPr>
                <w:rFonts w:eastAsia="MS Mincho"/>
                <w:b/>
                <w:color w:val="000000"/>
                <w:sz w:val="22"/>
                <w:szCs w:val="22"/>
                <w:lang w:val="ru-RU" w:eastAsia="fr-FR"/>
              </w:rPr>
            </w:pPr>
            <w:r w:rsidRPr="004931E3">
              <w:rPr>
                <w:rFonts w:eastAsia="MS Mincho"/>
                <w:b/>
                <w:color w:val="000000"/>
                <w:sz w:val="22"/>
                <w:szCs w:val="22"/>
                <w:lang w:val="ru-RU" w:eastAsia="fr-FR"/>
              </w:rPr>
              <w:t>Parameter</w:t>
            </w:r>
          </w:p>
        </w:tc>
        <w:tc>
          <w:tcPr>
            <w:tcW w:w="2520"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vAlign w:val="center"/>
            <w:hideMark/>
          </w:tcPr>
          <w:p w14:paraId="5948DA84" w14:textId="77777777" w:rsidR="004931E3" w:rsidRPr="004931E3" w:rsidRDefault="004931E3" w:rsidP="004931E3">
            <w:pPr>
              <w:suppressAutoHyphens/>
              <w:autoSpaceDE w:val="0"/>
              <w:autoSpaceDN w:val="0"/>
              <w:adjustRightInd w:val="0"/>
              <w:jc w:val="center"/>
              <w:rPr>
                <w:rFonts w:eastAsia="MS Mincho"/>
                <w:b/>
                <w:color w:val="000000"/>
                <w:sz w:val="22"/>
                <w:szCs w:val="22"/>
                <w:lang w:val="ru-RU" w:eastAsia="fr-FR"/>
              </w:rPr>
            </w:pPr>
            <w:r w:rsidRPr="004931E3">
              <w:rPr>
                <w:rFonts w:eastAsia="MS Mincho"/>
                <w:b/>
                <w:color w:val="000000"/>
                <w:sz w:val="22"/>
                <w:szCs w:val="22"/>
                <w:lang w:val="ru-RU" w:eastAsia="fr-FR"/>
              </w:rPr>
              <w:t>Klassifikation</w:t>
            </w:r>
          </w:p>
        </w:tc>
        <w:tc>
          <w:tcPr>
            <w:tcW w:w="3445"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vAlign w:val="center"/>
            <w:hideMark/>
          </w:tcPr>
          <w:p w14:paraId="5AF3E985" w14:textId="77777777" w:rsidR="004931E3" w:rsidRPr="004931E3" w:rsidRDefault="004931E3" w:rsidP="004931E3">
            <w:pPr>
              <w:suppressAutoHyphens/>
              <w:autoSpaceDE w:val="0"/>
              <w:autoSpaceDN w:val="0"/>
              <w:adjustRightInd w:val="0"/>
              <w:jc w:val="center"/>
              <w:rPr>
                <w:rFonts w:eastAsia="MS Mincho"/>
                <w:b/>
                <w:color w:val="000000"/>
                <w:sz w:val="22"/>
                <w:szCs w:val="22"/>
                <w:lang w:val="ru-RU" w:eastAsia="fr-FR"/>
              </w:rPr>
            </w:pPr>
            <w:r w:rsidRPr="004931E3">
              <w:rPr>
                <w:rFonts w:eastAsia="MS Mincho"/>
                <w:b/>
                <w:color w:val="000000"/>
                <w:sz w:val="22"/>
                <w:szCs w:val="22"/>
                <w:lang w:val="ru-RU" w:eastAsia="fr-FR"/>
              </w:rPr>
              <w:t>Dosis (mg)</w:t>
            </w:r>
          </w:p>
        </w:tc>
      </w:tr>
      <w:tr w:rsidR="004931E3" w:rsidRPr="004931E3" w14:paraId="2371E6E2" w14:textId="77777777" w:rsidTr="004931E3">
        <w:trPr>
          <w:trHeight w:val="227"/>
        </w:trPr>
        <w:tc>
          <w:tcPr>
            <w:tcW w:w="3236" w:type="dxa"/>
            <w:vMerge w:val="restart"/>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29DBAA8E" w14:textId="77777777" w:rsidR="004931E3" w:rsidRPr="004931E3" w:rsidRDefault="004931E3" w:rsidP="004931E3">
            <w:pPr>
              <w:suppressAutoHyphens/>
              <w:autoSpaceDE w:val="0"/>
              <w:autoSpaceDN w:val="0"/>
              <w:adjustRightInd w:val="0"/>
              <w:ind w:left="57"/>
              <w:rPr>
                <w:rFonts w:eastAsia="MS Mincho"/>
                <w:color w:val="000000"/>
                <w:sz w:val="22"/>
                <w:szCs w:val="22"/>
                <w:lang w:val="ru-RU" w:eastAsia="fr-FR"/>
              </w:rPr>
            </w:pPr>
            <w:r w:rsidRPr="004931E3">
              <w:rPr>
                <w:rFonts w:eastAsia="MS Mincho"/>
                <w:color w:val="000000"/>
                <w:sz w:val="22"/>
                <w:szCs w:val="22"/>
                <w:lang w:val="ru-RU" w:eastAsia="fr-FR"/>
              </w:rPr>
              <w:t>Nedsat nyrefunktion</w:t>
            </w:r>
            <w:r w:rsidRPr="004931E3">
              <w:rPr>
                <w:rFonts w:eastAsia="MS Mincho"/>
                <w:color w:val="000000"/>
                <w:sz w:val="22"/>
                <w:szCs w:val="22"/>
                <w:vertAlign w:val="superscript"/>
                <w:lang w:val="ru-RU" w:eastAsia="fr-FR"/>
              </w:rPr>
              <w:t>(1)</w:t>
            </w:r>
          </w:p>
        </w:tc>
        <w:tc>
          <w:tcPr>
            <w:tcW w:w="2520"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B2AD15D" w14:textId="77777777" w:rsidR="004931E3" w:rsidRPr="004931E3" w:rsidRDefault="004931E3" w:rsidP="004931E3">
            <w:pPr>
              <w:suppressAutoHyphens/>
              <w:autoSpaceDE w:val="0"/>
              <w:autoSpaceDN w:val="0"/>
              <w:adjustRightInd w:val="0"/>
              <w:jc w:val="center"/>
              <w:rPr>
                <w:rFonts w:eastAsia="MS Mincho"/>
                <w:color w:val="000000"/>
                <w:sz w:val="22"/>
                <w:szCs w:val="22"/>
                <w:lang w:val="ru-RU" w:eastAsia="fr-FR"/>
              </w:rPr>
            </w:pPr>
            <w:r w:rsidRPr="004931E3">
              <w:rPr>
                <w:rFonts w:eastAsia="MS Mincho"/>
                <w:color w:val="000000"/>
                <w:sz w:val="22"/>
                <w:szCs w:val="22"/>
                <w:lang w:val="ru-RU" w:eastAsia="fr-FR"/>
              </w:rPr>
              <w:t>Let/moderat*</w:t>
            </w:r>
          </w:p>
        </w:tc>
        <w:tc>
          <w:tcPr>
            <w:tcW w:w="3445"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4AEDD6F" w14:textId="77777777" w:rsidR="004931E3" w:rsidRPr="004931E3" w:rsidRDefault="004931E3" w:rsidP="004931E3">
            <w:pPr>
              <w:suppressAutoHyphens/>
              <w:autoSpaceDE w:val="0"/>
              <w:autoSpaceDN w:val="0"/>
              <w:adjustRightInd w:val="0"/>
              <w:jc w:val="center"/>
              <w:rPr>
                <w:rFonts w:eastAsia="MS Mincho"/>
                <w:color w:val="000000"/>
                <w:sz w:val="22"/>
                <w:szCs w:val="22"/>
                <w:lang w:val="ru-RU" w:eastAsia="fr-FR"/>
              </w:rPr>
            </w:pPr>
            <w:r w:rsidRPr="004931E3">
              <w:rPr>
                <w:rFonts w:eastAsia="MS Mincho"/>
                <w:color w:val="000000"/>
                <w:sz w:val="22"/>
                <w:szCs w:val="22"/>
                <w:lang w:val="ru-RU" w:eastAsia="fr-FR"/>
              </w:rPr>
              <w:t>50</w:t>
            </w:r>
          </w:p>
        </w:tc>
      </w:tr>
      <w:tr w:rsidR="004931E3" w:rsidRPr="004931E3" w14:paraId="2784C030" w14:textId="77777777" w:rsidTr="004931E3">
        <w:trPr>
          <w:trHeight w:val="2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3B333BB" w14:textId="77777777" w:rsidR="004931E3" w:rsidRPr="004931E3" w:rsidRDefault="004931E3" w:rsidP="004931E3">
            <w:pPr>
              <w:rPr>
                <w:rFonts w:eastAsia="MS Mincho"/>
                <w:color w:val="000000"/>
                <w:sz w:val="22"/>
                <w:szCs w:val="22"/>
                <w:lang w:val="ru-RU" w:eastAsia="fr-FR"/>
              </w:rPr>
            </w:pPr>
          </w:p>
        </w:tc>
        <w:tc>
          <w:tcPr>
            <w:tcW w:w="2520"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CD47FA5" w14:textId="77777777" w:rsidR="004931E3" w:rsidRPr="004931E3" w:rsidRDefault="004931E3" w:rsidP="004931E3">
            <w:pPr>
              <w:suppressAutoHyphens/>
              <w:autoSpaceDE w:val="0"/>
              <w:autoSpaceDN w:val="0"/>
              <w:adjustRightInd w:val="0"/>
              <w:jc w:val="center"/>
              <w:rPr>
                <w:rFonts w:eastAsia="MS Mincho"/>
                <w:color w:val="000000"/>
                <w:sz w:val="22"/>
                <w:szCs w:val="22"/>
                <w:lang w:val="ru-RU" w:eastAsia="fr-FR"/>
              </w:rPr>
            </w:pPr>
            <w:r w:rsidRPr="004931E3">
              <w:rPr>
                <w:rFonts w:eastAsia="MS Mincho"/>
                <w:color w:val="000000"/>
                <w:sz w:val="22"/>
                <w:szCs w:val="22"/>
                <w:lang w:val="ru-RU" w:eastAsia="fr-FR"/>
              </w:rPr>
              <w:t>Svær**</w:t>
            </w:r>
          </w:p>
        </w:tc>
        <w:tc>
          <w:tcPr>
            <w:tcW w:w="3445"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2F31E0AB" w14:textId="77777777" w:rsidR="004931E3" w:rsidRPr="004931E3" w:rsidRDefault="004931E3" w:rsidP="004931E3">
            <w:pPr>
              <w:suppressAutoHyphens/>
              <w:autoSpaceDE w:val="0"/>
              <w:autoSpaceDN w:val="0"/>
              <w:adjustRightInd w:val="0"/>
              <w:jc w:val="center"/>
              <w:rPr>
                <w:rFonts w:eastAsia="MS Mincho"/>
                <w:color w:val="000000"/>
                <w:sz w:val="22"/>
                <w:szCs w:val="22"/>
                <w:lang w:val="ru-RU" w:eastAsia="fr-FR"/>
              </w:rPr>
            </w:pPr>
            <w:r w:rsidRPr="004931E3">
              <w:rPr>
                <w:rFonts w:eastAsia="MS Mincho"/>
                <w:color w:val="000000"/>
                <w:sz w:val="22"/>
                <w:szCs w:val="22"/>
                <w:lang w:val="ru-RU" w:eastAsia="fr-FR"/>
              </w:rPr>
              <w:t>25</w:t>
            </w:r>
          </w:p>
        </w:tc>
      </w:tr>
      <w:tr w:rsidR="004931E3" w:rsidRPr="004931E3" w14:paraId="391AD39A" w14:textId="77777777" w:rsidTr="004931E3">
        <w:trPr>
          <w:trHeight w:val="2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2ACDB087" w14:textId="77777777" w:rsidR="004931E3" w:rsidRPr="004931E3" w:rsidRDefault="004931E3" w:rsidP="004931E3">
            <w:pPr>
              <w:rPr>
                <w:rFonts w:eastAsia="MS Mincho"/>
                <w:color w:val="000000"/>
                <w:sz w:val="22"/>
                <w:szCs w:val="22"/>
                <w:lang w:val="ru-RU" w:eastAsia="fr-FR"/>
              </w:rPr>
            </w:pPr>
          </w:p>
        </w:tc>
        <w:tc>
          <w:tcPr>
            <w:tcW w:w="2520"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2FFA02A3" w14:textId="77777777" w:rsidR="004931E3" w:rsidRPr="004931E3" w:rsidRDefault="004931E3" w:rsidP="004931E3">
            <w:pPr>
              <w:suppressAutoHyphens/>
              <w:autoSpaceDE w:val="0"/>
              <w:autoSpaceDN w:val="0"/>
              <w:adjustRightInd w:val="0"/>
              <w:jc w:val="center"/>
              <w:rPr>
                <w:rFonts w:eastAsia="MS Mincho"/>
                <w:color w:val="000000"/>
                <w:sz w:val="22"/>
                <w:szCs w:val="22"/>
                <w:lang w:val="ru-RU" w:eastAsia="fr-FR"/>
              </w:rPr>
            </w:pPr>
            <w:r w:rsidRPr="004931E3">
              <w:rPr>
                <w:rFonts w:eastAsia="MS Mincho"/>
                <w:color w:val="000000"/>
                <w:sz w:val="22"/>
                <w:szCs w:val="22"/>
                <w:lang w:val="ru-RU" w:eastAsia="fr-FR"/>
              </w:rPr>
              <w:t>ESRD</w:t>
            </w:r>
          </w:p>
        </w:tc>
        <w:tc>
          <w:tcPr>
            <w:tcW w:w="3445"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2543E7A8" w14:textId="77777777" w:rsidR="004931E3" w:rsidRPr="004931E3" w:rsidRDefault="004931E3" w:rsidP="004931E3">
            <w:pPr>
              <w:suppressAutoHyphens/>
              <w:autoSpaceDE w:val="0"/>
              <w:autoSpaceDN w:val="0"/>
              <w:adjustRightInd w:val="0"/>
              <w:jc w:val="center"/>
              <w:rPr>
                <w:rFonts w:eastAsia="MS Mincho"/>
                <w:color w:val="000000"/>
                <w:sz w:val="22"/>
                <w:szCs w:val="22"/>
                <w:lang w:val="ru-RU" w:eastAsia="fr-FR"/>
              </w:rPr>
            </w:pPr>
            <w:r w:rsidRPr="004931E3">
              <w:rPr>
                <w:rFonts w:eastAsia="MS Mincho"/>
                <w:color w:val="000000"/>
                <w:sz w:val="22"/>
                <w:szCs w:val="22"/>
                <w:lang w:val="ru-RU" w:eastAsia="fr-FR"/>
              </w:rPr>
              <w:t>Frarådes</w:t>
            </w:r>
          </w:p>
        </w:tc>
      </w:tr>
      <w:tr w:rsidR="004931E3" w:rsidRPr="004931E3" w14:paraId="34309DAF" w14:textId="77777777" w:rsidTr="004931E3">
        <w:trPr>
          <w:trHeight w:val="227"/>
        </w:trPr>
        <w:tc>
          <w:tcPr>
            <w:tcW w:w="3236" w:type="dxa"/>
            <w:vMerge w:val="restart"/>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55347DEE" w14:textId="77777777" w:rsidR="004931E3" w:rsidRPr="004931E3" w:rsidRDefault="004931E3" w:rsidP="004931E3">
            <w:pPr>
              <w:suppressAutoHyphens/>
              <w:autoSpaceDE w:val="0"/>
              <w:autoSpaceDN w:val="0"/>
              <w:adjustRightInd w:val="0"/>
              <w:ind w:left="57"/>
              <w:rPr>
                <w:rFonts w:eastAsia="MS Mincho"/>
                <w:color w:val="000000"/>
                <w:sz w:val="22"/>
                <w:szCs w:val="22"/>
                <w:lang w:val="ru-RU" w:eastAsia="fr-FR"/>
              </w:rPr>
            </w:pPr>
            <w:r w:rsidRPr="004931E3">
              <w:rPr>
                <w:rFonts w:eastAsia="MS Mincho"/>
                <w:color w:val="000000"/>
                <w:sz w:val="22"/>
                <w:szCs w:val="22"/>
                <w:lang w:val="ru-RU" w:eastAsia="fr-FR"/>
              </w:rPr>
              <w:t>Nedsat leverfunktion</w:t>
            </w:r>
            <w:r w:rsidRPr="004931E3">
              <w:rPr>
                <w:rFonts w:eastAsia="MS Mincho"/>
                <w:color w:val="000000"/>
                <w:sz w:val="22"/>
                <w:szCs w:val="22"/>
                <w:vertAlign w:val="superscript"/>
                <w:lang w:val="ru-RU" w:eastAsia="fr-FR"/>
              </w:rPr>
              <w:t>(2)</w:t>
            </w:r>
          </w:p>
        </w:tc>
        <w:tc>
          <w:tcPr>
            <w:tcW w:w="2520"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59CFFC22" w14:textId="77777777" w:rsidR="004931E3" w:rsidRPr="004931E3" w:rsidRDefault="004931E3" w:rsidP="004931E3">
            <w:pPr>
              <w:suppressAutoHyphens/>
              <w:autoSpaceDE w:val="0"/>
              <w:autoSpaceDN w:val="0"/>
              <w:adjustRightInd w:val="0"/>
              <w:jc w:val="center"/>
              <w:rPr>
                <w:rFonts w:eastAsia="MS Mincho"/>
                <w:color w:val="000000"/>
                <w:sz w:val="22"/>
                <w:szCs w:val="22"/>
                <w:lang w:val="ru-RU" w:eastAsia="fr-FR"/>
              </w:rPr>
            </w:pPr>
            <w:r w:rsidRPr="004931E3">
              <w:rPr>
                <w:rFonts w:eastAsia="MS Mincho"/>
                <w:color w:val="000000"/>
                <w:sz w:val="22"/>
                <w:szCs w:val="22"/>
                <w:lang w:val="ru-RU" w:eastAsia="fr-FR"/>
              </w:rPr>
              <w:t>Let*</w:t>
            </w:r>
          </w:p>
        </w:tc>
        <w:tc>
          <w:tcPr>
            <w:tcW w:w="3445"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1B089B0A" w14:textId="77777777" w:rsidR="004931E3" w:rsidRPr="004931E3" w:rsidRDefault="004931E3" w:rsidP="004931E3">
            <w:pPr>
              <w:suppressAutoHyphens/>
              <w:autoSpaceDE w:val="0"/>
              <w:autoSpaceDN w:val="0"/>
              <w:adjustRightInd w:val="0"/>
              <w:jc w:val="center"/>
              <w:rPr>
                <w:rFonts w:eastAsia="MS Mincho"/>
                <w:color w:val="000000"/>
                <w:sz w:val="22"/>
                <w:szCs w:val="22"/>
                <w:lang w:val="ru-RU" w:eastAsia="fr-FR"/>
              </w:rPr>
            </w:pPr>
            <w:r w:rsidRPr="004931E3">
              <w:rPr>
                <w:rFonts w:eastAsia="MS Mincho"/>
                <w:color w:val="000000"/>
                <w:sz w:val="22"/>
                <w:szCs w:val="22"/>
                <w:lang w:val="ru-RU" w:eastAsia="fr-FR"/>
              </w:rPr>
              <w:t>50</w:t>
            </w:r>
          </w:p>
        </w:tc>
      </w:tr>
      <w:tr w:rsidR="004931E3" w:rsidRPr="004931E3" w14:paraId="38FD6359" w14:textId="77777777" w:rsidTr="004931E3">
        <w:trPr>
          <w:trHeight w:val="2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81E0E40" w14:textId="77777777" w:rsidR="004931E3" w:rsidRPr="004931E3" w:rsidRDefault="004931E3" w:rsidP="004931E3">
            <w:pPr>
              <w:rPr>
                <w:rFonts w:eastAsia="MS Mincho"/>
                <w:color w:val="000000"/>
                <w:sz w:val="22"/>
                <w:szCs w:val="22"/>
                <w:lang w:val="ru-RU" w:eastAsia="fr-FR"/>
              </w:rPr>
            </w:pPr>
          </w:p>
        </w:tc>
        <w:tc>
          <w:tcPr>
            <w:tcW w:w="2520"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4415989F" w14:textId="77777777" w:rsidR="004931E3" w:rsidRPr="004931E3" w:rsidRDefault="004931E3" w:rsidP="004931E3">
            <w:pPr>
              <w:suppressAutoHyphens/>
              <w:autoSpaceDE w:val="0"/>
              <w:autoSpaceDN w:val="0"/>
              <w:adjustRightInd w:val="0"/>
              <w:jc w:val="center"/>
              <w:rPr>
                <w:rFonts w:eastAsia="MS Mincho"/>
                <w:color w:val="000000"/>
                <w:sz w:val="22"/>
                <w:szCs w:val="22"/>
                <w:lang w:val="ru-RU" w:eastAsia="fr-FR"/>
              </w:rPr>
            </w:pPr>
            <w:r w:rsidRPr="004931E3">
              <w:rPr>
                <w:rFonts w:eastAsia="MS Mincho"/>
                <w:color w:val="000000"/>
                <w:sz w:val="22"/>
                <w:szCs w:val="22"/>
                <w:lang w:val="ru-RU" w:eastAsia="fr-FR"/>
              </w:rPr>
              <w:t>Moderat**</w:t>
            </w:r>
          </w:p>
        </w:tc>
        <w:tc>
          <w:tcPr>
            <w:tcW w:w="3445"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0B8CF0C5" w14:textId="77777777" w:rsidR="004931E3" w:rsidRPr="004931E3" w:rsidRDefault="004931E3" w:rsidP="004931E3">
            <w:pPr>
              <w:suppressAutoHyphens/>
              <w:autoSpaceDE w:val="0"/>
              <w:autoSpaceDN w:val="0"/>
              <w:adjustRightInd w:val="0"/>
              <w:jc w:val="center"/>
              <w:rPr>
                <w:rFonts w:eastAsia="MS Mincho"/>
                <w:color w:val="000000"/>
                <w:sz w:val="22"/>
                <w:szCs w:val="22"/>
                <w:lang w:val="ru-RU" w:eastAsia="fr-FR"/>
              </w:rPr>
            </w:pPr>
            <w:r w:rsidRPr="004931E3">
              <w:rPr>
                <w:rFonts w:eastAsia="MS Mincho"/>
                <w:color w:val="000000"/>
                <w:sz w:val="22"/>
                <w:szCs w:val="22"/>
                <w:lang w:val="ru-RU" w:eastAsia="fr-FR"/>
              </w:rPr>
              <w:t>25</w:t>
            </w:r>
          </w:p>
        </w:tc>
      </w:tr>
      <w:tr w:rsidR="004931E3" w:rsidRPr="004931E3" w14:paraId="539D6D81" w14:textId="77777777" w:rsidTr="004931E3">
        <w:trPr>
          <w:trHeight w:val="2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6BD9267F" w14:textId="77777777" w:rsidR="004931E3" w:rsidRPr="004931E3" w:rsidRDefault="004931E3" w:rsidP="004931E3">
            <w:pPr>
              <w:rPr>
                <w:rFonts w:eastAsia="MS Mincho"/>
                <w:color w:val="000000"/>
                <w:sz w:val="22"/>
                <w:szCs w:val="22"/>
                <w:lang w:val="ru-RU" w:eastAsia="fr-FR"/>
              </w:rPr>
            </w:pPr>
          </w:p>
        </w:tc>
        <w:tc>
          <w:tcPr>
            <w:tcW w:w="2520"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04A6B5D3" w14:textId="77777777" w:rsidR="004931E3" w:rsidRPr="004931E3" w:rsidRDefault="004931E3" w:rsidP="004931E3">
            <w:pPr>
              <w:suppressAutoHyphens/>
              <w:autoSpaceDE w:val="0"/>
              <w:autoSpaceDN w:val="0"/>
              <w:adjustRightInd w:val="0"/>
              <w:jc w:val="center"/>
              <w:rPr>
                <w:rFonts w:eastAsia="MS Mincho"/>
                <w:color w:val="000000"/>
                <w:sz w:val="22"/>
                <w:szCs w:val="22"/>
                <w:lang w:val="ru-RU" w:eastAsia="fr-FR"/>
              </w:rPr>
            </w:pPr>
            <w:r w:rsidRPr="004931E3">
              <w:rPr>
                <w:rFonts w:eastAsia="MS Mincho"/>
                <w:color w:val="000000"/>
                <w:sz w:val="22"/>
                <w:szCs w:val="22"/>
                <w:lang w:val="ru-RU" w:eastAsia="fr-FR"/>
              </w:rPr>
              <w:t>Svær</w:t>
            </w:r>
          </w:p>
        </w:tc>
        <w:tc>
          <w:tcPr>
            <w:tcW w:w="3445"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0A9A117C" w14:textId="77777777" w:rsidR="004931E3" w:rsidRPr="004931E3" w:rsidRDefault="004931E3" w:rsidP="004931E3">
            <w:pPr>
              <w:suppressAutoHyphens/>
              <w:autoSpaceDE w:val="0"/>
              <w:autoSpaceDN w:val="0"/>
              <w:adjustRightInd w:val="0"/>
              <w:jc w:val="center"/>
              <w:rPr>
                <w:rFonts w:eastAsia="MS Mincho"/>
                <w:color w:val="000000"/>
                <w:sz w:val="22"/>
                <w:szCs w:val="22"/>
                <w:lang w:val="ru-RU" w:eastAsia="fr-FR"/>
              </w:rPr>
            </w:pPr>
            <w:r w:rsidRPr="004931E3">
              <w:rPr>
                <w:rFonts w:eastAsia="MS Mincho"/>
                <w:color w:val="000000"/>
                <w:sz w:val="22"/>
                <w:szCs w:val="22"/>
                <w:lang w:val="ru-RU" w:eastAsia="fr-FR"/>
              </w:rPr>
              <w:t>Frarådes</w:t>
            </w:r>
          </w:p>
        </w:tc>
      </w:tr>
    </w:tbl>
    <w:p w14:paraId="597ED530" w14:textId="77777777" w:rsidR="004931E3" w:rsidRPr="004931E3" w:rsidRDefault="004931E3" w:rsidP="004931E3">
      <w:pPr>
        <w:suppressAutoHyphens/>
        <w:autoSpaceDE w:val="0"/>
        <w:autoSpaceDN w:val="0"/>
        <w:adjustRightInd w:val="0"/>
        <w:ind w:left="851"/>
        <w:rPr>
          <w:rFonts w:eastAsia="MS Mincho"/>
          <w:color w:val="000000"/>
          <w:sz w:val="20"/>
          <w:lang w:eastAsia="fr-FR"/>
        </w:rPr>
      </w:pPr>
      <w:r w:rsidRPr="004931E3">
        <w:rPr>
          <w:rFonts w:eastAsia="MS Mincho"/>
          <w:color w:val="000000"/>
          <w:sz w:val="20"/>
          <w:vertAlign w:val="superscript"/>
          <w:lang w:eastAsia="fr-FR"/>
        </w:rPr>
        <w:lastRenderedPageBreak/>
        <w:t>(1)</w:t>
      </w:r>
      <w:r w:rsidRPr="004931E3">
        <w:rPr>
          <w:rFonts w:eastAsia="MS Mincho"/>
          <w:color w:val="000000"/>
          <w:sz w:val="20"/>
          <w:lang w:eastAsia="fr-FR"/>
        </w:rPr>
        <w:t xml:space="preserve"> Let/moderat: eGFR 30 til 89 ml/min/1,73 m</w:t>
      </w:r>
      <w:r w:rsidRPr="004931E3">
        <w:rPr>
          <w:rFonts w:eastAsia="MS Mincho"/>
          <w:color w:val="000000"/>
          <w:sz w:val="20"/>
          <w:vertAlign w:val="superscript"/>
          <w:lang w:eastAsia="fr-FR"/>
        </w:rPr>
        <w:t>2</w:t>
      </w:r>
      <w:r w:rsidRPr="004931E3">
        <w:rPr>
          <w:rFonts w:eastAsia="MS Mincho"/>
          <w:color w:val="000000"/>
          <w:sz w:val="20"/>
          <w:lang w:eastAsia="fr-FR"/>
        </w:rPr>
        <w:t>; svær: eGFR 15 til 29 ml/min/1,73 m</w:t>
      </w:r>
      <w:r w:rsidRPr="004931E3">
        <w:rPr>
          <w:rFonts w:eastAsia="MS Mincho"/>
          <w:color w:val="000000"/>
          <w:sz w:val="20"/>
          <w:vertAlign w:val="superscript"/>
          <w:lang w:eastAsia="fr-FR"/>
        </w:rPr>
        <w:t>2</w:t>
      </w:r>
      <w:r w:rsidRPr="004931E3">
        <w:rPr>
          <w:rFonts w:eastAsia="MS Mincho"/>
          <w:color w:val="000000"/>
          <w:sz w:val="20"/>
          <w:lang w:eastAsia="fr-FR"/>
        </w:rPr>
        <w:t xml:space="preserve">; ESRD: </w:t>
      </w:r>
      <w:r w:rsidRPr="004931E3">
        <w:rPr>
          <w:rFonts w:eastAsia="MS Mincho"/>
          <w:color w:val="000000"/>
          <w:sz w:val="20"/>
          <w:lang w:eastAsia="fr-FR"/>
        </w:rPr>
        <w:br/>
        <w:t>eGFR &lt; 15 ml/min/1,73 m</w:t>
      </w:r>
      <w:r w:rsidRPr="004931E3">
        <w:rPr>
          <w:rFonts w:eastAsia="MS Mincho"/>
          <w:color w:val="000000"/>
          <w:sz w:val="20"/>
          <w:vertAlign w:val="superscript"/>
          <w:lang w:eastAsia="fr-FR"/>
        </w:rPr>
        <w:t>2</w:t>
      </w:r>
      <w:r w:rsidRPr="004931E3">
        <w:rPr>
          <w:rFonts w:eastAsia="MS Mincho"/>
          <w:color w:val="000000"/>
          <w:sz w:val="20"/>
          <w:lang w:eastAsia="fr-FR"/>
        </w:rPr>
        <w:t xml:space="preserve">. </w:t>
      </w:r>
    </w:p>
    <w:p w14:paraId="71C57EC8" w14:textId="77777777" w:rsidR="004931E3" w:rsidRPr="004931E3" w:rsidRDefault="004931E3" w:rsidP="004931E3">
      <w:pPr>
        <w:suppressAutoHyphens/>
        <w:autoSpaceDE w:val="0"/>
        <w:autoSpaceDN w:val="0"/>
        <w:adjustRightInd w:val="0"/>
        <w:ind w:left="851"/>
        <w:rPr>
          <w:rFonts w:eastAsia="MS Mincho"/>
          <w:color w:val="000000"/>
          <w:sz w:val="20"/>
          <w:lang w:val="en-US" w:eastAsia="fr-FR"/>
        </w:rPr>
      </w:pPr>
      <w:r w:rsidRPr="004931E3">
        <w:rPr>
          <w:rFonts w:eastAsia="MS Mincho"/>
          <w:color w:val="000000"/>
          <w:sz w:val="20"/>
          <w:vertAlign w:val="superscript"/>
          <w:lang w:val="en-US" w:eastAsia="fr-FR"/>
        </w:rPr>
        <w:t>(2)</w:t>
      </w:r>
      <w:r w:rsidRPr="004931E3">
        <w:rPr>
          <w:rFonts w:eastAsia="MS Mincho"/>
          <w:color w:val="000000"/>
          <w:sz w:val="20"/>
          <w:lang w:val="en-US" w:eastAsia="fr-FR"/>
        </w:rPr>
        <w:t xml:space="preserve"> Let: Child-Pugh-klasse A; moderat: Child-Pugh-klasse B; svær: Child-Pugh-klasse C. </w:t>
      </w:r>
    </w:p>
    <w:p w14:paraId="409DB186" w14:textId="77777777" w:rsidR="004931E3" w:rsidRPr="004931E3" w:rsidRDefault="004931E3" w:rsidP="004931E3">
      <w:pPr>
        <w:suppressAutoHyphens/>
        <w:autoSpaceDE w:val="0"/>
        <w:autoSpaceDN w:val="0"/>
        <w:adjustRightInd w:val="0"/>
        <w:ind w:left="851"/>
        <w:rPr>
          <w:rFonts w:eastAsia="MS Mincho"/>
          <w:color w:val="000000"/>
          <w:sz w:val="20"/>
          <w:lang w:eastAsia="fr-FR"/>
        </w:rPr>
      </w:pPr>
      <w:r w:rsidRPr="004931E3">
        <w:rPr>
          <w:rFonts w:eastAsia="MS Mincho"/>
          <w:color w:val="000000"/>
          <w:sz w:val="20"/>
          <w:lang w:eastAsia="fr-FR"/>
        </w:rPr>
        <w:t xml:space="preserve">* Til patienter med let til moderat nedsat nyrefunktion eller let nedsat leverfunktion, som samtidig får stærke CYP3A-hæmmere, er den anbefalede dosis ikke over 25 mg. </w:t>
      </w:r>
    </w:p>
    <w:p w14:paraId="7CB026AF" w14:textId="77777777" w:rsidR="004931E3" w:rsidRPr="004931E3" w:rsidRDefault="004931E3" w:rsidP="004931E3">
      <w:pPr>
        <w:suppressAutoHyphens/>
        <w:autoSpaceDE w:val="0"/>
        <w:autoSpaceDN w:val="0"/>
        <w:adjustRightInd w:val="0"/>
        <w:ind w:left="851"/>
        <w:rPr>
          <w:rFonts w:eastAsia="MS Mincho"/>
          <w:color w:val="000000"/>
          <w:sz w:val="20"/>
          <w:lang w:eastAsia="fr-FR"/>
        </w:rPr>
      </w:pPr>
      <w:r w:rsidRPr="004931E3">
        <w:rPr>
          <w:rFonts w:eastAsia="MS Mincho"/>
          <w:color w:val="000000"/>
          <w:sz w:val="20"/>
          <w:lang w:eastAsia="fr-FR"/>
        </w:rPr>
        <w:t xml:space="preserve">** Frarådes til patienter med svært nedsat nyrefunktion eller moderat nedsat leverfunktion, som samtidig får stærke CYP3A-hæmmere. </w:t>
      </w:r>
    </w:p>
    <w:p w14:paraId="0CC912F2" w14:textId="77777777" w:rsidR="004931E3" w:rsidRPr="004931E3" w:rsidRDefault="004931E3" w:rsidP="004931E3">
      <w:pPr>
        <w:suppressAutoHyphens/>
        <w:autoSpaceDE w:val="0"/>
        <w:autoSpaceDN w:val="0"/>
        <w:adjustRightInd w:val="0"/>
        <w:rPr>
          <w:rFonts w:eastAsia="MS Mincho"/>
          <w:color w:val="000000"/>
          <w:sz w:val="22"/>
          <w:szCs w:val="22"/>
          <w:lang w:eastAsia="fr-FR"/>
        </w:rPr>
      </w:pPr>
    </w:p>
    <w:p w14:paraId="18E87BB3" w14:textId="77777777" w:rsidR="004931E3" w:rsidRPr="004931E3" w:rsidRDefault="004931E3" w:rsidP="004931E3">
      <w:pPr>
        <w:suppressAutoHyphens/>
        <w:autoSpaceDE w:val="0"/>
        <w:autoSpaceDN w:val="0"/>
        <w:adjustRightInd w:val="0"/>
        <w:ind w:left="851"/>
        <w:rPr>
          <w:rFonts w:eastAsia="MS Mincho"/>
          <w:color w:val="000000"/>
          <w:sz w:val="24"/>
          <w:szCs w:val="24"/>
          <w:lang w:eastAsia="fr-FR"/>
        </w:rPr>
      </w:pPr>
      <w:r w:rsidRPr="004931E3">
        <w:rPr>
          <w:rFonts w:eastAsia="MS Mincho"/>
          <w:color w:val="000000"/>
          <w:sz w:val="24"/>
          <w:szCs w:val="24"/>
          <w:lang w:eastAsia="fr-FR"/>
        </w:rPr>
        <w:t xml:space="preserve">Følgende tabel viser anbefalinger for daglig dosering for pædiatriske NDO-patienter i alderen 3 år til under 18 år med nedsat nyre- eller leverfunktion, som vejer 35 kg eller mere (se pkt. 4.4 og 5.2). </w:t>
      </w:r>
    </w:p>
    <w:p w14:paraId="29DE34D5" w14:textId="77777777" w:rsidR="004931E3" w:rsidRPr="004931E3" w:rsidRDefault="004931E3" w:rsidP="004931E3">
      <w:pPr>
        <w:suppressAutoHyphens/>
        <w:autoSpaceDE w:val="0"/>
        <w:autoSpaceDN w:val="0"/>
        <w:adjustRightInd w:val="0"/>
        <w:ind w:left="851"/>
        <w:rPr>
          <w:rFonts w:eastAsia="MS Mincho"/>
          <w:color w:val="000000"/>
          <w:sz w:val="24"/>
          <w:szCs w:val="24"/>
          <w:lang w:eastAsia="fr-FR"/>
        </w:rPr>
      </w:pPr>
      <w:r w:rsidRPr="004931E3">
        <w:rPr>
          <w:rFonts w:eastAsia="MS Mincho"/>
          <w:color w:val="000000"/>
          <w:sz w:val="24"/>
          <w:szCs w:val="24"/>
          <w:lang w:eastAsia="fr-FR"/>
        </w:rPr>
        <w:t xml:space="preserve"> </w:t>
      </w:r>
    </w:p>
    <w:p w14:paraId="4C9D88B3" w14:textId="77777777" w:rsidR="004931E3" w:rsidRPr="004931E3" w:rsidRDefault="004931E3" w:rsidP="004931E3">
      <w:pPr>
        <w:keepNext/>
        <w:suppressAutoHyphens/>
        <w:autoSpaceDE w:val="0"/>
        <w:autoSpaceDN w:val="0"/>
        <w:adjustRightInd w:val="0"/>
        <w:ind w:left="851"/>
        <w:rPr>
          <w:rFonts w:eastAsia="MS Mincho"/>
          <w:color w:val="000000"/>
          <w:sz w:val="22"/>
          <w:szCs w:val="22"/>
          <w:lang w:eastAsia="fr-FR"/>
        </w:rPr>
      </w:pPr>
      <w:r w:rsidRPr="004931E3">
        <w:rPr>
          <w:rFonts w:eastAsia="MS Mincho"/>
          <w:b/>
          <w:color w:val="000000"/>
          <w:sz w:val="22"/>
          <w:szCs w:val="22"/>
          <w:lang w:eastAsia="fr-FR"/>
        </w:rPr>
        <w:t>Tabel 2: Den anbefalede daglige dosering til pædiatriske NDO-patienter i alderen 3 år til under 18 år med nedsat nyre- eller leverfunktion, som vejer 35 kg eller mere</w:t>
      </w:r>
    </w:p>
    <w:tbl>
      <w:tblPr>
        <w:tblW w:w="9201" w:type="dxa"/>
        <w:tblInd w:w="846" w:type="dxa"/>
        <w:tblCellMar>
          <w:top w:w="56" w:type="dxa"/>
          <w:right w:w="115" w:type="dxa"/>
        </w:tblCellMar>
        <w:tblLook w:val="04A0" w:firstRow="1" w:lastRow="0" w:firstColumn="1" w:lastColumn="0" w:noHBand="0" w:noVBand="1"/>
      </w:tblPr>
      <w:tblGrid>
        <w:gridCol w:w="2359"/>
        <w:gridCol w:w="2249"/>
        <w:gridCol w:w="1916"/>
        <w:gridCol w:w="425"/>
        <w:gridCol w:w="2252"/>
      </w:tblGrid>
      <w:tr w:rsidR="004931E3" w:rsidRPr="004931E3" w14:paraId="21A062AF" w14:textId="77777777" w:rsidTr="004931E3">
        <w:trPr>
          <w:trHeight w:val="227"/>
        </w:trPr>
        <w:tc>
          <w:tcPr>
            <w:tcW w:w="2359"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52921324" w14:textId="77777777" w:rsidR="004931E3" w:rsidRPr="004931E3" w:rsidRDefault="004931E3" w:rsidP="004931E3">
            <w:pPr>
              <w:keepNext/>
              <w:suppressAutoHyphens/>
              <w:autoSpaceDE w:val="0"/>
              <w:autoSpaceDN w:val="0"/>
              <w:adjustRightInd w:val="0"/>
              <w:jc w:val="center"/>
              <w:rPr>
                <w:rFonts w:eastAsia="MS Mincho"/>
                <w:color w:val="000000"/>
                <w:sz w:val="22"/>
                <w:szCs w:val="22"/>
                <w:lang w:val="ru-RU" w:eastAsia="fr-FR"/>
              </w:rPr>
            </w:pPr>
            <w:r w:rsidRPr="004931E3">
              <w:rPr>
                <w:rFonts w:eastAsia="MS Mincho"/>
                <w:b/>
                <w:color w:val="000000"/>
                <w:sz w:val="22"/>
                <w:szCs w:val="22"/>
                <w:lang w:val="ru-RU" w:eastAsia="fr-FR"/>
              </w:rPr>
              <w:t>Parameter</w:t>
            </w:r>
          </w:p>
        </w:tc>
        <w:tc>
          <w:tcPr>
            <w:tcW w:w="2249"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48F53D4B" w14:textId="77777777" w:rsidR="004931E3" w:rsidRPr="004931E3" w:rsidRDefault="004931E3" w:rsidP="004931E3">
            <w:pPr>
              <w:keepNext/>
              <w:suppressAutoHyphens/>
              <w:autoSpaceDE w:val="0"/>
              <w:autoSpaceDN w:val="0"/>
              <w:adjustRightInd w:val="0"/>
              <w:jc w:val="center"/>
              <w:rPr>
                <w:rFonts w:eastAsia="MS Mincho"/>
                <w:color w:val="000000"/>
                <w:sz w:val="22"/>
                <w:szCs w:val="22"/>
                <w:lang w:val="ru-RU" w:eastAsia="fr-FR"/>
              </w:rPr>
            </w:pPr>
            <w:r w:rsidRPr="004931E3">
              <w:rPr>
                <w:rFonts w:eastAsia="MS Mincho"/>
                <w:b/>
                <w:color w:val="000000"/>
                <w:sz w:val="22"/>
                <w:szCs w:val="22"/>
                <w:lang w:val="ru-RU" w:eastAsia="fr-FR"/>
              </w:rPr>
              <w:t>Klassifikation</w:t>
            </w:r>
          </w:p>
        </w:tc>
        <w:tc>
          <w:tcPr>
            <w:tcW w:w="1916" w:type="dxa"/>
            <w:tcBorders>
              <w:top w:val="single" w:sz="4" w:space="0" w:color="000000"/>
              <w:left w:val="single" w:sz="4" w:space="0" w:color="000000"/>
              <w:bottom w:val="single" w:sz="4" w:space="0" w:color="000000"/>
              <w:right w:val="nil"/>
            </w:tcBorders>
            <w:tcMar>
              <w:top w:w="28" w:type="dxa"/>
              <w:left w:w="0" w:type="dxa"/>
              <w:bottom w:w="28" w:type="dxa"/>
              <w:right w:w="0" w:type="dxa"/>
            </w:tcMar>
            <w:hideMark/>
          </w:tcPr>
          <w:p w14:paraId="033D51B3" w14:textId="77777777" w:rsidR="004931E3" w:rsidRPr="004931E3" w:rsidRDefault="004931E3" w:rsidP="004931E3">
            <w:pPr>
              <w:keepNext/>
              <w:suppressAutoHyphens/>
              <w:autoSpaceDE w:val="0"/>
              <w:autoSpaceDN w:val="0"/>
              <w:adjustRightInd w:val="0"/>
              <w:jc w:val="center"/>
              <w:rPr>
                <w:rFonts w:eastAsia="MS Mincho"/>
                <w:color w:val="000000"/>
                <w:sz w:val="22"/>
                <w:szCs w:val="22"/>
                <w:lang w:val="ru-RU" w:eastAsia="fr-FR"/>
              </w:rPr>
            </w:pPr>
            <w:r w:rsidRPr="004931E3">
              <w:rPr>
                <w:rFonts w:eastAsia="MS Mincho"/>
                <w:b/>
                <w:color w:val="000000"/>
                <w:sz w:val="22"/>
                <w:szCs w:val="22"/>
                <w:lang w:val="ru-RU" w:eastAsia="fr-FR"/>
              </w:rPr>
              <w:t>Startdosis (mg)</w:t>
            </w:r>
          </w:p>
        </w:tc>
        <w:tc>
          <w:tcPr>
            <w:tcW w:w="425" w:type="dxa"/>
            <w:tcBorders>
              <w:top w:val="single" w:sz="4" w:space="0" w:color="000000"/>
              <w:left w:val="nil"/>
              <w:bottom w:val="single" w:sz="4" w:space="0" w:color="000000"/>
              <w:right w:val="single" w:sz="4" w:space="0" w:color="000000"/>
            </w:tcBorders>
            <w:tcMar>
              <w:top w:w="28" w:type="dxa"/>
              <w:left w:w="0" w:type="dxa"/>
              <w:bottom w:w="28" w:type="dxa"/>
              <w:right w:w="0" w:type="dxa"/>
            </w:tcMar>
          </w:tcPr>
          <w:p w14:paraId="6273DF45" w14:textId="77777777" w:rsidR="004931E3" w:rsidRPr="004931E3" w:rsidRDefault="004931E3" w:rsidP="004931E3">
            <w:pPr>
              <w:keepNext/>
              <w:suppressAutoHyphens/>
              <w:autoSpaceDE w:val="0"/>
              <w:autoSpaceDN w:val="0"/>
              <w:adjustRightInd w:val="0"/>
              <w:jc w:val="center"/>
              <w:rPr>
                <w:rFonts w:eastAsia="MS Mincho"/>
                <w:color w:val="000000"/>
                <w:sz w:val="22"/>
                <w:szCs w:val="22"/>
                <w:lang w:val="ru-RU" w:eastAsia="fr-FR"/>
              </w:rPr>
            </w:pPr>
          </w:p>
        </w:tc>
        <w:tc>
          <w:tcPr>
            <w:tcW w:w="2252"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12495075" w14:textId="77777777" w:rsidR="004931E3" w:rsidRPr="004931E3" w:rsidRDefault="004931E3" w:rsidP="004931E3">
            <w:pPr>
              <w:keepNext/>
              <w:suppressAutoHyphens/>
              <w:autoSpaceDE w:val="0"/>
              <w:autoSpaceDN w:val="0"/>
              <w:adjustRightInd w:val="0"/>
              <w:jc w:val="center"/>
              <w:rPr>
                <w:rFonts w:eastAsia="MS Mincho"/>
                <w:color w:val="000000"/>
                <w:sz w:val="22"/>
                <w:szCs w:val="22"/>
                <w:lang w:val="ru-RU" w:eastAsia="fr-FR"/>
              </w:rPr>
            </w:pPr>
            <w:r w:rsidRPr="004931E3">
              <w:rPr>
                <w:rFonts w:eastAsia="MS Mincho"/>
                <w:b/>
                <w:color w:val="000000"/>
                <w:sz w:val="22"/>
                <w:szCs w:val="22"/>
                <w:lang w:val="ru-RU" w:eastAsia="fr-FR"/>
              </w:rPr>
              <w:t>Maksimal dosis (mg)</w:t>
            </w:r>
          </w:p>
        </w:tc>
      </w:tr>
      <w:tr w:rsidR="004931E3" w:rsidRPr="004931E3" w14:paraId="5D2CD2A2" w14:textId="77777777" w:rsidTr="004931E3">
        <w:trPr>
          <w:trHeight w:val="227"/>
        </w:trPr>
        <w:tc>
          <w:tcPr>
            <w:tcW w:w="2359" w:type="dxa"/>
            <w:vMerge w:val="restart"/>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20F6A6AC" w14:textId="77777777" w:rsidR="004931E3" w:rsidRPr="004931E3" w:rsidRDefault="004931E3" w:rsidP="004931E3">
            <w:pPr>
              <w:keepNext/>
              <w:suppressAutoHyphens/>
              <w:autoSpaceDE w:val="0"/>
              <w:autoSpaceDN w:val="0"/>
              <w:adjustRightInd w:val="0"/>
              <w:ind w:left="57"/>
              <w:rPr>
                <w:rFonts w:eastAsia="MS Mincho"/>
                <w:color w:val="000000"/>
                <w:sz w:val="22"/>
                <w:szCs w:val="22"/>
                <w:lang w:val="ru-RU" w:eastAsia="fr-FR"/>
              </w:rPr>
            </w:pPr>
            <w:r w:rsidRPr="004931E3">
              <w:rPr>
                <w:rFonts w:eastAsia="MS Mincho"/>
                <w:color w:val="000000"/>
                <w:sz w:val="22"/>
                <w:szCs w:val="22"/>
                <w:lang w:val="ru-RU" w:eastAsia="fr-FR"/>
              </w:rPr>
              <w:t>Nedsat nyrefunktion</w:t>
            </w:r>
            <w:r w:rsidRPr="004931E3">
              <w:rPr>
                <w:rFonts w:eastAsia="MS Mincho"/>
                <w:color w:val="000000"/>
                <w:sz w:val="22"/>
                <w:szCs w:val="22"/>
                <w:vertAlign w:val="superscript"/>
                <w:lang w:val="ru-RU" w:eastAsia="fr-FR"/>
              </w:rPr>
              <w:t>(1)</w:t>
            </w:r>
          </w:p>
        </w:tc>
        <w:tc>
          <w:tcPr>
            <w:tcW w:w="2249"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3164D8D2" w14:textId="77777777" w:rsidR="004931E3" w:rsidRPr="004931E3" w:rsidRDefault="004931E3" w:rsidP="004931E3">
            <w:pPr>
              <w:keepNext/>
              <w:suppressAutoHyphens/>
              <w:autoSpaceDE w:val="0"/>
              <w:autoSpaceDN w:val="0"/>
              <w:adjustRightInd w:val="0"/>
              <w:jc w:val="center"/>
              <w:rPr>
                <w:rFonts w:eastAsia="MS Mincho"/>
                <w:color w:val="000000"/>
                <w:sz w:val="22"/>
                <w:szCs w:val="22"/>
                <w:lang w:val="ru-RU" w:eastAsia="fr-FR"/>
              </w:rPr>
            </w:pPr>
            <w:r w:rsidRPr="004931E3">
              <w:rPr>
                <w:rFonts w:eastAsia="MS Mincho"/>
                <w:color w:val="000000"/>
                <w:sz w:val="22"/>
                <w:szCs w:val="22"/>
                <w:lang w:val="ru-RU" w:eastAsia="fr-FR"/>
              </w:rPr>
              <w:t>Let/moderat*</w:t>
            </w:r>
          </w:p>
        </w:tc>
        <w:tc>
          <w:tcPr>
            <w:tcW w:w="1916" w:type="dxa"/>
            <w:tcBorders>
              <w:top w:val="single" w:sz="4" w:space="0" w:color="000000"/>
              <w:left w:val="single" w:sz="4" w:space="0" w:color="000000"/>
              <w:bottom w:val="single" w:sz="4" w:space="0" w:color="000000"/>
              <w:right w:val="nil"/>
            </w:tcBorders>
            <w:tcMar>
              <w:top w:w="28" w:type="dxa"/>
              <w:left w:w="0" w:type="dxa"/>
              <w:bottom w:w="28" w:type="dxa"/>
              <w:right w:w="0" w:type="dxa"/>
            </w:tcMar>
            <w:hideMark/>
          </w:tcPr>
          <w:p w14:paraId="04DEBCF2" w14:textId="77777777" w:rsidR="004931E3" w:rsidRPr="004931E3" w:rsidRDefault="004931E3" w:rsidP="004931E3">
            <w:pPr>
              <w:keepNext/>
              <w:suppressAutoHyphens/>
              <w:autoSpaceDE w:val="0"/>
              <w:autoSpaceDN w:val="0"/>
              <w:adjustRightInd w:val="0"/>
              <w:jc w:val="center"/>
              <w:rPr>
                <w:rFonts w:eastAsia="MS Mincho"/>
                <w:color w:val="000000"/>
                <w:sz w:val="22"/>
                <w:szCs w:val="22"/>
                <w:lang w:val="ru-RU" w:eastAsia="fr-FR"/>
              </w:rPr>
            </w:pPr>
            <w:r w:rsidRPr="004931E3">
              <w:rPr>
                <w:rFonts w:eastAsia="MS Mincho"/>
                <w:color w:val="000000"/>
                <w:sz w:val="22"/>
                <w:szCs w:val="22"/>
                <w:lang w:val="ru-RU" w:eastAsia="fr-FR"/>
              </w:rPr>
              <w:t>25</w:t>
            </w:r>
          </w:p>
        </w:tc>
        <w:tc>
          <w:tcPr>
            <w:tcW w:w="425" w:type="dxa"/>
            <w:tcBorders>
              <w:top w:val="single" w:sz="4" w:space="0" w:color="000000"/>
              <w:left w:val="nil"/>
              <w:bottom w:val="single" w:sz="4" w:space="0" w:color="000000"/>
              <w:right w:val="single" w:sz="4" w:space="0" w:color="000000"/>
            </w:tcBorders>
            <w:tcMar>
              <w:top w:w="28" w:type="dxa"/>
              <w:left w:w="0" w:type="dxa"/>
              <w:bottom w:w="28" w:type="dxa"/>
              <w:right w:w="0" w:type="dxa"/>
            </w:tcMar>
          </w:tcPr>
          <w:p w14:paraId="70033C6B" w14:textId="77777777" w:rsidR="004931E3" w:rsidRPr="004931E3" w:rsidRDefault="004931E3" w:rsidP="004931E3">
            <w:pPr>
              <w:keepNext/>
              <w:suppressAutoHyphens/>
              <w:autoSpaceDE w:val="0"/>
              <w:autoSpaceDN w:val="0"/>
              <w:adjustRightInd w:val="0"/>
              <w:jc w:val="center"/>
              <w:rPr>
                <w:rFonts w:eastAsia="MS Mincho"/>
                <w:color w:val="000000"/>
                <w:sz w:val="22"/>
                <w:szCs w:val="22"/>
                <w:lang w:val="ru-RU" w:eastAsia="fr-FR"/>
              </w:rPr>
            </w:pPr>
          </w:p>
        </w:tc>
        <w:tc>
          <w:tcPr>
            <w:tcW w:w="2252"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4731D107" w14:textId="77777777" w:rsidR="004931E3" w:rsidRPr="004931E3" w:rsidRDefault="004931E3" w:rsidP="004931E3">
            <w:pPr>
              <w:keepNext/>
              <w:suppressAutoHyphens/>
              <w:autoSpaceDE w:val="0"/>
              <w:autoSpaceDN w:val="0"/>
              <w:adjustRightInd w:val="0"/>
              <w:jc w:val="center"/>
              <w:rPr>
                <w:rFonts w:eastAsia="MS Mincho"/>
                <w:color w:val="000000"/>
                <w:sz w:val="22"/>
                <w:szCs w:val="22"/>
                <w:lang w:val="ru-RU" w:eastAsia="fr-FR"/>
              </w:rPr>
            </w:pPr>
            <w:r w:rsidRPr="004931E3">
              <w:rPr>
                <w:rFonts w:eastAsia="MS Mincho"/>
                <w:color w:val="000000"/>
                <w:sz w:val="22"/>
                <w:szCs w:val="22"/>
                <w:lang w:val="ru-RU" w:eastAsia="fr-FR"/>
              </w:rPr>
              <w:t>50</w:t>
            </w:r>
          </w:p>
        </w:tc>
      </w:tr>
      <w:tr w:rsidR="004931E3" w:rsidRPr="004931E3" w14:paraId="4C0DCB45" w14:textId="77777777" w:rsidTr="004931E3">
        <w:trPr>
          <w:trHeight w:val="2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1B996992" w14:textId="77777777" w:rsidR="004931E3" w:rsidRPr="004931E3" w:rsidRDefault="004931E3" w:rsidP="004931E3">
            <w:pPr>
              <w:rPr>
                <w:rFonts w:eastAsia="MS Mincho"/>
                <w:color w:val="000000"/>
                <w:sz w:val="22"/>
                <w:szCs w:val="22"/>
                <w:lang w:val="ru-RU" w:eastAsia="fr-FR"/>
              </w:rPr>
            </w:pPr>
          </w:p>
        </w:tc>
        <w:tc>
          <w:tcPr>
            <w:tcW w:w="2249"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773BBE9" w14:textId="77777777" w:rsidR="004931E3" w:rsidRPr="004931E3" w:rsidRDefault="004931E3" w:rsidP="004931E3">
            <w:pPr>
              <w:keepNext/>
              <w:suppressAutoHyphens/>
              <w:autoSpaceDE w:val="0"/>
              <w:autoSpaceDN w:val="0"/>
              <w:adjustRightInd w:val="0"/>
              <w:jc w:val="center"/>
              <w:rPr>
                <w:rFonts w:eastAsia="MS Mincho"/>
                <w:color w:val="000000"/>
                <w:sz w:val="22"/>
                <w:szCs w:val="22"/>
                <w:lang w:val="ru-RU" w:eastAsia="fr-FR"/>
              </w:rPr>
            </w:pPr>
            <w:r w:rsidRPr="004931E3">
              <w:rPr>
                <w:rFonts w:eastAsia="MS Mincho"/>
                <w:color w:val="000000"/>
                <w:sz w:val="22"/>
                <w:szCs w:val="22"/>
                <w:lang w:val="ru-RU" w:eastAsia="fr-FR"/>
              </w:rPr>
              <w:t>Svær**</w:t>
            </w:r>
          </w:p>
        </w:tc>
        <w:tc>
          <w:tcPr>
            <w:tcW w:w="1916" w:type="dxa"/>
            <w:tcBorders>
              <w:top w:val="single" w:sz="4" w:space="0" w:color="000000"/>
              <w:left w:val="single" w:sz="4" w:space="0" w:color="000000"/>
              <w:bottom w:val="single" w:sz="4" w:space="0" w:color="000000"/>
              <w:right w:val="nil"/>
            </w:tcBorders>
            <w:tcMar>
              <w:top w:w="28" w:type="dxa"/>
              <w:left w:w="0" w:type="dxa"/>
              <w:bottom w:w="28" w:type="dxa"/>
              <w:right w:w="0" w:type="dxa"/>
            </w:tcMar>
            <w:hideMark/>
          </w:tcPr>
          <w:p w14:paraId="5DFCCA7C" w14:textId="77777777" w:rsidR="004931E3" w:rsidRPr="004931E3" w:rsidRDefault="004931E3" w:rsidP="004931E3">
            <w:pPr>
              <w:keepNext/>
              <w:suppressAutoHyphens/>
              <w:autoSpaceDE w:val="0"/>
              <w:autoSpaceDN w:val="0"/>
              <w:adjustRightInd w:val="0"/>
              <w:jc w:val="center"/>
              <w:rPr>
                <w:rFonts w:eastAsia="MS Mincho"/>
                <w:color w:val="000000"/>
                <w:sz w:val="22"/>
                <w:szCs w:val="22"/>
                <w:lang w:val="ru-RU" w:eastAsia="fr-FR"/>
              </w:rPr>
            </w:pPr>
            <w:r w:rsidRPr="004931E3">
              <w:rPr>
                <w:rFonts w:eastAsia="MS Mincho"/>
                <w:color w:val="000000"/>
                <w:sz w:val="22"/>
                <w:szCs w:val="22"/>
                <w:lang w:val="ru-RU" w:eastAsia="fr-FR"/>
              </w:rPr>
              <w:t>25</w:t>
            </w:r>
          </w:p>
        </w:tc>
        <w:tc>
          <w:tcPr>
            <w:tcW w:w="425" w:type="dxa"/>
            <w:tcBorders>
              <w:top w:val="single" w:sz="4" w:space="0" w:color="000000"/>
              <w:left w:val="nil"/>
              <w:bottom w:val="single" w:sz="4" w:space="0" w:color="000000"/>
              <w:right w:val="single" w:sz="4" w:space="0" w:color="000000"/>
            </w:tcBorders>
            <w:tcMar>
              <w:top w:w="28" w:type="dxa"/>
              <w:left w:w="0" w:type="dxa"/>
              <w:bottom w:w="28" w:type="dxa"/>
              <w:right w:w="0" w:type="dxa"/>
            </w:tcMar>
          </w:tcPr>
          <w:p w14:paraId="45F0E604" w14:textId="77777777" w:rsidR="004931E3" w:rsidRPr="004931E3" w:rsidRDefault="004931E3" w:rsidP="004931E3">
            <w:pPr>
              <w:keepNext/>
              <w:suppressAutoHyphens/>
              <w:autoSpaceDE w:val="0"/>
              <w:autoSpaceDN w:val="0"/>
              <w:adjustRightInd w:val="0"/>
              <w:jc w:val="center"/>
              <w:rPr>
                <w:rFonts w:eastAsia="MS Mincho"/>
                <w:color w:val="000000"/>
                <w:sz w:val="22"/>
                <w:szCs w:val="22"/>
                <w:lang w:val="ru-RU" w:eastAsia="fr-FR"/>
              </w:rPr>
            </w:pPr>
          </w:p>
        </w:tc>
        <w:tc>
          <w:tcPr>
            <w:tcW w:w="2252"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45B501AB" w14:textId="77777777" w:rsidR="004931E3" w:rsidRPr="004931E3" w:rsidRDefault="004931E3" w:rsidP="004931E3">
            <w:pPr>
              <w:keepNext/>
              <w:suppressAutoHyphens/>
              <w:autoSpaceDE w:val="0"/>
              <w:autoSpaceDN w:val="0"/>
              <w:adjustRightInd w:val="0"/>
              <w:jc w:val="center"/>
              <w:rPr>
                <w:rFonts w:eastAsia="MS Mincho"/>
                <w:color w:val="000000"/>
                <w:sz w:val="22"/>
                <w:szCs w:val="22"/>
                <w:lang w:val="ru-RU" w:eastAsia="fr-FR"/>
              </w:rPr>
            </w:pPr>
            <w:r w:rsidRPr="004931E3">
              <w:rPr>
                <w:rFonts w:eastAsia="MS Mincho"/>
                <w:color w:val="000000"/>
                <w:sz w:val="22"/>
                <w:szCs w:val="22"/>
                <w:lang w:val="ru-RU" w:eastAsia="fr-FR"/>
              </w:rPr>
              <w:t>25</w:t>
            </w:r>
          </w:p>
        </w:tc>
      </w:tr>
      <w:tr w:rsidR="004931E3" w:rsidRPr="004931E3" w14:paraId="28DA89F9" w14:textId="77777777" w:rsidTr="004931E3">
        <w:trPr>
          <w:trHeight w:val="2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83C0137" w14:textId="77777777" w:rsidR="004931E3" w:rsidRPr="004931E3" w:rsidRDefault="004931E3" w:rsidP="004931E3">
            <w:pPr>
              <w:rPr>
                <w:rFonts w:eastAsia="MS Mincho"/>
                <w:color w:val="000000"/>
                <w:sz w:val="22"/>
                <w:szCs w:val="22"/>
                <w:lang w:val="ru-RU" w:eastAsia="fr-FR"/>
              </w:rPr>
            </w:pPr>
          </w:p>
        </w:tc>
        <w:tc>
          <w:tcPr>
            <w:tcW w:w="2249"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41076B14" w14:textId="77777777" w:rsidR="004931E3" w:rsidRPr="004931E3" w:rsidRDefault="004931E3" w:rsidP="004931E3">
            <w:pPr>
              <w:keepNext/>
              <w:suppressAutoHyphens/>
              <w:autoSpaceDE w:val="0"/>
              <w:autoSpaceDN w:val="0"/>
              <w:adjustRightInd w:val="0"/>
              <w:jc w:val="center"/>
              <w:rPr>
                <w:rFonts w:eastAsia="MS Mincho"/>
                <w:color w:val="000000"/>
                <w:sz w:val="22"/>
                <w:szCs w:val="22"/>
                <w:lang w:val="ru-RU" w:eastAsia="fr-FR"/>
              </w:rPr>
            </w:pPr>
            <w:r w:rsidRPr="004931E3">
              <w:rPr>
                <w:rFonts w:eastAsia="MS Mincho"/>
                <w:color w:val="000000"/>
                <w:sz w:val="22"/>
                <w:szCs w:val="22"/>
                <w:lang w:val="ru-RU" w:eastAsia="fr-FR"/>
              </w:rPr>
              <w:t>ESRD</w:t>
            </w:r>
          </w:p>
        </w:tc>
        <w:tc>
          <w:tcPr>
            <w:tcW w:w="4593" w:type="dxa"/>
            <w:gridSpan w:val="3"/>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54A3BEC6" w14:textId="77777777" w:rsidR="004931E3" w:rsidRPr="004931E3" w:rsidRDefault="004931E3" w:rsidP="004931E3">
            <w:pPr>
              <w:keepNext/>
              <w:suppressAutoHyphens/>
              <w:autoSpaceDE w:val="0"/>
              <w:autoSpaceDN w:val="0"/>
              <w:adjustRightInd w:val="0"/>
              <w:jc w:val="center"/>
              <w:rPr>
                <w:rFonts w:eastAsia="MS Mincho"/>
                <w:color w:val="000000"/>
                <w:sz w:val="22"/>
                <w:szCs w:val="22"/>
                <w:lang w:val="ru-RU" w:eastAsia="fr-FR"/>
              </w:rPr>
            </w:pPr>
            <w:r w:rsidRPr="004931E3">
              <w:rPr>
                <w:rFonts w:eastAsia="MS Mincho"/>
                <w:color w:val="000000"/>
                <w:sz w:val="22"/>
                <w:szCs w:val="22"/>
                <w:lang w:val="ru-RU" w:eastAsia="fr-FR"/>
              </w:rPr>
              <w:t>Frarådes</w:t>
            </w:r>
          </w:p>
        </w:tc>
      </w:tr>
      <w:tr w:rsidR="004931E3" w:rsidRPr="004931E3" w14:paraId="4A249AA6" w14:textId="77777777" w:rsidTr="004931E3">
        <w:trPr>
          <w:trHeight w:val="227"/>
        </w:trPr>
        <w:tc>
          <w:tcPr>
            <w:tcW w:w="2359" w:type="dxa"/>
            <w:vMerge w:val="restart"/>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2EBD957" w14:textId="77777777" w:rsidR="004931E3" w:rsidRPr="004931E3" w:rsidRDefault="004931E3" w:rsidP="004931E3">
            <w:pPr>
              <w:suppressAutoHyphens/>
              <w:autoSpaceDE w:val="0"/>
              <w:autoSpaceDN w:val="0"/>
              <w:adjustRightInd w:val="0"/>
              <w:ind w:left="57"/>
              <w:rPr>
                <w:rFonts w:eastAsia="MS Mincho"/>
                <w:color w:val="000000"/>
                <w:sz w:val="22"/>
                <w:szCs w:val="22"/>
                <w:lang w:val="ru-RU" w:eastAsia="fr-FR"/>
              </w:rPr>
            </w:pPr>
            <w:r w:rsidRPr="004931E3">
              <w:rPr>
                <w:rFonts w:eastAsia="MS Mincho"/>
                <w:color w:val="000000"/>
                <w:sz w:val="22"/>
                <w:szCs w:val="22"/>
                <w:lang w:val="ru-RU" w:eastAsia="fr-FR"/>
              </w:rPr>
              <w:t>Nedsat leverfunktion</w:t>
            </w:r>
            <w:r w:rsidRPr="004931E3">
              <w:rPr>
                <w:rFonts w:eastAsia="MS Mincho"/>
                <w:color w:val="000000"/>
                <w:sz w:val="22"/>
                <w:szCs w:val="22"/>
                <w:vertAlign w:val="superscript"/>
                <w:lang w:val="ru-RU" w:eastAsia="fr-FR"/>
              </w:rPr>
              <w:t>(2)</w:t>
            </w:r>
          </w:p>
        </w:tc>
        <w:tc>
          <w:tcPr>
            <w:tcW w:w="2249"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0CFDCE2D" w14:textId="77777777" w:rsidR="004931E3" w:rsidRPr="004931E3" w:rsidRDefault="004931E3" w:rsidP="004931E3">
            <w:pPr>
              <w:suppressAutoHyphens/>
              <w:autoSpaceDE w:val="0"/>
              <w:autoSpaceDN w:val="0"/>
              <w:adjustRightInd w:val="0"/>
              <w:jc w:val="center"/>
              <w:rPr>
                <w:rFonts w:eastAsia="MS Mincho"/>
                <w:color w:val="000000"/>
                <w:sz w:val="22"/>
                <w:szCs w:val="22"/>
                <w:lang w:val="ru-RU" w:eastAsia="fr-FR"/>
              </w:rPr>
            </w:pPr>
            <w:r w:rsidRPr="004931E3">
              <w:rPr>
                <w:rFonts w:eastAsia="MS Mincho"/>
                <w:color w:val="000000"/>
                <w:sz w:val="22"/>
                <w:szCs w:val="22"/>
                <w:lang w:val="ru-RU" w:eastAsia="fr-FR"/>
              </w:rPr>
              <w:t>Let*</w:t>
            </w:r>
          </w:p>
        </w:tc>
        <w:tc>
          <w:tcPr>
            <w:tcW w:w="1916" w:type="dxa"/>
            <w:tcBorders>
              <w:top w:val="single" w:sz="4" w:space="0" w:color="000000"/>
              <w:left w:val="single" w:sz="4" w:space="0" w:color="000000"/>
              <w:bottom w:val="single" w:sz="4" w:space="0" w:color="000000"/>
              <w:right w:val="nil"/>
            </w:tcBorders>
            <w:tcMar>
              <w:top w:w="28" w:type="dxa"/>
              <w:left w:w="0" w:type="dxa"/>
              <w:bottom w:w="28" w:type="dxa"/>
              <w:right w:w="0" w:type="dxa"/>
            </w:tcMar>
            <w:hideMark/>
          </w:tcPr>
          <w:p w14:paraId="7FDB5994" w14:textId="77777777" w:rsidR="004931E3" w:rsidRPr="004931E3" w:rsidRDefault="004931E3" w:rsidP="004931E3">
            <w:pPr>
              <w:suppressAutoHyphens/>
              <w:autoSpaceDE w:val="0"/>
              <w:autoSpaceDN w:val="0"/>
              <w:adjustRightInd w:val="0"/>
              <w:jc w:val="center"/>
              <w:rPr>
                <w:rFonts w:eastAsia="MS Mincho"/>
                <w:color w:val="000000"/>
                <w:sz w:val="22"/>
                <w:szCs w:val="22"/>
                <w:lang w:val="ru-RU" w:eastAsia="fr-FR"/>
              </w:rPr>
            </w:pPr>
            <w:r w:rsidRPr="004931E3">
              <w:rPr>
                <w:rFonts w:eastAsia="MS Mincho"/>
                <w:color w:val="000000"/>
                <w:sz w:val="22"/>
                <w:szCs w:val="22"/>
                <w:lang w:val="ru-RU" w:eastAsia="fr-FR"/>
              </w:rPr>
              <w:t>25</w:t>
            </w:r>
          </w:p>
        </w:tc>
        <w:tc>
          <w:tcPr>
            <w:tcW w:w="425" w:type="dxa"/>
            <w:tcBorders>
              <w:top w:val="single" w:sz="4" w:space="0" w:color="000000"/>
              <w:left w:val="nil"/>
              <w:bottom w:val="single" w:sz="4" w:space="0" w:color="000000"/>
              <w:right w:val="single" w:sz="4" w:space="0" w:color="000000"/>
            </w:tcBorders>
            <w:tcMar>
              <w:top w:w="28" w:type="dxa"/>
              <w:left w:w="0" w:type="dxa"/>
              <w:bottom w:w="28" w:type="dxa"/>
              <w:right w:w="0" w:type="dxa"/>
            </w:tcMar>
          </w:tcPr>
          <w:p w14:paraId="1D087CAD" w14:textId="77777777" w:rsidR="004931E3" w:rsidRPr="004931E3" w:rsidRDefault="004931E3" w:rsidP="004931E3">
            <w:pPr>
              <w:suppressAutoHyphens/>
              <w:autoSpaceDE w:val="0"/>
              <w:autoSpaceDN w:val="0"/>
              <w:adjustRightInd w:val="0"/>
              <w:jc w:val="center"/>
              <w:rPr>
                <w:rFonts w:eastAsia="MS Mincho"/>
                <w:color w:val="000000"/>
                <w:sz w:val="22"/>
                <w:szCs w:val="22"/>
                <w:lang w:val="ru-RU" w:eastAsia="fr-FR"/>
              </w:rPr>
            </w:pPr>
          </w:p>
        </w:tc>
        <w:tc>
          <w:tcPr>
            <w:tcW w:w="2252"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9A3C0B4" w14:textId="77777777" w:rsidR="004931E3" w:rsidRPr="004931E3" w:rsidRDefault="004931E3" w:rsidP="004931E3">
            <w:pPr>
              <w:suppressAutoHyphens/>
              <w:autoSpaceDE w:val="0"/>
              <w:autoSpaceDN w:val="0"/>
              <w:adjustRightInd w:val="0"/>
              <w:jc w:val="center"/>
              <w:rPr>
                <w:rFonts w:eastAsia="MS Mincho"/>
                <w:color w:val="000000"/>
                <w:sz w:val="22"/>
                <w:szCs w:val="22"/>
                <w:lang w:val="ru-RU" w:eastAsia="fr-FR"/>
              </w:rPr>
            </w:pPr>
            <w:r w:rsidRPr="004931E3">
              <w:rPr>
                <w:rFonts w:eastAsia="MS Mincho"/>
                <w:color w:val="000000"/>
                <w:sz w:val="22"/>
                <w:szCs w:val="22"/>
                <w:lang w:val="ru-RU" w:eastAsia="fr-FR"/>
              </w:rPr>
              <w:t>50</w:t>
            </w:r>
          </w:p>
        </w:tc>
      </w:tr>
      <w:tr w:rsidR="004931E3" w:rsidRPr="004931E3" w14:paraId="3BB2A860" w14:textId="77777777" w:rsidTr="004931E3">
        <w:trPr>
          <w:trHeight w:val="2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794DA34D" w14:textId="77777777" w:rsidR="004931E3" w:rsidRPr="004931E3" w:rsidRDefault="004931E3" w:rsidP="004931E3">
            <w:pPr>
              <w:rPr>
                <w:rFonts w:eastAsia="MS Mincho"/>
                <w:color w:val="000000"/>
                <w:sz w:val="22"/>
                <w:szCs w:val="22"/>
                <w:lang w:val="ru-RU" w:eastAsia="fr-FR"/>
              </w:rPr>
            </w:pPr>
          </w:p>
        </w:tc>
        <w:tc>
          <w:tcPr>
            <w:tcW w:w="2249"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327EA860" w14:textId="77777777" w:rsidR="004931E3" w:rsidRPr="004931E3" w:rsidRDefault="004931E3" w:rsidP="004931E3">
            <w:pPr>
              <w:suppressAutoHyphens/>
              <w:autoSpaceDE w:val="0"/>
              <w:autoSpaceDN w:val="0"/>
              <w:adjustRightInd w:val="0"/>
              <w:jc w:val="center"/>
              <w:rPr>
                <w:rFonts w:eastAsia="MS Mincho"/>
                <w:color w:val="000000"/>
                <w:sz w:val="22"/>
                <w:szCs w:val="22"/>
                <w:lang w:val="ru-RU" w:eastAsia="fr-FR"/>
              </w:rPr>
            </w:pPr>
            <w:r w:rsidRPr="004931E3">
              <w:rPr>
                <w:rFonts w:eastAsia="MS Mincho"/>
                <w:color w:val="000000"/>
                <w:sz w:val="22"/>
                <w:szCs w:val="22"/>
                <w:lang w:val="ru-RU" w:eastAsia="fr-FR"/>
              </w:rPr>
              <w:t>Moderat**</w:t>
            </w:r>
          </w:p>
        </w:tc>
        <w:tc>
          <w:tcPr>
            <w:tcW w:w="1916" w:type="dxa"/>
            <w:tcBorders>
              <w:top w:val="single" w:sz="4" w:space="0" w:color="000000"/>
              <w:left w:val="single" w:sz="4" w:space="0" w:color="000000"/>
              <w:bottom w:val="single" w:sz="4" w:space="0" w:color="000000"/>
              <w:right w:val="nil"/>
            </w:tcBorders>
            <w:tcMar>
              <w:top w:w="28" w:type="dxa"/>
              <w:left w:w="0" w:type="dxa"/>
              <w:bottom w:w="28" w:type="dxa"/>
              <w:right w:w="0" w:type="dxa"/>
            </w:tcMar>
            <w:hideMark/>
          </w:tcPr>
          <w:p w14:paraId="400E37D4" w14:textId="77777777" w:rsidR="004931E3" w:rsidRPr="004931E3" w:rsidRDefault="004931E3" w:rsidP="004931E3">
            <w:pPr>
              <w:suppressAutoHyphens/>
              <w:autoSpaceDE w:val="0"/>
              <w:autoSpaceDN w:val="0"/>
              <w:adjustRightInd w:val="0"/>
              <w:jc w:val="center"/>
              <w:rPr>
                <w:rFonts w:eastAsia="MS Mincho"/>
                <w:color w:val="000000"/>
                <w:sz w:val="22"/>
                <w:szCs w:val="22"/>
                <w:lang w:val="ru-RU" w:eastAsia="fr-FR"/>
              </w:rPr>
            </w:pPr>
            <w:r w:rsidRPr="004931E3">
              <w:rPr>
                <w:rFonts w:eastAsia="MS Mincho"/>
                <w:color w:val="000000"/>
                <w:sz w:val="22"/>
                <w:szCs w:val="22"/>
                <w:lang w:val="ru-RU" w:eastAsia="fr-FR"/>
              </w:rPr>
              <w:t>25</w:t>
            </w:r>
          </w:p>
        </w:tc>
        <w:tc>
          <w:tcPr>
            <w:tcW w:w="425" w:type="dxa"/>
            <w:tcBorders>
              <w:top w:val="single" w:sz="4" w:space="0" w:color="000000"/>
              <w:left w:val="nil"/>
              <w:bottom w:val="single" w:sz="4" w:space="0" w:color="000000"/>
              <w:right w:val="single" w:sz="4" w:space="0" w:color="000000"/>
            </w:tcBorders>
            <w:tcMar>
              <w:top w:w="28" w:type="dxa"/>
              <w:left w:w="0" w:type="dxa"/>
              <w:bottom w:w="28" w:type="dxa"/>
              <w:right w:w="0" w:type="dxa"/>
            </w:tcMar>
          </w:tcPr>
          <w:p w14:paraId="7C808865" w14:textId="77777777" w:rsidR="004931E3" w:rsidRPr="004931E3" w:rsidRDefault="004931E3" w:rsidP="004931E3">
            <w:pPr>
              <w:suppressAutoHyphens/>
              <w:autoSpaceDE w:val="0"/>
              <w:autoSpaceDN w:val="0"/>
              <w:adjustRightInd w:val="0"/>
              <w:jc w:val="center"/>
              <w:rPr>
                <w:rFonts w:eastAsia="MS Mincho"/>
                <w:color w:val="000000"/>
                <w:sz w:val="22"/>
                <w:szCs w:val="22"/>
                <w:lang w:val="ru-RU" w:eastAsia="fr-FR"/>
              </w:rPr>
            </w:pPr>
          </w:p>
        </w:tc>
        <w:tc>
          <w:tcPr>
            <w:tcW w:w="2252"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9FD765C" w14:textId="77777777" w:rsidR="004931E3" w:rsidRPr="004931E3" w:rsidRDefault="004931E3" w:rsidP="004931E3">
            <w:pPr>
              <w:suppressAutoHyphens/>
              <w:autoSpaceDE w:val="0"/>
              <w:autoSpaceDN w:val="0"/>
              <w:adjustRightInd w:val="0"/>
              <w:jc w:val="center"/>
              <w:rPr>
                <w:rFonts w:eastAsia="MS Mincho"/>
                <w:color w:val="000000"/>
                <w:sz w:val="22"/>
                <w:szCs w:val="22"/>
                <w:lang w:val="ru-RU" w:eastAsia="fr-FR"/>
              </w:rPr>
            </w:pPr>
            <w:r w:rsidRPr="004931E3">
              <w:rPr>
                <w:rFonts w:eastAsia="MS Mincho"/>
                <w:color w:val="000000"/>
                <w:sz w:val="22"/>
                <w:szCs w:val="22"/>
                <w:lang w:val="ru-RU" w:eastAsia="fr-FR"/>
              </w:rPr>
              <w:t>25</w:t>
            </w:r>
          </w:p>
        </w:tc>
      </w:tr>
      <w:tr w:rsidR="004931E3" w:rsidRPr="004931E3" w14:paraId="44E8F203" w14:textId="77777777" w:rsidTr="004931E3">
        <w:trPr>
          <w:trHeight w:val="227"/>
        </w:trPr>
        <w:tc>
          <w:tcPr>
            <w:tcW w:w="0" w:type="auto"/>
            <w:vMerge/>
            <w:tcBorders>
              <w:top w:val="single" w:sz="4" w:space="0" w:color="000000"/>
              <w:left w:val="single" w:sz="4" w:space="0" w:color="000000"/>
              <w:bottom w:val="single" w:sz="4" w:space="0" w:color="000000"/>
              <w:right w:val="single" w:sz="4" w:space="0" w:color="000000"/>
            </w:tcBorders>
            <w:vAlign w:val="center"/>
            <w:hideMark/>
          </w:tcPr>
          <w:p w14:paraId="4FF23581" w14:textId="77777777" w:rsidR="004931E3" w:rsidRPr="004931E3" w:rsidRDefault="004931E3" w:rsidP="004931E3">
            <w:pPr>
              <w:rPr>
                <w:rFonts w:eastAsia="MS Mincho"/>
                <w:color w:val="000000"/>
                <w:sz w:val="22"/>
                <w:szCs w:val="22"/>
                <w:lang w:val="ru-RU" w:eastAsia="fr-FR"/>
              </w:rPr>
            </w:pPr>
          </w:p>
        </w:tc>
        <w:tc>
          <w:tcPr>
            <w:tcW w:w="2249"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19FB6C68" w14:textId="77777777" w:rsidR="004931E3" w:rsidRPr="004931E3" w:rsidRDefault="004931E3" w:rsidP="004931E3">
            <w:pPr>
              <w:suppressAutoHyphens/>
              <w:autoSpaceDE w:val="0"/>
              <w:autoSpaceDN w:val="0"/>
              <w:adjustRightInd w:val="0"/>
              <w:jc w:val="center"/>
              <w:rPr>
                <w:rFonts w:eastAsia="MS Mincho"/>
                <w:color w:val="000000"/>
                <w:sz w:val="22"/>
                <w:szCs w:val="22"/>
                <w:lang w:val="ru-RU" w:eastAsia="fr-FR"/>
              </w:rPr>
            </w:pPr>
            <w:r w:rsidRPr="004931E3">
              <w:rPr>
                <w:rFonts w:eastAsia="MS Mincho"/>
                <w:color w:val="000000"/>
                <w:sz w:val="22"/>
                <w:szCs w:val="22"/>
                <w:lang w:val="ru-RU" w:eastAsia="fr-FR"/>
              </w:rPr>
              <w:t>Svær</w:t>
            </w:r>
          </w:p>
        </w:tc>
        <w:tc>
          <w:tcPr>
            <w:tcW w:w="4593" w:type="dxa"/>
            <w:gridSpan w:val="3"/>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5D7AA3C0" w14:textId="77777777" w:rsidR="004931E3" w:rsidRPr="004931E3" w:rsidRDefault="004931E3" w:rsidP="004931E3">
            <w:pPr>
              <w:suppressAutoHyphens/>
              <w:autoSpaceDE w:val="0"/>
              <w:autoSpaceDN w:val="0"/>
              <w:adjustRightInd w:val="0"/>
              <w:jc w:val="center"/>
              <w:rPr>
                <w:rFonts w:eastAsia="MS Mincho"/>
                <w:color w:val="000000"/>
                <w:sz w:val="22"/>
                <w:szCs w:val="22"/>
                <w:lang w:val="ru-RU" w:eastAsia="fr-FR"/>
              </w:rPr>
            </w:pPr>
            <w:r w:rsidRPr="004931E3">
              <w:rPr>
                <w:rFonts w:eastAsia="MS Mincho"/>
                <w:color w:val="000000"/>
                <w:sz w:val="22"/>
                <w:szCs w:val="22"/>
                <w:lang w:val="ru-RU" w:eastAsia="fr-FR"/>
              </w:rPr>
              <w:t>Frarådes</w:t>
            </w:r>
          </w:p>
        </w:tc>
      </w:tr>
    </w:tbl>
    <w:p w14:paraId="37994132" w14:textId="77777777" w:rsidR="004931E3" w:rsidRPr="004931E3" w:rsidRDefault="004931E3" w:rsidP="004931E3">
      <w:pPr>
        <w:suppressAutoHyphens/>
        <w:autoSpaceDE w:val="0"/>
        <w:autoSpaceDN w:val="0"/>
        <w:adjustRightInd w:val="0"/>
        <w:ind w:left="851"/>
        <w:rPr>
          <w:rFonts w:eastAsia="MS Mincho"/>
          <w:color w:val="000000"/>
          <w:sz w:val="20"/>
          <w:lang w:eastAsia="fr-FR"/>
        </w:rPr>
      </w:pPr>
      <w:r w:rsidRPr="004931E3">
        <w:rPr>
          <w:rFonts w:eastAsia="MS Mincho"/>
          <w:color w:val="000000"/>
          <w:sz w:val="20"/>
          <w:vertAlign w:val="superscript"/>
          <w:lang w:eastAsia="fr-FR"/>
        </w:rPr>
        <w:t>(1)</w:t>
      </w:r>
      <w:r w:rsidRPr="004931E3">
        <w:rPr>
          <w:rFonts w:eastAsia="MS Mincho"/>
          <w:color w:val="000000"/>
          <w:sz w:val="20"/>
          <w:lang w:eastAsia="fr-FR"/>
        </w:rPr>
        <w:t xml:space="preserve"> Let/moderat: eGFR 30 til 89 ml/min/1,73 m</w:t>
      </w:r>
      <w:r w:rsidRPr="004931E3">
        <w:rPr>
          <w:rFonts w:eastAsia="MS Mincho"/>
          <w:color w:val="000000"/>
          <w:sz w:val="20"/>
          <w:vertAlign w:val="superscript"/>
          <w:lang w:eastAsia="fr-FR"/>
        </w:rPr>
        <w:t>2</w:t>
      </w:r>
      <w:r w:rsidRPr="004931E3">
        <w:rPr>
          <w:rFonts w:eastAsia="MS Mincho"/>
          <w:color w:val="000000"/>
          <w:sz w:val="20"/>
          <w:lang w:eastAsia="fr-FR"/>
        </w:rPr>
        <w:t>; svær: eGFR 15 til 29 ml/min/1,73 m</w:t>
      </w:r>
      <w:r w:rsidRPr="004931E3">
        <w:rPr>
          <w:rFonts w:eastAsia="MS Mincho"/>
          <w:color w:val="000000"/>
          <w:sz w:val="20"/>
          <w:vertAlign w:val="superscript"/>
          <w:lang w:eastAsia="fr-FR"/>
        </w:rPr>
        <w:t>2</w:t>
      </w:r>
      <w:r w:rsidRPr="004931E3">
        <w:rPr>
          <w:rFonts w:eastAsia="MS Mincho"/>
          <w:color w:val="000000"/>
          <w:sz w:val="20"/>
          <w:lang w:eastAsia="fr-FR"/>
        </w:rPr>
        <w:t xml:space="preserve">; ESRD: </w:t>
      </w:r>
      <w:r w:rsidRPr="004931E3">
        <w:rPr>
          <w:rFonts w:eastAsia="MS Mincho"/>
          <w:color w:val="000000"/>
          <w:sz w:val="20"/>
          <w:lang w:eastAsia="fr-FR"/>
        </w:rPr>
        <w:br/>
        <w:t>eGFR &lt; 15 ml/min/1,73 m</w:t>
      </w:r>
      <w:r w:rsidRPr="004931E3">
        <w:rPr>
          <w:rFonts w:eastAsia="MS Mincho"/>
          <w:color w:val="000000"/>
          <w:sz w:val="20"/>
          <w:vertAlign w:val="superscript"/>
          <w:lang w:eastAsia="fr-FR"/>
        </w:rPr>
        <w:t>2</w:t>
      </w:r>
      <w:r w:rsidRPr="004931E3">
        <w:rPr>
          <w:rFonts w:eastAsia="MS Mincho"/>
          <w:color w:val="000000"/>
          <w:sz w:val="20"/>
          <w:lang w:eastAsia="fr-FR"/>
        </w:rPr>
        <w:t xml:space="preserve">. Dosisjustering er ikke nødvendig for patienter med let til moderat nedsat nyrefunktion. </w:t>
      </w:r>
    </w:p>
    <w:p w14:paraId="0D66E86B" w14:textId="77777777" w:rsidR="004931E3" w:rsidRPr="004931E3" w:rsidRDefault="004931E3" w:rsidP="004931E3">
      <w:pPr>
        <w:suppressAutoHyphens/>
        <w:autoSpaceDE w:val="0"/>
        <w:autoSpaceDN w:val="0"/>
        <w:adjustRightInd w:val="0"/>
        <w:ind w:left="851"/>
        <w:rPr>
          <w:rFonts w:eastAsia="MS Mincho"/>
          <w:color w:val="000000"/>
          <w:sz w:val="20"/>
          <w:lang w:val="en-US" w:eastAsia="fr-FR"/>
        </w:rPr>
      </w:pPr>
      <w:r w:rsidRPr="004931E3">
        <w:rPr>
          <w:rFonts w:eastAsia="MS Mincho"/>
          <w:color w:val="000000"/>
          <w:sz w:val="20"/>
          <w:vertAlign w:val="superscript"/>
          <w:lang w:val="en-US" w:eastAsia="fr-FR"/>
        </w:rPr>
        <w:t>(2)</w:t>
      </w:r>
      <w:r w:rsidRPr="004931E3">
        <w:rPr>
          <w:rFonts w:eastAsia="MS Mincho"/>
          <w:color w:val="000000"/>
          <w:sz w:val="20"/>
          <w:lang w:val="en-US" w:eastAsia="fr-FR"/>
        </w:rPr>
        <w:t xml:space="preserve"> Let: Child-Pugh-klasse A; moderat: Child-Pugh-klasse B; svær: Child-Pugh-klasse C. </w:t>
      </w:r>
    </w:p>
    <w:p w14:paraId="3FEF0EC3" w14:textId="77777777" w:rsidR="004931E3" w:rsidRPr="004931E3" w:rsidRDefault="004931E3" w:rsidP="004931E3">
      <w:pPr>
        <w:suppressAutoHyphens/>
        <w:autoSpaceDE w:val="0"/>
        <w:autoSpaceDN w:val="0"/>
        <w:adjustRightInd w:val="0"/>
        <w:ind w:left="851"/>
        <w:rPr>
          <w:rFonts w:eastAsia="MS Mincho"/>
          <w:color w:val="000000"/>
          <w:sz w:val="20"/>
          <w:lang w:eastAsia="fr-FR"/>
        </w:rPr>
      </w:pPr>
      <w:r w:rsidRPr="004931E3">
        <w:rPr>
          <w:rFonts w:eastAsia="MS Mincho"/>
          <w:color w:val="000000"/>
          <w:sz w:val="20"/>
          <w:lang w:eastAsia="fr-FR"/>
        </w:rPr>
        <w:t xml:space="preserve">* Til patienter med let til moderat nedsat nyrefunktion eller let nedsat leverfunktion, som samtidig får stærke CYP3A-hæmmere, er den anbefalede dosis ikke mere end startdosen. </w:t>
      </w:r>
    </w:p>
    <w:p w14:paraId="51162A07" w14:textId="77777777" w:rsidR="004931E3" w:rsidRPr="004931E3" w:rsidRDefault="004931E3" w:rsidP="004931E3">
      <w:pPr>
        <w:suppressAutoHyphens/>
        <w:autoSpaceDE w:val="0"/>
        <w:autoSpaceDN w:val="0"/>
        <w:adjustRightInd w:val="0"/>
        <w:ind w:left="851"/>
        <w:rPr>
          <w:rFonts w:eastAsia="MS Mincho"/>
          <w:color w:val="000000"/>
          <w:sz w:val="20"/>
          <w:lang w:eastAsia="fr-FR"/>
        </w:rPr>
      </w:pPr>
      <w:r w:rsidRPr="004931E3">
        <w:rPr>
          <w:rFonts w:eastAsia="MS Mincho"/>
          <w:color w:val="000000"/>
          <w:sz w:val="20"/>
          <w:lang w:eastAsia="fr-FR"/>
        </w:rPr>
        <w:t xml:space="preserve">** Frarådes til patienter med svært nedsat nyrefunktion eller moderat nedsat leverfunktion, som samtidig får stærke CYP3A-hæmmere. </w:t>
      </w:r>
    </w:p>
    <w:p w14:paraId="5A572A8E" w14:textId="77777777" w:rsidR="004931E3" w:rsidRPr="004931E3" w:rsidRDefault="004931E3" w:rsidP="004931E3">
      <w:pPr>
        <w:suppressAutoHyphens/>
        <w:autoSpaceDE w:val="0"/>
        <w:autoSpaceDN w:val="0"/>
        <w:adjustRightInd w:val="0"/>
        <w:ind w:left="851"/>
        <w:rPr>
          <w:rFonts w:eastAsia="MS Mincho"/>
          <w:color w:val="000000"/>
          <w:sz w:val="24"/>
          <w:szCs w:val="24"/>
          <w:lang w:eastAsia="fr-FR"/>
        </w:rPr>
      </w:pPr>
    </w:p>
    <w:p w14:paraId="5D086586" w14:textId="77777777" w:rsidR="004931E3" w:rsidRPr="004931E3" w:rsidRDefault="004931E3" w:rsidP="004931E3">
      <w:pPr>
        <w:suppressAutoHyphens/>
        <w:autoSpaceDE w:val="0"/>
        <w:autoSpaceDN w:val="0"/>
        <w:adjustRightInd w:val="0"/>
        <w:ind w:left="851"/>
        <w:rPr>
          <w:rFonts w:eastAsia="MS Mincho"/>
          <w:color w:val="000000"/>
          <w:sz w:val="24"/>
          <w:szCs w:val="24"/>
          <w:lang w:eastAsia="fr-FR"/>
        </w:rPr>
      </w:pPr>
      <w:r w:rsidRPr="004931E3">
        <w:rPr>
          <w:rFonts w:eastAsia="MS Mincho"/>
          <w:i/>
          <w:color w:val="000000"/>
          <w:sz w:val="24"/>
          <w:szCs w:val="24"/>
          <w:lang w:eastAsia="fr-FR"/>
        </w:rPr>
        <w:t xml:space="preserve">Køn </w:t>
      </w:r>
    </w:p>
    <w:p w14:paraId="262B9AA6" w14:textId="77777777" w:rsidR="004931E3" w:rsidRPr="004931E3" w:rsidRDefault="004931E3" w:rsidP="004931E3">
      <w:pPr>
        <w:suppressAutoHyphens/>
        <w:autoSpaceDE w:val="0"/>
        <w:autoSpaceDN w:val="0"/>
        <w:adjustRightInd w:val="0"/>
        <w:ind w:left="851"/>
        <w:rPr>
          <w:rFonts w:eastAsia="MS Mincho"/>
          <w:color w:val="000000"/>
          <w:sz w:val="24"/>
          <w:szCs w:val="24"/>
          <w:lang w:eastAsia="fr-FR"/>
        </w:rPr>
      </w:pPr>
      <w:r w:rsidRPr="004931E3">
        <w:rPr>
          <w:rFonts w:eastAsia="MS Mincho"/>
          <w:color w:val="000000"/>
          <w:sz w:val="24"/>
          <w:szCs w:val="24"/>
          <w:lang w:eastAsia="fr-FR"/>
        </w:rPr>
        <w:t>Dosisjustering baseret på køn er ikke nødvendig.</w:t>
      </w:r>
    </w:p>
    <w:p w14:paraId="71D8AB64" w14:textId="77777777" w:rsidR="004931E3" w:rsidRPr="004931E3" w:rsidRDefault="004931E3" w:rsidP="004931E3">
      <w:pPr>
        <w:suppressAutoHyphens/>
        <w:autoSpaceDE w:val="0"/>
        <w:autoSpaceDN w:val="0"/>
        <w:adjustRightInd w:val="0"/>
        <w:ind w:left="851"/>
        <w:rPr>
          <w:rFonts w:eastAsia="MS Mincho"/>
          <w:color w:val="000000"/>
          <w:sz w:val="24"/>
          <w:szCs w:val="24"/>
          <w:lang w:eastAsia="fr-FR"/>
        </w:rPr>
      </w:pPr>
    </w:p>
    <w:p w14:paraId="20341A69" w14:textId="77777777" w:rsidR="004931E3" w:rsidRPr="004931E3" w:rsidRDefault="004931E3" w:rsidP="004931E3">
      <w:pPr>
        <w:suppressAutoHyphens/>
        <w:autoSpaceDE w:val="0"/>
        <w:autoSpaceDN w:val="0"/>
        <w:adjustRightInd w:val="0"/>
        <w:ind w:left="851"/>
        <w:rPr>
          <w:rFonts w:eastAsia="MS Mincho"/>
          <w:iCs/>
          <w:color w:val="000000"/>
          <w:sz w:val="24"/>
          <w:szCs w:val="24"/>
          <w:u w:val="single"/>
          <w:lang w:eastAsia="fr-FR"/>
        </w:rPr>
      </w:pPr>
      <w:r w:rsidRPr="004931E3">
        <w:rPr>
          <w:rFonts w:eastAsia="MS Mincho"/>
          <w:iCs/>
          <w:color w:val="000000"/>
          <w:sz w:val="24"/>
          <w:szCs w:val="24"/>
          <w:u w:val="single"/>
          <w:lang w:eastAsia="fr-FR"/>
        </w:rPr>
        <w:t xml:space="preserve">Pædiatrisk population </w:t>
      </w:r>
    </w:p>
    <w:p w14:paraId="09E5E406" w14:textId="77777777" w:rsidR="004931E3" w:rsidRPr="004931E3" w:rsidRDefault="004931E3" w:rsidP="004931E3">
      <w:pPr>
        <w:suppressAutoHyphens/>
        <w:autoSpaceDE w:val="0"/>
        <w:autoSpaceDN w:val="0"/>
        <w:adjustRightInd w:val="0"/>
        <w:ind w:left="851"/>
        <w:rPr>
          <w:rFonts w:eastAsia="MS Mincho"/>
          <w:color w:val="000000"/>
          <w:sz w:val="24"/>
          <w:szCs w:val="24"/>
          <w:lang w:eastAsia="fr-FR"/>
        </w:rPr>
      </w:pPr>
      <w:r w:rsidRPr="004931E3">
        <w:rPr>
          <w:rFonts w:eastAsia="MS Mincho"/>
          <w:color w:val="000000"/>
          <w:sz w:val="24"/>
          <w:szCs w:val="24"/>
          <w:lang w:eastAsia="fr-FR"/>
        </w:rPr>
        <w:t xml:space="preserve"> </w:t>
      </w:r>
    </w:p>
    <w:p w14:paraId="53695E4B" w14:textId="77777777" w:rsidR="004931E3" w:rsidRPr="004931E3" w:rsidRDefault="004931E3" w:rsidP="004931E3">
      <w:pPr>
        <w:suppressAutoHyphens/>
        <w:autoSpaceDE w:val="0"/>
        <w:autoSpaceDN w:val="0"/>
        <w:adjustRightInd w:val="0"/>
        <w:ind w:left="851"/>
        <w:rPr>
          <w:rFonts w:eastAsia="MS Mincho"/>
          <w:color w:val="000000"/>
          <w:sz w:val="24"/>
          <w:szCs w:val="24"/>
          <w:lang w:eastAsia="fr-FR"/>
        </w:rPr>
      </w:pPr>
      <w:r w:rsidRPr="004931E3">
        <w:rPr>
          <w:rFonts w:eastAsia="MS Mincho"/>
          <w:i/>
          <w:color w:val="000000"/>
          <w:sz w:val="24"/>
          <w:szCs w:val="24"/>
          <w:lang w:eastAsia="fr-FR"/>
        </w:rPr>
        <w:t xml:space="preserve">Overaktiv blære </w:t>
      </w:r>
    </w:p>
    <w:p w14:paraId="0C535238" w14:textId="77777777" w:rsidR="004931E3" w:rsidRPr="004931E3" w:rsidRDefault="004931E3" w:rsidP="004931E3">
      <w:pPr>
        <w:suppressAutoHyphens/>
        <w:autoSpaceDE w:val="0"/>
        <w:autoSpaceDN w:val="0"/>
        <w:adjustRightInd w:val="0"/>
        <w:ind w:left="851"/>
        <w:rPr>
          <w:rFonts w:eastAsia="MS Mincho"/>
          <w:color w:val="000000"/>
          <w:sz w:val="24"/>
          <w:szCs w:val="24"/>
          <w:lang w:eastAsia="fr-FR"/>
        </w:rPr>
      </w:pPr>
      <w:r w:rsidRPr="004931E3">
        <w:rPr>
          <w:rFonts w:eastAsia="MS Mincho"/>
          <w:color w:val="000000"/>
          <w:sz w:val="24"/>
          <w:szCs w:val="24"/>
          <w:lang w:eastAsia="fr-FR"/>
        </w:rPr>
        <w:t xml:space="preserve">Mirabegrons sikkerhed og virkning hos børn under 18 år med OAB er ikke klarlagt. De foreliggende data er beskrevet i pkt. 5.1, men der kan ikke gives nogen anbefalinger vedrørende dosering. </w:t>
      </w:r>
    </w:p>
    <w:p w14:paraId="7385E231" w14:textId="77777777" w:rsidR="004931E3" w:rsidRPr="004931E3" w:rsidRDefault="004931E3" w:rsidP="004931E3">
      <w:pPr>
        <w:suppressAutoHyphens/>
        <w:autoSpaceDE w:val="0"/>
        <w:autoSpaceDN w:val="0"/>
        <w:adjustRightInd w:val="0"/>
        <w:ind w:left="851"/>
        <w:rPr>
          <w:rFonts w:eastAsia="MS Mincho"/>
          <w:color w:val="000000"/>
          <w:sz w:val="24"/>
          <w:szCs w:val="24"/>
          <w:lang w:eastAsia="fr-FR"/>
        </w:rPr>
      </w:pPr>
      <w:r w:rsidRPr="004931E3">
        <w:rPr>
          <w:rFonts w:eastAsia="MS Mincho"/>
          <w:i/>
          <w:color w:val="000000"/>
          <w:sz w:val="24"/>
          <w:szCs w:val="24"/>
          <w:lang w:eastAsia="fr-FR"/>
        </w:rPr>
        <w:t xml:space="preserve"> </w:t>
      </w:r>
    </w:p>
    <w:p w14:paraId="72436650" w14:textId="77777777" w:rsidR="004931E3" w:rsidRPr="004931E3" w:rsidRDefault="004931E3" w:rsidP="004931E3">
      <w:pPr>
        <w:suppressAutoHyphens/>
        <w:autoSpaceDE w:val="0"/>
        <w:autoSpaceDN w:val="0"/>
        <w:adjustRightInd w:val="0"/>
        <w:ind w:left="851"/>
        <w:rPr>
          <w:rFonts w:eastAsia="MS Mincho"/>
          <w:color w:val="000000"/>
          <w:sz w:val="24"/>
          <w:szCs w:val="24"/>
          <w:lang w:eastAsia="fr-FR"/>
        </w:rPr>
      </w:pPr>
      <w:r w:rsidRPr="004931E3">
        <w:rPr>
          <w:rFonts w:eastAsia="MS Mincho"/>
          <w:i/>
          <w:color w:val="000000"/>
          <w:sz w:val="24"/>
          <w:szCs w:val="24"/>
          <w:lang w:eastAsia="fr-FR"/>
        </w:rPr>
        <w:t>Neurogen detrusoroveraktivitet</w:t>
      </w:r>
      <w:r w:rsidRPr="004931E3">
        <w:rPr>
          <w:rFonts w:eastAsia="MS Mincho"/>
          <w:color w:val="000000"/>
          <w:sz w:val="24"/>
          <w:szCs w:val="24"/>
          <w:lang w:eastAsia="fr-FR"/>
        </w:rPr>
        <w:t xml:space="preserve"> </w:t>
      </w:r>
    </w:p>
    <w:p w14:paraId="1EB8F64A" w14:textId="77777777" w:rsidR="004931E3" w:rsidRPr="004931E3" w:rsidRDefault="004931E3" w:rsidP="004931E3">
      <w:pPr>
        <w:suppressAutoHyphens/>
        <w:autoSpaceDE w:val="0"/>
        <w:autoSpaceDN w:val="0"/>
        <w:adjustRightInd w:val="0"/>
        <w:ind w:left="851"/>
        <w:rPr>
          <w:rFonts w:eastAsia="MS Mincho"/>
          <w:i/>
          <w:color w:val="000000"/>
          <w:sz w:val="24"/>
          <w:szCs w:val="24"/>
          <w:lang w:eastAsia="fr-FR"/>
        </w:rPr>
      </w:pPr>
      <w:r w:rsidRPr="004931E3">
        <w:rPr>
          <w:rFonts w:eastAsia="MS Mincho"/>
          <w:color w:val="000000"/>
          <w:sz w:val="24"/>
          <w:szCs w:val="24"/>
          <w:lang w:eastAsia="fr-FR"/>
        </w:rPr>
        <w:t>Mirabegrons sikkerhed og virkning hos børn under 3 år er endnu ikke klarlagt.</w:t>
      </w:r>
    </w:p>
    <w:p w14:paraId="38CD25A9" w14:textId="77777777" w:rsidR="004931E3" w:rsidRPr="004931E3" w:rsidRDefault="004931E3" w:rsidP="004931E3">
      <w:pPr>
        <w:suppressAutoHyphens/>
        <w:autoSpaceDE w:val="0"/>
        <w:autoSpaceDN w:val="0"/>
        <w:adjustRightInd w:val="0"/>
        <w:ind w:left="851"/>
        <w:rPr>
          <w:rFonts w:eastAsia="MS Mincho"/>
          <w:iCs/>
          <w:color w:val="000000"/>
          <w:sz w:val="24"/>
          <w:szCs w:val="24"/>
          <w:lang w:eastAsia="fr-FR"/>
        </w:rPr>
      </w:pPr>
    </w:p>
    <w:p w14:paraId="312AA7C0" w14:textId="77777777" w:rsidR="004931E3" w:rsidRPr="004931E3" w:rsidRDefault="004931E3" w:rsidP="004931E3">
      <w:pPr>
        <w:suppressAutoHyphens/>
        <w:autoSpaceDE w:val="0"/>
        <w:autoSpaceDN w:val="0"/>
        <w:adjustRightInd w:val="0"/>
        <w:ind w:left="851"/>
        <w:rPr>
          <w:rFonts w:eastAsia="MS Mincho"/>
          <w:color w:val="000000"/>
          <w:sz w:val="24"/>
          <w:szCs w:val="24"/>
          <w:u w:val="single"/>
          <w:lang w:eastAsia="fr-FR"/>
        </w:rPr>
      </w:pPr>
      <w:r w:rsidRPr="004931E3">
        <w:rPr>
          <w:rFonts w:eastAsia="MS Mincho"/>
          <w:color w:val="000000"/>
          <w:sz w:val="24"/>
          <w:szCs w:val="24"/>
          <w:u w:val="single"/>
          <w:lang w:eastAsia="fr-FR"/>
        </w:rPr>
        <w:t>Administration</w:t>
      </w:r>
      <w:r w:rsidRPr="004931E3">
        <w:rPr>
          <w:rFonts w:eastAsia="MS Mincho"/>
          <w:color w:val="000000"/>
          <w:sz w:val="24"/>
          <w:szCs w:val="24"/>
          <w:lang w:eastAsia="fr-FR"/>
        </w:rPr>
        <w:t xml:space="preserve"> </w:t>
      </w:r>
    </w:p>
    <w:p w14:paraId="4C72450B" w14:textId="77777777" w:rsidR="004931E3" w:rsidRPr="004931E3" w:rsidRDefault="004931E3" w:rsidP="004931E3">
      <w:pPr>
        <w:suppressAutoHyphens/>
        <w:autoSpaceDE w:val="0"/>
        <w:autoSpaceDN w:val="0"/>
        <w:adjustRightInd w:val="0"/>
        <w:ind w:left="851"/>
        <w:rPr>
          <w:rFonts w:eastAsia="MS Mincho"/>
          <w:color w:val="000000"/>
          <w:sz w:val="24"/>
          <w:szCs w:val="24"/>
          <w:lang w:eastAsia="fr-FR"/>
        </w:rPr>
      </w:pPr>
      <w:r w:rsidRPr="004931E3">
        <w:rPr>
          <w:rFonts w:eastAsia="MS Mincho"/>
          <w:color w:val="000000"/>
          <w:sz w:val="24"/>
          <w:szCs w:val="24"/>
          <w:lang w:eastAsia="fr-FR"/>
        </w:rPr>
        <w:t xml:space="preserve"> </w:t>
      </w:r>
    </w:p>
    <w:p w14:paraId="56CF9E19" w14:textId="77777777" w:rsidR="004931E3" w:rsidRPr="004931E3" w:rsidRDefault="004931E3" w:rsidP="004931E3">
      <w:pPr>
        <w:suppressAutoHyphens/>
        <w:autoSpaceDE w:val="0"/>
        <w:autoSpaceDN w:val="0"/>
        <w:adjustRightInd w:val="0"/>
        <w:ind w:left="851"/>
        <w:rPr>
          <w:rFonts w:eastAsia="MS Mincho"/>
          <w:color w:val="000000"/>
          <w:sz w:val="24"/>
          <w:szCs w:val="24"/>
          <w:lang w:eastAsia="fr-FR"/>
        </w:rPr>
      </w:pPr>
      <w:r w:rsidRPr="004931E3">
        <w:rPr>
          <w:rFonts w:eastAsia="MS Mincho"/>
          <w:i/>
          <w:color w:val="000000"/>
          <w:sz w:val="24"/>
          <w:szCs w:val="24"/>
          <w:lang w:eastAsia="fr-FR"/>
        </w:rPr>
        <w:t xml:space="preserve">Overaktiv blære hos voksne </w:t>
      </w:r>
    </w:p>
    <w:p w14:paraId="75F0FC85" w14:textId="77777777" w:rsidR="004931E3" w:rsidRPr="004931E3" w:rsidRDefault="004931E3" w:rsidP="004931E3">
      <w:pPr>
        <w:suppressAutoHyphens/>
        <w:autoSpaceDE w:val="0"/>
        <w:autoSpaceDN w:val="0"/>
        <w:adjustRightInd w:val="0"/>
        <w:ind w:left="851"/>
        <w:rPr>
          <w:rFonts w:eastAsia="MS Mincho"/>
          <w:color w:val="000000"/>
          <w:sz w:val="24"/>
          <w:szCs w:val="24"/>
          <w:lang w:eastAsia="fr-FR"/>
        </w:rPr>
      </w:pPr>
      <w:r w:rsidRPr="004931E3">
        <w:rPr>
          <w:rFonts w:eastAsia="MS Mincho"/>
          <w:color w:val="000000"/>
          <w:sz w:val="24"/>
          <w:szCs w:val="24"/>
          <w:lang w:eastAsia="fr-FR"/>
        </w:rPr>
        <w:t xml:space="preserve">Tabletten skal tages med væske, synkes hel og må ikke tygges, deles eller knuses. Tabletten kan tages med eller uden mad. </w:t>
      </w:r>
    </w:p>
    <w:p w14:paraId="3914798C" w14:textId="77777777" w:rsidR="004931E3" w:rsidRPr="004931E3" w:rsidRDefault="004931E3" w:rsidP="004931E3">
      <w:pPr>
        <w:suppressAutoHyphens/>
        <w:autoSpaceDE w:val="0"/>
        <w:autoSpaceDN w:val="0"/>
        <w:adjustRightInd w:val="0"/>
        <w:ind w:left="851"/>
        <w:rPr>
          <w:rFonts w:eastAsia="MS Mincho"/>
          <w:color w:val="000000"/>
          <w:sz w:val="24"/>
          <w:szCs w:val="24"/>
          <w:lang w:eastAsia="fr-FR"/>
        </w:rPr>
      </w:pPr>
      <w:r w:rsidRPr="004931E3">
        <w:rPr>
          <w:rFonts w:eastAsia="MS Mincho"/>
          <w:color w:val="000000"/>
          <w:sz w:val="24"/>
          <w:szCs w:val="24"/>
          <w:lang w:eastAsia="fr-FR"/>
        </w:rPr>
        <w:t xml:space="preserve"> </w:t>
      </w:r>
    </w:p>
    <w:p w14:paraId="6187B3D1" w14:textId="77777777" w:rsidR="004931E3" w:rsidRPr="004931E3" w:rsidRDefault="004931E3" w:rsidP="004931E3">
      <w:pPr>
        <w:suppressAutoHyphens/>
        <w:autoSpaceDE w:val="0"/>
        <w:autoSpaceDN w:val="0"/>
        <w:adjustRightInd w:val="0"/>
        <w:ind w:left="851"/>
        <w:rPr>
          <w:rFonts w:eastAsia="MS Mincho"/>
          <w:color w:val="000000"/>
          <w:sz w:val="24"/>
          <w:szCs w:val="24"/>
          <w:lang w:eastAsia="fr-FR"/>
        </w:rPr>
      </w:pPr>
      <w:r w:rsidRPr="004931E3">
        <w:rPr>
          <w:rFonts w:eastAsia="MS Mincho"/>
          <w:i/>
          <w:color w:val="000000"/>
          <w:sz w:val="24"/>
          <w:szCs w:val="24"/>
          <w:lang w:eastAsia="fr-FR"/>
        </w:rPr>
        <w:t>Neurogen detrusoroveraktivitet i den pædiatriske population</w:t>
      </w:r>
      <w:r w:rsidRPr="004931E3">
        <w:rPr>
          <w:rFonts w:eastAsia="MS Mincho"/>
          <w:color w:val="000000"/>
          <w:sz w:val="24"/>
          <w:szCs w:val="24"/>
          <w:lang w:eastAsia="fr-FR"/>
        </w:rPr>
        <w:t xml:space="preserve"> </w:t>
      </w:r>
    </w:p>
    <w:p w14:paraId="2E0A4F77" w14:textId="77777777" w:rsidR="004931E3" w:rsidRPr="004931E3" w:rsidRDefault="004931E3" w:rsidP="004931E3">
      <w:pPr>
        <w:suppressAutoHyphens/>
        <w:autoSpaceDE w:val="0"/>
        <w:autoSpaceDN w:val="0"/>
        <w:adjustRightInd w:val="0"/>
        <w:ind w:left="851"/>
        <w:rPr>
          <w:rFonts w:eastAsia="MS Mincho"/>
          <w:color w:val="000000"/>
          <w:sz w:val="24"/>
          <w:szCs w:val="24"/>
          <w:lang w:eastAsia="fr-FR"/>
        </w:rPr>
      </w:pPr>
      <w:r w:rsidRPr="004931E3">
        <w:rPr>
          <w:rFonts w:eastAsia="MS Mincho"/>
          <w:color w:val="000000"/>
          <w:sz w:val="24"/>
          <w:szCs w:val="24"/>
          <w:lang w:eastAsia="fr-FR"/>
        </w:rPr>
        <w:t xml:space="preserve">Tabletten skal tages med væske, synkes hel og må ikke tygges, deles eller knuses. Tabletten skal tages med mad. </w:t>
      </w:r>
    </w:p>
    <w:p w14:paraId="57F6A59D" w14:textId="77777777" w:rsidR="009260DE" w:rsidRPr="004931E3" w:rsidRDefault="009260DE" w:rsidP="004931E3">
      <w:pPr>
        <w:tabs>
          <w:tab w:val="left" w:pos="851"/>
        </w:tabs>
        <w:ind w:left="851"/>
        <w:rPr>
          <w:sz w:val="24"/>
          <w:szCs w:val="24"/>
        </w:rPr>
      </w:pPr>
    </w:p>
    <w:p w14:paraId="2C3C626F" w14:textId="77777777" w:rsidR="009260DE" w:rsidRPr="00C84483" w:rsidRDefault="009260DE" w:rsidP="004931E3">
      <w:pPr>
        <w:tabs>
          <w:tab w:val="left" w:pos="851"/>
        </w:tabs>
        <w:ind w:left="851" w:hanging="851"/>
        <w:rPr>
          <w:b/>
          <w:sz w:val="24"/>
          <w:szCs w:val="24"/>
        </w:rPr>
      </w:pPr>
      <w:r w:rsidRPr="00C84483">
        <w:rPr>
          <w:b/>
          <w:sz w:val="24"/>
          <w:szCs w:val="24"/>
        </w:rPr>
        <w:t>4.3</w:t>
      </w:r>
      <w:r w:rsidRPr="00C84483">
        <w:rPr>
          <w:b/>
          <w:sz w:val="24"/>
          <w:szCs w:val="24"/>
        </w:rPr>
        <w:tab/>
        <w:t>Kontraindikationer</w:t>
      </w:r>
    </w:p>
    <w:p w14:paraId="0FE7843B" w14:textId="77777777" w:rsidR="00933561" w:rsidRPr="00933561" w:rsidRDefault="00933561" w:rsidP="00933561">
      <w:pPr>
        <w:numPr>
          <w:ilvl w:val="0"/>
          <w:numId w:val="6"/>
        </w:numPr>
        <w:tabs>
          <w:tab w:val="left" w:pos="851"/>
        </w:tabs>
        <w:ind w:left="1134" w:hanging="283"/>
        <w:rPr>
          <w:sz w:val="24"/>
          <w:szCs w:val="24"/>
        </w:rPr>
      </w:pPr>
      <w:r w:rsidRPr="00933561">
        <w:rPr>
          <w:sz w:val="24"/>
          <w:szCs w:val="24"/>
        </w:rPr>
        <w:t xml:space="preserve">Overfølsomhed over for det aktive stof eller over for et eller flere af hjælpestofferne anført i pkt. 6.1. </w:t>
      </w:r>
    </w:p>
    <w:p w14:paraId="3FC88C19" w14:textId="77777777" w:rsidR="00933561" w:rsidRPr="00933561" w:rsidRDefault="00933561" w:rsidP="00933561">
      <w:pPr>
        <w:numPr>
          <w:ilvl w:val="0"/>
          <w:numId w:val="6"/>
        </w:numPr>
        <w:tabs>
          <w:tab w:val="left" w:pos="851"/>
        </w:tabs>
        <w:ind w:left="1134" w:hanging="283"/>
        <w:rPr>
          <w:sz w:val="24"/>
          <w:szCs w:val="24"/>
        </w:rPr>
      </w:pPr>
      <w:r w:rsidRPr="00933561">
        <w:rPr>
          <w:sz w:val="24"/>
          <w:szCs w:val="24"/>
        </w:rPr>
        <w:t xml:space="preserve">Svær ukontrolleret hypertension defineret som systolisk blodtryk ≥ 180 mm Hg og/eller diastolisk blodtryk ≥ 110 mm Hg. </w:t>
      </w:r>
    </w:p>
    <w:p w14:paraId="428C9F96" w14:textId="77777777" w:rsidR="009260DE" w:rsidRPr="00C84483" w:rsidRDefault="009260DE" w:rsidP="004931E3">
      <w:pPr>
        <w:tabs>
          <w:tab w:val="left" w:pos="851"/>
        </w:tabs>
        <w:ind w:left="851"/>
        <w:rPr>
          <w:sz w:val="24"/>
          <w:szCs w:val="24"/>
        </w:rPr>
      </w:pPr>
    </w:p>
    <w:p w14:paraId="27D311CA" w14:textId="77777777" w:rsidR="009260DE" w:rsidRPr="00C84483" w:rsidRDefault="009260DE" w:rsidP="004931E3">
      <w:pPr>
        <w:tabs>
          <w:tab w:val="left" w:pos="851"/>
        </w:tabs>
        <w:ind w:left="851" w:hanging="851"/>
        <w:rPr>
          <w:b/>
          <w:sz w:val="24"/>
          <w:szCs w:val="24"/>
        </w:rPr>
      </w:pPr>
      <w:r w:rsidRPr="00C84483">
        <w:rPr>
          <w:b/>
          <w:sz w:val="24"/>
          <w:szCs w:val="24"/>
        </w:rPr>
        <w:t>4.4</w:t>
      </w:r>
      <w:r w:rsidRPr="00C84483">
        <w:rPr>
          <w:b/>
          <w:sz w:val="24"/>
          <w:szCs w:val="24"/>
        </w:rPr>
        <w:tab/>
        <w:t>Særlige advarsler og forsigtighedsregler vedrørende brugen</w:t>
      </w:r>
    </w:p>
    <w:p w14:paraId="5291A299" w14:textId="77777777" w:rsidR="00933561" w:rsidRPr="00933561" w:rsidRDefault="00933561" w:rsidP="00933561">
      <w:pPr>
        <w:tabs>
          <w:tab w:val="left" w:pos="851"/>
        </w:tabs>
        <w:ind w:left="851"/>
        <w:rPr>
          <w:sz w:val="24"/>
          <w:szCs w:val="24"/>
        </w:rPr>
      </w:pPr>
    </w:p>
    <w:p w14:paraId="3817A911" w14:textId="77777777" w:rsidR="00933561" w:rsidRPr="00933561" w:rsidRDefault="00933561" w:rsidP="00933561">
      <w:pPr>
        <w:tabs>
          <w:tab w:val="left" w:pos="851"/>
        </w:tabs>
        <w:ind w:left="851"/>
        <w:rPr>
          <w:sz w:val="24"/>
          <w:szCs w:val="24"/>
          <w:u w:val="single"/>
        </w:rPr>
      </w:pPr>
      <w:r w:rsidRPr="00933561">
        <w:rPr>
          <w:sz w:val="24"/>
          <w:szCs w:val="24"/>
          <w:u w:val="single"/>
        </w:rPr>
        <w:t>Nedsat nyrefunktion</w:t>
      </w:r>
      <w:r w:rsidRPr="00933561">
        <w:rPr>
          <w:sz w:val="24"/>
          <w:szCs w:val="24"/>
        </w:rPr>
        <w:t xml:space="preserve"> </w:t>
      </w:r>
    </w:p>
    <w:p w14:paraId="512BB777" w14:textId="61BF8B50" w:rsidR="00933561" w:rsidRPr="00933561" w:rsidRDefault="00933561" w:rsidP="00933561">
      <w:pPr>
        <w:tabs>
          <w:tab w:val="left" w:pos="851"/>
        </w:tabs>
        <w:ind w:left="851"/>
        <w:rPr>
          <w:sz w:val="24"/>
          <w:szCs w:val="24"/>
        </w:rPr>
      </w:pPr>
      <w:r w:rsidRPr="00933561">
        <w:rPr>
          <w:sz w:val="24"/>
          <w:szCs w:val="24"/>
        </w:rPr>
        <w:t>Mirabegron er ikke undersøgt hos patienter med ESRD (eGFR &lt; 15 ml/min/1,73 m</w:t>
      </w:r>
      <w:r w:rsidRPr="00933561">
        <w:rPr>
          <w:sz w:val="24"/>
          <w:szCs w:val="24"/>
          <w:vertAlign w:val="superscript"/>
        </w:rPr>
        <w:t>2</w:t>
      </w:r>
      <w:r w:rsidRPr="00933561">
        <w:rPr>
          <w:sz w:val="24"/>
          <w:szCs w:val="24"/>
        </w:rPr>
        <w:t>) eller patienter med behov for hæmodialyse og frarådes derfor til denne patientpopulation. Der er utilstrækkelige data for patienter med svært nedsat nyrefunktion (eGFR 15 til 29 ml/min/1,73 m</w:t>
      </w:r>
      <w:r w:rsidRPr="00933561">
        <w:rPr>
          <w:sz w:val="24"/>
          <w:szCs w:val="24"/>
          <w:vertAlign w:val="superscript"/>
        </w:rPr>
        <w:t>2</w:t>
      </w:r>
      <w:r w:rsidRPr="00933561">
        <w:rPr>
          <w:sz w:val="24"/>
          <w:szCs w:val="24"/>
        </w:rPr>
        <w:t xml:space="preserve">); på grundlag af et farmakokinetisk studie (se pkt. 5.2) anbefales en dosis på 25 mg én gang dagligt for denne population. Dette lægemiddel frarådes til patienter med svært nedsat nyrefunktion (eGFR 15 til </w:t>
      </w:r>
      <w:r>
        <w:rPr>
          <w:sz w:val="24"/>
          <w:szCs w:val="24"/>
        </w:rPr>
        <w:t xml:space="preserve"> </w:t>
      </w:r>
      <w:r w:rsidRPr="00933561">
        <w:rPr>
          <w:sz w:val="24"/>
          <w:szCs w:val="24"/>
        </w:rPr>
        <w:t>29 ml/min/1,73 m</w:t>
      </w:r>
      <w:r w:rsidRPr="00933561">
        <w:rPr>
          <w:sz w:val="24"/>
          <w:szCs w:val="24"/>
          <w:vertAlign w:val="superscript"/>
        </w:rPr>
        <w:t>2</w:t>
      </w:r>
      <w:r w:rsidRPr="00933561">
        <w:rPr>
          <w:sz w:val="24"/>
          <w:szCs w:val="24"/>
        </w:rPr>
        <w:t>), som samtidig får stærke CYP3A-hæmmere (se pkt. 4.5).</w:t>
      </w:r>
    </w:p>
    <w:p w14:paraId="152A3B62" w14:textId="77777777" w:rsidR="00933561" w:rsidRPr="00933561" w:rsidRDefault="00933561" w:rsidP="00933561">
      <w:pPr>
        <w:tabs>
          <w:tab w:val="left" w:pos="851"/>
        </w:tabs>
        <w:ind w:left="851"/>
        <w:rPr>
          <w:sz w:val="24"/>
          <w:szCs w:val="24"/>
          <w:u w:val="single"/>
        </w:rPr>
      </w:pPr>
      <w:r w:rsidRPr="00933561">
        <w:rPr>
          <w:sz w:val="24"/>
          <w:szCs w:val="24"/>
          <w:u w:val="single"/>
        </w:rPr>
        <w:t>Nedsat leverfunktion</w:t>
      </w:r>
      <w:r w:rsidRPr="00933561">
        <w:rPr>
          <w:sz w:val="24"/>
          <w:szCs w:val="24"/>
        </w:rPr>
        <w:t xml:space="preserve"> </w:t>
      </w:r>
    </w:p>
    <w:p w14:paraId="1034C857" w14:textId="77777777" w:rsidR="00933561" w:rsidRPr="00933561" w:rsidRDefault="00933561" w:rsidP="00933561">
      <w:pPr>
        <w:tabs>
          <w:tab w:val="left" w:pos="851"/>
        </w:tabs>
        <w:ind w:left="851"/>
        <w:rPr>
          <w:sz w:val="24"/>
          <w:szCs w:val="24"/>
        </w:rPr>
      </w:pPr>
      <w:r w:rsidRPr="00933561">
        <w:rPr>
          <w:sz w:val="24"/>
          <w:szCs w:val="24"/>
        </w:rPr>
        <w:t xml:space="preserve"> </w:t>
      </w:r>
    </w:p>
    <w:p w14:paraId="53F66BC0" w14:textId="77777777" w:rsidR="00933561" w:rsidRPr="00933561" w:rsidRDefault="00933561" w:rsidP="00933561">
      <w:pPr>
        <w:tabs>
          <w:tab w:val="left" w:pos="851"/>
        </w:tabs>
        <w:ind w:left="851"/>
        <w:rPr>
          <w:sz w:val="24"/>
          <w:szCs w:val="24"/>
        </w:rPr>
      </w:pPr>
      <w:r w:rsidRPr="00933561">
        <w:rPr>
          <w:sz w:val="24"/>
          <w:szCs w:val="24"/>
        </w:rPr>
        <w:t xml:space="preserve">Mirabegron er ikke undersøgt hos patienter med svært nedsat leverfunktion (Child-Pugh-klasse C) og frarådes derfor til denne patientpopulation. Dette lægemiddel frarådes til patienter med moderat nedsat leverfunktion (Child-Pugh-klasse B), som samtidig får stærke CYP3A-hæmmere (se pkt. 4.5). </w:t>
      </w:r>
    </w:p>
    <w:p w14:paraId="2F907CCB" w14:textId="77777777" w:rsidR="00933561" w:rsidRPr="00933561" w:rsidRDefault="00933561" w:rsidP="00933561">
      <w:pPr>
        <w:tabs>
          <w:tab w:val="left" w:pos="851"/>
        </w:tabs>
        <w:ind w:left="851"/>
        <w:rPr>
          <w:sz w:val="24"/>
          <w:szCs w:val="24"/>
        </w:rPr>
      </w:pPr>
      <w:r w:rsidRPr="00933561">
        <w:rPr>
          <w:sz w:val="24"/>
          <w:szCs w:val="24"/>
        </w:rPr>
        <w:t xml:space="preserve"> </w:t>
      </w:r>
    </w:p>
    <w:p w14:paraId="55103BA1" w14:textId="77777777" w:rsidR="00933561" w:rsidRPr="00933561" w:rsidRDefault="00933561" w:rsidP="00933561">
      <w:pPr>
        <w:tabs>
          <w:tab w:val="left" w:pos="851"/>
        </w:tabs>
        <w:ind w:left="851"/>
        <w:rPr>
          <w:sz w:val="24"/>
          <w:szCs w:val="24"/>
          <w:u w:val="single"/>
        </w:rPr>
      </w:pPr>
      <w:r w:rsidRPr="00933561">
        <w:rPr>
          <w:sz w:val="24"/>
          <w:szCs w:val="24"/>
          <w:u w:val="single"/>
        </w:rPr>
        <w:t>Hypertension</w:t>
      </w:r>
      <w:r w:rsidRPr="00933561">
        <w:rPr>
          <w:sz w:val="24"/>
          <w:szCs w:val="24"/>
        </w:rPr>
        <w:t xml:space="preserve"> </w:t>
      </w:r>
    </w:p>
    <w:p w14:paraId="6ACC7F0E" w14:textId="77777777" w:rsidR="00933561" w:rsidRPr="00933561" w:rsidRDefault="00933561" w:rsidP="00933561">
      <w:pPr>
        <w:tabs>
          <w:tab w:val="left" w:pos="851"/>
        </w:tabs>
        <w:ind w:left="851"/>
        <w:rPr>
          <w:sz w:val="24"/>
          <w:szCs w:val="24"/>
        </w:rPr>
      </w:pPr>
      <w:r w:rsidRPr="00933561">
        <w:rPr>
          <w:sz w:val="24"/>
          <w:szCs w:val="24"/>
        </w:rPr>
        <w:t xml:space="preserve"> </w:t>
      </w:r>
    </w:p>
    <w:p w14:paraId="423327AF" w14:textId="77777777" w:rsidR="00933561" w:rsidRPr="00933561" w:rsidRDefault="00933561" w:rsidP="00933561">
      <w:pPr>
        <w:tabs>
          <w:tab w:val="left" w:pos="851"/>
        </w:tabs>
        <w:ind w:left="851"/>
        <w:rPr>
          <w:sz w:val="24"/>
          <w:szCs w:val="24"/>
        </w:rPr>
      </w:pPr>
      <w:r w:rsidRPr="00933561">
        <w:rPr>
          <w:i/>
          <w:sz w:val="24"/>
          <w:szCs w:val="24"/>
        </w:rPr>
        <w:t xml:space="preserve">Overaktiv blære hos voksne </w:t>
      </w:r>
    </w:p>
    <w:p w14:paraId="3F86381F" w14:textId="77777777" w:rsidR="00933561" w:rsidRPr="00933561" w:rsidRDefault="00933561" w:rsidP="00933561">
      <w:pPr>
        <w:tabs>
          <w:tab w:val="left" w:pos="851"/>
        </w:tabs>
        <w:ind w:left="851"/>
        <w:rPr>
          <w:sz w:val="24"/>
          <w:szCs w:val="24"/>
        </w:rPr>
      </w:pPr>
      <w:r w:rsidRPr="00933561">
        <w:rPr>
          <w:sz w:val="24"/>
          <w:szCs w:val="24"/>
        </w:rPr>
        <w:t xml:space="preserve">Mirabegron kan øge blodtrykket. Blodtrykket bør måles ved </w:t>
      </w:r>
      <w:r w:rsidRPr="00933561">
        <w:rPr>
          <w:i/>
          <w:sz w:val="24"/>
          <w:szCs w:val="24"/>
        </w:rPr>
        <w:t>baseline</w:t>
      </w:r>
      <w:r w:rsidRPr="00933561">
        <w:rPr>
          <w:sz w:val="24"/>
          <w:szCs w:val="24"/>
        </w:rPr>
        <w:t xml:space="preserve"> og regelmæssigt under behandling med mirabegron, især i hypertensive patienter. </w:t>
      </w:r>
    </w:p>
    <w:p w14:paraId="1B23C50C" w14:textId="77777777" w:rsidR="00933561" w:rsidRPr="00933561" w:rsidRDefault="00933561" w:rsidP="00933561">
      <w:pPr>
        <w:tabs>
          <w:tab w:val="left" w:pos="851"/>
        </w:tabs>
        <w:ind w:left="851"/>
        <w:rPr>
          <w:sz w:val="24"/>
          <w:szCs w:val="24"/>
        </w:rPr>
      </w:pPr>
      <w:r w:rsidRPr="00933561">
        <w:rPr>
          <w:sz w:val="24"/>
          <w:szCs w:val="24"/>
        </w:rPr>
        <w:t xml:space="preserve"> </w:t>
      </w:r>
    </w:p>
    <w:p w14:paraId="464B1149" w14:textId="77777777" w:rsidR="00933561" w:rsidRPr="00933561" w:rsidRDefault="00933561" w:rsidP="00933561">
      <w:pPr>
        <w:tabs>
          <w:tab w:val="left" w:pos="851"/>
        </w:tabs>
        <w:ind w:left="851"/>
        <w:rPr>
          <w:sz w:val="24"/>
          <w:szCs w:val="24"/>
        </w:rPr>
      </w:pPr>
      <w:r w:rsidRPr="00933561">
        <w:rPr>
          <w:sz w:val="24"/>
          <w:szCs w:val="24"/>
        </w:rPr>
        <w:t xml:space="preserve">Der er utilstrækkelige data for patienter med grad 2-hypertension (systolisk blodtryk ≥ 160 mm Hg eller diastolisk blodtryk ≥ 100 mm Hg). </w:t>
      </w:r>
    </w:p>
    <w:p w14:paraId="48E2F2A3" w14:textId="77777777" w:rsidR="00933561" w:rsidRPr="00933561" w:rsidRDefault="00933561" w:rsidP="00933561">
      <w:pPr>
        <w:tabs>
          <w:tab w:val="left" w:pos="851"/>
        </w:tabs>
        <w:ind w:left="851"/>
        <w:rPr>
          <w:sz w:val="24"/>
          <w:szCs w:val="24"/>
        </w:rPr>
      </w:pPr>
      <w:r w:rsidRPr="00933561">
        <w:rPr>
          <w:sz w:val="24"/>
          <w:szCs w:val="24"/>
        </w:rPr>
        <w:t xml:space="preserve"> </w:t>
      </w:r>
    </w:p>
    <w:p w14:paraId="45833E3E" w14:textId="77777777" w:rsidR="00933561" w:rsidRPr="00933561" w:rsidRDefault="00933561" w:rsidP="00933561">
      <w:pPr>
        <w:tabs>
          <w:tab w:val="left" w:pos="851"/>
        </w:tabs>
        <w:ind w:left="851"/>
        <w:rPr>
          <w:sz w:val="24"/>
          <w:szCs w:val="24"/>
        </w:rPr>
      </w:pPr>
      <w:r w:rsidRPr="00933561">
        <w:rPr>
          <w:i/>
          <w:sz w:val="24"/>
          <w:szCs w:val="24"/>
        </w:rPr>
        <w:t xml:space="preserve">Neurogen detrusoroveraktivitet i den pædiatriske population </w:t>
      </w:r>
    </w:p>
    <w:p w14:paraId="56F7A0FF" w14:textId="77777777" w:rsidR="00933561" w:rsidRPr="00933561" w:rsidRDefault="00933561" w:rsidP="00933561">
      <w:pPr>
        <w:tabs>
          <w:tab w:val="left" w:pos="851"/>
        </w:tabs>
        <w:ind w:left="851"/>
        <w:rPr>
          <w:sz w:val="24"/>
          <w:szCs w:val="24"/>
        </w:rPr>
      </w:pPr>
      <w:r w:rsidRPr="00933561">
        <w:rPr>
          <w:sz w:val="24"/>
          <w:szCs w:val="24"/>
        </w:rPr>
        <w:t xml:space="preserve">Mirabegron kan øge blodtrykket hos pædiatriske patienter. Stigningerne i blodtrykket kan være større hos børn (i alderen 3 år til under 12 år) end hos unge (i alderen 12 år til under 18 år). Blodtrykket bør måles ved </w:t>
      </w:r>
      <w:r w:rsidRPr="00933561">
        <w:rPr>
          <w:i/>
          <w:sz w:val="24"/>
          <w:szCs w:val="24"/>
        </w:rPr>
        <w:t>baseline</w:t>
      </w:r>
      <w:r w:rsidRPr="00933561">
        <w:rPr>
          <w:sz w:val="24"/>
          <w:szCs w:val="24"/>
        </w:rPr>
        <w:t xml:space="preserve"> og regelmæssigt under behandling med mirabegron. </w:t>
      </w:r>
    </w:p>
    <w:p w14:paraId="74E8339F" w14:textId="77777777" w:rsidR="00933561" w:rsidRPr="00933561" w:rsidRDefault="00933561" w:rsidP="00933561">
      <w:pPr>
        <w:tabs>
          <w:tab w:val="left" w:pos="851"/>
        </w:tabs>
        <w:ind w:left="851"/>
        <w:rPr>
          <w:sz w:val="24"/>
          <w:szCs w:val="24"/>
        </w:rPr>
      </w:pPr>
      <w:r w:rsidRPr="00933561">
        <w:rPr>
          <w:sz w:val="24"/>
          <w:szCs w:val="24"/>
        </w:rPr>
        <w:t xml:space="preserve">  </w:t>
      </w:r>
    </w:p>
    <w:p w14:paraId="0B114490" w14:textId="77777777" w:rsidR="00933561" w:rsidRPr="00933561" w:rsidRDefault="00933561" w:rsidP="00933561">
      <w:pPr>
        <w:tabs>
          <w:tab w:val="left" w:pos="851"/>
        </w:tabs>
        <w:ind w:left="851"/>
        <w:rPr>
          <w:sz w:val="24"/>
          <w:szCs w:val="24"/>
          <w:u w:val="single"/>
        </w:rPr>
      </w:pPr>
      <w:r w:rsidRPr="00933561">
        <w:rPr>
          <w:sz w:val="24"/>
          <w:szCs w:val="24"/>
          <w:u w:val="single"/>
        </w:rPr>
        <w:t>Patienter med medfødt eller erhvervet QT-forlængelse</w:t>
      </w:r>
      <w:r w:rsidRPr="00933561">
        <w:rPr>
          <w:sz w:val="24"/>
          <w:szCs w:val="24"/>
        </w:rPr>
        <w:t xml:space="preserve"> </w:t>
      </w:r>
    </w:p>
    <w:p w14:paraId="3BA8A680" w14:textId="0626951B" w:rsidR="00933561" w:rsidRPr="00933561" w:rsidRDefault="00933561" w:rsidP="00933561">
      <w:pPr>
        <w:tabs>
          <w:tab w:val="left" w:pos="851"/>
        </w:tabs>
        <w:ind w:left="851"/>
        <w:rPr>
          <w:sz w:val="24"/>
          <w:szCs w:val="24"/>
        </w:rPr>
      </w:pPr>
      <w:r w:rsidRPr="00933561">
        <w:rPr>
          <w:sz w:val="24"/>
          <w:szCs w:val="24"/>
        </w:rPr>
        <w:t xml:space="preserve">Ved terapeutiske doser har mirabegron ikke udvist klinisk relevant QT-forlængelse i kliniske studier (se pkt. 5.1). Da patienter med QT-forlængelse i anamnesen eller patienter, der tager lægemidler, som vides at forlænge QT-intervallet, imidlertid ikke er omfattet af disse studier, er virkningen af mirabegron hos disse patienter ikke kendt. Der bør udvises forsigtighed, når mirabegron administreres til disse patienter. </w:t>
      </w:r>
    </w:p>
    <w:p w14:paraId="50084DCC" w14:textId="77777777" w:rsidR="00933561" w:rsidRPr="00933561" w:rsidRDefault="00933561" w:rsidP="00933561">
      <w:pPr>
        <w:tabs>
          <w:tab w:val="left" w:pos="851"/>
        </w:tabs>
        <w:ind w:left="851"/>
        <w:rPr>
          <w:sz w:val="24"/>
          <w:szCs w:val="24"/>
        </w:rPr>
      </w:pPr>
      <w:r w:rsidRPr="00933561">
        <w:rPr>
          <w:sz w:val="24"/>
          <w:szCs w:val="24"/>
        </w:rPr>
        <w:t xml:space="preserve"> </w:t>
      </w:r>
    </w:p>
    <w:p w14:paraId="699D6805" w14:textId="77777777" w:rsidR="00933561" w:rsidRPr="00933561" w:rsidRDefault="00933561" w:rsidP="00933561">
      <w:pPr>
        <w:tabs>
          <w:tab w:val="left" w:pos="851"/>
        </w:tabs>
        <w:ind w:left="851"/>
        <w:rPr>
          <w:sz w:val="24"/>
          <w:szCs w:val="24"/>
          <w:u w:val="single"/>
        </w:rPr>
      </w:pPr>
      <w:r w:rsidRPr="00933561">
        <w:rPr>
          <w:sz w:val="24"/>
          <w:szCs w:val="24"/>
          <w:u w:val="single"/>
        </w:rPr>
        <w:t>Patienter med blæreudgangsobstruktion og patienter i behandling med antimuskarine lægemidler for</w:t>
      </w:r>
      <w:r w:rsidRPr="00933561">
        <w:rPr>
          <w:sz w:val="24"/>
          <w:szCs w:val="24"/>
        </w:rPr>
        <w:t xml:space="preserve"> </w:t>
      </w:r>
      <w:r w:rsidRPr="00933561">
        <w:rPr>
          <w:sz w:val="24"/>
          <w:szCs w:val="24"/>
          <w:u w:val="single"/>
        </w:rPr>
        <w:t>overaktiv blære (OAB)</w:t>
      </w:r>
      <w:r w:rsidRPr="00933561">
        <w:rPr>
          <w:sz w:val="24"/>
          <w:szCs w:val="24"/>
        </w:rPr>
        <w:t xml:space="preserve"> </w:t>
      </w:r>
    </w:p>
    <w:p w14:paraId="2F842C2F" w14:textId="65607E62" w:rsidR="00933561" w:rsidRPr="00933561" w:rsidRDefault="00933561" w:rsidP="00933561">
      <w:pPr>
        <w:tabs>
          <w:tab w:val="left" w:pos="851"/>
        </w:tabs>
        <w:ind w:left="851"/>
        <w:rPr>
          <w:sz w:val="24"/>
          <w:szCs w:val="24"/>
        </w:rPr>
      </w:pPr>
      <w:r w:rsidRPr="00933561">
        <w:rPr>
          <w:sz w:val="24"/>
          <w:szCs w:val="24"/>
        </w:rPr>
        <w:t xml:space="preserve">Hos patienter i behandling med mirabegron er der efter markedsføring blevet rapporteret urinretention hos patienter med blæreudgangsobstruktion (BOO) og hos patienter i behandling med antimuskarine lægemidler for OAB. I et kontrolleret klinisk </w:t>
      </w:r>
      <w:r w:rsidRPr="00933561">
        <w:rPr>
          <w:sz w:val="24"/>
          <w:szCs w:val="24"/>
        </w:rPr>
        <w:lastRenderedPageBreak/>
        <w:t>sikkerhedsstudie af patienter med BOO fandtes ikke en øget forekomst af urinretention hos patienter behandlet med mirabegron; dog bør mirabegron anvendes med forsigtighed til patienter med klinisk signifikant BOO. Dette lægemiddel bør også anvendes med forsigtighed til patienter i behandling med antimuskarine lægemidler for OAB.</w:t>
      </w:r>
    </w:p>
    <w:p w14:paraId="23DC03B5" w14:textId="77777777" w:rsidR="009260DE" w:rsidRPr="00C84483" w:rsidRDefault="009260DE" w:rsidP="004931E3">
      <w:pPr>
        <w:tabs>
          <w:tab w:val="left" w:pos="851"/>
        </w:tabs>
        <w:ind w:left="851"/>
        <w:rPr>
          <w:sz w:val="24"/>
          <w:szCs w:val="24"/>
        </w:rPr>
      </w:pPr>
    </w:p>
    <w:p w14:paraId="4A86E941" w14:textId="77777777" w:rsidR="009260DE" w:rsidRPr="00C84483" w:rsidRDefault="009260DE" w:rsidP="004931E3">
      <w:pPr>
        <w:tabs>
          <w:tab w:val="left" w:pos="851"/>
        </w:tabs>
        <w:ind w:left="851" w:hanging="851"/>
        <w:rPr>
          <w:b/>
          <w:sz w:val="24"/>
          <w:szCs w:val="24"/>
        </w:rPr>
      </w:pPr>
      <w:r w:rsidRPr="00C84483">
        <w:rPr>
          <w:b/>
          <w:sz w:val="24"/>
          <w:szCs w:val="24"/>
        </w:rPr>
        <w:t>4.5</w:t>
      </w:r>
      <w:r w:rsidRPr="00C84483">
        <w:rPr>
          <w:b/>
          <w:sz w:val="24"/>
          <w:szCs w:val="24"/>
        </w:rPr>
        <w:tab/>
        <w:t>Interaktion med andre lægemidler og andre former for interaktion</w:t>
      </w:r>
    </w:p>
    <w:p w14:paraId="5DEE5393" w14:textId="77777777" w:rsidR="00933561" w:rsidRPr="00933561" w:rsidRDefault="00933561" w:rsidP="00933561">
      <w:pPr>
        <w:tabs>
          <w:tab w:val="left" w:pos="851"/>
        </w:tabs>
        <w:ind w:left="851"/>
        <w:rPr>
          <w:bCs/>
          <w:sz w:val="24"/>
          <w:szCs w:val="24"/>
        </w:rPr>
      </w:pPr>
    </w:p>
    <w:p w14:paraId="1B0928EA" w14:textId="77777777" w:rsidR="00933561" w:rsidRPr="00933561" w:rsidRDefault="00933561" w:rsidP="00933561">
      <w:pPr>
        <w:tabs>
          <w:tab w:val="left" w:pos="851"/>
        </w:tabs>
        <w:ind w:left="851"/>
        <w:rPr>
          <w:bCs/>
          <w:iCs/>
          <w:sz w:val="24"/>
          <w:szCs w:val="24"/>
        </w:rPr>
      </w:pPr>
      <w:r w:rsidRPr="00933561">
        <w:rPr>
          <w:bCs/>
          <w:iCs/>
          <w:sz w:val="24"/>
          <w:szCs w:val="24"/>
          <w:u w:val="single"/>
        </w:rPr>
        <w:t>In vitro-data</w:t>
      </w:r>
      <w:r w:rsidRPr="00933561">
        <w:rPr>
          <w:bCs/>
          <w:iCs/>
          <w:sz w:val="24"/>
          <w:szCs w:val="24"/>
        </w:rPr>
        <w:t xml:space="preserve"> </w:t>
      </w:r>
    </w:p>
    <w:p w14:paraId="673023E1" w14:textId="7DBC01B8" w:rsidR="00933561" w:rsidRPr="00933561" w:rsidRDefault="00933561" w:rsidP="00933561">
      <w:pPr>
        <w:tabs>
          <w:tab w:val="left" w:pos="851"/>
        </w:tabs>
        <w:ind w:left="851"/>
        <w:rPr>
          <w:bCs/>
          <w:sz w:val="24"/>
          <w:szCs w:val="24"/>
        </w:rPr>
      </w:pPr>
      <w:r w:rsidRPr="00933561">
        <w:rPr>
          <w:bCs/>
          <w:sz w:val="24"/>
          <w:szCs w:val="24"/>
        </w:rPr>
        <w:t xml:space="preserve">Mirabegron transporteres og metaboliseres via flere pathways. Mirabegron er substrat for cytochrom P450 (CYP) 3A4, CYP2D6, butyrylcholinesterase, uridin-diphospho-glucuronosyltransferaser (UGT), efflux-transportøren P-glycoprotein (P-gp) og organisk kation-transportørerne (OCT) OCT1, OCT2 og OCT3, som er influx-transportører. Studier af mirabegron ved anvendelse af humane levermikrosomer og rekombinante humane CYP-enzymer har vist, at mirabegron er en moderat og tidsafhængig CYP2D6-hæmmer og en svag CYP3A-hæmmer. Mirabegron hæmmede P-gp-medieret lægemiddeltransport ved høje koncentrationer. </w:t>
      </w:r>
    </w:p>
    <w:p w14:paraId="3CDD6D38" w14:textId="77777777" w:rsidR="00933561" w:rsidRPr="00933561" w:rsidRDefault="00933561" w:rsidP="00933561">
      <w:pPr>
        <w:tabs>
          <w:tab w:val="left" w:pos="851"/>
        </w:tabs>
        <w:ind w:left="851"/>
        <w:rPr>
          <w:bCs/>
          <w:sz w:val="24"/>
          <w:szCs w:val="24"/>
        </w:rPr>
      </w:pPr>
      <w:r w:rsidRPr="00933561">
        <w:rPr>
          <w:bCs/>
          <w:sz w:val="24"/>
          <w:szCs w:val="24"/>
        </w:rPr>
        <w:t xml:space="preserve"> </w:t>
      </w:r>
    </w:p>
    <w:p w14:paraId="15B3C833" w14:textId="77777777" w:rsidR="00933561" w:rsidRPr="00933561" w:rsidRDefault="00933561" w:rsidP="00933561">
      <w:pPr>
        <w:tabs>
          <w:tab w:val="left" w:pos="851"/>
        </w:tabs>
        <w:ind w:left="851"/>
        <w:rPr>
          <w:bCs/>
          <w:iCs/>
          <w:sz w:val="24"/>
          <w:szCs w:val="24"/>
        </w:rPr>
      </w:pPr>
      <w:r w:rsidRPr="00933561">
        <w:rPr>
          <w:bCs/>
          <w:iCs/>
          <w:sz w:val="24"/>
          <w:szCs w:val="24"/>
          <w:u w:val="single"/>
        </w:rPr>
        <w:t>In vivo-data</w:t>
      </w:r>
      <w:r w:rsidRPr="00933561">
        <w:rPr>
          <w:bCs/>
          <w:iCs/>
          <w:sz w:val="24"/>
          <w:szCs w:val="24"/>
        </w:rPr>
        <w:t xml:space="preserve"> </w:t>
      </w:r>
    </w:p>
    <w:p w14:paraId="2D14119D" w14:textId="77777777" w:rsidR="00933561" w:rsidRPr="00933561" w:rsidRDefault="00933561" w:rsidP="00933561">
      <w:pPr>
        <w:tabs>
          <w:tab w:val="left" w:pos="851"/>
        </w:tabs>
        <w:ind w:left="851"/>
        <w:rPr>
          <w:bCs/>
          <w:sz w:val="24"/>
          <w:szCs w:val="24"/>
        </w:rPr>
      </w:pPr>
      <w:r w:rsidRPr="00933561">
        <w:rPr>
          <w:bCs/>
          <w:sz w:val="24"/>
          <w:szCs w:val="24"/>
        </w:rPr>
        <w:t xml:space="preserve"> </w:t>
      </w:r>
    </w:p>
    <w:p w14:paraId="75F479A4" w14:textId="77777777" w:rsidR="00933561" w:rsidRPr="00933561" w:rsidRDefault="00933561" w:rsidP="00933561">
      <w:pPr>
        <w:tabs>
          <w:tab w:val="left" w:pos="851"/>
        </w:tabs>
        <w:ind w:left="851"/>
        <w:rPr>
          <w:bCs/>
          <w:sz w:val="24"/>
          <w:szCs w:val="24"/>
        </w:rPr>
      </w:pPr>
      <w:r w:rsidRPr="00933561">
        <w:rPr>
          <w:bCs/>
          <w:i/>
          <w:sz w:val="24"/>
          <w:szCs w:val="24"/>
        </w:rPr>
        <w:t>Interaktioner med andre lægemidler</w:t>
      </w:r>
      <w:r w:rsidRPr="00933561">
        <w:rPr>
          <w:bCs/>
          <w:sz w:val="24"/>
          <w:szCs w:val="24"/>
        </w:rPr>
        <w:t xml:space="preserve"> </w:t>
      </w:r>
    </w:p>
    <w:p w14:paraId="3EEB7EF7" w14:textId="77777777" w:rsidR="00933561" w:rsidRPr="00933561" w:rsidRDefault="00933561" w:rsidP="00933561">
      <w:pPr>
        <w:tabs>
          <w:tab w:val="left" w:pos="851"/>
        </w:tabs>
        <w:ind w:left="851"/>
        <w:rPr>
          <w:bCs/>
          <w:sz w:val="24"/>
          <w:szCs w:val="24"/>
        </w:rPr>
      </w:pPr>
      <w:r w:rsidRPr="00933561">
        <w:rPr>
          <w:bCs/>
          <w:sz w:val="24"/>
          <w:szCs w:val="24"/>
        </w:rPr>
        <w:t xml:space="preserve">Samtidigt administrerede lægemidlers virkning på farmakokinetikken af mirabegron og mirabegrons virkning på farmakokinetikken af andre lægemidler blev undersøgt i enkelt- og flerdosisstudier. De fleste interaktioner med andre lægemidler blev undersøgt ved anvendelse af en dosis på 100 mg mirabegron givet som orale tabletter med kontrolleret absorptionssystem (OCAS [oral controlled absorption system]-tabletter). Ved studier af interaktion mellem mirabegron og hhv. metoprolol og metformin blev der anvendt mirabegron med øjeblikkelig frigivelse (IR) 160 mg. </w:t>
      </w:r>
    </w:p>
    <w:p w14:paraId="6B72A344" w14:textId="77777777" w:rsidR="00933561" w:rsidRPr="00933561" w:rsidRDefault="00933561" w:rsidP="00933561">
      <w:pPr>
        <w:tabs>
          <w:tab w:val="left" w:pos="851"/>
        </w:tabs>
        <w:ind w:left="851"/>
        <w:rPr>
          <w:bCs/>
          <w:sz w:val="24"/>
          <w:szCs w:val="24"/>
        </w:rPr>
      </w:pPr>
      <w:r w:rsidRPr="00933561">
        <w:rPr>
          <w:bCs/>
          <w:sz w:val="24"/>
          <w:szCs w:val="24"/>
        </w:rPr>
        <w:t xml:space="preserve"> </w:t>
      </w:r>
    </w:p>
    <w:p w14:paraId="27EE6A3B" w14:textId="77777777" w:rsidR="00933561" w:rsidRPr="00933561" w:rsidRDefault="00933561" w:rsidP="00933561">
      <w:pPr>
        <w:tabs>
          <w:tab w:val="left" w:pos="851"/>
        </w:tabs>
        <w:ind w:left="851"/>
        <w:rPr>
          <w:bCs/>
          <w:sz w:val="24"/>
          <w:szCs w:val="24"/>
        </w:rPr>
      </w:pPr>
      <w:r w:rsidRPr="00933561">
        <w:rPr>
          <w:bCs/>
          <w:sz w:val="24"/>
          <w:szCs w:val="24"/>
        </w:rPr>
        <w:t xml:space="preserve">Der forventes ikke klinisk relevante lægemiddelinteraktioner mellem mirabegron og lægemidler, der hæmmer, inducerer eller er substrat for et af CYP-isozymerne eller en af CYP-transportørerne, bortset fra mirabegrons hæmmende virkning på metabolismen af CYP2D6-substrater. </w:t>
      </w:r>
    </w:p>
    <w:p w14:paraId="006E1D19" w14:textId="77777777" w:rsidR="00933561" w:rsidRPr="00933561" w:rsidRDefault="00933561" w:rsidP="00933561">
      <w:pPr>
        <w:tabs>
          <w:tab w:val="left" w:pos="851"/>
        </w:tabs>
        <w:ind w:left="851"/>
        <w:rPr>
          <w:bCs/>
          <w:sz w:val="24"/>
          <w:szCs w:val="24"/>
        </w:rPr>
      </w:pPr>
      <w:r w:rsidRPr="00933561">
        <w:rPr>
          <w:bCs/>
          <w:sz w:val="24"/>
          <w:szCs w:val="24"/>
        </w:rPr>
        <w:t xml:space="preserve"> </w:t>
      </w:r>
    </w:p>
    <w:p w14:paraId="1B5EFC62" w14:textId="77777777" w:rsidR="00933561" w:rsidRPr="00933561" w:rsidRDefault="00933561" w:rsidP="00933561">
      <w:pPr>
        <w:tabs>
          <w:tab w:val="left" w:pos="851"/>
        </w:tabs>
        <w:ind w:left="851"/>
        <w:rPr>
          <w:bCs/>
          <w:sz w:val="24"/>
          <w:szCs w:val="24"/>
        </w:rPr>
      </w:pPr>
      <w:r w:rsidRPr="00933561">
        <w:rPr>
          <w:bCs/>
          <w:i/>
          <w:sz w:val="24"/>
          <w:szCs w:val="24"/>
        </w:rPr>
        <w:t xml:space="preserve">Enzymhæmmeres virkning </w:t>
      </w:r>
    </w:p>
    <w:p w14:paraId="26050D34" w14:textId="77777777" w:rsidR="00933561" w:rsidRPr="00933561" w:rsidRDefault="00933561" w:rsidP="00933561">
      <w:pPr>
        <w:tabs>
          <w:tab w:val="left" w:pos="851"/>
        </w:tabs>
        <w:ind w:left="851"/>
        <w:rPr>
          <w:bCs/>
          <w:sz w:val="24"/>
          <w:szCs w:val="24"/>
        </w:rPr>
      </w:pPr>
      <w:r w:rsidRPr="00933561">
        <w:rPr>
          <w:bCs/>
          <w:sz w:val="24"/>
          <w:szCs w:val="24"/>
        </w:rPr>
        <w:t xml:space="preserve">Mirabegron-eksponeringen (AUC) blev øget 1,8 gange ved tilstedeværelse af den stærke </w:t>
      </w:r>
    </w:p>
    <w:p w14:paraId="2AD83B74" w14:textId="77777777" w:rsidR="00933561" w:rsidRPr="00933561" w:rsidRDefault="00933561" w:rsidP="00933561">
      <w:pPr>
        <w:tabs>
          <w:tab w:val="left" w:pos="851"/>
        </w:tabs>
        <w:ind w:left="851"/>
        <w:rPr>
          <w:bCs/>
          <w:sz w:val="24"/>
          <w:szCs w:val="24"/>
        </w:rPr>
      </w:pPr>
      <w:r w:rsidRPr="00933561">
        <w:rPr>
          <w:bCs/>
          <w:sz w:val="24"/>
          <w:szCs w:val="24"/>
        </w:rPr>
        <w:t xml:space="preserve">CYP3A/P-gp-hæmmer ketoconazol hos raske frivillige. Dosisjustering er ikke nødvendig, når </w:t>
      </w:r>
      <w:r w:rsidRPr="00933561">
        <w:rPr>
          <w:sz w:val="24"/>
          <w:szCs w:val="24"/>
        </w:rPr>
        <w:t xml:space="preserve">mirabegron </w:t>
      </w:r>
      <w:r w:rsidRPr="00933561">
        <w:rPr>
          <w:bCs/>
          <w:sz w:val="24"/>
          <w:szCs w:val="24"/>
        </w:rPr>
        <w:t>kombineres med CYP3A- og/eller P-gp-hæmmere. For patienter med let til moderat nedsat nyrefunktion (eGFR 30 til 89 ml/min/1,73 m</w:t>
      </w:r>
      <w:r w:rsidRPr="00933561">
        <w:rPr>
          <w:bCs/>
          <w:sz w:val="24"/>
          <w:szCs w:val="24"/>
          <w:vertAlign w:val="superscript"/>
        </w:rPr>
        <w:t>2</w:t>
      </w:r>
      <w:r w:rsidRPr="00933561">
        <w:rPr>
          <w:bCs/>
          <w:sz w:val="24"/>
          <w:szCs w:val="24"/>
        </w:rPr>
        <w:t>) eller let nedsat leverfunktion (Child-Pugh-klasse A), som samtidig får stærke CYP3A-hæmmere, såsom itraconazol, ketoconazol, ritonavir og clarithromycin, er den anbefalede dosering imidlertid 25 mg én gang dagligt med eller uden mad (se pkt. 4.2). Mirabegron frarådes til patienter med svært nedsat nyrefunktion (eGFR 15 til 29 ml/min/1,73 m</w:t>
      </w:r>
      <w:r w:rsidRPr="00933561">
        <w:rPr>
          <w:bCs/>
          <w:sz w:val="24"/>
          <w:szCs w:val="24"/>
          <w:vertAlign w:val="superscript"/>
        </w:rPr>
        <w:t>2</w:t>
      </w:r>
      <w:r w:rsidRPr="00933561">
        <w:rPr>
          <w:bCs/>
          <w:sz w:val="24"/>
          <w:szCs w:val="24"/>
        </w:rPr>
        <w:t xml:space="preserve">) eller patienter med moderat nedsat leverfunktion (Child-Pugh-klasse B), som samtidig får stærke CYP3A-hæmmere (se </w:t>
      </w:r>
      <w:r w:rsidRPr="00933561">
        <w:rPr>
          <w:bCs/>
          <w:sz w:val="24"/>
          <w:szCs w:val="24"/>
        </w:rPr>
        <w:br/>
        <w:t xml:space="preserve">pkt. 4.2 og 4.4). </w:t>
      </w:r>
    </w:p>
    <w:p w14:paraId="446D8BC6" w14:textId="77777777" w:rsidR="00933561" w:rsidRPr="00933561" w:rsidRDefault="00933561" w:rsidP="00933561">
      <w:pPr>
        <w:tabs>
          <w:tab w:val="left" w:pos="851"/>
        </w:tabs>
        <w:ind w:left="851"/>
        <w:rPr>
          <w:bCs/>
          <w:sz w:val="24"/>
          <w:szCs w:val="24"/>
        </w:rPr>
      </w:pPr>
      <w:r w:rsidRPr="00933561">
        <w:rPr>
          <w:bCs/>
          <w:sz w:val="24"/>
          <w:szCs w:val="24"/>
        </w:rPr>
        <w:t xml:space="preserve"> </w:t>
      </w:r>
    </w:p>
    <w:p w14:paraId="3997F6B8" w14:textId="77777777" w:rsidR="00933561" w:rsidRPr="00933561" w:rsidRDefault="00933561" w:rsidP="00933561">
      <w:pPr>
        <w:tabs>
          <w:tab w:val="left" w:pos="851"/>
        </w:tabs>
        <w:ind w:left="851"/>
        <w:rPr>
          <w:bCs/>
          <w:sz w:val="24"/>
          <w:szCs w:val="24"/>
        </w:rPr>
      </w:pPr>
      <w:r w:rsidRPr="00933561">
        <w:rPr>
          <w:bCs/>
          <w:i/>
          <w:sz w:val="24"/>
          <w:szCs w:val="24"/>
        </w:rPr>
        <w:t xml:space="preserve">Enzyminduktorers virkning </w:t>
      </w:r>
    </w:p>
    <w:p w14:paraId="15E0D374" w14:textId="77777777" w:rsidR="00933561" w:rsidRPr="00933561" w:rsidRDefault="00933561" w:rsidP="00933561">
      <w:pPr>
        <w:tabs>
          <w:tab w:val="left" w:pos="851"/>
        </w:tabs>
        <w:ind w:left="851"/>
        <w:rPr>
          <w:bCs/>
          <w:sz w:val="24"/>
          <w:szCs w:val="24"/>
        </w:rPr>
      </w:pPr>
      <w:r w:rsidRPr="00933561">
        <w:rPr>
          <w:bCs/>
          <w:sz w:val="24"/>
          <w:szCs w:val="24"/>
        </w:rPr>
        <w:t xml:space="preserve">Stoffer, der inducerer CYP3A eller P-gp, reducerer plasmakoncentrationerne af mirabegron. Dosisjustering er ikke nødvendig for mirabegron ved samtidig administration med terapeutiske doser af rifampicin eller andre CYP3A- eller P-gp-induktorer. </w:t>
      </w:r>
    </w:p>
    <w:p w14:paraId="6D1CBE1D" w14:textId="77777777" w:rsidR="00933561" w:rsidRPr="00933561" w:rsidRDefault="00933561" w:rsidP="00933561">
      <w:pPr>
        <w:tabs>
          <w:tab w:val="left" w:pos="851"/>
        </w:tabs>
        <w:ind w:left="851"/>
        <w:rPr>
          <w:bCs/>
          <w:sz w:val="24"/>
          <w:szCs w:val="24"/>
        </w:rPr>
      </w:pPr>
      <w:r w:rsidRPr="00933561">
        <w:rPr>
          <w:bCs/>
          <w:sz w:val="24"/>
          <w:szCs w:val="24"/>
        </w:rPr>
        <w:t xml:space="preserve"> </w:t>
      </w:r>
    </w:p>
    <w:p w14:paraId="02B6487D" w14:textId="77777777" w:rsidR="00933561" w:rsidRPr="00933561" w:rsidRDefault="00933561" w:rsidP="00933561">
      <w:pPr>
        <w:tabs>
          <w:tab w:val="left" w:pos="851"/>
        </w:tabs>
        <w:ind w:left="851"/>
        <w:rPr>
          <w:bCs/>
          <w:sz w:val="24"/>
          <w:szCs w:val="24"/>
        </w:rPr>
      </w:pPr>
      <w:r w:rsidRPr="00933561">
        <w:rPr>
          <w:bCs/>
          <w:i/>
          <w:sz w:val="24"/>
          <w:szCs w:val="24"/>
        </w:rPr>
        <w:lastRenderedPageBreak/>
        <w:t xml:space="preserve">Virkning af CYP2D6-polymorfisme </w:t>
      </w:r>
    </w:p>
    <w:p w14:paraId="260790E5" w14:textId="77777777" w:rsidR="00933561" w:rsidRPr="00933561" w:rsidRDefault="00933561" w:rsidP="00933561">
      <w:pPr>
        <w:tabs>
          <w:tab w:val="left" w:pos="851"/>
        </w:tabs>
        <w:ind w:left="851"/>
        <w:rPr>
          <w:bCs/>
          <w:sz w:val="24"/>
          <w:szCs w:val="24"/>
        </w:rPr>
      </w:pPr>
      <w:r w:rsidRPr="00933561">
        <w:rPr>
          <w:bCs/>
          <w:sz w:val="24"/>
          <w:szCs w:val="24"/>
        </w:rPr>
        <w:t xml:space="preserve">Genetisk polymorfisme i CYP2D6 har minimal indflydelse på den gennemsnitlige plasmaeksponering for mirabegron (se pkt. 5.2). Interaktion af mirabegron med en kendt CYP2D6-hæmmer forventes ikke og blev ikke undersøgt. Dosisjustering er ikke nødvendig for mirabegron ved administration sammen med CYP2D6-hæmmere eller hos patienter med ringe CYP2D6-metabolisme. </w:t>
      </w:r>
    </w:p>
    <w:p w14:paraId="0B4E5E7D" w14:textId="77777777" w:rsidR="00933561" w:rsidRPr="00933561" w:rsidRDefault="00933561" w:rsidP="00933561">
      <w:pPr>
        <w:tabs>
          <w:tab w:val="left" w:pos="851"/>
        </w:tabs>
        <w:ind w:left="851"/>
        <w:rPr>
          <w:bCs/>
          <w:sz w:val="24"/>
          <w:szCs w:val="24"/>
        </w:rPr>
      </w:pPr>
      <w:r w:rsidRPr="00933561">
        <w:rPr>
          <w:bCs/>
          <w:i/>
          <w:sz w:val="24"/>
          <w:szCs w:val="24"/>
        </w:rPr>
        <w:t xml:space="preserve"> </w:t>
      </w:r>
    </w:p>
    <w:p w14:paraId="588B9BDA" w14:textId="77777777" w:rsidR="00933561" w:rsidRPr="00933561" w:rsidRDefault="00933561" w:rsidP="00933561">
      <w:pPr>
        <w:tabs>
          <w:tab w:val="left" w:pos="851"/>
        </w:tabs>
        <w:ind w:left="851"/>
        <w:rPr>
          <w:bCs/>
          <w:sz w:val="24"/>
          <w:szCs w:val="24"/>
        </w:rPr>
      </w:pPr>
      <w:r w:rsidRPr="00933561">
        <w:rPr>
          <w:bCs/>
          <w:i/>
          <w:sz w:val="24"/>
          <w:szCs w:val="24"/>
        </w:rPr>
        <w:t xml:space="preserve">Mirabegrons virkning på CYP2D6-substrater </w:t>
      </w:r>
    </w:p>
    <w:p w14:paraId="7EE6EE1B" w14:textId="77777777" w:rsidR="00933561" w:rsidRPr="00933561" w:rsidRDefault="00933561" w:rsidP="00933561">
      <w:pPr>
        <w:tabs>
          <w:tab w:val="left" w:pos="851"/>
        </w:tabs>
        <w:ind w:left="851"/>
        <w:rPr>
          <w:bCs/>
          <w:sz w:val="24"/>
          <w:szCs w:val="24"/>
        </w:rPr>
      </w:pPr>
      <w:r w:rsidRPr="00933561">
        <w:rPr>
          <w:bCs/>
          <w:sz w:val="24"/>
          <w:szCs w:val="24"/>
        </w:rPr>
        <w:t>Hos raske frivillige hæmmer mirabegron CYP2D6 moderat, og CYP2D6-aktiviteten genvindes inden for 15 dage efter seponering af mirabegron. Flere doseringer af mirabegron IR én gang dagligt resulterede i en 90 % stigning i C</w:t>
      </w:r>
      <w:r w:rsidRPr="00933561">
        <w:rPr>
          <w:bCs/>
          <w:sz w:val="24"/>
          <w:szCs w:val="24"/>
          <w:vertAlign w:val="subscript"/>
        </w:rPr>
        <w:t>max</w:t>
      </w:r>
      <w:r w:rsidRPr="00933561">
        <w:rPr>
          <w:bCs/>
          <w:sz w:val="24"/>
          <w:szCs w:val="24"/>
        </w:rPr>
        <w:t xml:space="preserve"> og en 229 % stigning i AUC for en enkeltdosis af metoprolol. Flere doseringer af mirabegron én gang dagligt resulterede i en 79 % stigning i C</w:t>
      </w:r>
      <w:r w:rsidRPr="00933561">
        <w:rPr>
          <w:bCs/>
          <w:sz w:val="24"/>
          <w:szCs w:val="24"/>
          <w:vertAlign w:val="subscript"/>
        </w:rPr>
        <w:t>max</w:t>
      </w:r>
      <w:r w:rsidRPr="00933561">
        <w:rPr>
          <w:bCs/>
          <w:sz w:val="24"/>
          <w:szCs w:val="24"/>
        </w:rPr>
        <w:t xml:space="preserve"> og en 241 % stigning i AUC for en enkeltdosis af desipramin. </w:t>
      </w:r>
    </w:p>
    <w:p w14:paraId="7C4981EF" w14:textId="77777777" w:rsidR="00933561" w:rsidRPr="00933561" w:rsidRDefault="00933561" w:rsidP="00933561">
      <w:pPr>
        <w:tabs>
          <w:tab w:val="left" w:pos="851"/>
        </w:tabs>
        <w:ind w:left="851"/>
        <w:rPr>
          <w:bCs/>
          <w:sz w:val="24"/>
          <w:szCs w:val="24"/>
        </w:rPr>
      </w:pPr>
      <w:r w:rsidRPr="00933561">
        <w:rPr>
          <w:bCs/>
          <w:sz w:val="24"/>
          <w:szCs w:val="24"/>
        </w:rPr>
        <w:t xml:space="preserve"> </w:t>
      </w:r>
    </w:p>
    <w:p w14:paraId="2B0A9F0B" w14:textId="77777777" w:rsidR="00933561" w:rsidRPr="00933561" w:rsidRDefault="00933561" w:rsidP="00933561">
      <w:pPr>
        <w:tabs>
          <w:tab w:val="left" w:pos="851"/>
        </w:tabs>
        <w:ind w:left="851"/>
        <w:rPr>
          <w:bCs/>
          <w:sz w:val="24"/>
          <w:szCs w:val="24"/>
        </w:rPr>
      </w:pPr>
      <w:r w:rsidRPr="00933561">
        <w:rPr>
          <w:bCs/>
          <w:sz w:val="24"/>
          <w:szCs w:val="24"/>
        </w:rPr>
        <w:t xml:space="preserve">Der tilrådes forsigtighed, hvis mirabegron administreres samtidig med lægemidler, som har et snævert terapeutisk indeks og metaboliseres i væsentlig grad af CYP2D6, såsom thioridazin, klasse 1C-antiarytmika (f.eks. flecainid, propafenon) og tricykliske antidepressiva (f.eks. imipramin, desipramin). Forsigtighed tilrådes også, hvis mirabegron administreres samtidig med CYP2D6substrater, der dosistitreres individuelt. </w:t>
      </w:r>
    </w:p>
    <w:p w14:paraId="51842E27" w14:textId="77777777" w:rsidR="00933561" w:rsidRPr="00933561" w:rsidRDefault="00933561" w:rsidP="00933561">
      <w:pPr>
        <w:tabs>
          <w:tab w:val="left" w:pos="851"/>
        </w:tabs>
        <w:ind w:left="851"/>
        <w:rPr>
          <w:bCs/>
          <w:sz w:val="24"/>
          <w:szCs w:val="24"/>
        </w:rPr>
      </w:pPr>
      <w:r w:rsidRPr="00933561">
        <w:rPr>
          <w:bCs/>
          <w:i/>
          <w:sz w:val="24"/>
          <w:szCs w:val="24"/>
        </w:rPr>
        <w:t xml:space="preserve"> </w:t>
      </w:r>
    </w:p>
    <w:p w14:paraId="56EB811B" w14:textId="77777777" w:rsidR="00933561" w:rsidRPr="00933561" w:rsidRDefault="00933561" w:rsidP="00933561">
      <w:pPr>
        <w:tabs>
          <w:tab w:val="left" w:pos="851"/>
        </w:tabs>
        <w:ind w:left="851"/>
        <w:rPr>
          <w:bCs/>
          <w:sz w:val="24"/>
          <w:szCs w:val="24"/>
        </w:rPr>
      </w:pPr>
      <w:r w:rsidRPr="00933561">
        <w:rPr>
          <w:bCs/>
          <w:i/>
          <w:sz w:val="24"/>
          <w:szCs w:val="24"/>
        </w:rPr>
        <w:t xml:space="preserve">Mirabegrons virkning på transportører </w:t>
      </w:r>
    </w:p>
    <w:p w14:paraId="521541D1" w14:textId="0A38AD34" w:rsidR="00933561" w:rsidRPr="00933561" w:rsidRDefault="00933561" w:rsidP="00933561">
      <w:pPr>
        <w:tabs>
          <w:tab w:val="left" w:pos="851"/>
        </w:tabs>
        <w:ind w:left="851"/>
        <w:rPr>
          <w:bCs/>
          <w:sz w:val="24"/>
          <w:szCs w:val="24"/>
        </w:rPr>
      </w:pPr>
      <w:r w:rsidRPr="00933561">
        <w:rPr>
          <w:bCs/>
          <w:sz w:val="24"/>
          <w:szCs w:val="24"/>
        </w:rPr>
        <w:t>Mirabegron er en svag P-gp-hæmmer. Mirabegron øgede C</w:t>
      </w:r>
      <w:r w:rsidRPr="00933561">
        <w:rPr>
          <w:bCs/>
          <w:sz w:val="24"/>
          <w:szCs w:val="24"/>
          <w:vertAlign w:val="subscript"/>
        </w:rPr>
        <w:t>max</w:t>
      </w:r>
      <w:r w:rsidRPr="00933561">
        <w:rPr>
          <w:bCs/>
          <w:sz w:val="24"/>
          <w:szCs w:val="24"/>
        </w:rPr>
        <w:t xml:space="preserve"> og AUC med henholdsvis 29 % og 27 % for P-gp-substratet digoxin hos raske frivillige. Patienter, der påbegynder en kombination af </w:t>
      </w:r>
      <w:r w:rsidRPr="00933561">
        <w:rPr>
          <w:sz w:val="24"/>
          <w:szCs w:val="24"/>
        </w:rPr>
        <w:t xml:space="preserve">mirabegron </w:t>
      </w:r>
      <w:r w:rsidRPr="00933561">
        <w:rPr>
          <w:bCs/>
          <w:sz w:val="24"/>
          <w:szCs w:val="24"/>
        </w:rPr>
        <w:t xml:space="preserve">og digoxin, bør indledningsvis få ordineret den laveste dosis af digoxin. </w:t>
      </w:r>
    </w:p>
    <w:p w14:paraId="148AC792" w14:textId="77777777" w:rsidR="00933561" w:rsidRPr="00933561" w:rsidRDefault="00933561" w:rsidP="00933561">
      <w:pPr>
        <w:tabs>
          <w:tab w:val="left" w:pos="851"/>
        </w:tabs>
        <w:ind w:left="851"/>
        <w:rPr>
          <w:bCs/>
          <w:sz w:val="24"/>
          <w:szCs w:val="24"/>
        </w:rPr>
      </w:pPr>
      <w:r w:rsidRPr="00933561">
        <w:rPr>
          <w:bCs/>
          <w:sz w:val="24"/>
          <w:szCs w:val="24"/>
        </w:rPr>
        <w:t xml:space="preserve">Serumdigoxin-koncentrationerne bør monitoreres og anvendes til titrering af digoxin-dosis for at opnå den ønskede kliniske virkning. Der bør tages højde for mirabegrons potentielle hæmning af P-gp, når dette lægemiddel kombineres med følsomme P-gp-substrater som f.eks. dabigatran. </w:t>
      </w:r>
    </w:p>
    <w:p w14:paraId="2B16DAF2" w14:textId="77777777" w:rsidR="00933561" w:rsidRPr="00933561" w:rsidRDefault="00933561" w:rsidP="00933561">
      <w:pPr>
        <w:tabs>
          <w:tab w:val="left" w:pos="851"/>
        </w:tabs>
        <w:ind w:left="851"/>
        <w:rPr>
          <w:bCs/>
          <w:sz w:val="24"/>
          <w:szCs w:val="24"/>
        </w:rPr>
      </w:pPr>
      <w:r w:rsidRPr="00933561">
        <w:rPr>
          <w:bCs/>
          <w:i/>
          <w:sz w:val="24"/>
          <w:szCs w:val="24"/>
        </w:rPr>
        <w:t xml:space="preserve"> </w:t>
      </w:r>
    </w:p>
    <w:p w14:paraId="26DA4484" w14:textId="77777777" w:rsidR="00933561" w:rsidRPr="00933561" w:rsidRDefault="00933561" w:rsidP="00933561">
      <w:pPr>
        <w:tabs>
          <w:tab w:val="left" w:pos="851"/>
        </w:tabs>
        <w:ind w:left="851"/>
        <w:rPr>
          <w:bCs/>
          <w:sz w:val="24"/>
          <w:szCs w:val="24"/>
        </w:rPr>
      </w:pPr>
      <w:r w:rsidRPr="00933561">
        <w:rPr>
          <w:bCs/>
          <w:i/>
          <w:sz w:val="24"/>
          <w:szCs w:val="24"/>
        </w:rPr>
        <w:t xml:space="preserve">Andre interaktioner </w:t>
      </w:r>
    </w:p>
    <w:p w14:paraId="1E834430" w14:textId="77777777" w:rsidR="00933561" w:rsidRPr="00933561" w:rsidRDefault="00933561" w:rsidP="00933561">
      <w:pPr>
        <w:tabs>
          <w:tab w:val="left" w:pos="851"/>
        </w:tabs>
        <w:ind w:left="851"/>
        <w:rPr>
          <w:bCs/>
          <w:sz w:val="24"/>
          <w:szCs w:val="24"/>
        </w:rPr>
      </w:pPr>
      <w:r w:rsidRPr="00933561">
        <w:rPr>
          <w:bCs/>
          <w:sz w:val="24"/>
          <w:szCs w:val="24"/>
        </w:rPr>
        <w:t xml:space="preserve">Der er ikke observeret klinisk relevante interaktioner ved samtidig administration af mirabegron og terapeutiske doser af solifenacin, tamsulosin, warfarin, metformin eller kombineret ethinylestradiol- og levonorgestrelholdig oral kontraception. Dosisjustering er ikke nødvendig. </w:t>
      </w:r>
    </w:p>
    <w:p w14:paraId="2CDB9CD0" w14:textId="77777777" w:rsidR="00933561" w:rsidRPr="00933561" w:rsidRDefault="00933561" w:rsidP="00933561">
      <w:pPr>
        <w:tabs>
          <w:tab w:val="left" w:pos="851"/>
        </w:tabs>
        <w:ind w:left="851"/>
        <w:rPr>
          <w:bCs/>
          <w:sz w:val="24"/>
          <w:szCs w:val="24"/>
        </w:rPr>
      </w:pPr>
      <w:r w:rsidRPr="00933561">
        <w:rPr>
          <w:bCs/>
          <w:sz w:val="24"/>
          <w:szCs w:val="24"/>
        </w:rPr>
        <w:t xml:space="preserve"> </w:t>
      </w:r>
    </w:p>
    <w:p w14:paraId="001B93F5" w14:textId="77777777" w:rsidR="00933561" w:rsidRPr="00933561" w:rsidRDefault="00933561" w:rsidP="00933561">
      <w:pPr>
        <w:tabs>
          <w:tab w:val="left" w:pos="851"/>
        </w:tabs>
        <w:ind w:left="851"/>
        <w:rPr>
          <w:bCs/>
          <w:sz w:val="24"/>
          <w:szCs w:val="24"/>
        </w:rPr>
      </w:pPr>
      <w:r w:rsidRPr="00933561">
        <w:rPr>
          <w:bCs/>
          <w:sz w:val="24"/>
          <w:szCs w:val="24"/>
        </w:rPr>
        <w:t xml:space="preserve">Øget mirabegron-eksponering som følge af interaktioner med andre lægemidler kan være associeret med øget hjertefrekvens. </w:t>
      </w:r>
    </w:p>
    <w:p w14:paraId="3D07E0EA" w14:textId="77777777" w:rsidR="00933561" w:rsidRPr="00933561" w:rsidRDefault="00933561" w:rsidP="00933561">
      <w:pPr>
        <w:tabs>
          <w:tab w:val="left" w:pos="851"/>
        </w:tabs>
        <w:ind w:left="851"/>
        <w:rPr>
          <w:bCs/>
          <w:sz w:val="24"/>
          <w:szCs w:val="24"/>
        </w:rPr>
      </w:pPr>
      <w:r w:rsidRPr="00933561">
        <w:rPr>
          <w:bCs/>
          <w:sz w:val="24"/>
          <w:szCs w:val="24"/>
        </w:rPr>
        <w:t xml:space="preserve"> </w:t>
      </w:r>
    </w:p>
    <w:p w14:paraId="724C52B7" w14:textId="77777777" w:rsidR="00933561" w:rsidRPr="00933561" w:rsidRDefault="00933561" w:rsidP="00933561">
      <w:pPr>
        <w:tabs>
          <w:tab w:val="left" w:pos="851"/>
        </w:tabs>
        <w:ind w:left="851"/>
        <w:rPr>
          <w:bCs/>
          <w:sz w:val="24"/>
          <w:szCs w:val="24"/>
          <w:u w:val="single"/>
        </w:rPr>
      </w:pPr>
      <w:r w:rsidRPr="00933561">
        <w:rPr>
          <w:bCs/>
          <w:sz w:val="24"/>
          <w:szCs w:val="24"/>
          <w:u w:val="single"/>
        </w:rPr>
        <w:t>Pædiatrisk population</w:t>
      </w:r>
      <w:r w:rsidRPr="00933561">
        <w:rPr>
          <w:bCs/>
          <w:sz w:val="24"/>
          <w:szCs w:val="24"/>
        </w:rPr>
        <w:t xml:space="preserve"> </w:t>
      </w:r>
    </w:p>
    <w:p w14:paraId="38EDDC04" w14:textId="77777777" w:rsidR="00933561" w:rsidRPr="00933561" w:rsidRDefault="00933561" w:rsidP="00933561">
      <w:pPr>
        <w:tabs>
          <w:tab w:val="left" w:pos="851"/>
        </w:tabs>
        <w:ind w:left="851"/>
        <w:rPr>
          <w:bCs/>
          <w:sz w:val="24"/>
          <w:szCs w:val="24"/>
        </w:rPr>
      </w:pPr>
      <w:r w:rsidRPr="00933561">
        <w:rPr>
          <w:bCs/>
          <w:sz w:val="24"/>
          <w:szCs w:val="24"/>
        </w:rPr>
        <w:t>Interaktionsstudier er kun udført hos voksne.</w:t>
      </w:r>
    </w:p>
    <w:p w14:paraId="4421A39F" w14:textId="77777777" w:rsidR="009260DE" w:rsidRPr="00C84483" w:rsidRDefault="009260DE" w:rsidP="004931E3">
      <w:pPr>
        <w:tabs>
          <w:tab w:val="left" w:pos="851"/>
        </w:tabs>
        <w:ind w:left="851"/>
        <w:rPr>
          <w:sz w:val="24"/>
          <w:szCs w:val="24"/>
        </w:rPr>
      </w:pPr>
    </w:p>
    <w:p w14:paraId="598ED41E" w14:textId="77777777" w:rsidR="009260DE" w:rsidRPr="00C84483" w:rsidRDefault="009260DE" w:rsidP="004931E3">
      <w:pPr>
        <w:tabs>
          <w:tab w:val="left" w:pos="851"/>
        </w:tabs>
        <w:ind w:left="851" w:hanging="851"/>
        <w:rPr>
          <w:b/>
          <w:sz w:val="24"/>
          <w:szCs w:val="24"/>
        </w:rPr>
      </w:pPr>
      <w:r w:rsidRPr="00C84483">
        <w:rPr>
          <w:b/>
          <w:sz w:val="24"/>
          <w:szCs w:val="24"/>
        </w:rPr>
        <w:t>4.6</w:t>
      </w:r>
      <w:r w:rsidRPr="00C84483">
        <w:rPr>
          <w:b/>
          <w:sz w:val="24"/>
          <w:szCs w:val="24"/>
        </w:rPr>
        <w:tab/>
      </w:r>
      <w:r w:rsidR="0071241E">
        <w:rPr>
          <w:b/>
          <w:sz w:val="24"/>
          <w:szCs w:val="24"/>
        </w:rPr>
        <w:t>Fertilitet, g</w:t>
      </w:r>
      <w:r w:rsidRPr="00C84483">
        <w:rPr>
          <w:b/>
          <w:sz w:val="24"/>
          <w:szCs w:val="24"/>
        </w:rPr>
        <w:t>raviditet og amning</w:t>
      </w:r>
    </w:p>
    <w:p w14:paraId="655FDE23" w14:textId="77777777" w:rsidR="00D96FC2" w:rsidRPr="00D96FC2" w:rsidRDefault="00D96FC2" w:rsidP="00D96FC2">
      <w:pPr>
        <w:tabs>
          <w:tab w:val="left" w:pos="851"/>
        </w:tabs>
        <w:ind w:left="851"/>
        <w:rPr>
          <w:bCs/>
          <w:sz w:val="24"/>
          <w:szCs w:val="24"/>
        </w:rPr>
      </w:pPr>
    </w:p>
    <w:p w14:paraId="29D9D675" w14:textId="77777777" w:rsidR="00D96FC2" w:rsidRPr="00D96FC2" w:rsidRDefault="00D96FC2" w:rsidP="00D96FC2">
      <w:pPr>
        <w:tabs>
          <w:tab w:val="left" w:pos="851"/>
        </w:tabs>
        <w:ind w:left="851"/>
        <w:rPr>
          <w:bCs/>
          <w:sz w:val="24"/>
          <w:szCs w:val="24"/>
        </w:rPr>
      </w:pPr>
      <w:r w:rsidRPr="00D96FC2">
        <w:rPr>
          <w:bCs/>
          <w:sz w:val="24"/>
          <w:szCs w:val="24"/>
          <w:u w:val="single"/>
        </w:rPr>
        <w:t>Kvinder i den fertile alder</w:t>
      </w:r>
      <w:r w:rsidRPr="00D96FC2">
        <w:rPr>
          <w:bCs/>
          <w:sz w:val="24"/>
          <w:szCs w:val="24"/>
        </w:rPr>
        <w:t xml:space="preserve"> </w:t>
      </w:r>
    </w:p>
    <w:p w14:paraId="50E1BFB3" w14:textId="77777777" w:rsidR="00D96FC2" w:rsidRPr="00D96FC2" w:rsidRDefault="00D96FC2" w:rsidP="00D96FC2">
      <w:pPr>
        <w:tabs>
          <w:tab w:val="left" w:pos="851"/>
        </w:tabs>
        <w:ind w:left="851"/>
        <w:rPr>
          <w:bCs/>
          <w:sz w:val="24"/>
          <w:szCs w:val="24"/>
        </w:rPr>
      </w:pPr>
      <w:r w:rsidRPr="00D96FC2">
        <w:rPr>
          <w:bCs/>
          <w:sz w:val="24"/>
          <w:szCs w:val="24"/>
        </w:rPr>
        <w:t xml:space="preserve">Mirabegron "Zentiva" frarådes til kvinder i den fertile alder, som ikke anvender kontraception. </w:t>
      </w:r>
    </w:p>
    <w:p w14:paraId="7F841E53" w14:textId="70B77BC7" w:rsidR="00D96FC2" w:rsidRDefault="00D96FC2">
      <w:pPr>
        <w:rPr>
          <w:bCs/>
          <w:sz w:val="24"/>
          <w:szCs w:val="24"/>
        </w:rPr>
      </w:pPr>
      <w:r>
        <w:rPr>
          <w:bCs/>
          <w:sz w:val="24"/>
          <w:szCs w:val="24"/>
        </w:rPr>
        <w:br w:type="page"/>
      </w:r>
    </w:p>
    <w:p w14:paraId="4A147BCD" w14:textId="77777777" w:rsidR="00D96FC2" w:rsidRPr="00D96FC2" w:rsidRDefault="00D96FC2" w:rsidP="00D96FC2">
      <w:pPr>
        <w:tabs>
          <w:tab w:val="left" w:pos="851"/>
        </w:tabs>
        <w:ind w:left="851"/>
        <w:rPr>
          <w:bCs/>
          <w:sz w:val="24"/>
          <w:szCs w:val="24"/>
        </w:rPr>
      </w:pPr>
    </w:p>
    <w:p w14:paraId="0A8C505D" w14:textId="77777777" w:rsidR="00D96FC2" w:rsidRPr="00D96FC2" w:rsidRDefault="00D96FC2" w:rsidP="00D96FC2">
      <w:pPr>
        <w:tabs>
          <w:tab w:val="left" w:pos="851"/>
        </w:tabs>
        <w:ind w:left="851"/>
        <w:rPr>
          <w:sz w:val="24"/>
          <w:szCs w:val="24"/>
        </w:rPr>
      </w:pPr>
      <w:r w:rsidRPr="00D96FC2">
        <w:rPr>
          <w:sz w:val="24"/>
          <w:szCs w:val="24"/>
          <w:u w:val="single"/>
        </w:rPr>
        <w:t>Graviditet</w:t>
      </w:r>
    </w:p>
    <w:p w14:paraId="78AC51F0" w14:textId="77777777" w:rsidR="00D96FC2" w:rsidRPr="00D96FC2" w:rsidRDefault="00D96FC2" w:rsidP="00D96FC2">
      <w:pPr>
        <w:tabs>
          <w:tab w:val="left" w:pos="851"/>
        </w:tabs>
        <w:ind w:left="851"/>
        <w:rPr>
          <w:sz w:val="24"/>
          <w:szCs w:val="24"/>
        </w:rPr>
      </w:pPr>
      <w:r w:rsidRPr="00D96FC2">
        <w:rPr>
          <w:sz w:val="24"/>
          <w:szCs w:val="24"/>
        </w:rPr>
        <w:t xml:space="preserve">Der er ingen eller utilstrækkelige data fra anvendelse af mirabegron til gravide kvinder. Dyrestudier har påvist reproduktionstoksicitet (se pkt. 5.3). Dette lægemiddel frarådes under graviditet. </w:t>
      </w:r>
    </w:p>
    <w:p w14:paraId="05D05D0D" w14:textId="77777777" w:rsidR="00D96FC2" w:rsidRPr="00D96FC2" w:rsidRDefault="00D96FC2" w:rsidP="00D96FC2">
      <w:pPr>
        <w:tabs>
          <w:tab w:val="left" w:pos="851"/>
        </w:tabs>
        <w:ind w:left="851"/>
        <w:rPr>
          <w:sz w:val="24"/>
          <w:szCs w:val="24"/>
        </w:rPr>
      </w:pPr>
    </w:p>
    <w:p w14:paraId="258E6EC0" w14:textId="77777777" w:rsidR="00D96FC2" w:rsidRPr="00D96FC2" w:rsidRDefault="00D96FC2" w:rsidP="00D96FC2">
      <w:pPr>
        <w:tabs>
          <w:tab w:val="left" w:pos="851"/>
        </w:tabs>
        <w:ind w:left="851"/>
        <w:rPr>
          <w:sz w:val="24"/>
          <w:szCs w:val="24"/>
        </w:rPr>
      </w:pPr>
      <w:r w:rsidRPr="00D96FC2">
        <w:rPr>
          <w:sz w:val="24"/>
          <w:szCs w:val="24"/>
          <w:u w:val="single"/>
        </w:rPr>
        <w:t>Amning</w:t>
      </w:r>
    </w:p>
    <w:p w14:paraId="5B290792" w14:textId="0BC97325" w:rsidR="00D96FC2" w:rsidRPr="00D96FC2" w:rsidRDefault="00D96FC2" w:rsidP="00D96FC2">
      <w:pPr>
        <w:tabs>
          <w:tab w:val="left" w:pos="851"/>
        </w:tabs>
        <w:ind w:left="851"/>
        <w:rPr>
          <w:sz w:val="24"/>
          <w:szCs w:val="24"/>
        </w:rPr>
      </w:pPr>
      <w:r w:rsidRPr="00D96FC2">
        <w:rPr>
          <w:sz w:val="24"/>
          <w:szCs w:val="24"/>
        </w:rPr>
        <w:t xml:space="preserve">Mirabegron udskilles i mælk hos gnavere og forventes derfor at ville forekomme i human mælk (se pkt. 5.3). Der er ikke udført studier med henblik på vurdering af mirabegrons virkning på mælkeproduktionen hos mennesker, dets forekomst i human mælk eller dets påvirkning af det ammede barn. </w:t>
      </w:r>
    </w:p>
    <w:p w14:paraId="50145E61" w14:textId="77777777" w:rsidR="00D96FC2" w:rsidRPr="00D96FC2" w:rsidRDefault="00D96FC2" w:rsidP="00D96FC2">
      <w:pPr>
        <w:tabs>
          <w:tab w:val="left" w:pos="851"/>
        </w:tabs>
        <w:ind w:left="851"/>
        <w:rPr>
          <w:sz w:val="24"/>
          <w:szCs w:val="24"/>
        </w:rPr>
      </w:pPr>
      <w:r w:rsidRPr="00D96FC2">
        <w:rPr>
          <w:sz w:val="24"/>
          <w:szCs w:val="24"/>
        </w:rPr>
        <w:t xml:space="preserve"> </w:t>
      </w:r>
    </w:p>
    <w:p w14:paraId="3875901F" w14:textId="77777777" w:rsidR="00D96FC2" w:rsidRPr="00D96FC2" w:rsidRDefault="00D96FC2" w:rsidP="00D96FC2">
      <w:pPr>
        <w:tabs>
          <w:tab w:val="left" w:pos="851"/>
        </w:tabs>
        <w:ind w:left="851"/>
        <w:rPr>
          <w:sz w:val="24"/>
          <w:szCs w:val="24"/>
        </w:rPr>
      </w:pPr>
      <w:r w:rsidRPr="00D96FC2">
        <w:rPr>
          <w:sz w:val="24"/>
          <w:szCs w:val="24"/>
        </w:rPr>
        <w:t xml:space="preserve">Mirabegron "Zentiva" må ikke anvendes under amning. </w:t>
      </w:r>
    </w:p>
    <w:p w14:paraId="1126C9C9" w14:textId="77777777" w:rsidR="00D96FC2" w:rsidRPr="00D96FC2" w:rsidRDefault="00D96FC2" w:rsidP="00D96FC2">
      <w:pPr>
        <w:tabs>
          <w:tab w:val="left" w:pos="851"/>
        </w:tabs>
        <w:ind w:left="851"/>
        <w:rPr>
          <w:sz w:val="24"/>
          <w:szCs w:val="24"/>
        </w:rPr>
      </w:pPr>
    </w:p>
    <w:p w14:paraId="1817D34D" w14:textId="77777777" w:rsidR="00D96FC2" w:rsidRPr="00D96FC2" w:rsidRDefault="00D96FC2" w:rsidP="00D96FC2">
      <w:pPr>
        <w:tabs>
          <w:tab w:val="left" w:pos="851"/>
        </w:tabs>
        <w:ind w:left="851"/>
        <w:rPr>
          <w:sz w:val="24"/>
          <w:szCs w:val="24"/>
        </w:rPr>
      </w:pPr>
      <w:r w:rsidRPr="00D96FC2">
        <w:rPr>
          <w:sz w:val="24"/>
          <w:szCs w:val="24"/>
          <w:u w:val="single"/>
        </w:rPr>
        <w:t>Fertilitet</w:t>
      </w:r>
    </w:p>
    <w:p w14:paraId="7DFF58B5" w14:textId="77777777" w:rsidR="00D96FC2" w:rsidRPr="00D96FC2" w:rsidRDefault="00D96FC2" w:rsidP="00D96FC2">
      <w:pPr>
        <w:tabs>
          <w:tab w:val="left" w:pos="851"/>
        </w:tabs>
        <w:ind w:left="851"/>
        <w:rPr>
          <w:sz w:val="24"/>
          <w:szCs w:val="24"/>
        </w:rPr>
      </w:pPr>
      <w:r w:rsidRPr="00D96FC2">
        <w:rPr>
          <w:sz w:val="24"/>
          <w:szCs w:val="24"/>
        </w:rPr>
        <w:t xml:space="preserve">Fertiliteten hos dyr blev ikke påvirket af behandling med mirabegron (se pkt. 5.3). Mirabegrons virkning på human fertilitet er ikke klarlagt. </w:t>
      </w:r>
    </w:p>
    <w:p w14:paraId="722EBBD7" w14:textId="77777777" w:rsidR="009260DE" w:rsidRPr="00C84483" w:rsidRDefault="009260DE" w:rsidP="004931E3">
      <w:pPr>
        <w:tabs>
          <w:tab w:val="left" w:pos="851"/>
        </w:tabs>
        <w:ind w:left="851"/>
        <w:rPr>
          <w:sz w:val="24"/>
          <w:szCs w:val="24"/>
        </w:rPr>
      </w:pPr>
    </w:p>
    <w:p w14:paraId="05E91601" w14:textId="77777777" w:rsidR="009260DE" w:rsidRPr="00C84483" w:rsidRDefault="009260DE" w:rsidP="004931E3">
      <w:pPr>
        <w:tabs>
          <w:tab w:val="left" w:pos="851"/>
        </w:tabs>
        <w:ind w:left="851" w:hanging="851"/>
        <w:rPr>
          <w:b/>
          <w:sz w:val="24"/>
          <w:szCs w:val="24"/>
        </w:rPr>
      </w:pPr>
      <w:r w:rsidRPr="00C84483">
        <w:rPr>
          <w:b/>
          <w:sz w:val="24"/>
          <w:szCs w:val="24"/>
        </w:rPr>
        <w:t>4.7</w:t>
      </w:r>
      <w:r w:rsidRPr="00C84483">
        <w:rPr>
          <w:b/>
          <w:sz w:val="24"/>
          <w:szCs w:val="24"/>
        </w:rPr>
        <w:tab/>
        <w:t xml:space="preserve">Virkning på evnen til at føre motorkøretøj </w:t>
      </w:r>
      <w:r w:rsidR="0071241E">
        <w:rPr>
          <w:b/>
          <w:sz w:val="24"/>
          <w:szCs w:val="24"/>
        </w:rPr>
        <w:t>og</w:t>
      </w:r>
      <w:r w:rsidRPr="00C84483">
        <w:rPr>
          <w:b/>
          <w:sz w:val="24"/>
          <w:szCs w:val="24"/>
        </w:rPr>
        <w:t xml:space="preserve"> betjene maskiner</w:t>
      </w:r>
    </w:p>
    <w:p w14:paraId="37E8A59D" w14:textId="77777777" w:rsidR="000B7D19" w:rsidRPr="000B7D19" w:rsidRDefault="000B7D19" w:rsidP="000B7D19">
      <w:pPr>
        <w:tabs>
          <w:tab w:val="left" w:pos="851"/>
        </w:tabs>
        <w:ind w:left="851"/>
        <w:rPr>
          <w:sz w:val="24"/>
          <w:szCs w:val="24"/>
        </w:rPr>
      </w:pPr>
      <w:r w:rsidRPr="000B7D19">
        <w:rPr>
          <w:sz w:val="24"/>
          <w:szCs w:val="24"/>
        </w:rPr>
        <w:t>Ikke mærkning.</w:t>
      </w:r>
    </w:p>
    <w:p w14:paraId="73263BD8" w14:textId="77777777" w:rsidR="000B7D19" w:rsidRPr="000B7D19" w:rsidRDefault="000B7D19" w:rsidP="000B7D19">
      <w:pPr>
        <w:tabs>
          <w:tab w:val="left" w:pos="851"/>
        </w:tabs>
        <w:ind w:left="851"/>
        <w:rPr>
          <w:sz w:val="24"/>
          <w:szCs w:val="24"/>
        </w:rPr>
      </w:pPr>
      <w:r w:rsidRPr="000B7D19">
        <w:rPr>
          <w:sz w:val="24"/>
          <w:szCs w:val="24"/>
        </w:rPr>
        <w:t xml:space="preserve">Mirabegron "Zentiva" påvirker ikke eller kun i ubetydelig grad evnen til at føre motorkøretøj og betjene maskiner. </w:t>
      </w:r>
    </w:p>
    <w:p w14:paraId="79513028" w14:textId="77777777" w:rsidR="009260DE" w:rsidRPr="00C84483" w:rsidRDefault="009260DE" w:rsidP="004931E3">
      <w:pPr>
        <w:tabs>
          <w:tab w:val="left" w:pos="851"/>
        </w:tabs>
        <w:ind w:left="851"/>
        <w:rPr>
          <w:sz w:val="24"/>
          <w:szCs w:val="24"/>
        </w:rPr>
      </w:pPr>
    </w:p>
    <w:p w14:paraId="3AB1594E" w14:textId="77777777" w:rsidR="009260DE" w:rsidRPr="00C84483" w:rsidRDefault="009260DE" w:rsidP="004931E3">
      <w:pPr>
        <w:tabs>
          <w:tab w:val="left" w:pos="851"/>
        </w:tabs>
        <w:ind w:left="851" w:hanging="851"/>
        <w:rPr>
          <w:b/>
          <w:sz w:val="24"/>
          <w:szCs w:val="24"/>
        </w:rPr>
      </w:pPr>
      <w:r w:rsidRPr="00C84483">
        <w:rPr>
          <w:b/>
          <w:sz w:val="24"/>
          <w:szCs w:val="24"/>
        </w:rPr>
        <w:t>4.8</w:t>
      </w:r>
      <w:r w:rsidRPr="00C84483">
        <w:rPr>
          <w:b/>
          <w:sz w:val="24"/>
          <w:szCs w:val="24"/>
        </w:rPr>
        <w:tab/>
        <w:t>Bivirkninger</w:t>
      </w:r>
    </w:p>
    <w:p w14:paraId="5331BED4" w14:textId="77777777" w:rsidR="000B7D19" w:rsidRPr="000B7D19" w:rsidRDefault="000B7D19" w:rsidP="000B7D19">
      <w:pPr>
        <w:suppressAutoHyphens/>
        <w:kinsoku w:val="0"/>
        <w:overflowPunct w:val="0"/>
        <w:autoSpaceDE w:val="0"/>
        <w:autoSpaceDN w:val="0"/>
        <w:adjustRightInd w:val="0"/>
        <w:ind w:left="851"/>
        <w:rPr>
          <w:color w:val="000000"/>
          <w:sz w:val="24"/>
          <w:szCs w:val="24"/>
          <w:lang w:eastAsia="da-DK"/>
        </w:rPr>
      </w:pPr>
    </w:p>
    <w:p w14:paraId="36729BDD" w14:textId="77777777" w:rsidR="000B7D19" w:rsidRPr="000B7D19" w:rsidRDefault="000B7D19" w:rsidP="000B7D19">
      <w:pPr>
        <w:widowControl w:val="0"/>
        <w:suppressAutoHyphens/>
        <w:kinsoku w:val="0"/>
        <w:overflowPunct w:val="0"/>
        <w:autoSpaceDE w:val="0"/>
        <w:autoSpaceDN w:val="0"/>
        <w:adjustRightInd w:val="0"/>
        <w:ind w:left="851"/>
        <w:rPr>
          <w:color w:val="000000"/>
          <w:sz w:val="24"/>
          <w:szCs w:val="24"/>
          <w:u w:val="single"/>
          <w:lang w:eastAsia="da-DK"/>
        </w:rPr>
      </w:pPr>
      <w:r w:rsidRPr="000B7D19">
        <w:rPr>
          <w:color w:val="000000"/>
          <w:sz w:val="24"/>
          <w:szCs w:val="24"/>
          <w:u w:val="single"/>
          <w:lang w:eastAsia="da-DK"/>
        </w:rPr>
        <w:t>Resumé af sikkerhedsprofilen</w:t>
      </w:r>
      <w:r w:rsidRPr="000B7D19">
        <w:rPr>
          <w:color w:val="000000"/>
          <w:sz w:val="24"/>
          <w:szCs w:val="24"/>
          <w:lang w:eastAsia="da-DK"/>
        </w:rPr>
        <w:t xml:space="preserve"> </w:t>
      </w:r>
    </w:p>
    <w:p w14:paraId="4EF108F1" w14:textId="77777777" w:rsidR="000B7D19" w:rsidRPr="000B7D19" w:rsidRDefault="000B7D19" w:rsidP="000B7D19">
      <w:pPr>
        <w:widowControl w:val="0"/>
        <w:suppressAutoHyphens/>
        <w:kinsoku w:val="0"/>
        <w:overflowPunct w:val="0"/>
        <w:autoSpaceDE w:val="0"/>
        <w:autoSpaceDN w:val="0"/>
        <w:adjustRightInd w:val="0"/>
        <w:ind w:left="851"/>
        <w:rPr>
          <w:color w:val="000000"/>
          <w:sz w:val="24"/>
          <w:szCs w:val="24"/>
          <w:lang w:eastAsia="da-DK"/>
        </w:rPr>
      </w:pPr>
      <w:r w:rsidRPr="000B7D19">
        <w:rPr>
          <w:color w:val="000000"/>
          <w:sz w:val="24"/>
          <w:szCs w:val="24"/>
          <w:lang w:eastAsia="da-DK"/>
        </w:rPr>
        <w:t xml:space="preserve">Sikkerheden af mirabegron blev evalueret hos 8.433 voksne patienter med OAB, hvoraf 5.648 fik mindst én dosis mirabegron i det kliniske fase 2/3-program, og 622 patienter fik mirabegron i mindst 1 år (365 dage). I de tre 12-ugers dobbeltblinde placebokontrollerede fase 3-studier gennemførte 88 % af patienterne behandlingen med dette lægemiddel, og behandlingen blev seponeret hos 4 % af patienterne som følge af bivirkninger. De fleste bivirkninger var af let til moderat sværhedsgrad. </w:t>
      </w:r>
    </w:p>
    <w:p w14:paraId="0FF0F38C" w14:textId="77777777" w:rsidR="000B7D19" w:rsidRPr="000B7D19" w:rsidRDefault="000B7D19" w:rsidP="000B7D19">
      <w:pPr>
        <w:widowControl w:val="0"/>
        <w:suppressAutoHyphens/>
        <w:kinsoku w:val="0"/>
        <w:overflowPunct w:val="0"/>
        <w:autoSpaceDE w:val="0"/>
        <w:autoSpaceDN w:val="0"/>
        <w:adjustRightInd w:val="0"/>
        <w:ind w:left="851"/>
        <w:rPr>
          <w:color w:val="000000"/>
          <w:sz w:val="24"/>
          <w:szCs w:val="24"/>
          <w:lang w:eastAsia="da-DK"/>
        </w:rPr>
      </w:pPr>
      <w:r w:rsidRPr="000B7D19">
        <w:rPr>
          <w:color w:val="000000"/>
          <w:sz w:val="24"/>
          <w:szCs w:val="24"/>
          <w:lang w:eastAsia="da-DK"/>
        </w:rPr>
        <w:t xml:space="preserve"> </w:t>
      </w:r>
    </w:p>
    <w:p w14:paraId="2E7A0AFB" w14:textId="06DEE7E4" w:rsidR="000B7D19" w:rsidRPr="000B7D19" w:rsidRDefault="000B7D19" w:rsidP="000B7D19">
      <w:pPr>
        <w:widowControl w:val="0"/>
        <w:suppressAutoHyphens/>
        <w:kinsoku w:val="0"/>
        <w:overflowPunct w:val="0"/>
        <w:autoSpaceDE w:val="0"/>
        <w:autoSpaceDN w:val="0"/>
        <w:adjustRightInd w:val="0"/>
        <w:ind w:left="851"/>
        <w:rPr>
          <w:color w:val="000000"/>
          <w:sz w:val="24"/>
          <w:szCs w:val="24"/>
          <w:lang w:eastAsia="da-DK"/>
        </w:rPr>
      </w:pPr>
      <w:r w:rsidRPr="000B7D19">
        <w:rPr>
          <w:color w:val="000000"/>
          <w:sz w:val="24"/>
          <w:szCs w:val="24"/>
          <w:lang w:eastAsia="da-DK"/>
        </w:rPr>
        <w:t>De mest almindelige bivirkninger indberettet for voksne patienter behandlet med mirabegron 50 mg under de tre 12-ugers dobbeltblinde, placebokontrollerede fase 3-studier, er takykardi og urinvejsinfektioner. Hyppigheden af takykardi var 1,2 % hos patienter, som fik mirabegron</w:t>
      </w:r>
      <w:r>
        <w:rPr>
          <w:color w:val="000000"/>
          <w:sz w:val="24"/>
          <w:szCs w:val="24"/>
          <w:lang w:eastAsia="da-DK"/>
        </w:rPr>
        <w:t xml:space="preserve"> </w:t>
      </w:r>
      <w:r w:rsidRPr="000B7D19">
        <w:rPr>
          <w:color w:val="000000"/>
          <w:sz w:val="24"/>
          <w:szCs w:val="24"/>
          <w:lang w:eastAsia="da-DK"/>
        </w:rPr>
        <w:t xml:space="preserve">50 mg. Takykardi førte til seponering for 0,1 % af de patienter, der fik mirabegron 50 mg. Hyppigheden af urinvejsinfektioner var 2,9 % hos patienter, som fik mirabegron 50 mg. Urinvejsinfektioner førte ikke til seponering for nogen af de patienter, der fik mirabegron 50 mg. Alvorlige bivirkninger omfattede atrieflimren (0,2 %). </w:t>
      </w:r>
    </w:p>
    <w:p w14:paraId="1B03FF1A" w14:textId="77777777" w:rsidR="000B7D19" w:rsidRPr="000B7D19" w:rsidRDefault="000B7D19" w:rsidP="000B7D19">
      <w:pPr>
        <w:widowControl w:val="0"/>
        <w:suppressAutoHyphens/>
        <w:kinsoku w:val="0"/>
        <w:overflowPunct w:val="0"/>
        <w:autoSpaceDE w:val="0"/>
        <w:autoSpaceDN w:val="0"/>
        <w:adjustRightInd w:val="0"/>
        <w:ind w:left="851"/>
        <w:rPr>
          <w:color w:val="000000"/>
          <w:sz w:val="24"/>
          <w:szCs w:val="24"/>
          <w:lang w:eastAsia="da-DK"/>
        </w:rPr>
      </w:pPr>
      <w:r w:rsidRPr="000B7D19">
        <w:rPr>
          <w:color w:val="000000"/>
          <w:sz w:val="24"/>
          <w:szCs w:val="24"/>
          <w:lang w:eastAsia="da-DK"/>
        </w:rPr>
        <w:t xml:space="preserve"> </w:t>
      </w:r>
    </w:p>
    <w:p w14:paraId="035E399A" w14:textId="77777777" w:rsidR="000B7D19" w:rsidRPr="000B7D19" w:rsidRDefault="000B7D19" w:rsidP="000B7D19">
      <w:pPr>
        <w:widowControl w:val="0"/>
        <w:suppressAutoHyphens/>
        <w:kinsoku w:val="0"/>
        <w:overflowPunct w:val="0"/>
        <w:autoSpaceDE w:val="0"/>
        <w:autoSpaceDN w:val="0"/>
        <w:adjustRightInd w:val="0"/>
        <w:ind w:left="851"/>
        <w:rPr>
          <w:color w:val="000000"/>
          <w:sz w:val="24"/>
          <w:szCs w:val="24"/>
          <w:lang w:eastAsia="da-DK"/>
        </w:rPr>
      </w:pPr>
      <w:r w:rsidRPr="000B7D19">
        <w:rPr>
          <w:color w:val="000000"/>
          <w:sz w:val="24"/>
          <w:szCs w:val="24"/>
          <w:lang w:eastAsia="da-DK"/>
        </w:rPr>
        <w:t>Bivirkninger observeret under det aktivt kontrollerede (muskarin antagonist) 1-årige (langtids-) studie svarede i type og sværhedsgrad til dem, der blev observeret i de tre 12-ugers dobbeltblinde, placebokontrollerede fase 3-studier.</w:t>
      </w:r>
    </w:p>
    <w:p w14:paraId="50D4826A" w14:textId="77777777" w:rsidR="000B7D19" w:rsidRPr="000B7D19" w:rsidRDefault="000B7D19" w:rsidP="000B7D19">
      <w:pPr>
        <w:widowControl w:val="0"/>
        <w:suppressAutoHyphens/>
        <w:kinsoku w:val="0"/>
        <w:overflowPunct w:val="0"/>
        <w:autoSpaceDE w:val="0"/>
        <w:autoSpaceDN w:val="0"/>
        <w:adjustRightInd w:val="0"/>
        <w:ind w:left="851"/>
        <w:rPr>
          <w:color w:val="000000"/>
          <w:sz w:val="24"/>
          <w:szCs w:val="24"/>
          <w:lang w:eastAsia="da-DK"/>
        </w:rPr>
      </w:pPr>
    </w:p>
    <w:p w14:paraId="039C0290" w14:textId="77777777" w:rsidR="000B7D19" w:rsidRPr="000B7D19" w:rsidRDefault="000B7D19" w:rsidP="000B7D19">
      <w:pPr>
        <w:keepNext/>
        <w:suppressAutoHyphens/>
        <w:kinsoku w:val="0"/>
        <w:overflowPunct w:val="0"/>
        <w:autoSpaceDE w:val="0"/>
        <w:autoSpaceDN w:val="0"/>
        <w:adjustRightInd w:val="0"/>
        <w:ind w:left="851"/>
        <w:rPr>
          <w:color w:val="000000"/>
          <w:sz w:val="24"/>
          <w:szCs w:val="24"/>
          <w:u w:val="single"/>
          <w:lang w:eastAsia="da-DK"/>
        </w:rPr>
      </w:pPr>
      <w:r w:rsidRPr="000B7D19">
        <w:rPr>
          <w:color w:val="000000"/>
          <w:sz w:val="24"/>
          <w:szCs w:val="24"/>
          <w:u w:val="single"/>
          <w:lang w:eastAsia="da-DK"/>
        </w:rPr>
        <w:t>Skematisk oversigt over bivirkninger</w:t>
      </w:r>
      <w:r w:rsidRPr="000B7D19">
        <w:rPr>
          <w:color w:val="000000"/>
          <w:sz w:val="24"/>
          <w:szCs w:val="24"/>
          <w:lang w:eastAsia="da-DK"/>
        </w:rPr>
        <w:t xml:space="preserve"> </w:t>
      </w:r>
    </w:p>
    <w:p w14:paraId="106519EF" w14:textId="3FEC1823" w:rsidR="000B7D19" w:rsidRPr="000B7D19" w:rsidRDefault="000B7D19" w:rsidP="000B7D19">
      <w:pPr>
        <w:keepNext/>
        <w:suppressAutoHyphens/>
        <w:kinsoku w:val="0"/>
        <w:overflowPunct w:val="0"/>
        <w:autoSpaceDE w:val="0"/>
        <w:autoSpaceDN w:val="0"/>
        <w:adjustRightInd w:val="0"/>
        <w:ind w:left="851"/>
        <w:rPr>
          <w:color w:val="000000"/>
          <w:sz w:val="24"/>
          <w:szCs w:val="24"/>
          <w:lang w:eastAsia="da-DK"/>
        </w:rPr>
      </w:pPr>
      <w:r w:rsidRPr="000B7D19">
        <w:rPr>
          <w:color w:val="000000"/>
          <w:sz w:val="24"/>
          <w:szCs w:val="24"/>
          <w:lang w:eastAsia="da-DK"/>
        </w:rPr>
        <w:t>Nedenstående tabel omfatter bivirkningerne observeret med mirabegron hos voksne med OAB i de tre 12-ugers dobbeltblinde, placebokontrollerede fase 3-studier.</w:t>
      </w:r>
    </w:p>
    <w:p w14:paraId="11A0A464" w14:textId="327062B4" w:rsidR="000B7D19" w:rsidRDefault="000B7D19">
      <w:pPr>
        <w:rPr>
          <w:color w:val="000000"/>
          <w:sz w:val="24"/>
          <w:szCs w:val="24"/>
          <w:lang w:eastAsia="da-DK"/>
        </w:rPr>
      </w:pPr>
      <w:r>
        <w:rPr>
          <w:color w:val="000000"/>
          <w:sz w:val="24"/>
          <w:szCs w:val="24"/>
          <w:lang w:eastAsia="da-DK"/>
        </w:rPr>
        <w:br w:type="page"/>
      </w:r>
    </w:p>
    <w:p w14:paraId="1C8750D6" w14:textId="77777777" w:rsidR="000B7D19" w:rsidRPr="000B7D19" w:rsidRDefault="000B7D19" w:rsidP="000B7D19">
      <w:pPr>
        <w:widowControl w:val="0"/>
        <w:suppressAutoHyphens/>
        <w:kinsoku w:val="0"/>
        <w:overflowPunct w:val="0"/>
        <w:autoSpaceDE w:val="0"/>
        <w:autoSpaceDN w:val="0"/>
        <w:adjustRightInd w:val="0"/>
        <w:ind w:left="851"/>
        <w:rPr>
          <w:color w:val="000000"/>
          <w:sz w:val="24"/>
          <w:szCs w:val="24"/>
          <w:lang w:eastAsia="da-DK"/>
        </w:rPr>
      </w:pPr>
    </w:p>
    <w:p w14:paraId="6042FB26" w14:textId="2A69A875" w:rsidR="000B7D19" w:rsidRPr="000B7D19" w:rsidRDefault="000B7D19" w:rsidP="000B7D19">
      <w:pPr>
        <w:widowControl w:val="0"/>
        <w:suppressAutoHyphens/>
        <w:kinsoku w:val="0"/>
        <w:overflowPunct w:val="0"/>
        <w:autoSpaceDE w:val="0"/>
        <w:autoSpaceDN w:val="0"/>
        <w:adjustRightInd w:val="0"/>
        <w:ind w:left="851"/>
        <w:rPr>
          <w:color w:val="000000"/>
          <w:sz w:val="24"/>
          <w:szCs w:val="24"/>
          <w:lang w:eastAsia="da-DK"/>
        </w:rPr>
      </w:pPr>
      <w:r w:rsidRPr="000B7D19">
        <w:rPr>
          <w:color w:val="000000"/>
          <w:sz w:val="24"/>
          <w:szCs w:val="24"/>
          <w:lang w:eastAsia="da-DK"/>
        </w:rPr>
        <w:t xml:space="preserve">Bivirkningers hyppighed er defineret som følger: </w:t>
      </w:r>
      <w:r>
        <w:rPr>
          <w:color w:val="000000"/>
          <w:sz w:val="24"/>
          <w:szCs w:val="24"/>
          <w:lang w:eastAsia="da-DK"/>
        </w:rPr>
        <w:t>M</w:t>
      </w:r>
      <w:r w:rsidRPr="000B7D19">
        <w:rPr>
          <w:color w:val="000000"/>
          <w:sz w:val="24"/>
          <w:szCs w:val="24"/>
          <w:lang w:eastAsia="da-DK"/>
        </w:rPr>
        <w:t>eget almindelig (≥ 1/10); almindelig (≥ 1/100 til &lt; 1/10); ikke almindelig (≥ 1/1.000 til &lt; 1/100); sjælden (≥ 1/10.000 til &lt; 1/1.000); meget sjælden (&lt; 1/10.000) og ikke kendt (kan ikke estimeres ud fra forhåndenværende data). Inden for hver hyppighedsgruppe er bivirkningerne opstillet efter faldende alvorsgrad.</w:t>
      </w:r>
    </w:p>
    <w:p w14:paraId="04A9C01E" w14:textId="77777777" w:rsidR="000B7D19" w:rsidRPr="000B7D19" w:rsidRDefault="000B7D19" w:rsidP="000B7D19">
      <w:pPr>
        <w:widowControl w:val="0"/>
        <w:suppressAutoHyphens/>
        <w:kinsoku w:val="0"/>
        <w:overflowPunct w:val="0"/>
        <w:autoSpaceDE w:val="0"/>
        <w:autoSpaceDN w:val="0"/>
        <w:adjustRightInd w:val="0"/>
        <w:rPr>
          <w:color w:val="000000"/>
          <w:sz w:val="22"/>
          <w:szCs w:val="22"/>
          <w:lang w:eastAsia="da-DK"/>
        </w:rPr>
      </w:pPr>
    </w:p>
    <w:tbl>
      <w:tblPr>
        <w:tblW w:w="9645" w:type="dxa"/>
        <w:jc w:val="center"/>
        <w:tblLayout w:type="fixed"/>
        <w:tblCellMar>
          <w:top w:w="54" w:type="dxa"/>
          <w:left w:w="106" w:type="dxa"/>
          <w:right w:w="61" w:type="dxa"/>
        </w:tblCellMar>
        <w:tblLook w:val="04A0" w:firstRow="1" w:lastRow="0" w:firstColumn="1" w:lastColumn="0" w:noHBand="0" w:noVBand="1"/>
      </w:tblPr>
      <w:tblGrid>
        <w:gridCol w:w="2030"/>
        <w:gridCol w:w="1716"/>
        <w:gridCol w:w="1353"/>
        <w:gridCol w:w="1702"/>
        <w:gridCol w:w="1277"/>
        <w:gridCol w:w="1567"/>
      </w:tblGrid>
      <w:tr w:rsidR="000B7D19" w:rsidRPr="000B7D19" w14:paraId="50AF6611" w14:textId="77777777">
        <w:trPr>
          <w:trHeight w:val="1390"/>
          <w:jc w:val="center"/>
        </w:trPr>
        <w:tc>
          <w:tcPr>
            <w:tcW w:w="2030"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7F3BF42B" w14:textId="77777777" w:rsidR="000B7D19" w:rsidRPr="000B7D19" w:rsidRDefault="000B7D19" w:rsidP="000B7D19">
            <w:pPr>
              <w:widowControl w:val="0"/>
              <w:suppressAutoHyphens/>
              <w:kinsoku w:val="0"/>
              <w:overflowPunct w:val="0"/>
              <w:autoSpaceDE w:val="0"/>
              <w:autoSpaceDN w:val="0"/>
              <w:adjustRightInd w:val="0"/>
              <w:jc w:val="center"/>
              <w:rPr>
                <w:color w:val="000000"/>
                <w:sz w:val="22"/>
                <w:szCs w:val="22"/>
                <w:lang w:val="ru-RU" w:eastAsia="ru-RU"/>
              </w:rPr>
            </w:pPr>
            <w:r w:rsidRPr="000B7D19">
              <w:rPr>
                <w:b/>
                <w:color w:val="000000"/>
                <w:sz w:val="22"/>
                <w:szCs w:val="22"/>
                <w:lang w:val="ru-RU" w:eastAsia="ru-RU"/>
              </w:rPr>
              <w:t>MedDRA Systemorganklasse</w:t>
            </w:r>
          </w:p>
        </w:tc>
        <w:tc>
          <w:tcPr>
            <w:tcW w:w="171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3A131B72" w14:textId="77777777" w:rsidR="000B7D19" w:rsidRPr="000B7D19" w:rsidRDefault="000B7D19" w:rsidP="000B7D19">
            <w:pPr>
              <w:widowControl w:val="0"/>
              <w:suppressAutoHyphens/>
              <w:kinsoku w:val="0"/>
              <w:overflowPunct w:val="0"/>
              <w:autoSpaceDE w:val="0"/>
              <w:autoSpaceDN w:val="0"/>
              <w:adjustRightInd w:val="0"/>
              <w:jc w:val="center"/>
              <w:rPr>
                <w:color w:val="000000"/>
                <w:sz w:val="22"/>
                <w:szCs w:val="22"/>
                <w:lang w:val="ru-RU" w:eastAsia="ru-RU"/>
              </w:rPr>
            </w:pPr>
            <w:r w:rsidRPr="000B7D19">
              <w:rPr>
                <w:b/>
                <w:color w:val="000000"/>
                <w:sz w:val="22"/>
                <w:szCs w:val="22"/>
                <w:lang w:val="ru-RU" w:eastAsia="ru-RU"/>
              </w:rPr>
              <w:t>Almindelig</w:t>
            </w:r>
          </w:p>
        </w:tc>
        <w:tc>
          <w:tcPr>
            <w:tcW w:w="1352"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0A10A7C7" w14:textId="77777777" w:rsidR="000B7D19" w:rsidRPr="000B7D19" w:rsidRDefault="000B7D19" w:rsidP="000B7D19">
            <w:pPr>
              <w:widowControl w:val="0"/>
              <w:suppressAutoHyphens/>
              <w:kinsoku w:val="0"/>
              <w:overflowPunct w:val="0"/>
              <w:autoSpaceDE w:val="0"/>
              <w:autoSpaceDN w:val="0"/>
              <w:adjustRightInd w:val="0"/>
              <w:jc w:val="center"/>
              <w:rPr>
                <w:color w:val="000000"/>
                <w:sz w:val="22"/>
                <w:szCs w:val="22"/>
                <w:lang w:val="ru-RU" w:eastAsia="ru-RU"/>
              </w:rPr>
            </w:pPr>
            <w:r w:rsidRPr="000B7D19">
              <w:rPr>
                <w:b/>
                <w:color w:val="000000"/>
                <w:sz w:val="22"/>
                <w:szCs w:val="22"/>
                <w:lang w:val="ru-RU" w:eastAsia="ru-RU"/>
              </w:rPr>
              <w:t>Ikke almindelig</w:t>
            </w:r>
          </w:p>
        </w:tc>
        <w:tc>
          <w:tcPr>
            <w:tcW w:w="1701"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3C013C15" w14:textId="77777777" w:rsidR="000B7D19" w:rsidRPr="000B7D19" w:rsidRDefault="000B7D19" w:rsidP="000B7D19">
            <w:pPr>
              <w:widowControl w:val="0"/>
              <w:suppressAutoHyphens/>
              <w:kinsoku w:val="0"/>
              <w:overflowPunct w:val="0"/>
              <w:autoSpaceDE w:val="0"/>
              <w:autoSpaceDN w:val="0"/>
              <w:adjustRightInd w:val="0"/>
              <w:jc w:val="center"/>
              <w:rPr>
                <w:color w:val="000000"/>
                <w:sz w:val="22"/>
                <w:szCs w:val="22"/>
                <w:lang w:val="ru-RU" w:eastAsia="ru-RU"/>
              </w:rPr>
            </w:pPr>
            <w:r w:rsidRPr="000B7D19">
              <w:rPr>
                <w:b/>
                <w:color w:val="000000"/>
                <w:sz w:val="22"/>
                <w:szCs w:val="22"/>
                <w:lang w:val="ru-RU" w:eastAsia="ru-RU"/>
              </w:rPr>
              <w:t>Sjælden</w:t>
            </w:r>
          </w:p>
        </w:tc>
        <w:tc>
          <w:tcPr>
            <w:tcW w:w="127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166AD3B7" w14:textId="77777777" w:rsidR="000B7D19" w:rsidRPr="000B7D19" w:rsidRDefault="000B7D19" w:rsidP="000B7D19">
            <w:pPr>
              <w:widowControl w:val="0"/>
              <w:suppressAutoHyphens/>
              <w:kinsoku w:val="0"/>
              <w:overflowPunct w:val="0"/>
              <w:autoSpaceDE w:val="0"/>
              <w:autoSpaceDN w:val="0"/>
              <w:adjustRightInd w:val="0"/>
              <w:jc w:val="center"/>
              <w:rPr>
                <w:color w:val="000000"/>
                <w:sz w:val="22"/>
                <w:szCs w:val="22"/>
                <w:lang w:val="ru-RU" w:eastAsia="ru-RU"/>
              </w:rPr>
            </w:pPr>
            <w:r w:rsidRPr="000B7D19">
              <w:rPr>
                <w:b/>
                <w:color w:val="000000"/>
                <w:sz w:val="22"/>
                <w:szCs w:val="22"/>
                <w:lang w:val="ru-RU" w:eastAsia="ru-RU"/>
              </w:rPr>
              <w:t>Meget sjælden</w:t>
            </w:r>
          </w:p>
        </w:tc>
        <w:tc>
          <w:tcPr>
            <w:tcW w:w="156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1B48BE0B" w14:textId="0E34D320" w:rsidR="000B7D19" w:rsidRPr="000B7D19" w:rsidRDefault="000B7D19" w:rsidP="000B7D19">
            <w:pPr>
              <w:widowControl w:val="0"/>
              <w:suppressAutoHyphens/>
              <w:kinsoku w:val="0"/>
              <w:overflowPunct w:val="0"/>
              <w:autoSpaceDE w:val="0"/>
              <w:autoSpaceDN w:val="0"/>
              <w:adjustRightInd w:val="0"/>
              <w:jc w:val="center"/>
              <w:rPr>
                <w:color w:val="000000"/>
                <w:sz w:val="22"/>
                <w:szCs w:val="22"/>
                <w:lang w:val="ru-RU" w:eastAsia="ru-RU"/>
              </w:rPr>
            </w:pPr>
            <w:r w:rsidRPr="000B7D19">
              <w:rPr>
                <w:b/>
                <w:color w:val="000000"/>
                <w:sz w:val="22"/>
                <w:szCs w:val="22"/>
                <w:lang w:val="ru-RU" w:eastAsia="ru-RU"/>
              </w:rPr>
              <w:t>Ikke kendt (hyppighed kan ikke estimeres ud fra forhånden</w:t>
            </w:r>
            <w:r>
              <w:rPr>
                <w:b/>
                <w:color w:val="000000"/>
                <w:sz w:val="22"/>
                <w:szCs w:val="22"/>
                <w:lang w:eastAsia="ru-RU"/>
              </w:rPr>
              <w:t>-</w:t>
            </w:r>
            <w:r w:rsidRPr="000B7D19">
              <w:rPr>
                <w:b/>
                <w:color w:val="000000"/>
                <w:sz w:val="22"/>
                <w:szCs w:val="22"/>
                <w:lang w:val="ru-RU" w:eastAsia="ru-RU"/>
              </w:rPr>
              <w:t>værende data)</w:t>
            </w:r>
          </w:p>
        </w:tc>
      </w:tr>
      <w:tr w:rsidR="000B7D19" w:rsidRPr="000B7D19" w14:paraId="2905D4C0" w14:textId="77777777">
        <w:trPr>
          <w:trHeight w:val="701"/>
          <w:jc w:val="center"/>
        </w:trPr>
        <w:tc>
          <w:tcPr>
            <w:tcW w:w="2030"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73EB6B3F"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Infektioner og parasitære </w:t>
            </w:r>
          </w:p>
          <w:p w14:paraId="297E3E42"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sygdomme </w:t>
            </w:r>
          </w:p>
        </w:tc>
        <w:tc>
          <w:tcPr>
            <w:tcW w:w="171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B2732E1"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Urinvejsinfektion </w:t>
            </w:r>
          </w:p>
        </w:tc>
        <w:tc>
          <w:tcPr>
            <w:tcW w:w="1352"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59D7D7D3"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Vaginal infektion </w:t>
            </w:r>
          </w:p>
          <w:p w14:paraId="487F9DAE"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Cystitis </w:t>
            </w:r>
          </w:p>
        </w:tc>
        <w:tc>
          <w:tcPr>
            <w:tcW w:w="1701"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2D108DB"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c>
          <w:tcPr>
            <w:tcW w:w="127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084DA1F0"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c>
          <w:tcPr>
            <w:tcW w:w="156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254A28A4"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r>
      <w:tr w:rsidR="000B7D19" w:rsidRPr="000B7D19" w14:paraId="0E245512" w14:textId="77777777">
        <w:trPr>
          <w:trHeight w:val="470"/>
          <w:jc w:val="center"/>
        </w:trPr>
        <w:tc>
          <w:tcPr>
            <w:tcW w:w="2030"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5FBF93ED"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Psykiske forstyrrelser </w:t>
            </w:r>
          </w:p>
        </w:tc>
        <w:tc>
          <w:tcPr>
            <w:tcW w:w="171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539AE48E"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c>
          <w:tcPr>
            <w:tcW w:w="1352"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783F0648"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c>
          <w:tcPr>
            <w:tcW w:w="1701"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24E0EB2C"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c>
          <w:tcPr>
            <w:tcW w:w="127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3AAC9EE"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c>
          <w:tcPr>
            <w:tcW w:w="156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2A118C39"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Insomni* </w:t>
            </w:r>
          </w:p>
          <w:p w14:paraId="7E3D3B99"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Konfusion* </w:t>
            </w:r>
          </w:p>
        </w:tc>
      </w:tr>
      <w:tr w:rsidR="000B7D19" w:rsidRPr="000B7D19" w14:paraId="3AF9ABB3" w14:textId="77777777">
        <w:trPr>
          <w:trHeight w:val="470"/>
          <w:jc w:val="center"/>
        </w:trPr>
        <w:tc>
          <w:tcPr>
            <w:tcW w:w="2030"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22E04A04"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Nervesystemet </w:t>
            </w:r>
          </w:p>
        </w:tc>
        <w:tc>
          <w:tcPr>
            <w:tcW w:w="171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118430F5"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Hovedpine* </w:t>
            </w:r>
          </w:p>
          <w:p w14:paraId="1756CEA5"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Svimmelhed* </w:t>
            </w:r>
          </w:p>
        </w:tc>
        <w:tc>
          <w:tcPr>
            <w:tcW w:w="1352"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784246C9"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c>
          <w:tcPr>
            <w:tcW w:w="1701"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21A28BBA"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c>
          <w:tcPr>
            <w:tcW w:w="127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73D7180A"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c>
          <w:tcPr>
            <w:tcW w:w="156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1DC21DB0"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r>
      <w:tr w:rsidR="000B7D19" w:rsidRPr="000B7D19" w14:paraId="372C846A" w14:textId="77777777">
        <w:trPr>
          <w:trHeight w:val="240"/>
          <w:jc w:val="center"/>
        </w:trPr>
        <w:tc>
          <w:tcPr>
            <w:tcW w:w="2030"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173CC5CD"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Øjne </w:t>
            </w:r>
          </w:p>
        </w:tc>
        <w:tc>
          <w:tcPr>
            <w:tcW w:w="171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117CFFCD"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c>
          <w:tcPr>
            <w:tcW w:w="1352"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036E030A"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c>
          <w:tcPr>
            <w:tcW w:w="1701"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2E774683"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Øjenlågsødem </w:t>
            </w:r>
          </w:p>
        </w:tc>
        <w:tc>
          <w:tcPr>
            <w:tcW w:w="127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30D8EC0D"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c>
          <w:tcPr>
            <w:tcW w:w="156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0CE48E1C"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r>
      <w:tr w:rsidR="000B7D19" w:rsidRPr="000B7D19" w14:paraId="50CA0835" w14:textId="77777777">
        <w:trPr>
          <w:trHeight w:val="468"/>
          <w:jc w:val="center"/>
        </w:trPr>
        <w:tc>
          <w:tcPr>
            <w:tcW w:w="2030"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41E0B1D8"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Hjerte </w:t>
            </w:r>
          </w:p>
        </w:tc>
        <w:tc>
          <w:tcPr>
            <w:tcW w:w="171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413956A"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Takykardi </w:t>
            </w:r>
          </w:p>
        </w:tc>
        <w:tc>
          <w:tcPr>
            <w:tcW w:w="1352"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5E57FD91"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Palpitation </w:t>
            </w:r>
          </w:p>
          <w:p w14:paraId="70A77964"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Atrieflimren </w:t>
            </w:r>
          </w:p>
        </w:tc>
        <w:tc>
          <w:tcPr>
            <w:tcW w:w="1701"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3E8E9BC"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c>
          <w:tcPr>
            <w:tcW w:w="127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795BCD9A"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c>
          <w:tcPr>
            <w:tcW w:w="156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51EB73E5"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r>
      <w:tr w:rsidR="000B7D19" w:rsidRPr="000B7D19" w14:paraId="68F248AB" w14:textId="77777777">
        <w:trPr>
          <w:trHeight w:val="470"/>
          <w:jc w:val="center"/>
        </w:trPr>
        <w:tc>
          <w:tcPr>
            <w:tcW w:w="2030"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71A9C84C"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Vaskulære sygdomme </w:t>
            </w:r>
          </w:p>
        </w:tc>
        <w:tc>
          <w:tcPr>
            <w:tcW w:w="171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1975ECCB"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c>
          <w:tcPr>
            <w:tcW w:w="1352"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5C09F1D9"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c>
          <w:tcPr>
            <w:tcW w:w="1701"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04900454"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c>
          <w:tcPr>
            <w:tcW w:w="127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2402AC9C"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Hypertensiv krise* </w:t>
            </w:r>
          </w:p>
        </w:tc>
        <w:tc>
          <w:tcPr>
            <w:tcW w:w="156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15A4A8F4"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r>
      <w:tr w:rsidR="000B7D19" w:rsidRPr="000B7D19" w14:paraId="7EDAFEDB" w14:textId="77777777">
        <w:trPr>
          <w:trHeight w:val="701"/>
          <w:jc w:val="center"/>
        </w:trPr>
        <w:tc>
          <w:tcPr>
            <w:tcW w:w="2030"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31DAB285"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Mave-tarmkanalen </w:t>
            </w:r>
          </w:p>
        </w:tc>
        <w:tc>
          <w:tcPr>
            <w:tcW w:w="171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2DFF6F76"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Kvalme* </w:t>
            </w:r>
          </w:p>
          <w:p w14:paraId="3B63BEDC"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Obstipation* </w:t>
            </w:r>
          </w:p>
          <w:p w14:paraId="7C9DD236"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Diarré* </w:t>
            </w:r>
          </w:p>
        </w:tc>
        <w:tc>
          <w:tcPr>
            <w:tcW w:w="1352"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4D966F15"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Dyspepsi </w:t>
            </w:r>
          </w:p>
          <w:p w14:paraId="1F305013"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Gastritis </w:t>
            </w:r>
          </w:p>
        </w:tc>
        <w:tc>
          <w:tcPr>
            <w:tcW w:w="1701"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1B7C9B68"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Læbeødem </w:t>
            </w:r>
          </w:p>
        </w:tc>
        <w:tc>
          <w:tcPr>
            <w:tcW w:w="127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1662A898"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c>
          <w:tcPr>
            <w:tcW w:w="156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1EA9174"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r>
      <w:tr w:rsidR="000B7D19" w:rsidRPr="000B7D19" w14:paraId="383A73A5" w14:textId="77777777">
        <w:trPr>
          <w:trHeight w:val="699"/>
          <w:jc w:val="center"/>
        </w:trPr>
        <w:tc>
          <w:tcPr>
            <w:tcW w:w="2030"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32701118"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Lever og galdeveje </w:t>
            </w:r>
          </w:p>
        </w:tc>
        <w:tc>
          <w:tcPr>
            <w:tcW w:w="171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104C912D"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c>
          <w:tcPr>
            <w:tcW w:w="1352"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46A1B73"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Øget GGT </w:t>
            </w:r>
          </w:p>
          <w:p w14:paraId="55ABFC25"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Øget ASAT </w:t>
            </w:r>
          </w:p>
          <w:p w14:paraId="41F4EA76"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Øget ALAT </w:t>
            </w:r>
          </w:p>
        </w:tc>
        <w:tc>
          <w:tcPr>
            <w:tcW w:w="1701"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BD39498"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c>
          <w:tcPr>
            <w:tcW w:w="127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2EF8825B"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c>
          <w:tcPr>
            <w:tcW w:w="156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0EADAFB5"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r>
      <w:tr w:rsidR="000B7D19" w:rsidRPr="000B7D19" w14:paraId="63F89163" w14:textId="77777777">
        <w:trPr>
          <w:trHeight w:val="1162"/>
          <w:jc w:val="center"/>
        </w:trPr>
        <w:tc>
          <w:tcPr>
            <w:tcW w:w="2030"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35733FF5"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Hud og subkutane væv </w:t>
            </w:r>
          </w:p>
        </w:tc>
        <w:tc>
          <w:tcPr>
            <w:tcW w:w="171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21696AA1"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c>
          <w:tcPr>
            <w:tcW w:w="1352"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42C670C"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Urticaria </w:t>
            </w:r>
          </w:p>
          <w:p w14:paraId="167A18EB"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Udslæt </w:t>
            </w:r>
          </w:p>
          <w:p w14:paraId="651AB5E0"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Makuløst udslæt </w:t>
            </w:r>
          </w:p>
          <w:p w14:paraId="4CC04FA8"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Papuløst udslæt </w:t>
            </w:r>
          </w:p>
          <w:p w14:paraId="08BCAE7C"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Pruritus </w:t>
            </w:r>
          </w:p>
        </w:tc>
        <w:tc>
          <w:tcPr>
            <w:tcW w:w="1701"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497E8557"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Leukocytoklastisk </w:t>
            </w:r>
          </w:p>
          <w:p w14:paraId="15CE4096"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vasculitis </w:t>
            </w:r>
          </w:p>
          <w:p w14:paraId="24907623"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Purpura </w:t>
            </w:r>
          </w:p>
          <w:p w14:paraId="5510E6AB"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Angioødem* </w:t>
            </w:r>
          </w:p>
        </w:tc>
        <w:tc>
          <w:tcPr>
            <w:tcW w:w="127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046E12AE"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c>
          <w:tcPr>
            <w:tcW w:w="156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0DCF478C"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r>
      <w:tr w:rsidR="000B7D19" w:rsidRPr="000B7D19" w14:paraId="4A6E5FB9" w14:textId="77777777">
        <w:trPr>
          <w:trHeight w:val="698"/>
          <w:jc w:val="center"/>
        </w:trPr>
        <w:tc>
          <w:tcPr>
            <w:tcW w:w="2030"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51EE6066"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Knogler, led, muskler og bindevæv </w:t>
            </w:r>
          </w:p>
        </w:tc>
        <w:tc>
          <w:tcPr>
            <w:tcW w:w="171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40F5164D"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c>
          <w:tcPr>
            <w:tcW w:w="1352"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15655B5F"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Hævede led </w:t>
            </w:r>
          </w:p>
        </w:tc>
        <w:tc>
          <w:tcPr>
            <w:tcW w:w="1701"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C6F055B"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c>
          <w:tcPr>
            <w:tcW w:w="127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7A2D5696"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c>
          <w:tcPr>
            <w:tcW w:w="156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385FB34D"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r>
      <w:tr w:rsidR="000B7D19" w:rsidRPr="000B7D19" w14:paraId="492B91BD" w14:textId="77777777">
        <w:trPr>
          <w:trHeight w:val="470"/>
          <w:jc w:val="center"/>
        </w:trPr>
        <w:tc>
          <w:tcPr>
            <w:tcW w:w="2030"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075B1261"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Nyrer og urinveje </w:t>
            </w:r>
          </w:p>
        </w:tc>
        <w:tc>
          <w:tcPr>
            <w:tcW w:w="171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4BDCC25E"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c>
          <w:tcPr>
            <w:tcW w:w="1352"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F1973A7"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c>
          <w:tcPr>
            <w:tcW w:w="1701"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3E76AFE6"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Urinretention* </w:t>
            </w:r>
          </w:p>
        </w:tc>
        <w:tc>
          <w:tcPr>
            <w:tcW w:w="127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A46E97D"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c>
          <w:tcPr>
            <w:tcW w:w="156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3D783F92"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r>
      <w:tr w:rsidR="000B7D19" w:rsidRPr="000B7D19" w14:paraId="381A6C15" w14:textId="77777777">
        <w:trPr>
          <w:trHeight w:val="932"/>
          <w:jc w:val="center"/>
        </w:trPr>
        <w:tc>
          <w:tcPr>
            <w:tcW w:w="2030"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2782E75D"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Det reproduktive system og mammae </w:t>
            </w:r>
          </w:p>
        </w:tc>
        <w:tc>
          <w:tcPr>
            <w:tcW w:w="171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3F29D3F"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c>
          <w:tcPr>
            <w:tcW w:w="1352"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D875825"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Vulvovaginal pruritus </w:t>
            </w:r>
          </w:p>
        </w:tc>
        <w:tc>
          <w:tcPr>
            <w:tcW w:w="1701"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7C4D709C"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c>
          <w:tcPr>
            <w:tcW w:w="127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41E6038A"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c>
          <w:tcPr>
            <w:tcW w:w="156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30228A25"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r>
      <w:tr w:rsidR="000B7D19" w:rsidRPr="000B7D19" w14:paraId="63EEA6E4" w14:textId="77777777">
        <w:trPr>
          <w:trHeight w:val="240"/>
          <w:jc w:val="center"/>
        </w:trPr>
        <w:tc>
          <w:tcPr>
            <w:tcW w:w="2030"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8B135C5"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Undersøgelser </w:t>
            </w:r>
          </w:p>
        </w:tc>
        <w:tc>
          <w:tcPr>
            <w:tcW w:w="171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7168C617"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c>
          <w:tcPr>
            <w:tcW w:w="1352"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5B846667"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Øget blodtryk </w:t>
            </w:r>
          </w:p>
        </w:tc>
        <w:tc>
          <w:tcPr>
            <w:tcW w:w="1701"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0159559D"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c>
          <w:tcPr>
            <w:tcW w:w="127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5B36137E"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c>
          <w:tcPr>
            <w:tcW w:w="1566"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4496B01A" w14:textId="77777777" w:rsidR="000B7D19" w:rsidRPr="000B7D19" w:rsidRDefault="000B7D19" w:rsidP="000B7D19">
            <w:pPr>
              <w:widowControl w:val="0"/>
              <w:suppressAutoHyphens/>
              <w:kinsoku w:val="0"/>
              <w:overflowPunct w:val="0"/>
              <w:autoSpaceDE w:val="0"/>
              <w:autoSpaceDN w:val="0"/>
              <w:adjustRightInd w:val="0"/>
              <w:ind w:left="57"/>
              <w:rPr>
                <w:color w:val="000000"/>
                <w:sz w:val="22"/>
                <w:szCs w:val="22"/>
                <w:lang w:val="ru-RU" w:eastAsia="ru-RU"/>
              </w:rPr>
            </w:pPr>
            <w:r w:rsidRPr="000B7D19">
              <w:rPr>
                <w:color w:val="000000"/>
                <w:sz w:val="22"/>
                <w:szCs w:val="22"/>
                <w:lang w:val="ru-RU" w:eastAsia="ru-RU"/>
              </w:rPr>
              <w:t xml:space="preserve"> </w:t>
            </w:r>
          </w:p>
        </w:tc>
      </w:tr>
    </w:tbl>
    <w:p w14:paraId="558563AD" w14:textId="77777777" w:rsidR="000B7D19" w:rsidRPr="000B7D19" w:rsidRDefault="000B7D19" w:rsidP="000B7D19">
      <w:pPr>
        <w:widowControl w:val="0"/>
        <w:suppressAutoHyphens/>
        <w:kinsoku w:val="0"/>
        <w:overflowPunct w:val="0"/>
        <w:autoSpaceDE w:val="0"/>
        <w:autoSpaceDN w:val="0"/>
        <w:adjustRightInd w:val="0"/>
        <w:rPr>
          <w:color w:val="000000"/>
          <w:sz w:val="20"/>
          <w:lang w:eastAsia="da-DK"/>
        </w:rPr>
      </w:pPr>
      <w:r w:rsidRPr="000B7D19">
        <w:rPr>
          <w:color w:val="000000"/>
          <w:sz w:val="20"/>
          <w:lang w:eastAsia="da-DK"/>
        </w:rPr>
        <w:t xml:space="preserve">*observeret efter markedsføring </w:t>
      </w:r>
    </w:p>
    <w:p w14:paraId="794DBE6F" w14:textId="77777777" w:rsidR="000B7D19" w:rsidRPr="000B7D19" w:rsidRDefault="000B7D19" w:rsidP="000B7D19">
      <w:pPr>
        <w:widowControl w:val="0"/>
        <w:suppressAutoHyphens/>
        <w:kinsoku w:val="0"/>
        <w:overflowPunct w:val="0"/>
        <w:autoSpaceDE w:val="0"/>
        <w:autoSpaceDN w:val="0"/>
        <w:adjustRightInd w:val="0"/>
        <w:ind w:left="851"/>
        <w:rPr>
          <w:color w:val="000000"/>
          <w:sz w:val="24"/>
          <w:szCs w:val="24"/>
          <w:lang w:eastAsia="da-DK"/>
        </w:rPr>
      </w:pPr>
    </w:p>
    <w:p w14:paraId="368F9951" w14:textId="77777777" w:rsidR="000B7D19" w:rsidRPr="000B7D19" w:rsidRDefault="000B7D19" w:rsidP="000B7D19">
      <w:pPr>
        <w:keepNext/>
        <w:suppressAutoHyphens/>
        <w:kinsoku w:val="0"/>
        <w:overflowPunct w:val="0"/>
        <w:autoSpaceDE w:val="0"/>
        <w:autoSpaceDN w:val="0"/>
        <w:adjustRightInd w:val="0"/>
        <w:ind w:left="851"/>
        <w:rPr>
          <w:color w:val="000000"/>
          <w:sz w:val="24"/>
          <w:szCs w:val="24"/>
          <w:u w:val="single"/>
          <w:lang w:eastAsia="da-DK"/>
        </w:rPr>
      </w:pPr>
      <w:r w:rsidRPr="000B7D19">
        <w:rPr>
          <w:color w:val="000000"/>
          <w:sz w:val="24"/>
          <w:szCs w:val="24"/>
          <w:u w:val="single"/>
          <w:lang w:eastAsia="da-DK"/>
        </w:rPr>
        <w:lastRenderedPageBreak/>
        <w:t>Pædiatrisk population</w:t>
      </w:r>
      <w:r w:rsidRPr="000B7D19">
        <w:rPr>
          <w:color w:val="000000"/>
          <w:sz w:val="24"/>
          <w:szCs w:val="24"/>
          <w:lang w:eastAsia="da-DK"/>
        </w:rPr>
        <w:t xml:space="preserve"> </w:t>
      </w:r>
    </w:p>
    <w:p w14:paraId="29EE9211" w14:textId="77777777" w:rsidR="000B7D19" w:rsidRPr="000B7D19" w:rsidRDefault="000B7D19" w:rsidP="000B7D19">
      <w:pPr>
        <w:keepNext/>
        <w:suppressAutoHyphens/>
        <w:kinsoku w:val="0"/>
        <w:overflowPunct w:val="0"/>
        <w:autoSpaceDE w:val="0"/>
        <w:autoSpaceDN w:val="0"/>
        <w:adjustRightInd w:val="0"/>
        <w:ind w:left="851"/>
        <w:rPr>
          <w:color w:val="000000"/>
          <w:sz w:val="24"/>
          <w:szCs w:val="24"/>
          <w:lang w:eastAsia="da-DK"/>
        </w:rPr>
      </w:pPr>
      <w:r w:rsidRPr="000B7D19">
        <w:rPr>
          <w:color w:val="000000"/>
          <w:sz w:val="24"/>
          <w:szCs w:val="24"/>
          <w:lang w:eastAsia="da-DK"/>
        </w:rPr>
        <w:t>Sikkerheden af mirabegron-tabletter og oral suspension blev evalueret hos 86 pædiatriske patienter i alderen 3 år til under 18 år med neurogen detrusoroveraktivitet i et 52-ugers åbent,</w:t>
      </w:r>
      <w:r w:rsidRPr="000B7D19">
        <w:rPr>
          <w:i/>
          <w:color w:val="000000"/>
          <w:sz w:val="24"/>
          <w:szCs w:val="24"/>
          <w:lang w:eastAsia="da-DK"/>
        </w:rPr>
        <w:t xml:space="preserve"> baseline</w:t>
      </w:r>
      <w:r w:rsidRPr="000B7D19">
        <w:rPr>
          <w:color w:val="000000"/>
          <w:sz w:val="24"/>
          <w:szCs w:val="24"/>
          <w:lang w:eastAsia="da-DK"/>
        </w:rPr>
        <w:t xml:space="preserve">-kontrolleret, dosistitrerings-, multicenterstudie. De mest almindeligt rapporterede bivirkninger, som blev observeret i den pædiatriske population, var urinvejsinfektion, obstipation og kvalme. </w:t>
      </w:r>
    </w:p>
    <w:p w14:paraId="40666513" w14:textId="77777777" w:rsidR="000B7D19" w:rsidRPr="000B7D19" w:rsidRDefault="000B7D19" w:rsidP="000B7D19">
      <w:pPr>
        <w:widowControl w:val="0"/>
        <w:suppressAutoHyphens/>
        <w:kinsoku w:val="0"/>
        <w:overflowPunct w:val="0"/>
        <w:autoSpaceDE w:val="0"/>
        <w:autoSpaceDN w:val="0"/>
        <w:adjustRightInd w:val="0"/>
        <w:ind w:left="851"/>
        <w:rPr>
          <w:color w:val="000000"/>
          <w:sz w:val="24"/>
          <w:szCs w:val="24"/>
          <w:lang w:eastAsia="da-DK"/>
        </w:rPr>
      </w:pPr>
      <w:r w:rsidRPr="000B7D19">
        <w:rPr>
          <w:color w:val="000000"/>
          <w:sz w:val="24"/>
          <w:szCs w:val="24"/>
          <w:lang w:eastAsia="da-DK"/>
        </w:rPr>
        <w:t xml:space="preserve"> </w:t>
      </w:r>
    </w:p>
    <w:p w14:paraId="33406E02" w14:textId="77777777" w:rsidR="000B7D19" w:rsidRPr="000B7D19" w:rsidRDefault="000B7D19" w:rsidP="000B7D19">
      <w:pPr>
        <w:widowControl w:val="0"/>
        <w:suppressAutoHyphens/>
        <w:kinsoku w:val="0"/>
        <w:overflowPunct w:val="0"/>
        <w:autoSpaceDE w:val="0"/>
        <w:autoSpaceDN w:val="0"/>
        <w:adjustRightInd w:val="0"/>
        <w:ind w:left="851"/>
        <w:rPr>
          <w:color w:val="000000"/>
          <w:sz w:val="24"/>
          <w:szCs w:val="24"/>
          <w:lang w:eastAsia="da-DK"/>
        </w:rPr>
      </w:pPr>
      <w:r w:rsidRPr="000B7D19">
        <w:rPr>
          <w:color w:val="000000"/>
          <w:sz w:val="24"/>
          <w:szCs w:val="24"/>
          <w:lang w:eastAsia="da-DK"/>
        </w:rPr>
        <w:t xml:space="preserve">Der blev ikke rapporteret nogen alvorlige bivirkninger hos de pædiatriske patienter med NDO. </w:t>
      </w:r>
    </w:p>
    <w:p w14:paraId="49C90FFA" w14:textId="77777777" w:rsidR="000B7D19" w:rsidRPr="000B7D19" w:rsidRDefault="000B7D19" w:rsidP="000B7D19">
      <w:pPr>
        <w:widowControl w:val="0"/>
        <w:suppressAutoHyphens/>
        <w:kinsoku w:val="0"/>
        <w:overflowPunct w:val="0"/>
        <w:autoSpaceDE w:val="0"/>
        <w:autoSpaceDN w:val="0"/>
        <w:adjustRightInd w:val="0"/>
        <w:ind w:left="851"/>
        <w:rPr>
          <w:color w:val="000000"/>
          <w:sz w:val="24"/>
          <w:szCs w:val="24"/>
          <w:lang w:eastAsia="da-DK"/>
        </w:rPr>
      </w:pPr>
      <w:r w:rsidRPr="000B7D19">
        <w:rPr>
          <w:color w:val="000000"/>
          <w:sz w:val="24"/>
          <w:szCs w:val="24"/>
          <w:lang w:eastAsia="da-DK"/>
        </w:rPr>
        <w:t xml:space="preserve"> </w:t>
      </w:r>
    </w:p>
    <w:p w14:paraId="4176CE13" w14:textId="77777777" w:rsidR="000B7D19" w:rsidRPr="000B7D19" w:rsidRDefault="000B7D19" w:rsidP="000B7D19">
      <w:pPr>
        <w:widowControl w:val="0"/>
        <w:suppressAutoHyphens/>
        <w:kinsoku w:val="0"/>
        <w:overflowPunct w:val="0"/>
        <w:autoSpaceDE w:val="0"/>
        <w:autoSpaceDN w:val="0"/>
        <w:adjustRightInd w:val="0"/>
        <w:ind w:left="851"/>
        <w:rPr>
          <w:color w:val="000000"/>
          <w:sz w:val="24"/>
          <w:szCs w:val="24"/>
          <w:lang w:eastAsia="da-DK"/>
        </w:rPr>
      </w:pPr>
      <w:r w:rsidRPr="000B7D19">
        <w:rPr>
          <w:color w:val="000000"/>
          <w:sz w:val="24"/>
          <w:szCs w:val="24"/>
          <w:lang w:eastAsia="da-DK"/>
        </w:rPr>
        <w:t xml:space="preserve">Sikkerheden af mirabegron-tabletter og oral suspension blev evalueret hos 26 pædiatriske patienter i alderen 5 til under 18 år med overaktiv blære i et 12 ugers, dobbeltblindet, randomiseret, placebokontrolleret parallelgruppe-multicenterstudie med sekventiel dosistitrering. De mest almindeligt rapporterede bivirkninger, som blev observeret i den pædiatriske population, var nasofaryngitis, træthed og humørsvingninger. </w:t>
      </w:r>
    </w:p>
    <w:p w14:paraId="05CC8A18" w14:textId="77777777" w:rsidR="000B7D19" w:rsidRPr="000B7D19" w:rsidRDefault="000B7D19" w:rsidP="000B7D19">
      <w:pPr>
        <w:widowControl w:val="0"/>
        <w:suppressAutoHyphens/>
        <w:kinsoku w:val="0"/>
        <w:overflowPunct w:val="0"/>
        <w:autoSpaceDE w:val="0"/>
        <w:autoSpaceDN w:val="0"/>
        <w:adjustRightInd w:val="0"/>
        <w:ind w:left="851"/>
        <w:rPr>
          <w:color w:val="000000"/>
          <w:sz w:val="24"/>
          <w:szCs w:val="24"/>
          <w:lang w:eastAsia="da-DK"/>
        </w:rPr>
      </w:pPr>
      <w:r w:rsidRPr="000B7D19">
        <w:rPr>
          <w:color w:val="000000"/>
          <w:sz w:val="24"/>
          <w:szCs w:val="24"/>
          <w:lang w:eastAsia="da-DK"/>
        </w:rPr>
        <w:t xml:space="preserve"> </w:t>
      </w:r>
    </w:p>
    <w:p w14:paraId="12DA705F" w14:textId="77777777" w:rsidR="000B7D19" w:rsidRPr="000B7D19" w:rsidRDefault="000B7D19" w:rsidP="000B7D19">
      <w:pPr>
        <w:widowControl w:val="0"/>
        <w:suppressAutoHyphens/>
        <w:kinsoku w:val="0"/>
        <w:overflowPunct w:val="0"/>
        <w:autoSpaceDE w:val="0"/>
        <w:autoSpaceDN w:val="0"/>
        <w:adjustRightInd w:val="0"/>
        <w:ind w:left="851"/>
        <w:rPr>
          <w:color w:val="000000"/>
          <w:sz w:val="24"/>
          <w:szCs w:val="24"/>
          <w:lang w:eastAsia="da-DK"/>
        </w:rPr>
      </w:pPr>
      <w:r w:rsidRPr="000B7D19">
        <w:rPr>
          <w:color w:val="000000"/>
          <w:sz w:val="24"/>
          <w:szCs w:val="24"/>
          <w:lang w:eastAsia="da-DK"/>
        </w:rPr>
        <w:t>Samlet set er sikkerhedsprofilen hos børn og unge den samme som observeret hos voksne.</w:t>
      </w:r>
    </w:p>
    <w:p w14:paraId="6115A215" w14:textId="77777777" w:rsidR="000B7D19" w:rsidRPr="000B7D19" w:rsidRDefault="000B7D19" w:rsidP="000B7D19">
      <w:pPr>
        <w:suppressAutoHyphens/>
        <w:kinsoku w:val="0"/>
        <w:overflowPunct w:val="0"/>
        <w:autoSpaceDE w:val="0"/>
        <w:autoSpaceDN w:val="0"/>
        <w:adjustRightInd w:val="0"/>
        <w:ind w:left="851"/>
        <w:rPr>
          <w:color w:val="000000"/>
          <w:sz w:val="24"/>
          <w:szCs w:val="24"/>
          <w:lang w:eastAsia="da-DK"/>
        </w:rPr>
      </w:pPr>
    </w:p>
    <w:p w14:paraId="15F7FAF7" w14:textId="77777777" w:rsidR="000B7D19" w:rsidRPr="000B7D19" w:rsidRDefault="000B7D19" w:rsidP="000B7D19">
      <w:pPr>
        <w:suppressAutoHyphens/>
        <w:kinsoku w:val="0"/>
        <w:overflowPunct w:val="0"/>
        <w:autoSpaceDE w:val="0"/>
        <w:autoSpaceDN w:val="0"/>
        <w:adjustRightInd w:val="0"/>
        <w:ind w:left="851"/>
        <w:rPr>
          <w:color w:val="000000"/>
          <w:sz w:val="24"/>
          <w:szCs w:val="24"/>
          <w:lang w:eastAsia="da-DK"/>
        </w:rPr>
      </w:pPr>
      <w:r w:rsidRPr="000B7D19">
        <w:rPr>
          <w:color w:val="000000"/>
          <w:sz w:val="24"/>
          <w:szCs w:val="24"/>
          <w:u w:val="single"/>
          <w:lang w:eastAsia="da-DK"/>
        </w:rPr>
        <w:t>Indberetning af formodede bivirkninger</w:t>
      </w:r>
    </w:p>
    <w:p w14:paraId="65638874" w14:textId="77777777" w:rsidR="000B7D19" w:rsidRPr="000B7D19" w:rsidRDefault="000B7D19" w:rsidP="000B7D19">
      <w:pPr>
        <w:widowControl w:val="0"/>
        <w:suppressAutoHyphens/>
        <w:kinsoku w:val="0"/>
        <w:overflowPunct w:val="0"/>
        <w:autoSpaceDE w:val="0"/>
        <w:autoSpaceDN w:val="0"/>
        <w:adjustRightInd w:val="0"/>
        <w:ind w:left="851"/>
        <w:rPr>
          <w:noProof/>
          <w:sz w:val="24"/>
          <w:szCs w:val="24"/>
          <w:lang w:eastAsia="da-DK"/>
        </w:rPr>
      </w:pPr>
      <w:r w:rsidRPr="000B7D19">
        <w:rPr>
          <w:noProof/>
          <w:sz w:val="24"/>
          <w:szCs w:val="24"/>
          <w:lang w:eastAsia="da-DK"/>
        </w:rPr>
        <w:t>Når lægemidlet er godkendt, er indberetning af formodede bivirkninger vigtig.</w:t>
      </w:r>
      <w:r w:rsidRPr="000B7D19">
        <w:rPr>
          <w:sz w:val="24"/>
          <w:szCs w:val="24"/>
          <w:lang w:eastAsia="da-DK"/>
        </w:rPr>
        <w:t xml:space="preserve"> </w:t>
      </w:r>
      <w:r w:rsidRPr="000B7D19">
        <w:rPr>
          <w:noProof/>
          <w:sz w:val="24"/>
          <w:szCs w:val="24"/>
          <w:lang w:eastAsia="da-DK"/>
        </w:rPr>
        <w:t>Det muliggør løbende overvågning af benefit/risk-forholdet for lægemidlet.</w:t>
      </w:r>
      <w:r w:rsidRPr="000B7D19">
        <w:rPr>
          <w:sz w:val="24"/>
          <w:szCs w:val="24"/>
          <w:lang w:eastAsia="da-DK"/>
        </w:rPr>
        <w:t xml:space="preserve"> </w:t>
      </w:r>
      <w:r w:rsidRPr="000B7D19">
        <w:rPr>
          <w:noProof/>
          <w:sz w:val="24"/>
          <w:szCs w:val="24"/>
          <w:lang w:eastAsia="da-DK"/>
        </w:rPr>
        <w:t>Sundhedspersoner anmodes om at indberette alle formodede bivirkninger via:</w:t>
      </w:r>
    </w:p>
    <w:p w14:paraId="3676C938" w14:textId="77777777" w:rsidR="000B7D19" w:rsidRPr="000B7D19" w:rsidRDefault="000B7D19" w:rsidP="000B7D19">
      <w:pPr>
        <w:widowControl w:val="0"/>
        <w:suppressAutoHyphens/>
        <w:kinsoku w:val="0"/>
        <w:overflowPunct w:val="0"/>
        <w:autoSpaceDE w:val="0"/>
        <w:autoSpaceDN w:val="0"/>
        <w:adjustRightInd w:val="0"/>
        <w:ind w:left="851"/>
        <w:rPr>
          <w:color w:val="000000"/>
          <w:sz w:val="24"/>
          <w:szCs w:val="24"/>
          <w:lang w:eastAsia="da-DK"/>
        </w:rPr>
      </w:pPr>
    </w:p>
    <w:p w14:paraId="06124596" w14:textId="14A9336C" w:rsidR="000B7D19" w:rsidRPr="000B7D19" w:rsidRDefault="000B7D19" w:rsidP="000B7D19">
      <w:pPr>
        <w:widowControl w:val="0"/>
        <w:suppressAutoHyphens/>
        <w:kinsoku w:val="0"/>
        <w:overflowPunct w:val="0"/>
        <w:autoSpaceDE w:val="0"/>
        <w:autoSpaceDN w:val="0"/>
        <w:adjustRightInd w:val="0"/>
        <w:ind w:left="851"/>
        <w:rPr>
          <w:sz w:val="24"/>
          <w:szCs w:val="24"/>
          <w:lang w:eastAsia="da-DK"/>
        </w:rPr>
      </w:pPr>
      <w:r w:rsidRPr="000B7D19">
        <w:rPr>
          <w:color w:val="000000"/>
          <w:sz w:val="24"/>
          <w:szCs w:val="24"/>
          <w:lang w:eastAsia="da-DK"/>
        </w:rPr>
        <w:t>Lægemiddelstyrelsen</w:t>
      </w:r>
      <w:r w:rsidRPr="000B7D19">
        <w:rPr>
          <w:color w:val="000000"/>
          <w:sz w:val="24"/>
          <w:szCs w:val="24"/>
          <w:lang w:eastAsia="da-DK"/>
        </w:rPr>
        <w:br/>
        <w:t>Axel Heides Gade 1</w:t>
      </w:r>
      <w:r w:rsidRPr="000B7D19">
        <w:rPr>
          <w:color w:val="000000"/>
          <w:sz w:val="24"/>
          <w:szCs w:val="24"/>
          <w:lang w:eastAsia="da-DK"/>
        </w:rPr>
        <w:br/>
        <w:t>DK-2300 København S</w:t>
      </w:r>
      <w:r w:rsidRPr="000B7D19">
        <w:rPr>
          <w:color w:val="000000"/>
          <w:sz w:val="24"/>
          <w:szCs w:val="24"/>
          <w:lang w:eastAsia="da-DK"/>
        </w:rPr>
        <w:br/>
      </w:r>
      <w:r w:rsidRPr="000B7D19">
        <w:rPr>
          <w:sz w:val="24"/>
          <w:szCs w:val="24"/>
          <w:lang w:eastAsia="da-DK"/>
        </w:rPr>
        <w:t>Websted: www.meldenbivirkning.dk</w:t>
      </w:r>
    </w:p>
    <w:p w14:paraId="0181DDA1" w14:textId="77777777" w:rsidR="009260DE" w:rsidRPr="000B7D19" w:rsidRDefault="009260DE" w:rsidP="000B7D19">
      <w:pPr>
        <w:tabs>
          <w:tab w:val="left" w:pos="851"/>
        </w:tabs>
        <w:ind w:left="851"/>
        <w:rPr>
          <w:sz w:val="24"/>
          <w:szCs w:val="24"/>
        </w:rPr>
      </w:pPr>
    </w:p>
    <w:p w14:paraId="6E20152B" w14:textId="77777777" w:rsidR="009260DE" w:rsidRPr="00C84483" w:rsidRDefault="009260DE" w:rsidP="004931E3">
      <w:pPr>
        <w:tabs>
          <w:tab w:val="left" w:pos="851"/>
        </w:tabs>
        <w:ind w:left="851" w:hanging="851"/>
        <w:rPr>
          <w:b/>
          <w:sz w:val="24"/>
          <w:szCs w:val="24"/>
        </w:rPr>
      </w:pPr>
      <w:r w:rsidRPr="00C84483">
        <w:rPr>
          <w:b/>
          <w:sz w:val="24"/>
          <w:szCs w:val="24"/>
        </w:rPr>
        <w:t>4.9</w:t>
      </w:r>
      <w:r w:rsidRPr="00C84483">
        <w:rPr>
          <w:b/>
          <w:sz w:val="24"/>
          <w:szCs w:val="24"/>
        </w:rPr>
        <w:tab/>
        <w:t>Overdosering</w:t>
      </w:r>
    </w:p>
    <w:p w14:paraId="2E8C88F3" w14:textId="77777777" w:rsidR="00527CF5" w:rsidRPr="00527CF5" w:rsidRDefault="00527CF5" w:rsidP="00527CF5">
      <w:pPr>
        <w:tabs>
          <w:tab w:val="left" w:pos="851"/>
        </w:tabs>
        <w:ind w:left="851"/>
        <w:rPr>
          <w:sz w:val="24"/>
          <w:szCs w:val="24"/>
        </w:rPr>
      </w:pPr>
      <w:r w:rsidRPr="00527CF5">
        <w:rPr>
          <w:sz w:val="24"/>
          <w:szCs w:val="24"/>
        </w:rPr>
        <w:t xml:space="preserve">Mirabegron er blevet administreret til raske voksne frivillige i enkeltdoser på op til 400 mg. Ved denne dosis omfattede de indberettede bivirkninger palpitationer (1 ud af 6 forsøgspersoner) og øget hjertefrekvens på mere end 100 slag pr. minut (3 ud af 6 forsøgspersoner). Ved administration af flere doser mirabegron på op til 300 mg dagligt i 10 dage til raske voksne frivillige blev der påvist øget hjertefrekvens og systolisk blodtryk. </w:t>
      </w:r>
    </w:p>
    <w:p w14:paraId="606E8CDF" w14:textId="77777777" w:rsidR="00527CF5" w:rsidRPr="00527CF5" w:rsidRDefault="00527CF5" w:rsidP="00527CF5">
      <w:pPr>
        <w:tabs>
          <w:tab w:val="left" w:pos="851"/>
        </w:tabs>
        <w:ind w:left="851"/>
        <w:rPr>
          <w:sz w:val="24"/>
          <w:szCs w:val="24"/>
        </w:rPr>
      </w:pPr>
      <w:r w:rsidRPr="00527CF5">
        <w:rPr>
          <w:sz w:val="24"/>
          <w:szCs w:val="24"/>
        </w:rPr>
        <w:t xml:space="preserve"> </w:t>
      </w:r>
    </w:p>
    <w:p w14:paraId="0C1F2281" w14:textId="77777777" w:rsidR="00527CF5" w:rsidRPr="00527CF5" w:rsidRDefault="00527CF5" w:rsidP="00527CF5">
      <w:pPr>
        <w:tabs>
          <w:tab w:val="left" w:pos="851"/>
        </w:tabs>
        <w:ind w:left="851"/>
        <w:rPr>
          <w:sz w:val="24"/>
          <w:szCs w:val="24"/>
        </w:rPr>
      </w:pPr>
      <w:r w:rsidRPr="00527CF5">
        <w:rPr>
          <w:sz w:val="24"/>
          <w:szCs w:val="24"/>
        </w:rPr>
        <w:t xml:space="preserve">Behandling af overdosering bør være symptomatisk og støttende. I tilfælde af overdosering anbefales monitorering af hjertefrekvens, blodtryk og EKG. </w:t>
      </w:r>
    </w:p>
    <w:p w14:paraId="251BACB8" w14:textId="77777777" w:rsidR="009260DE" w:rsidRPr="00C84483" w:rsidRDefault="009260DE" w:rsidP="004931E3">
      <w:pPr>
        <w:tabs>
          <w:tab w:val="left" w:pos="851"/>
        </w:tabs>
        <w:ind w:left="851"/>
        <w:rPr>
          <w:sz w:val="24"/>
          <w:szCs w:val="24"/>
        </w:rPr>
      </w:pPr>
    </w:p>
    <w:p w14:paraId="31BDDB6C" w14:textId="77777777" w:rsidR="009260DE" w:rsidRPr="00C84483" w:rsidRDefault="009260DE" w:rsidP="004931E3">
      <w:pPr>
        <w:tabs>
          <w:tab w:val="left" w:pos="851"/>
        </w:tabs>
        <w:ind w:left="851" w:hanging="851"/>
        <w:rPr>
          <w:b/>
          <w:sz w:val="24"/>
          <w:szCs w:val="24"/>
        </w:rPr>
      </w:pPr>
      <w:r w:rsidRPr="00C84483">
        <w:rPr>
          <w:b/>
          <w:sz w:val="24"/>
          <w:szCs w:val="24"/>
        </w:rPr>
        <w:t>4.10</w:t>
      </w:r>
      <w:r w:rsidRPr="00C84483">
        <w:rPr>
          <w:b/>
          <w:sz w:val="24"/>
          <w:szCs w:val="24"/>
        </w:rPr>
        <w:tab/>
        <w:t>Udlevering</w:t>
      </w:r>
    </w:p>
    <w:p w14:paraId="5B978A23" w14:textId="5E511C9C" w:rsidR="009260DE" w:rsidRPr="00C84483" w:rsidRDefault="00527CF5" w:rsidP="004931E3">
      <w:pPr>
        <w:tabs>
          <w:tab w:val="left" w:pos="851"/>
        </w:tabs>
        <w:ind w:left="851"/>
        <w:rPr>
          <w:sz w:val="24"/>
          <w:szCs w:val="24"/>
        </w:rPr>
      </w:pPr>
      <w:r>
        <w:rPr>
          <w:sz w:val="24"/>
          <w:szCs w:val="24"/>
        </w:rPr>
        <w:t>B</w:t>
      </w:r>
    </w:p>
    <w:p w14:paraId="5F9B3AA1" w14:textId="77777777" w:rsidR="009260DE" w:rsidRPr="00C84483" w:rsidRDefault="009260DE" w:rsidP="004931E3">
      <w:pPr>
        <w:tabs>
          <w:tab w:val="left" w:pos="851"/>
        </w:tabs>
        <w:ind w:left="851"/>
        <w:rPr>
          <w:sz w:val="24"/>
          <w:szCs w:val="24"/>
        </w:rPr>
      </w:pPr>
    </w:p>
    <w:p w14:paraId="61250B20" w14:textId="77777777" w:rsidR="009260DE" w:rsidRPr="00C84483" w:rsidRDefault="009260DE" w:rsidP="004931E3">
      <w:pPr>
        <w:tabs>
          <w:tab w:val="left" w:pos="851"/>
        </w:tabs>
        <w:ind w:left="851"/>
        <w:rPr>
          <w:sz w:val="24"/>
          <w:szCs w:val="24"/>
        </w:rPr>
      </w:pPr>
    </w:p>
    <w:p w14:paraId="6528C641" w14:textId="77777777" w:rsidR="009260DE" w:rsidRPr="00C84483" w:rsidRDefault="009260DE" w:rsidP="004931E3">
      <w:pPr>
        <w:tabs>
          <w:tab w:val="left" w:pos="851"/>
        </w:tabs>
        <w:ind w:left="851" w:hanging="851"/>
        <w:rPr>
          <w:b/>
          <w:sz w:val="24"/>
          <w:szCs w:val="24"/>
        </w:rPr>
      </w:pPr>
      <w:r w:rsidRPr="00C84483">
        <w:rPr>
          <w:b/>
          <w:sz w:val="24"/>
          <w:szCs w:val="24"/>
        </w:rPr>
        <w:t>5.</w:t>
      </w:r>
      <w:r w:rsidRPr="00C84483">
        <w:rPr>
          <w:b/>
          <w:sz w:val="24"/>
          <w:szCs w:val="24"/>
        </w:rPr>
        <w:tab/>
        <w:t>FARMAKOLOGISKE EGENSKABER</w:t>
      </w:r>
    </w:p>
    <w:p w14:paraId="684AA093" w14:textId="77777777" w:rsidR="009260DE" w:rsidRPr="00C84483" w:rsidRDefault="009260DE" w:rsidP="004931E3">
      <w:pPr>
        <w:tabs>
          <w:tab w:val="left" w:pos="851"/>
        </w:tabs>
        <w:ind w:left="851"/>
        <w:rPr>
          <w:sz w:val="24"/>
          <w:szCs w:val="24"/>
        </w:rPr>
      </w:pPr>
    </w:p>
    <w:p w14:paraId="11FF1600" w14:textId="77777777" w:rsidR="009260DE" w:rsidRPr="00C84483" w:rsidRDefault="009260DE" w:rsidP="004931E3">
      <w:pPr>
        <w:tabs>
          <w:tab w:val="num" w:pos="851"/>
        </w:tabs>
        <w:ind w:left="851" w:hanging="851"/>
        <w:rPr>
          <w:b/>
          <w:sz w:val="24"/>
          <w:szCs w:val="24"/>
        </w:rPr>
      </w:pPr>
      <w:r w:rsidRPr="00C84483">
        <w:rPr>
          <w:b/>
          <w:sz w:val="24"/>
          <w:szCs w:val="24"/>
        </w:rPr>
        <w:t>5.1</w:t>
      </w:r>
      <w:r w:rsidRPr="00C84483">
        <w:rPr>
          <w:b/>
          <w:sz w:val="24"/>
          <w:szCs w:val="24"/>
        </w:rPr>
        <w:tab/>
        <w:t>Farmakodynamiske egenskaber</w:t>
      </w:r>
    </w:p>
    <w:p w14:paraId="0BBB668A" w14:textId="77777777" w:rsidR="00527CF5" w:rsidRPr="00527CF5" w:rsidRDefault="00527CF5" w:rsidP="00527CF5">
      <w:pPr>
        <w:tabs>
          <w:tab w:val="left" w:pos="851"/>
        </w:tabs>
        <w:ind w:left="851"/>
        <w:rPr>
          <w:sz w:val="24"/>
          <w:szCs w:val="24"/>
        </w:rPr>
      </w:pPr>
      <w:r w:rsidRPr="00527CF5">
        <w:rPr>
          <w:sz w:val="24"/>
          <w:szCs w:val="24"/>
        </w:rPr>
        <w:t>Farmakoterapeutisk klassifikation: Urologica, midler mod hyppig urinering og inkontinens, ATC-kode: G04BD12.</w:t>
      </w:r>
    </w:p>
    <w:p w14:paraId="2F59686B" w14:textId="71EF41CC" w:rsidR="00527CF5" w:rsidRDefault="00527CF5">
      <w:pPr>
        <w:rPr>
          <w:sz w:val="24"/>
          <w:szCs w:val="24"/>
        </w:rPr>
      </w:pPr>
      <w:r>
        <w:rPr>
          <w:sz w:val="24"/>
          <w:szCs w:val="24"/>
        </w:rPr>
        <w:br w:type="page"/>
      </w:r>
    </w:p>
    <w:p w14:paraId="02BC1970" w14:textId="77777777" w:rsidR="00527CF5" w:rsidRPr="00527CF5" w:rsidRDefault="00527CF5" w:rsidP="00527CF5">
      <w:pPr>
        <w:tabs>
          <w:tab w:val="left" w:pos="851"/>
        </w:tabs>
        <w:ind w:left="851"/>
        <w:rPr>
          <w:sz w:val="24"/>
          <w:szCs w:val="24"/>
        </w:rPr>
      </w:pPr>
    </w:p>
    <w:p w14:paraId="140791C3" w14:textId="77777777" w:rsidR="00527CF5" w:rsidRPr="00527CF5" w:rsidRDefault="00527CF5" w:rsidP="00527CF5">
      <w:pPr>
        <w:tabs>
          <w:tab w:val="left" w:pos="851"/>
        </w:tabs>
        <w:ind w:left="851"/>
        <w:rPr>
          <w:sz w:val="24"/>
          <w:szCs w:val="24"/>
          <w:u w:val="single"/>
        </w:rPr>
      </w:pPr>
      <w:r w:rsidRPr="00527CF5">
        <w:rPr>
          <w:sz w:val="24"/>
          <w:szCs w:val="24"/>
          <w:u w:val="single"/>
        </w:rPr>
        <w:t>Virkningsmekanisme</w:t>
      </w:r>
      <w:r w:rsidRPr="00527CF5">
        <w:rPr>
          <w:sz w:val="24"/>
          <w:szCs w:val="24"/>
        </w:rPr>
        <w:t xml:space="preserve"> </w:t>
      </w:r>
    </w:p>
    <w:p w14:paraId="3314362F" w14:textId="7EE5DA7B" w:rsidR="00527CF5" w:rsidRPr="00527CF5" w:rsidRDefault="00527CF5" w:rsidP="00527CF5">
      <w:pPr>
        <w:tabs>
          <w:tab w:val="left" w:pos="851"/>
        </w:tabs>
        <w:ind w:left="851"/>
        <w:rPr>
          <w:sz w:val="24"/>
          <w:szCs w:val="24"/>
        </w:rPr>
      </w:pPr>
      <w:r w:rsidRPr="00527CF5">
        <w:rPr>
          <w:sz w:val="24"/>
          <w:szCs w:val="24"/>
        </w:rPr>
        <w:t xml:space="preserve">Mirabegron er en potent og selektiv beta 3-adrenoceptoragonist. Mirabegron resulterede i relaksation af den glatte blæremuskulatur i isoleret rottevæv og humant væv, øgede koncentrationerne af cyklisk adenosinmonophosphat (cAMP) i rotteblærevæv og udviste en blærerelakserende virkning i rotteurinblærefunktionsmodeller. Mirabegron øgede den gennemsnitligt udtømte mængde pr. vandladning og reducerede hyppigheden af ikke-tømmende kontraktioner uden at påvirke tømningstrykket eller resturinmængden i rottemodeller af blæreoveraktivitet. I en abemodel reducerede mirabegron tømningshyppigheden. Disse resultater indikerer, at mirabegron forbedrer urinakkumuleringsfunktionen ved at stimulere beta 3-adrenoceptorer i blæren. </w:t>
      </w:r>
    </w:p>
    <w:p w14:paraId="296F6DA3" w14:textId="77777777" w:rsidR="00527CF5" w:rsidRPr="00527CF5" w:rsidRDefault="00527CF5" w:rsidP="00527CF5">
      <w:pPr>
        <w:tabs>
          <w:tab w:val="left" w:pos="851"/>
        </w:tabs>
        <w:ind w:left="851"/>
        <w:rPr>
          <w:sz w:val="24"/>
          <w:szCs w:val="24"/>
        </w:rPr>
      </w:pPr>
      <w:r w:rsidRPr="00527CF5">
        <w:rPr>
          <w:sz w:val="24"/>
          <w:szCs w:val="24"/>
        </w:rPr>
        <w:t xml:space="preserve"> </w:t>
      </w:r>
    </w:p>
    <w:p w14:paraId="32CDCCE9" w14:textId="77777777" w:rsidR="00527CF5" w:rsidRPr="00527CF5" w:rsidRDefault="00527CF5" w:rsidP="00527CF5">
      <w:pPr>
        <w:tabs>
          <w:tab w:val="left" w:pos="851"/>
        </w:tabs>
        <w:ind w:left="851"/>
        <w:rPr>
          <w:sz w:val="24"/>
          <w:szCs w:val="24"/>
        </w:rPr>
      </w:pPr>
      <w:r w:rsidRPr="00527CF5">
        <w:rPr>
          <w:sz w:val="24"/>
          <w:szCs w:val="24"/>
        </w:rPr>
        <w:t>I fyldningsfasen, hvor der akkumuleres urin i blæren, dominerer den sympatiske nervestimulering. Der frigives noradrenalin fra nerveenderne, hvilket hovedsagelig resulterer i beta-adrenoceptoraktivering i blæremuskulaturen og dermed relaksation af den glatte blæremuskulatur. I urintømningsfasen styres blæren hovedsagelig af det parasympatiske nervesystem. Acetylcholin, som frigives fra nerveender i pelvis, stimulerer cholinerge M2- og M3-receptorer, hvilket inducerer blærekontraktion. Aktiveringen af M2's pathway hæmmer også beta 3-adrenoceptor-induceret stigning i cAMP. Beta 3-adrenoceptor-stimulering burde derfor ikke forstyrre tømningsprocessen. Dette blev bekræftet hos rotter med partiel ureterobstruktion, hvor mirabegron reducerede hyppigheden af ikke-tømmende kontraktioner uden at påvirke den udtømte mængde pr. vandladning, tømningstrykket eller resturinmængden.</w:t>
      </w:r>
    </w:p>
    <w:p w14:paraId="1C3ADBCE" w14:textId="77777777" w:rsidR="00527CF5" w:rsidRPr="00527CF5" w:rsidRDefault="00527CF5" w:rsidP="00527CF5">
      <w:pPr>
        <w:tabs>
          <w:tab w:val="left" w:pos="851"/>
        </w:tabs>
        <w:ind w:left="851"/>
        <w:rPr>
          <w:sz w:val="24"/>
          <w:szCs w:val="24"/>
        </w:rPr>
      </w:pPr>
    </w:p>
    <w:p w14:paraId="190F1ECE" w14:textId="77777777" w:rsidR="00527CF5" w:rsidRPr="00527CF5" w:rsidRDefault="00527CF5" w:rsidP="00527CF5">
      <w:pPr>
        <w:tabs>
          <w:tab w:val="left" w:pos="851"/>
        </w:tabs>
        <w:ind w:left="851"/>
        <w:rPr>
          <w:sz w:val="24"/>
          <w:szCs w:val="24"/>
          <w:u w:val="single"/>
        </w:rPr>
      </w:pPr>
      <w:r w:rsidRPr="00527CF5">
        <w:rPr>
          <w:sz w:val="24"/>
          <w:szCs w:val="24"/>
          <w:u w:val="single"/>
        </w:rPr>
        <w:t>Farmakodynamisk virkning</w:t>
      </w:r>
      <w:r w:rsidRPr="00527CF5">
        <w:rPr>
          <w:sz w:val="24"/>
          <w:szCs w:val="24"/>
        </w:rPr>
        <w:t xml:space="preserve"> </w:t>
      </w:r>
    </w:p>
    <w:p w14:paraId="741D8010" w14:textId="77777777" w:rsidR="00527CF5" w:rsidRPr="00527CF5" w:rsidRDefault="00527CF5" w:rsidP="00527CF5">
      <w:pPr>
        <w:tabs>
          <w:tab w:val="left" w:pos="851"/>
        </w:tabs>
        <w:ind w:left="851"/>
        <w:rPr>
          <w:sz w:val="24"/>
          <w:szCs w:val="24"/>
        </w:rPr>
      </w:pPr>
      <w:r w:rsidRPr="00527CF5">
        <w:rPr>
          <w:sz w:val="24"/>
          <w:szCs w:val="24"/>
        </w:rPr>
        <w:t xml:space="preserve"> </w:t>
      </w:r>
    </w:p>
    <w:p w14:paraId="2AC6E95A" w14:textId="77777777" w:rsidR="00527CF5" w:rsidRPr="00527CF5" w:rsidRDefault="00527CF5" w:rsidP="00527CF5">
      <w:pPr>
        <w:tabs>
          <w:tab w:val="left" w:pos="851"/>
        </w:tabs>
        <w:ind w:left="851"/>
        <w:rPr>
          <w:sz w:val="24"/>
          <w:szCs w:val="24"/>
        </w:rPr>
      </w:pPr>
      <w:r w:rsidRPr="00527CF5">
        <w:rPr>
          <w:i/>
          <w:sz w:val="24"/>
          <w:szCs w:val="24"/>
        </w:rPr>
        <w:t xml:space="preserve">Urodynamik </w:t>
      </w:r>
    </w:p>
    <w:p w14:paraId="2BF2E369" w14:textId="77777777" w:rsidR="00527CF5" w:rsidRPr="00527CF5" w:rsidRDefault="00527CF5" w:rsidP="00527CF5">
      <w:pPr>
        <w:tabs>
          <w:tab w:val="left" w:pos="851"/>
        </w:tabs>
        <w:ind w:left="851"/>
        <w:rPr>
          <w:sz w:val="24"/>
          <w:szCs w:val="24"/>
        </w:rPr>
      </w:pPr>
      <w:r w:rsidRPr="00527CF5">
        <w:rPr>
          <w:sz w:val="24"/>
          <w:szCs w:val="24"/>
        </w:rPr>
        <w:t xml:space="preserve">Mirabegron i doser på 50 mg og 100 mg én gang dagligt i 12 uger hos mænd med nedre urinvejssymptomer (LUTS) og blæreudgangsobstruktion (BOO) udviste ingen virkning på cystometriparametre og var sikkert og veltolereret. Mirabegrons virkning på den maksimale flowhastighed og detrusortrykket ved den maksimale flowhastighed blev vurderet i dette urodynamiske studie, som omfattede 200 mandlige patienter med LUTS og BOO. Administration af mirabegron i doser på 50 mg og 100 mg én gang dagligt i 12 uger havde ingen negativ virkning på den maksimale flowhastighed eller detrusortrykket ved den maksimale flowhastighed. I dette studie med deltagelse af mandlige patienter med LUTS/BOO var den justerede gennemsnitlige ændring fra </w:t>
      </w:r>
      <w:r w:rsidRPr="00527CF5">
        <w:rPr>
          <w:i/>
          <w:sz w:val="24"/>
          <w:szCs w:val="24"/>
        </w:rPr>
        <w:t>baseline</w:t>
      </w:r>
      <w:r w:rsidRPr="00527CF5">
        <w:rPr>
          <w:sz w:val="24"/>
          <w:szCs w:val="24"/>
        </w:rPr>
        <w:t xml:space="preserve"> til behandlingsafslutning (SE) i restmængden efter tømning (ml) 0,55 (10,702), 17,89 (10,190), 30,77 (10,598) for placebo-, mirabegron 50 mg- og mirabegron 100 mgbehandlingsgrupperne. </w:t>
      </w:r>
    </w:p>
    <w:p w14:paraId="200AF216" w14:textId="77777777" w:rsidR="00527CF5" w:rsidRPr="00527CF5" w:rsidRDefault="00527CF5" w:rsidP="00527CF5">
      <w:pPr>
        <w:tabs>
          <w:tab w:val="left" w:pos="851"/>
        </w:tabs>
        <w:ind w:left="851"/>
        <w:rPr>
          <w:sz w:val="24"/>
          <w:szCs w:val="24"/>
        </w:rPr>
      </w:pPr>
      <w:r w:rsidRPr="00527CF5">
        <w:rPr>
          <w:sz w:val="24"/>
          <w:szCs w:val="24"/>
        </w:rPr>
        <w:t xml:space="preserve"> </w:t>
      </w:r>
    </w:p>
    <w:p w14:paraId="5EF5FFA5" w14:textId="77777777" w:rsidR="00527CF5" w:rsidRPr="00527CF5" w:rsidRDefault="00527CF5" w:rsidP="00527CF5">
      <w:pPr>
        <w:tabs>
          <w:tab w:val="left" w:pos="851"/>
        </w:tabs>
        <w:ind w:left="851"/>
        <w:rPr>
          <w:sz w:val="24"/>
          <w:szCs w:val="24"/>
        </w:rPr>
      </w:pPr>
      <w:r w:rsidRPr="00527CF5">
        <w:rPr>
          <w:i/>
          <w:sz w:val="24"/>
          <w:szCs w:val="24"/>
        </w:rPr>
        <w:t>Virkning på QT-intervallet</w:t>
      </w:r>
      <w:r w:rsidRPr="00527CF5">
        <w:rPr>
          <w:sz w:val="24"/>
          <w:szCs w:val="24"/>
        </w:rPr>
        <w:t xml:space="preserve"> </w:t>
      </w:r>
    </w:p>
    <w:p w14:paraId="1E5D4BFD" w14:textId="77777777" w:rsidR="00527CF5" w:rsidRPr="00527CF5" w:rsidRDefault="00527CF5" w:rsidP="00527CF5">
      <w:pPr>
        <w:tabs>
          <w:tab w:val="left" w:pos="851"/>
        </w:tabs>
        <w:ind w:left="851"/>
        <w:rPr>
          <w:sz w:val="24"/>
          <w:szCs w:val="24"/>
        </w:rPr>
      </w:pPr>
      <w:r w:rsidRPr="00527CF5">
        <w:rPr>
          <w:sz w:val="24"/>
          <w:szCs w:val="24"/>
        </w:rPr>
        <w:t xml:space="preserve">Mirabegron i doser på 50 mg eller 100 mg havde ingen virkning på QT-intervallet individuelt korrigeret for hjertefrekvens (QTcI-intervallet) - hverken ved evaluering baseret på køn eller for den samlede gruppe. </w:t>
      </w:r>
    </w:p>
    <w:p w14:paraId="7C38E3BA" w14:textId="77777777" w:rsidR="00527CF5" w:rsidRPr="00527CF5" w:rsidRDefault="00527CF5" w:rsidP="00527CF5">
      <w:pPr>
        <w:tabs>
          <w:tab w:val="left" w:pos="851"/>
        </w:tabs>
        <w:ind w:left="851"/>
        <w:rPr>
          <w:sz w:val="24"/>
          <w:szCs w:val="24"/>
        </w:rPr>
      </w:pPr>
      <w:r w:rsidRPr="00527CF5">
        <w:rPr>
          <w:sz w:val="24"/>
          <w:szCs w:val="24"/>
        </w:rPr>
        <w:t xml:space="preserve"> </w:t>
      </w:r>
    </w:p>
    <w:p w14:paraId="2D8546F7" w14:textId="77777777" w:rsidR="00527CF5" w:rsidRPr="00527CF5" w:rsidRDefault="00527CF5" w:rsidP="00527CF5">
      <w:pPr>
        <w:tabs>
          <w:tab w:val="left" w:pos="851"/>
        </w:tabs>
        <w:ind w:left="851"/>
        <w:rPr>
          <w:sz w:val="24"/>
          <w:szCs w:val="24"/>
        </w:rPr>
      </w:pPr>
      <w:r w:rsidRPr="00527CF5">
        <w:rPr>
          <w:sz w:val="24"/>
          <w:szCs w:val="24"/>
        </w:rPr>
        <w:t xml:space="preserve">Et grundigt QT (TQT)-studie (n = 164 raske mandlige og n = 153 raske kvindelige frivillige med en gennemsnitsalder på 33 år) evaluerede virkningen af gentaget oral dosering af mirabegron i den indicerede dosis (50 mg én gang dagligt) og to supraterapeutiske doser (100 og 200 mg én gang dagligt) på QTcI-intervallet. Eksponeringen for de supraterapeutiske doser udgør henholdsvis ca. 2,6 og 6,5 gange eksponeringen for den terapeutiske dosis. 400 mg moxifloxacin som enkeltdosis blev </w:t>
      </w:r>
      <w:r w:rsidRPr="00527CF5">
        <w:rPr>
          <w:sz w:val="24"/>
          <w:szCs w:val="24"/>
        </w:rPr>
        <w:lastRenderedPageBreak/>
        <w:t xml:space="preserve">anvendt som positiv kontrol. Hvert dosisniveau af mirabegron og moxifloxacin blev evalueret i separate behandlingsarme, som begge omfattede placebokontrol (parallelt overkrydsningsdesign). For mænd såvel som kvinder, som fik administreret mirabegron 50 mg og 100 mg, oversteg den øvre grænse for det ensidede 95 % konfidensinterval ikke 10 msek. på noget tidspunkt for den største tidsmatchede gennemsnitlige forskel i forhold til placebo i QTcI-intervallet. Hos kvinder, som fik administreret mirabegron 50 mg, var den gennemsnitlige forskel i forhold til placebo i QTcIintervallet 3,67 msek. </w:t>
      </w:r>
    </w:p>
    <w:p w14:paraId="6D0036E3" w14:textId="77777777" w:rsidR="00527CF5" w:rsidRPr="00527CF5" w:rsidRDefault="00527CF5" w:rsidP="00527CF5">
      <w:pPr>
        <w:tabs>
          <w:tab w:val="left" w:pos="851"/>
        </w:tabs>
        <w:ind w:left="851"/>
        <w:rPr>
          <w:sz w:val="24"/>
          <w:szCs w:val="24"/>
        </w:rPr>
      </w:pPr>
      <w:r w:rsidRPr="00527CF5">
        <w:rPr>
          <w:sz w:val="24"/>
          <w:szCs w:val="24"/>
        </w:rPr>
        <w:t xml:space="preserve">5 timer efter dosering (den øvre grænse for det ensidede 95 % KI var 5,72 msek.). Hos mænd var forskellen 2,89 msek. (den øvre grænse for det ensidede 95 % KI var 4,90 msek.). Ved en mirabegron-dosis på 200 mg oversteg QTcI-intervallet ikke 10 msek. på noget tidspunkt hos mænd, hvorimod den øvre grænse for det ensidede 95 % konfidensinterval hos kvinder oversteg 10 msek. mellem 0,5 og 6 timer, med en maksimal forskel i forhold til placebo ved 5 timer, hvor den gennemsnitlige virkning var 10,42 msek. (den øvre grænse for det ensidede 95 % KI var 13,44 msek.). Resultaterne for QTcF og QTcIf var i overensstemmelse med dem for QTcI. </w:t>
      </w:r>
    </w:p>
    <w:p w14:paraId="3C469568" w14:textId="77777777" w:rsidR="00527CF5" w:rsidRPr="00527CF5" w:rsidRDefault="00527CF5" w:rsidP="00527CF5">
      <w:pPr>
        <w:tabs>
          <w:tab w:val="left" w:pos="851"/>
        </w:tabs>
        <w:ind w:left="851"/>
        <w:rPr>
          <w:sz w:val="24"/>
          <w:szCs w:val="24"/>
        </w:rPr>
      </w:pPr>
      <w:r w:rsidRPr="00527CF5">
        <w:rPr>
          <w:sz w:val="24"/>
          <w:szCs w:val="24"/>
        </w:rPr>
        <w:t xml:space="preserve"> </w:t>
      </w:r>
    </w:p>
    <w:p w14:paraId="7ADE82D5" w14:textId="77777777" w:rsidR="00527CF5" w:rsidRPr="00527CF5" w:rsidRDefault="00527CF5" w:rsidP="00527CF5">
      <w:pPr>
        <w:tabs>
          <w:tab w:val="left" w:pos="851"/>
        </w:tabs>
        <w:ind w:left="851"/>
        <w:rPr>
          <w:sz w:val="24"/>
          <w:szCs w:val="24"/>
        </w:rPr>
      </w:pPr>
      <w:r w:rsidRPr="00527CF5">
        <w:rPr>
          <w:sz w:val="24"/>
          <w:szCs w:val="24"/>
        </w:rPr>
        <w:t xml:space="preserve">I dette TQT-studie øgede mirabegron hjertefrekvensen ifølge EKG dosisafhængigt i hele det undersøgte 50 mg til 200 mg-dosisinterval. Den maksimale gennemsnitlige forskel i forhold til placebo i hjertefrekvens lå fra 6,7 slag pr. minut med mirabegron 50 mg op til 17,3 slag pr. minut med mirabegron 200 mg hos raske forsøgspersoner. </w:t>
      </w:r>
    </w:p>
    <w:p w14:paraId="454E0D3B" w14:textId="77777777" w:rsidR="00527CF5" w:rsidRPr="00527CF5" w:rsidRDefault="00527CF5" w:rsidP="00527CF5">
      <w:pPr>
        <w:tabs>
          <w:tab w:val="left" w:pos="851"/>
        </w:tabs>
        <w:ind w:left="851"/>
        <w:rPr>
          <w:sz w:val="24"/>
          <w:szCs w:val="24"/>
        </w:rPr>
      </w:pPr>
      <w:r w:rsidRPr="00527CF5">
        <w:rPr>
          <w:sz w:val="24"/>
          <w:szCs w:val="24"/>
        </w:rPr>
        <w:t xml:space="preserve"> </w:t>
      </w:r>
    </w:p>
    <w:p w14:paraId="5E5E60FB" w14:textId="77777777" w:rsidR="00527CF5" w:rsidRPr="00527CF5" w:rsidRDefault="00527CF5" w:rsidP="00527CF5">
      <w:pPr>
        <w:tabs>
          <w:tab w:val="left" w:pos="851"/>
        </w:tabs>
        <w:ind w:left="851"/>
        <w:rPr>
          <w:sz w:val="24"/>
          <w:szCs w:val="24"/>
        </w:rPr>
      </w:pPr>
      <w:r w:rsidRPr="00527CF5">
        <w:rPr>
          <w:i/>
          <w:sz w:val="24"/>
          <w:szCs w:val="24"/>
        </w:rPr>
        <w:t>Virkning på hjertefrekvensen og blodtrykket hos voksne patienter med OAB</w:t>
      </w:r>
      <w:r w:rsidRPr="00527CF5">
        <w:rPr>
          <w:sz w:val="24"/>
          <w:szCs w:val="24"/>
        </w:rPr>
        <w:t xml:space="preserve"> </w:t>
      </w:r>
    </w:p>
    <w:p w14:paraId="65BB6123" w14:textId="77777777" w:rsidR="00527CF5" w:rsidRPr="00527CF5" w:rsidRDefault="00527CF5" w:rsidP="00527CF5">
      <w:pPr>
        <w:tabs>
          <w:tab w:val="left" w:pos="851"/>
        </w:tabs>
        <w:ind w:left="851"/>
        <w:rPr>
          <w:sz w:val="24"/>
          <w:szCs w:val="24"/>
        </w:rPr>
      </w:pPr>
      <w:r w:rsidRPr="00527CF5">
        <w:rPr>
          <w:sz w:val="24"/>
          <w:szCs w:val="24"/>
        </w:rPr>
        <w:t xml:space="preserve">Hos OAB-patienter (gennemsnitsalder 59 år) i tre 12-ugers dobbeltblinde placebokontrollerede fase 3studier, som fik mirabegron 50 mg én gang dagligt, blev der på tværs af de tre studier observeret en øget gennemsnitlig forskel i forhold til placebo på ca. 1 slag pr. minut for hjertefrekvensen og ca. </w:t>
      </w:r>
    </w:p>
    <w:p w14:paraId="608A6164" w14:textId="77777777" w:rsidR="00527CF5" w:rsidRPr="00527CF5" w:rsidRDefault="00527CF5" w:rsidP="00527CF5">
      <w:pPr>
        <w:tabs>
          <w:tab w:val="left" w:pos="851"/>
        </w:tabs>
        <w:ind w:left="851"/>
        <w:rPr>
          <w:sz w:val="24"/>
          <w:szCs w:val="24"/>
        </w:rPr>
      </w:pPr>
      <w:r w:rsidRPr="00527CF5">
        <w:rPr>
          <w:sz w:val="24"/>
          <w:szCs w:val="24"/>
        </w:rPr>
        <w:t xml:space="preserve">1 mm Hg eller derunder for det systoliske blodtryk/diastoliske blodtryk (SBP/DBP). Ændringer i hjertefrekvens og blodtryk er reversible efter seponering af behandlingen. </w:t>
      </w:r>
    </w:p>
    <w:p w14:paraId="37C725D3" w14:textId="77777777" w:rsidR="00527CF5" w:rsidRPr="00527CF5" w:rsidRDefault="00527CF5" w:rsidP="00527CF5">
      <w:pPr>
        <w:tabs>
          <w:tab w:val="left" w:pos="851"/>
        </w:tabs>
        <w:ind w:left="851"/>
        <w:rPr>
          <w:sz w:val="24"/>
          <w:szCs w:val="24"/>
        </w:rPr>
      </w:pPr>
      <w:r w:rsidRPr="00527CF5">
        <w:rPr>
          <w:sz w:val="24"/>
          <w:szCs w:val="24"/>
        </w:rPr>
        <w:t xml:space="preserve"> </w:t>
      </w:r>
    </w:p>
    <w:p w14:paraId="6E02EA17" w14:textId="77777777" w:rsidR="00527CF5" w:rsidRPr="00527CF5" w:rsidRDefault="00527CF5" w:rsidP="00527CF5">
      <w:pPr>
        <w:tabs>
          <w:tab w:val="left" w:pos="851"/>
        </w:tabs>
        <w:ind w:left="851"/>
        <w:rPr>
          <w:sz w:val="24"/>
          <w:szCs w:val="24"/>
        </w:rPr>
      </w:pPr>
      <w:r w:rsidRPr="00527CF5">
        <w:rPr>
          <w:i/>
          <w:sz w:val="24"/>
          <w:szCs w:val="24"/>
        </w:rPr>
        <w:t>Virkning på blodtrykket hos pædiatriske patienter med NDO</w:t>
      </w:r>
      <w:r w:rsidRPr="00527CF5">
        <w:rPr>
          <w:sz w:val="24"/>
          <w:szCs w:val="24"/>
        </w:rPr>
        <w:t xml:space="preserve"> </w:t>
      </w:r>
    </w:p>
    <w:p w14:paraId="00DB576A" w14:textId="77777777" w:rsidR="00527CF5" w:rsidRPr="00527CF5" w:rsidRDefault="00527CF5" w:rsidP="00527CF5">
      <w:pPr>
        <w:tabs>
          <w:tab w:val="left" w:pos="851"/>
        </w:tabs>
        <w:ind w:left="851"/>
        <w:rPr>
          <w:sz w:val="24"/>
          <w:szCs w:val="24"/>
        </w:rPr>
      </w:pPr>
      <w:r w:rsidRPr="00527CF5">
        <w:rPr>
          <w:sz w:val="24"/>
          <w:szCs w:val="24"/>
        </w:rPr>
        <w:t xml:space="preserve">Mirabegron kan øge blodtrykket hos pædiatriske patienter. Stigningerne i blodtrykket kan være større hos børn (i alderen 3 år til under 12 år) end hos unge (i alderen 12 år til under 18 år). Blodtrykket bør måles ved </w:t>
      </w:r>
      <w:r w:rsidRPr="00527CF5">
        <w:rPr>
          <w:i/>
          <w:sz w:val="24"/>
          <w:szCs w:val="24"/>
        </w:rPr>
        <w:t>baseline</w:t>
      </w:r>
      <w:r w:rsidRPr="00527CF5">
        <w:rPr>
          <w:sz w:val="24"/>
          <w:szCs w:val="24"/>
        </w:rPr>
        <w:t xml:space="preserve"> og regelmæssigt under behandling med mirabegron.</w:t>
      </w:r>
    </w:p>
    <w:p w14:paraId="79B53613" w14:textId="77777777" w:rsidR="00527CF5" w:rsidRPr="00527CF5" w:rsidRDefault="00527CF5" w:rsidP="00527CF5">
      <w:pPr>
        <w:tabs>
          <w:tab w:val="left" w:pos="851"/>
        </w:tabs>
        <w:ind w:left="851"/>
        <w:rPr>
          <w:sz w:val="24"/>
          <w:szCs w:val="24"/>
        </w:rPr>
      </w:pPr>
    </w:p>
    <w:p w14:paraId="37E87C6D" w14:textId="77777777" w:rsidR="00527CF5" w:rsidRPr="00527CF5" w:rsidRDefault="00527CF5" w:rsidP="00527CF5">
      <w:pPr>
        <w:tabs>
          <w:tab w:val="left" w:pos="851"/>
        </w:tabs>
        <w:ind w:left="851"/>
        <w:rPr>
          <w:sz w:val="24"/>
          <w:szCs w:val="24"/>
        </w:rPr>
      </w:pPr>
      <w:r w:rsidRPr="00527CF5">
        <w:rPr>
          <w:i/>
          <w:sz w:val="24"/>
          <w:szCs w:val="24"/>
        </w:rPr>
        <w:t>Virkning på det intraokulære tryk (IOP)</w:t>
      </w:r>
      <w:r w:rsidRPr="00527CF5">
        <w:rPr>
          <w:sz w:val="24"/>
          <w:szCs w:val="24"/>
        </w:rPr>
        <w:t xml:space="preserve"> </w:t>
      </w:r>
    </w:p>
    <w:p w14:paraId="56B00A65" w14:textId="52FBADD7" w:rsidR="00527CF5" w:rsidRPr="00527CF5" w:rsidRDefault="00527CF5" w:rsidP="00527CF5">
      <w:pPr>
        <w:tabs>
          <w:tab w:val="left" w:pos="851"/>
        </w:tabs>
        <w:ind w:left="851"/>
        <w:rPr>
          <w:sz w:val="24"/>
          <w:szCs w:val="24"/>
        </w:rPr>
      </w:pPr>
      <w:r w:rsidRPr="00527CF5">
        <w:rPr>
          <w:sz w:val="24"/>
          <w:szCs w:val="24"/>
        </w:rPr>
        <w:t xml:space="preserve">Mirabegron 100 mg én gang dagligt øgede ikke IOP hos raske voksne forsøgspersoner i løbet af 56 dages behandling. I et fase 1-studie, som vurderede mirabegrons virkning på IOP ved anvendelse af Goldmann-applanationstonometri hos 310 raske forsøgspersoner, var en dosis mirabegron 100 mg non-inferiør i forhold til placebo for det primære endepunkt, som var behandlingsforskellen i gennemsnitlig ændring fra </w:t>
      </w:r>
      <w:r w:rsidRPr="00527CF5">
        <w:rPr>
          <w:i/>
          <w:sz w:val="24"/>
          <w:szCs w:val="24"/>
        </w:rPr>
        <w:t>baseline</w:t>
      </w:r>
      <w:r w:rsidRPr="00527CF5">
        <w:rPr>
          <w:sz w:val="24"/>
          <w:szCs w:val="24"/>
        </w:rPr>
        <w:t xml:space="preserve"> frem til dag 56 i det gennemsnitlige IOP hos forsøgspersonerne; den øvre grænse for det tosidede 95 % KI for behandlingsforskellen mellem mirabegron 100 mg og placebo var </w:t>
      </w:r>
      <w:r w:rsidRPr="00527CF5">
        <w:rPr>
          <w:sz w:val="24"/>
          <w:szCs w:val="24"/>
        </w:rPr>
        <w:br/>
        <w:t>0,3 mm Hg.</w:t>
      </w:r>
    </w:p>
    <w:p w14:paraId="3A8B98D6" w14:textId="77777777" w:rsidR="00527CF5" w:rsidRPr="00527CF5" w:rsidRDefault="00527CF5" w:rsidP="00527CF5">
      <w:pPr>
        <w:tabs>
          <w:tab w:val="left" w:pos="851"/>
        </w:tabs>
        <w:ind w:left="851"/>
        <w:rPr>
          <w:sz w:val="24"/>
          <w:szCs w:val="24"/>
        </w:rPr>
      </w:pPr>
    </w:p>
    <w:p w14:paraId="187322E9" w14:textId="77777777" w:rsidR="00527CF5" w:rsidRPr="00527CF5" w:rsidRDefault="00527CF5" w:rsidP="00527CF5">
      <w:pPr>
        <w:tabs>
          <w:tab w:val="left" w:pos="851"/>
        </w:tabs>
        <w:ind w:left="851"/>
        <w:rPr>
          <w:sz w:val="24"/>
          <w:szCs w:val="24"/>
          <w:u w:val="single"/>
        </w:rPr>
      </w:pPr>
      <w:r w:rsidRPr="00527CF5">
        <w:rPr>
          <w:sz w:val="24"/>
          <w:szCs w:val="24"/>
          <w:u w:val="single"/>
        </w:rPr>
        <w:t>Klinisk virkning og sikkerhed</w:t>
      </w:r>
      <w:r w:rsidRPr="00527CF5">
        <w:rPr>
          <w:sz w:val="24"/>
          <w:szCs w:val="24"/>
        </w:rPr>
        <w:t xml:space="preserve"> </w:t>
      </w:r>
    </w:p>
    <w:p w14:paraId="140EFDF8" w14:textId="77777777" w:rsidR="00527CF5" w:rsidRPr="00527CF5" w:rsidRDefault="00527CF5" w:rsidP="00527CF5">
      <w:pPr>
        <w:tabs>
          <w:tab w:val="left" w:pos="851"/>
        </w:tabs>
        <w:ind w:left="851"/>
        <w:rPr>
          <w:sz w:val="24"/>
          <w:szCs w:val="24"/>
        </w:rPr>
      </w:pPr>
      <w:r w:rsidRPr="00527CF5">
        <w:rPr>
          <w:sz w:val="24"/>
          <w:szCs w:val="24"/>
        </w:rPr>
        <w:t xml:space="preserve"> </w:t>
      </w:r>
    </w:p>
    <w:p w14:paraId="1E31C4D9" w14:textId="77777777" w:rsidR="00527CF5" w:rsidRPr="00527CF5" w:rsidRDefault="00527CF5" w:rsidP="00527CF5">
      <w:pPr>
        <w:tabs>
          <w:tab w:val="left" w:pos="851"/>
        </w:tabs>
        <w:ind w:left="851"/>
        <w:rPr>
          <w:sz w:val="24"/>
          <w:szCs w:val="24"/>
        </w:rPr>
      </w:pPr>
      <w:r w:rsidRPr="00527CF5">
        <w:rPr>
          <w:i/>
          <w:sz w:val="24"/>
          <w:szCs w:val="24"/>
        </w:rPr>
        <w:t xml:space="preserve">Overaktiv blære hos voksne patienter </w:t>
      </w:r>
    </w:p>
    <w:p w14:paraId="765983AF" w14:textId="22976F45" w:rsidR="00527CF5" w:rsidRPr="00527CF5" w:rsidRDefault="00527CF5" w:rsidP="00527CF5">
      <w:pPr>
        <w:tabs>
          <w:tab w:val="left" w:pos="851"/>
        </w:tabs>
        <w:ind w:left="851"/>
        <w:rPr>
          <w:sz w:val="24"/>
          <w:szCs w:val="24"/>
        </w:rPr>
      </w:pPr>
      <w:r w:rsidRPr="00527CF5">
        <w:rPr>
          <w:sz w:val="24"/>
          <w:szCs w:val="24"/>
        </w:rPr>
        <w:t xml:space="preserve">Mirabegrons virkning blev evalueret i tre 12-ugers randomiserede dobbeltblinde placebokontrollerede fase 3-studier til behandling af overaktiv blære med symptomer på imperiøs vandladning og hyppighed med eller uden inkontinens. Studiet inkluderede </w:t>
      </w:r>
      <w:r w:rsidRPr="00527CF5">
        <w:rPr>
          <w:sz w:val="24"/>
          <w:szCs w:val="24"/>
        </w:rPr>
        <w:lastRenderedPageBreak/>
        <w:t>kvindelige (72 %) og mandlige (28 %) patienter med en gennemsnitsalder på 59 år (interval 18</w:t>
      </w:r>
      <w:r>
        <w:rPr>
          <w:sz w:val="24"/>
          <w:szCs w:val="24"/>
        </w:rPr>
        <w:t>-</w:t>
      </w:r>
      <w:r w:rsidRPr="00527CF5">
        <w:rPr>
          <w:sz w:val="24"/>
          <w:szCs w:val="24"/>
        </w:rPr>
        <w:t xml:space="preserve">95 år). Studiepopulationen bestod af ca. 48 % patienter, som var naive over for antimuskarin-behandling, og ca. 52 % patienter, som tidligere var blevet behandlet med antimuskarine lægemidler. I ét studie fik 495 patienter en aktiv kontrol (tolterodin-depotformulering). </w:t>
      </w:r>
    </w:p>
    <w:p w14:paraId="631DBC05" w14:textId="77777777" w:rsidR="00527CF5" w:rsidRPr="00527CF5" w:rsidRDefault="00527CF5" w:rsidP="00527CF5">
      <w:pPr>
        <w:tabs>
          <w:tab w:val="left" w:pos="851"/>
        </w:tabs>
        <w:ind w:left="851"/>
        <w:rPr>
          <w:sz w:val="24"/>
          <w:szCs w:val="24"/>
        </w:rPr>
      </w:pPr>
      <w:r w:rsidRPr="00527CF5">
        <w:rPr>
          <w:sz w:val="24"/>
          <w:szCs w:val="24"/>
        </w:rPr>
        <w:t xml:space="preserve"> </w:t>
      </w:r>
    </w:p>
    <w:p w14:paraId="06C2F7F1" w14:textId="77777777" w:rsidR="00527CF5" w:rsidRPr="00527CF5" w:rsidRDefault="00527CF5" w:rsidP="00527CF5">
      <w:pPr>
        <w:tabs>
          <w:tab w:val="left" w:pos="851"/>
        </w:tabs>
        <w:ind w:left="851"/>
        <w:rPr>
          <w:sz w:val="24"/>
          <w:szCs w:val="24"/>
        </w:rPr>
      </w:pPr>
      <w:r w:rsidRPr="00527CF5">
        <w:rPr>
          <w:sz w:val="24"/>
          <w:szCs w:val="24"/>
        </w:rPr>
        <w:t xml:space="preserve">De co-primære virkningsendepunkter var (1) ændring fra </w:t>
      </w:r>
      <w:r w:rsidRPr="00527CF5">
        <w:rPr>
          <w:i/>
          <w:sz w:val="24"/>
          <w:szCs w:val="24"/>
        </w:rPr>
        <w:t>baseline</w:t>
      </w:r>
      <w:r w:rsidRPr="00527CF5">
        <w:rPr>
          <w:sz w:val="24"/>
          <w:szCs w:val="24"/>
        </w:rPr>
        <w:t xml:space="preserve"> til behandlingsafslutning i gennemsnitligt antal inkontinensepisoder pr. 24 timer og (2) ændring fra </w:t>
      </w:r>
      <w:r w:rsidRPr="00527CF5">
        <w:rPr>
          <w:i/>
          <w:sz w:val="24"/>
          <w:szCs w:val="24"/>
        </w:rPr>
        <w:t>baseline</w:t>
      </w:r>
      <w:r w:rsidRPr="00527CF5">
        <w:rPr>
          <w:sz w:val="24"/>
          <w:szCs w:val="24"/>
        </w:rPr>
        <w:t xml:space="preserve"> til behandlingsafslutning i gennemsnitligt antal vandladninger pr. 24 timer baseret på en 3-dages vandladningsdagbog. Mirabegron resulterede i statistisk signifikant større forbedringer end placebo for både co-primære endepunkter og sekundære endepunkter (se tabel 3 og 4). </w:t>
      </w:r>
    </w:p>
    <w:p w14:paraId="1D646174" w14:textId="77777777" w:rsidR="00B2252E" w:rsidRPr="00B2252E" w:rsidRDefault="00B2252E" w:rsidP="00B2252E">
      <w:pPr>
        <w:widowControl w:val="0"/>
        <w:suppressAutoHyphens/>
        <w:autoSpaceDE w:val="0"/>
        <w:autoSpaceDN w:val="0"/>
        <w:adjustRightInd w:val="0"/>
        <w:rPr>
          <w:sz w:val="22"/>
          <w:szCs w:val="22"/>
          <w:lang w:eastAsia="da-DK"/>
        </w:rPr>
      </w:pPr>
    </w:p>
    <w:p w14:paraId="2EFB6F64" w14:textId="77777777" w:rsidR="00B2252E" w:rsidRPr="00B2252E" w:rsidRDefault="00B2252E" w:rsidP="00B2252E">
      <w:pPr>
        <w:widowControl w:val="0"/>
        <w:suppressAutoHyphens/>
        <w:autoSpaceDE w:val="0"/>
        <w:autoSpaceDN w:val="0"/>
        <w:adjustRightInd w:val="0"/>
        <w:rPr>
          <w:b/>
          <w:sz w:val="22"/>
          <w:szCs w:val="22"/>
          <w:lang w:eastAsia="da-DK"/>
        </w:rPr>
      </w:pPr>
      <w:r w:rsidRPr="00B2252E">
        <w:rPr>
          <w:b/>
          <w:sz w:val="22"/>
          <w:szCs w:val="22"/>
          <w:lang w:eastAsia="da-DK"/>
        </w:rPr>
        <w:t>Tabel 3:</w:t>
      </w:r>
      <w:r w:rsidRPr="00B2252E">
        <w:rPr>
          <w:sz w:val="22"/>
          <w:szCs w:val="22"/>
          <w:lang w:eastAsia="da-DK"/>
        </w:rPr>
        <w:t xml:space="preserve"> </w:t>
      </w:r>
      <w:r w:rsidRPr="00B2252E">
        <w:rPr>
          <w:b/>
          <w:sz w:val="22"/>
          <w:szCs w:val="22"/>
          <w:lang w:eastAsia="da-DK"/>
        </w:rPr>
        <w:t>Co-primære og udvalgte sekundære virkningsendepunkter ved behandlingsafslutning for poolede studier hos voksne</w:t>
      </w:r>
    </w:p>
    <w:tbl>
      <w:tblPr>
        <w:tblW w:w="9491" w:type="dxa"/>
        <w:jc w:val="center"/>
        <w:tblCellMar>
          <w:top w:w="53" w:type="dxa"/>
          <w:bottom w:w="3" w:type="dxa"/>
          <w:right w:w="115" w:type="dxa"/>
        </w:tblCellMar>
        <w:tblLook w:val="04A0" w:firstRow="1" w:lastRow="0" w:firstColumn="1" w:lastColumn="0" w:noHBand="0" w:noVBand="1"/>
      </w:tblPr>
      <w:tblGrid>
        <w:gridCol w:w="4954"/>
        <w:gridCol w:w="2268"/>
        <w:gridCol w:w="2269"/>
      </w:tblGrid>
      <w:tr w:rsidR="00B2252E" w:rsidRPr="00B2252E" w14:paraId="7DC64140" w14:textId="77777777">
        <w:trPr>
          <w:trHeight w:val="227"/>
          <w:jc w:val="center"/>
        </w:trPr>
        <w:tc>
          <w:tcPr>
            <w:tcW w:w="4954" w:type="dxa"/>
            <w:vMerge w:val="restart"/>
            <w:tcBorders>
              <w:top w:val="single" w:sz="6"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7EED1768"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b/>
                <w:sz w:val="22"/>
                <w:szCs w:val="22"/>
                <w:lang w:val="ru-RU" w:eastAsia="ru-RU"/>
              </w:rPr>
              <w:t>Parameter</w:t>
            </w:r>
          </w:p>
        </w:tc>
        <w:tc>
          <w:tcPr>
            <w:tcW w:w="4537" w:type="dxa"/>
            <w:gridSpan w:val="2"/>
            <w:tcBorders>
              <w:top w:val="single" w:sz="6" w:space="0" w:color="000000"/>
              <w:left w:val="single" w:sz="2" w:space="0" w:color="000000"/>
              <w:bottom w:val="single" w:sz="4" w:space="0" w:color="000000"/>
              <w:right w:val="single" w:sz="6" w:space="0" w:color="000000"/>
            </w:tcBorders>
            <w:tcMar>
              <w:top w:w="28" w:type="dxa"/>
              <w:left w:w="0" w:type="dxa"/>
              <w:bottom w:w="28" w:type="dxa"/>
              <w:right w:w="0" w:type="dxa"/>
            </w:tcMar>
            <w:hideMark/>
          </w:tcPr>
          <w:p w14:paraId="68A7E6F1" w14:textId="77777777" w:rsidR="00B2252E" w:rsidRPr="00B2252E" w:rsidRDefault="00B2252E" w:rsidP="00B2252E">
            <w:pPr>
              <w:widowControl w:val="0"/>
              <w:suppressAutoHyphens/>
              <w:autoSpaceDE w:val="0"/>
              <w:autoSpaceDN w:val="0"/>
              <w:adjustRightInd w:val="0"/>
              <w:jc w:val="center"/>
              <w:rPr>
                <w:b/>
                <w:sz w:val="22"/>
                <w:szCs w:val="22"/>
                <w:lang w:val="ru-RU" w:eastAsia="ru-RU"/>
              </w:rPr>
            </w:pPr>
            <w:r w:rsidRPr="00B2252E">
              <w:rPr>
                <w:b/>
                <w:sz w:val="22"/>
                <w:szCs w:val="22"/>
                <w:lang w:val="ru-RU" w:eastAsia="ru-RU"/>
              </w:rPr>
              <w:t xml:space="preserve">Poolede studier </w:t>
            </w:r>
          </w:p>
          <w:p w14:paraId="0C5396A0"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b/>
                <w:sz w:val="22"/>
                <w:szCs w:val="22"/>
                <w:lang w:val="ru-RU" w:eastAsia="ru-RU"/>
              </w:rPr>
              <w:t>(046, 047, 074)</w:t>
            </w:r>
          </w:p>
        </w:tc>
      </w:tr>
      <w:tr w:rsidR="00B2252E" w:rsidRPr="00B2252E" w14:paraId="24C2691B" w14:textId="77777777">
        <w:trPr>
          <w:trHeight w:val="227"/>
          <w:jc w:val="center"/>
        </w:trPr>
        <w:tc>
          <w:tcPr>
            <w:tcW w:w="0" w:type="auto"/>
            <w:vMerge/>
            <w:tcBorders>
              <w:top w:val="single" w:sz="6" w:space="0" w:color="000000"/>
              <w:left w:val="single" w:sz="6" w:space="0" w:color="000000"/>
              <w:bottom w:val="single" w:sz="2" w:space="0" w:color="000000"/>
              <w:right w:val="single" w:sz="2" w:space="0" w:color="000000"/>
            </w:tcBorders>
            <w:vAlign w:val="center"/>
            <w:hideMark/>
          </w:tcPr>
          <w:p w14:paraId="39C23F3E" w14:textId="77777777" w:rsidR="00B2252E" w:rsidRPr="00B2252E" w:rsidRDefault="00B2252E" w:rsidP="00B2252E">
            <w:pPr>
              <w:rPr>
                <w:sz w:val="22"/>
                <w:szCs w:val="22"/>
                <w:lang w:val="ru-RU" w:eastAsia="ru-RU"/>
              </w:rPr>
            </w:pP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6C010543"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b/>
                <w:sz w:val="22"/>
                <w:szCs w:val="22"/>
                <w:lang w:val="ru-RU" w:eastAsia="ru-RU"/>
              </w:rPr>
              <w:t>Placebo</w:t>
            </w:r>
          </w:p>
        </w:tc>
        <w:tc>
          <w:tcPr>
            <w:tcW w:w="2269" w:type="dxa"/>
            <w:tcBorders>
              <w:top w:val="single" w:sz="4"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7E33D013"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b/>
                <w:sz w:val="22"/>
                <w:szCs w:val="22"/>
                <w:lang w:val="ru-RU" w:eastAsia="ru-RU"/>
              </w:rPr>
              <w:t>Mirabegron 50 mg</w:t>
            </w:r>
          </w:p>
        </w:tc>
      </w:tr>
      <w:tr w:rsidR="00B2252E" w:rsidRPr="00B2252E" w14:paraId="2C39E1F2" w14:textId="77777777">
        <w:trPr>
          <w:trHeight w:val="227"/>
          <w:jc w:val="center"/>
        </w:trPr>
        <w:tc>
          <w:tcPr>
            <w:tcW w:w="9491" w:type="dxa"/>
            <w:gridSpan w:val="3"/>
            <w:tcBorders>
              <w:top w:val="single" w:sz="2" w:space="0" w:color="000000"/>
              <w:left w:val="single" w:sz="6" w:space="0" w:color="000000"/>
              <w:bottom w:val="single" w:sz="2" w:space="0" w:color="000000"/>
              <w:right w:val="single" w:sz="6" w:space="0" w:color="000000"/>
            </w:tcBorders>
            <w:tcMar>
              <w:top w:w="28" w:type="dxa"/>
              <w:left w:w="0" w:type="dxa"/>
              <w:bottom w:w="28" w:type="dxa"/>
              <w:right w:w="0" w:type="dxa"/>
            </w:tcMar>
            <w:hideMark/>
          </w:tcPr>
          <w:p w14:paraId="5147028E"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b/>
                <w:sz w:val="22"/>
                <w:szCs w:val="22"/>
                <w:lang w:val="ru-RU" w:eastAsia="ru-RU"/>
              </w:rPr>
              <w:t>Gennemsnitligt antal inkontinensepisoder pr. 24 timer (FAS</w:t>
            </w:r>
            <w:r w:rsidRPr="00B2252E">
              <w:rPr>
                <w:sz w:val="22"/>
                <w:szCs w:val="22"/>
                <w:lang w:val="ru-RU" w:eastAsia="ru-RU"/>
              </w:rPr>
              <w:t>-</w:t>
            </w:r>
            <w:r w:rsidRPr="00B2252E">
              <w:rPr>
                <w:b/>
                <w:sz w:val="22"/>
                <w:szCs w:val="22"/>
                <w:lang w:val="ru-RU" w:eastAsia="ru-RU"/>
              </w:rPr>
              <w:t>I) (co-primært)</w:t>
            </w:r>
            <w:r w:rsidRPr="00B2252E">
              <w:rPr>
                <w:sz w:val="22"/>
                <w:szCs w:val="22"/>
                <w:lang w:val="ru-RU" w:eastAsia="ru-RU"/>
              </w:rPr>
              <w:t xml:space="preserve"> </w:t>
            </w:r>
          </w:p>
        </w:tc>
      </w:tr>
      <w:tr w:rsidR="00B2252E" w:rsidRPr="00B2252E" w14:paraId="1FA27ECB"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439DCB05"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n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17824AF2"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878</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7C81EE5E"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862</w:t>
            </w:r>
          </w:p>
        </w:tc>
      </w:tr>
      <w:tr w:rsidR="00B2252E" w:rsidRPr="00B2252E" w14:paraId="59A174CA"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37E6E1ED"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w:t>
            </w:r>
            <w:r w:rsidRPr="00B2252E">
              <w:rPr>
                <w:i/>
                <w:sz w:val="22"/>
                <w:szCs w:val="22"/>
                <w:lang w:val="ru-RU" w:eastAsia="ru-RU"/>
              </w:rPr>
              <w:t>baseline</w:t>
            </w:r>
            <w:r w:rsidRPr="00B2252E">
              <w:rPr>
                <w:sz w:val="22"/>
                <w:szCs w:val="22"/>
                <w:lang w:val="ru-RU" w:eastAsia="ru-RU"/>
              </w:rPr>
              <w:t xml:space="preserve">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2F761312"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2,73</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5FC66870"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2,71</w:t>
            </w:r>
          </w:p>
        </w:tc>
      </w:tr>
      <w:tr w:rsidR="00B2252E" w:rsidRPr="00B2252E" w14:paraId="076BD979"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220A5D00"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ændring fra </w:t>
            </w:r>
            <w:r w:rsidRPr="00B2252E">
              <w:rPr>
                <w:i/>
                <w:sz w:val="22"/>
                <w:szCs w:val="22"/>
                <w:lang w:val="ru-RU" w:eastAsia="ru-RU"/>
              </w:rPr>
              <w:t>baseline</w:t>
            </w:r>
            <w:r w:rsidRPr="00B2252E">
              <w:rPr>
                <w:sz w:val="22"/>
                <w:szCs w:val="22"/>
                <w:lang w:val="ru-RU" w:eastAsia="ru-RU"/>
              </w:rPr>
              <w:t xml:space="preserve">*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029E86E5"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-1,10</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16A9B405"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-1,49</w:t>
            </w:r>
          </w:p>
        </w:tc>
      </w:tr>
      <w:tr w:rsidR="00B2252E" w:rsidRPr="00B2252E" w14:paraId="5E9AD3E0"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4F829D2B"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forskel i forhold til placebo* (95 % KI)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vAlign w:val="center"/>
            <w:hideMark/>
          </w:tcPr>
          <w:p w14:paraId="60D46CE3"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vAlign w:val="center"/>
            <w:hideMark/>
          </w:tcPr>
          <w:p w14:paraId="50621A61"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-0,40 (-0,58; -0,21)</w:t>
            </w:r>
          </w:p>
        </w:tc>
      </w:tr>
      <w:tr w:rsidR="00B2252E" w:rsidRPr="00B2252E" w14:paraId="4AECB9FE"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74BF3401"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p-værdi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663AFF53"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006201D3"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&lt; 0,001‡</w:t>
            </w:r>
          </w:p>
        </w:tc>
      </w:tr>
      <w:tr w:rsidR="00B2252E" w:rsidRPr="00B2252E" w14:paraId="2B767351" w14:textId="77777777">
        <w:trPr>
          <w:trHeight w:val="227"/>
          <w:jc w:val="center"/>
        </w:trPr>
        <w:tc>
          <w:tcPr>
            <w:tcW w:w="9491" w:type="dxa"/>
            <w:gridSpan w:val="3"/>
            <w:tcBorders>
              <w:top w:val="single" w:sz="2" w:space="0" w:color="000000"/>
              <w:left w:val="single" w:sz="6" w:space="0" w:color="000000"/>
              <w:bottom w:val="single" w:sz="2" w:space="0" w:color="000000"/>
              <w:right w:val="single" w:sz="6" w:space="0" w:color="000000"/>
            </w:tcBorders>
            <w:tcMar>
              <w:top w:w="28" w:type="dxa"/>
              <w:left w:w="0" w:type="dxa"/>
              <w:bottom w:w="28" w:type="dxa"/>
              <w:right w:w="0" w:type="dxa"/>
            </w:tcMar>
            <w:hideMark/>
          </w:tcPr>
          <w:p w14:paraId="76A823E8"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b/>
                <w:sz w:val="22"/>
                <w:szCs w:val="22"/>
                <w:lang w:val="ru-RU" w:eastAsia="ru-RU"/>
              </w:rPr>
              <w:t>Gennemsnitligt antal vandladninger pr. 24 timer (FAS) (co-primært)</w:t>
            </w:r>
            <w:r w:rsidRPr="00B2252E">
              <w:rPr>
                <w:sz w:val="22"/>
                <w:szCs w:val="22"/>
                <w:lang w:val="ru-RU" w:eastAsia="ru-RU"/>
              </w:rPr>
              <w:t xml:space="preserve"> </w:t>
            </w:r>
          </w:p>
        </w:tc>
      </w:tr>
      <w:tr w:rsidR="00B2252E" w:rsidRPr="00B2252E" w14:paraId="4960AFDC" w14:textId="77777777">
        <w:trPr>
          <w:trHeight w:val="227"/>
          <w:jc w:val="center"/>
        </w:trPr>
        <w:tc>
          <w:tcPr>
            <w:tcW w:w="4954" w:type="dxa"/>
            <w:tcBorders>
              <w:top w:val="single" w:sz="2" w:space="0" w:color="000000"/>
              <w:left w:val="single" w:sz="6" w:space="0" w:color="000000"/>
              <w:bottom w:val="single" w:sz="6" w:space="0" w:color="000000"/>
              <w:right w:val="single" w:sz="2" w:space="0" w:color="000000"/>
            </w:tcBorders>
            <w:tcMar>
              <w:top w:w="28" w:type="dxa"/>
              <w:left w:w="0" w:type="dxa"/>
              <w:bottom w:w="28" w:type="dxa"/>
              <w:right w:w="0" w:type="dxa"/>
            </w:tcMar>
            <w:hideMark/>
          </w:tcPr>
          <w:p w14:paraId="7A32C3F6"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n </w:t>
            </w:r>
          </w:p>
        </w:tc>
        <w:tc>
          <w:tcPr>
            <w:tcW w:w="2268" w:type="dxa"/>
            <w:tcBorders>
              <w:top w:val="single" w:sz="2" w:space="0" w:color="000000"/>
              <w:left w:val="single" w:sz="2" w:space="0" w:color="000000"/>
              <w:bottom w:val="single" w:sz="6" w:space="0" w:color="000000"/>
              <w:right w:val="single" w:sz="2" w:space="0" w:color="000000"/>
            </w:tcBorders>
            <w:tcMar>
              <w:top w:w="28" w:type="dxa"/>
              <w:left w:w="0" w:type="dxa"/>
              <w:bottom w:w="28" w:type="dxa"/>
              <w:right w:w="0" w:type="dxa"/>
            </w:tcMar>
            <w:hideMark/>
          </w:tcPr>
          <w:p w14:paraId="0894B6E5"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1 328</w:t>
            </w:r>
          </w:p>
        </w:tc>
        <w:tc>
          <w:tcPr>
            <w:tcW w:w="2269" w:type="dxa"/>
            <w:tcBorders>
              <w:top w:val="single" w:sz="2" w:space="0" w:color="000000"/>
              <w:left w:val="single" w:sz="2" w:space="0" w:color="000000"/>
              <w:bottom w:val="single" w:sz="6" w:space="0" w:color="000000"/>
              <w:right w:val="single" w:sz="6" w:space="0" w:color="000000"/>
            </w:tcBorders>
            <w:tcMar>
              <w:top w:w="28" w:type="dxa"/>
              <w:left w:w="0" w:type="dxa"/>
              <w:bottom w:w="28" w:type="dxa"/>
              <w:right w:w="0" w:type="dxa"/>
            </w:tcMar>
            <w:hideMark/>
          </w:tcPr>
          <w:p w14:paraId="4C3932DA"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1 324</w:t>
            </w:r>
          </w:p>
        </w:tc>
      </w:tr>
      <w:tr w:rsidR="00B2252E" w:rsidRPr="00B2252E" w14:paraId="7539151A"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1D475C85"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w:t>
            </w:r>
            <w:r w:rsidRPr="00B2252E">
              <w:rPr>
                <w:i/>
                <w:sz w:val="22"/>
                <w:szCs w:val="22"/>
                <w:lang w:val="ru-RU" w:eastAsia="ru-RU"/>
              </w:rPr>
              <w:t>baseline</w:t>
            </w:r>
            <w:r w:rsidRPr="00B2252E">
              <w:rPr>
                <w:sz w:val="22"/>
                <w:szCs w:val="22"/>
                <w:lang w:val="ru-RU" w:eastAsia="ru-RU"/>
              </w:rPr>
              <w:t xml:space="preserve">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55B52CBD"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11,58</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22822102"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11,70</w:t>
            </w:r>
          </w:p>
        </w:tc>
      </w:tr>
      <w:tr w:rsidR="00B2252E" w:rsidRPr="00B2252E" w14:paraId="12EDBAC1"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29EB7C4F"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ændring fra </w:t>
            </w:r>
            <w:r w:rsidRPr="00B2252E">
              <w:rPr>
                <w:i/>
                <w:sz w:val="22"/>
                <w:szCs w:val="22"/>
                <w:lang w:val="ru-RU" w:eastAsia="ru-RU"/>
              </w:rPr>
              <w:t>baseline</w:t>
            </w:r>
            <w:r w:rsidRPr="00B2252E">
              <w:rPr>
                <w:sz w:val="22"/>
                <w:szCs w:val="22"/>
                <w:lang w:val="ru-RU" w:eastAsia="ru-RU"/>
              </w:rPr>
              <w:t xml:space="preserve">*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4A0CB1E6"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-1,20</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64119E2B"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-1,75</w:t>
            </w:r>
          </w:p>
        </w:tc>
      </w:tr>
      <w:tr w:rsidR="00B2252E" w:rsidRPr="00B2252E" w14:paraId="6670FBCA"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45223D81"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forskel i forhold til placebo* (95 % KI)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vAlign w:val="center"/>
            <w:hideMark/>
          </w:tcPr>
          <w:p w14:paraId="4D9E4AF7"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vAlign w:val="center"/>
            <w:hideMark/>
          </w:tcPr>
          <w:p w14:paraId="4CAEBC0C"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-0,55 (-0,75; -0,36)</w:t>
            </w:r>
          </w:p>
        </w:tc>
      </w:tr>
      <w:tr w:rsidR="00B2252E" w:rsidRPr="00B2252E" w14:paraId="2C483E91"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17784FA6"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p-værdi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7D944FEB"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3DCAE88D"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&lt; 0,001‡</w:t>
            </w:r>
          </w:p>
        </w:tc>
      </w:tr>
      <w:tr w:rsidR="00B2252E" w:rsidRPr="00B2252E" w14:paraId="748332FE" w14:textId="77777777">
        <w:trPr>
          <w:trHeight w:val="227"/>
          <w:jc w:val="center"/>
        </w:trPr>
        <w:tc>
          <w:tcPr>
            <w:tcW w:w="9491" w:type="dxa"/>
            <w:gridSpan w:val="3"/>
            <w:tcBorders>
              <w:top w:val="single" w:sz="2" w:space="0" w:color="000000"/>
              <w:left w:val="single" w:sz="6" w:space="0" w:color="000000"/>
              <w:bottom w:val="single" w:sz="2" w:space="0" w:color="000000"/>
              <w:right w:val="single" w:sz="6" w:space="0" w:color="000000"/>
            </w:tcBorders>
            <w:tcMar>
              <w:top w:w="28" w:type="dxa"/>
              <w:left w:w="0" w:type="dxa"/>
              <w:bottom w:w="28" w:type="dxa"/>
              <w:right w:w="0" w:type="dxa"/>
            </w:tcMar>
            <w:hideMark/>
          </w:tcPr>
          <w:p w14:paraId="6A95163E"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b/>
                <w:sz w:val="22"/>
                <w:szCs w:val="22"/>
                <w:lang w:val="ru-RU" w:eastAsia="ru-RU"/>
              </w:rPr>
              <w:t>Gennemsnitlig udtømt mængde (ml) pr. vandladning (FAS) (sekundært)</w:t>
            </w:r>
            <w:r w:rsidRPr="00B2252E">
              <w:rPr>
                <w:sz w:val="22"/>
                <w:szCs w:val="22"/>
                <w:lang w:val="ru-RU" w:eastAsia="ru-RU"/>
              </w:rPr>
              <w:t xml:space="preserve"> </w:t>
            </w:r>
          </w:p>
        </w:tc>
      </w:tr>
      <w:tr w:rsidR="00B2252E" w:rsidRPr="00B2252E" w14:paraId="73D18B8A"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68483EBF"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n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369C049F"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1 328</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1A6A1C6F"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1 322</w:t>
            </w:r>
          </w:p>
        </w:tc>
      </w:tr>
      <w:tr w:rsidR="00B2252E" w:rsidRPr="00B2252E" w14:paraId="2F662008"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48E31655"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w:t>
            </w:r>
            <w:r w:rsidRPr="00B2252E">
              <w:rPr>
                <w:i/>
                <w:sz w:val="22"/>
                <w:szCs w:val="22"/>
                <w:lang w:val="ru-RU" w:eastAsia="ru-RU"/>
              </w:rPr>
              <w:t>baseline</w:t>
            </w:r>
            <w:r w:rsidRPr="00B2252E">
              <w:rPr>
                <w:sz w:val="22"/>
                <w:szCs w:val="22"/>
                <w:lang w:val="ru-RU" w:eastAsia="ru-RU"/>
              </w:rPr>
              <w:t xml:space="preserve">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4ADC959E"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159,2</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0B64A6F8"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159,0</w:t>
            </w:r>
          </w:p>
        </w:tc>
      </w:tr>
      <w:tr w:rsidR="00B2252E" w:rsidRPr="00B2252E" w14:paraId="5CC6EFF0"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7BE7A5A0"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ændring fra </w:t>
            </w:r>
            <w:r w:rsidRPr="00B2252E">
              <w:rPr>
                <w:i/>
                <w:sz w:val="22"/>
                <w:szCs w:val="22"/>
                <w:lang w:val="ru-RU" w:eastAsia="ru-RU"/>
              </w:rPr>
              <w:t>baseline</w:t>
            </w:r>
            <w:r w:rsidRPr="00B2252E">
              <w:rPr>
                <w:sz w:val="22"/>
                <w:szCs w:val="22"/>
                <w:lang w:val="ru-RU" w:eastAsia="ru-RU"/>
              </w:rPr>
              <w:t xml:space="preserve">*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00C9D959"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9,4</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5AA3E64D"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21,4</w:t>
            </w:r>
          </w:p>
        </w:tc>
      </w:tr>
      <w:tr w:rsidR="00B2252E" w:rsidRPr="00B2252E" w14:paraId="5EF1504F"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56EFB8EE"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forskel i forhold til placebo* (95 % KI)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vAlign w:val="center"/>
            <w:hideMark/>
          </w:tcPr>
          <w:p w14:paraId="45966E22"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vAlign w:val="center"/>
            <w:hideMark/>
          </w:tcPr>
          <w:p w14:paraId="370BE8DE"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11,9 (8,3; 15,5)</w:t>
            </w:r>
          </w:p>
        </w:tc>
      </w:tr>
      <w:tr w:rsidR="00B2252E" w:rsidRPr="00B2252E" w14:paraId="5FCC4087"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6AA2C15C"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p-værdi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00E0DE63"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4DC02806"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&lt; 0,001‡</w:t>
            </w:r>
          </w:p>
        </w:tc>
      </w:tr>
      <w:tr w:rsidR="00B2252E" w:rsidRPr="00B2252E" w14:paraId="215638F3" w14:textId="77777777">
        <w:trPr>
          <w:trHeight w:val="227"/>
          <w:jc w:val="center"/>
        </w:trPr>
        <w:tc>
          <w:tcPr>
            <w:tcW w:w="9491" w:type="dxa"/>
            <w:gridSpan w:val="3"/>
            <w:tcBorders>
              <w:top w:val="single" w:sz="2" w:space="0" w:color="000000"/>
              <w:left w:val="single" w:sz="6" w:space="0" w:color="000000"/>
              <w:bottom w:val="single" w:sz="2" w:space="0" w:color="000000"/>
              <w:right w:val="single" w:sz="6" w:space="0" w:color="000000"/>
            </w:tcBorders>
            <w:tcMar>
              <w:top w:w="28" w:type="dxa"/>
              <w:left w:w="0" w:type="dxa"/>
              <w:bottom w:w="28" w:type="dxa"/>
              <w:right w:w="0" w:type="dxa"/>
            </w:tcMar>
            <w:hideMark/>
          </w:tcPr>
          <w:p w14:paraId="39D451E3"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b/>
                <w:sz w:val="22"/>
                <w:szCs w:val="22"/>
                <w:lang w:val="ru-RU" w:eastAsia="ru-RU"/>
              </w:rPr>
              <w:t>Gennemsnitlig grad af imperiøs vandladning (FAS) (sekundært)</w:t>
            </w:r>
            <w:r w:rsidRPr="00B2252E">
              <w:rPr>
                <w:sz w:val="22"/>
                <w:szCs w:val="22"/>
                <w:lang w:val="ru-RU" w:eastAsia="ru-RU"/>
              </w:rPr>
              <w:t xml:space="preserve"> </w:t>
            </w:r>
          </w:p>
        </w:tc>
      </w:tr>
      <w:tr w:rsidR="00B2252E" w:rsidRPr="00B2252E" w14:paraId="18E60DFA"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03D380B2"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n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63FCEBE7"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1 325</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78F2E271"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1 323</w:t>
            </w:r>
          </w:p>
        </w:tc>
      </w:tr>
      <w:tr w:rsidR="00B2252E" w:rsidRPr="00B2252E" w14:paraId="0AA8A46C"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4CB2EC49"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w:t>
            </w:r>
            <w:r w:rsidRPr="00B2252E">
              <w:rPr>
                <w:i/>
                <w:sz w:val="22"/>
                <w:szCs w:val="22"/>
                <w:lang w:val="ru-RU" w:eastAsia="ru-RU"/>
              </w:rPr>
              <w:t>baseline</w:t>
            </w:r>
            <w:r w:rsidRPr="00B2252E">
              <w:rPr>
                <w:sz w:val="22"/>
                <w:szCs w:val="22"/>
                <w:lang w:val="ru-RU" w:eastAsia="ru-RU"/>
              </w:rPr>
              <w:t xml:space="preserve">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071F9CC4"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2,39</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62CDC26C"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2,42</w:t>
            </w:r>
          </w:p>
        </w:tc>
      </w:tr>
      <w:tr w:rsidR="00B2252E" w:rsidRPr="00B2252E" w14:paraId="5A1A6C6A"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02B86807"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ændring fra </w:t>
            </w:r>
            <w:r w:rsidRPr="00B2252E">
              <w:rPr>
                <w:i/>
                <w:sz w:val="22"/>
                <w:szCs w:val="22"/>
                <w:lang w:val="ru-RU" w:eastAsia="ru-RU"/>
              </w:rPr>
              <w:t>baseline</w:t>
            </w:r>
            <w:r w:rsidRPr="00B2252E">
              <w:rPr>
                <w:sz w:val="22"/>
                <w:szCs w:val="22"/>
                <w:lang w:val="ru-RU" w:eastAsia="ru-RU"/>
              </w:rPr>
              <w:t xml:space="preserve">*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777B8F22"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-0,15</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5A2F0D34"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-0,26</w:t>
            </w:r>
          </w:p>
        </w:tc>
      </w:tr>
      <w:tr w:rsidR="00B2252E" w:rsidRPr="00B2252E" w14:paraId="7B95F5B0"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42BE0742"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forskel i forhold til placebo* (95 % KI)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vAlign w:val="center"/>
            <w:hideMark/>
          </w:tcPr>
          <w:p w14:paraId="0F294645"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vAlign w:val="center"/>
            <w:hideMark/>
          </w:tcPr>
          <w:p w14:paraId="3D798FFF"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-0,11 (-0,16; -0,07)</w:t>
            </w:r>
          </w:p>
        </w:tc>
      </w:tr>
      <w:tr w:rsidR="00B2252E" w:rsidRPr="00B2252E" w14:paraId="16654330"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42FF48CA"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p-værdi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56983DEE"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298CB76B"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&lt; 0,001‡</w:t>
            </w:r>
          </w:p>
        </w:tc>
      </w:tr>
      <w:tr w:rsidR="00B2252E" w:rsidRPr="00B2252E" w14:paraId="3D06117A" w14:textId="77777777">
        <w:trPr>
          <w:trHeight w:val="227"/>
          <w:jc w:val="center"/>
        </w:trPr>
        <w:tc>
          <w:tcPr>
            <w:tcW w:w="9491" w:type="dxa"/>
            <w:gridSpan w:val="3"/>
            <w:tcBorders>
              <w:top w:val="single" w:sz="2" w:space="0" w:color="000000"/>
              <w:left w:val="single" w:sz="6" w:space="0" w:color="000000"/>
              <w:bottom w:val="single" w:sz="2" w:space="0" w:color="000000"/>
              <w:right w:val="single" w:sz="6" w:space="0" w:color="000000"/>
            </w:tcBorders>
            <w:tcMar>
              <w:top w:w="28" w:type="dxa"/>
              <w:left w:w="0" w:type="dxa"/>
              <w:bottom w:w="28" w:type="dxa"/>
              <w:right w:w="0" w:type="dxa"/>
            </w:tcMar>
            <w:hideMark/>
          </w:tcPr>
          <w:p w14:paraId="45CF4E92"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b/>
                <w:sz w:val="22"/>
                <w:szCs w:val="22"/>
                <w:lang w:val="ru-RU" w:eastAsia="ru-RU"/>
              </w:rPr>
              <w:t>Gennemsnitligt antal urge-inkontinensepisoder pr. 24 timer (FAS-I) (sekundært)</w:t>
            </w:r>
            <w:r w:rsidRPr="00B2252E">
              <w:rPr>
                <w:sz w:val="22"/>
                <w:szCs w:val="22"/>
                <w:lang w:val="ru-RU" w:eastAsia="ru-RU"/>
              </w:rPr>
              <w:t xml:space="preserve"> </w:t>
            </w:r>
          </w:p>
        </w:tc>
      </w:tr>
      <w:tr w:rsidR="00B2252E" w:rsidRPr="00B2252E" w14:paraId="3CB95857"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2CD95861"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n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292039A9"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858</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5450D99E"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834</w:t>
            </w:r>
          </w:p>
        </w:tc>
      </w:tr>
      <w:tr w:rsidR="00B2252E" w:rsidRPr="00B2252E" w14:paraId="4D39684F"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2D7EE88F"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w:t>
            </w:r>
            <w:r w:rsidRPr="00B2252E">
              <w:rPr>
                <w:i/>
                <w:sz w:val="22"/>
                <w:szCs w:val="22"/>
                <w:lang w:val="ru-RU" w:eastAsia="ru-RU"/>
              </w:rPr>
              <w:t>baseline</w:t>
            </w:r>
            <w:r w:rsidRPr="00B2252E">
              <w:rPr>
                <w:sz w:val="22"/>
                <w:szCs w:val="22"/>
                <w:lang w:val="ru-RU" w:eastAsia="ru-RU"/>
              </w:rPr>
              <w:t xml:space="preserve">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78AC7F73"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2,42</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0CA26640"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2,42</w:t>
            </w:r>
          </w:p>
        </w:tc>
      </w:tr>
      <w:tr w:rsidR="00B2252E" w:rsidRPr="00B2252E" w14:paraId="05C7914E"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2E638E58"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ændring fra </w:t>
            </w:r>
            <w:r w:rsidRPr="00B2252E">
              <w:rPr>
                <w:i/>
                <w:sz w:val="22"/>
                <w:szCs w:val="22"/>
                <w:lang w:val="ru-RU" w:eastAsia="ru-RU"/>
              </w:rPr>
              <w:t>baseline</w:t>
            </w:r>
            <w:r w:rsidRPr="00B2252E">
              <w:rPr>
                <w:sz w:val="22"/>
                <w:szCs w:val="22"/>
                <w:lang w:val="ru-RU" w:eastAsia="ru-RU"/>
              </w:rPr>
              <w:t xml:space="preserve">*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3C58922C"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-0,98</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2CEC7169"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-1,38</w:t>
            </w:r>
          </w:p>
        </w:tc>
      </w:tr>
      <w:tr w:rsidR="00B2252E" w:rsidRPr="00B2252E" w14:paraId="0C1D375A"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541E0DBD"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forskel i forhold til placebo* (95 % KI)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vAlign w:val="center"/>
            <w:hideMark/>
          </w:tcPr>
          <w:p w14:paraId="2001F28A"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vAlign w:val="center"/>
            <w:hideMark/>
          </w:tcPr>
          <w:p w14:paraId="05C25AAC"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-0,40 (-0,57; -0,23)</w:t>
            </w:r>
          </w:p>
        </w:tc>
      </w:tr>
      <w:tr w:rsidR="00B2252E" w:rsidRPr="00B2252E" w14:paraId="3A150C9F"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57E13A61"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lastRenderedPageBreak/>
              <w:t xml:space="preserve">p-værdi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76898E66"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1628E63A"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&lt; 0,001‡</w:t>
            </w:r>
          </w:p>
        </w:tc>
      </w:tr>
      <w:tr w:rsidR="00B2252E" w:rsidRPr="00B2252E" w14:paraId="01844AC0" w14:textId="77777777">
        <w:trPr>
          <w:trHeight w:val="227"/>
          <w:jc w:val="center"/>
        </w:trPr>
        <w:tc>
          <w:tcPr>
            <w:tcW w:w="9491" w:type="dxa"/>
            <w:gridSpan w:val="3"/>
            <w:tcBorders>
              <w:top w:val="single" w:sz="2" w:space="0" w:color="000000"/>
              <w:left w:val="single" w:sz="6" w:space="0" w:color="000000"/>
              <w:bottom w:val="single" w:sz="2" w:space="0" w:color="000000"/>
              <w:right w:val="single" w:sz="6" w:space="0" w:color="000000"/>
            </w:tcBorders>
            <w:tcMar>
              <w:top w:w="28" w:type="dxa"/>
              <w:left w:w="0" w:type="dxa"/>
              <w:bottom w:w="28" w:type="dxa"/>
              <w:right w:w="0" w:type="dxa"/>
            </w:tcMar>
            <w:hideMark/>
          </w:tcPr>
          <w:p w14:paraId="54920986"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b/>
                <w:sz w:val="22"/>
                <w:szCs w:val="22"/>
                <w:lang w:val="ru-RU" w:eastAsia="ru-RU"/>
              </w:rPr>
              <w:t>Gennemsnitligt antal episoder med imperiøs vandladning af grad 3 eller 4 pr. 24 timer (FAS) (sekundært)</w:t>
            </w:r>
            <w:r w:rsidRPr="00B2252E">
              <w:rPr>
                <w:sz w:val="22"/>
                <w:szCs w:val="22"/>
                <w:lang w:val="ru-RU" w:eastAsia="ru-RU"/>
              </w:rPr>
              <w:t xml:space="preserve"> </w:t>
            </w:r>
          </w:p>
        </w:tc>
      </w:tr>
      <w:tr w:rsidR="00B2252E" w:rsidRPr="00B2252E" w14:paraId="419979E2"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4B345EE6"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n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33296B68"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1 324</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570A4F85"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1 320</w:t>
            </w:r>
          </w:p>
        </w:tc>
      </w:tr>
      <w:tr w:rsidR="00B2252E" w:rsidRPr="00B2252E" w14:paraId="3780A528"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37E5A167"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w:t>
            </w:r>
            <w:r w:rsidRPr="00B2252E">
              <w:rPr>
                <w:i/>
                <w:sz w:val="22"/>
                <w:szCs w:val="22"/>
                <w:lang w:val="ru-RU" w:eastAsia="ru-RU"/>
              </w:rPr>
              <w:t>baseline</w:t>
            </w:r>
            <w:r w:rsidRPr="00B2252E">
              <w:rPr>
                <w:sz w:val="22"/>
                <w:szCs w:val="22"/>
                <w:lang w:val="ru-RU" w:eastAsia="ru-RU"/>
              </w:rPr>
              <w:t xml:space="preserve">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7F6DBF23"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5,61</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304A8FF0"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5,80</w:t>
            </w:r>
          </w:p>
        </w:tc>
      </w:tr>
      <w:tr w:rsidR="00B2252E" w:rsidRPr="00B2252E" w14:paraId="40D88D63"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5D4CC77F"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ændring fra </w:t>
            </w:r>
            <w:r w:rsidRPr="00B2252E">
              <w:rPr>
                <w:i/>
                <w:sz w:val="22"/>
                <w:szCs w:val="22"/>
                <w:lang w:val="ru-RU" w:eastAsia="ru-RU"/>
              </w:rPr>
              <w:t>baseline</w:t>
            </w:r>
            <w:r w:rsidRPr="00B2252E">
              <w:rPr>
                <w:sz w:val="22"/>
                <w:szCs w:val="22"/>
                <w:lang w:val="ru-RU" w:eastAsia="ru-RU"/>
              </w:rPr>
              <w:t xml:space="preserve">*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658E366A"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-1,29</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1BCA7433"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-1,93</w:t>
            </w:r>
          </w:p>
        </w:tc>
      </w:tr>
      <w:tr w:rsidR="00B2252E" w:rsidRPr="00B2252E" w14:paraId="4559201F"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4EB4E608"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forskel i forhold til placebo* (95 % KI)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vAlign w:val="center"/>
            <w:hideMark/>
          </w:tcPr>
          <w:p w14:paraId="0CE99D4C"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vAlign w:val="center"/>
            <w:hideMark/>
          </w:tcPr>
          <w:p w14:paraId="79441EA9"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-0,64 (-0,89; -0,39)</w:t>
            </w:r>
          </w:p>
        </w:tc>
      </w:tr>
      <w:tr w:rsidR="00B2252E" w:rsidRPr="00B2252E" w14:paraId="31A72A5A"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0732204E"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p-værdi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290DF80D"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17F1C88B"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&lt; 0,001‡</w:t>
            </w:r>
          </w:p>
        </w:tc>
      </w:tr>
      <w:tr w:rsidR="00B2252E" w:rsidRPr="00B2252E" w14:paraId="19AA0695" w14:textId="77777777">
        <w:trPr>
          <w:trHeight w:val="227"/>
          <w:jc w:val="center"/>
        </w:trPr>
        <w:tc>
          <w:tcPr>
            <w:tcW w:w="9491" w:type="dxa"/>
            <w:gridSpan w:val="3"/>
            <w:tcBorders>
              <w:top w:val="single" w:sz="2" w:space="0" w:color="000000"/>
              <w:left w:val="single" w:sz="6" w:space="0" w:color="000000"/>
              <w:bottom w:val="single" w:sz="2" w:space="0" w:color="000000"/>
              <w:right w:val="single" w:sz="6" w:space="0" w:color="000000"/>
            </w:tcBorders>
            <w:tcMar>
              <w:top w:w="28" w:type="dxa"/>
              <w:left w:w="0" w:type="dxa"/>
              <w:bottom w:w="28" w:type="dxa"/>
              <w:right w:w="0" w:type="dxa"/>
            </w:tcMar>
            <w:hideMark/>
          </w:tcPr>
          <w:p w14:paraId="75109ED3"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b/>
                <w:sz w:val="22"/>
                <w:szCs w:val="22"/>
                <w:lang w:val="ru-RU" w:eastAsia="ru-RU"/>
              </w:rPr>
              <w:t>Tilfredshed med behandlingen – visuel analog skala (FAS) (sekundært)</w:t>
            </w:r>
            <w:r w:rsidRPr="00B2252E">
              <w:rPr>
                <w:sz w:val="22"/>
                <w:szCs w:val="22"/>
                <w:lang w:val="ru-RU" w:eastAsia="ru-RU"/>
              </w:rPr>
              <w:t xml:space="preserve"> </w:t>
            </w:r>
          </w:p>
        </w:tc>
      </w:tr>
      <w:tr w:rsidR="00B2252E" w:rsidRPr="00B2252E" w14:paraId="2C025C62"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2ACB3468"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n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50A64F0D"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1 195</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17337453"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1 189</w:t>
            </w:r>
          </w:p>
        </w:tc>
      </w:tr>
      <w:tr w:rsidR="00B2252E" w:rsidRPr="00B2252E" w14:paraId="01B1592C"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719EF956"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w:t>
            </w:r>
            <w:r w:rsidRPr="00B2252E">
              <w:rPr>
                <w:i/>
                <w:sz w:val="22"/>
                <w:szCs w:val="22"/>
                <w:lang w:val="ru-RU" w:eastAsia="ru-RU"/>
              </w:rPr>
              <w:t>baseline</w:t>
            </w:r>
            <w:r w:rsidRPr="00B2252E">
              <w:rPr>
                <w:sz w:val="22"/>
                <w:szCs w:val="22"/>
                <w:lang w:val="ru-RU" w:eastAsia="ru-RU"/>
              </w:rPr>
              <w:t xml:space="preserve">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7AD03AFF"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4,87</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21743210"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4,82</w:t>
            </w:r>
          </w:p>
        </w:tc>
      </w:tr>
      <w:tr w:rsidR="00B2252E" w:rsidRPr="00B2252E" w14:paraId="6546C837"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0BB699CC"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ændring fra </w:t>
            </w:r>
            <w:r w:rsidRPr="00B2252E">
              <w:rPr>
                <w:i/>
                <w:sz w:val="22"/>
                <w:szCs w:val="22"/>
                <w:lang w:val="ru-RU" w:eastAsia="ru-RU"/>
              </w:rPr>
              <w:t>baseline</w:t>
            </w:r>
            <w:r w:rsidRPr="00B2252E">
              <w:rPr>
                <w:sz w:val="22"/>
                <w:szCs w:val="22"/>
                <w:lang w:val="ru-RU" w:eastAsia="ru-RU"/>
              </w:rPr>
              <w:t xml:space="preserve">*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hideMark/>
          </w:tcPr>
          <w:p w14:paraId="7736CC0C"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1,25</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hideMark/>
          </w:tcPr>
          <w:p w14:paraId="0C3EEE40"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2,01</w:t>
            </w:r>
          </w:p>
        </w:tc>
      </w:tr>
      <w:tr w:rsidR="00B2252E" w:rsidRPr="00B2252E" w14:paraId="41B69D73" w14:textId="77777777">
        <w:trPr>
          <w:trHeight w:val="227"/>
          <w:jc w:val="center"/>
        </w:trPr>
        <w:tc>
          <w:tcPr>
            <w:tcW w:w="4954" w:type="dxa"/>
            <w:tcBorders>
              <w:top w:val="single" w:sz="2" w:space="0" w:color="000000"/>
              <w:left w:val="single" w:sz="6" w:space="0" w:color="000000"/>
              <w:bottom w:val="single" w:sz="2" w:space="0" w:color="000000"/>
              <w:right w:val="single" w:sz="2" w:space="0" w:color="000000"/>
            </w:tcBorders>
            <w:tcMar>
              <w:top w:w="28" w:type="dxa"/>
              <w:left w:w="0" w:type="dxa"/>
              <w:bottom w:w="28" w:type="dxa"/>
              <w:right w:w="0" w:type="dxa"/>
            </w:tcMar>
            <w:hideMark/>
          </w:tcPr>
          <w:p w14:paraId="677BE44F"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forskel i forhold til placebo* (95 % KI) </w:t>
            </w:r>
          </w:p>
        </w:tc>
        <w:tc>
          <w:tcPr>
            <w:tcW w:w="2268" w:type="dxa"/>
            <w:tcBorders>
              <w:top w:val="single" w:sz="2" w:space="0" w:color="000000"/>
              <w:left w:val="single" w:sz="2" w:space="0" w:color="000000"/>
              <w:bottom w:val="single" w:sz="2" w:space="0" w:color="000000"/>
              <w:right w:val="single" w:sz="2" w:space="0" w:color="000000"/>
            </w:tcBorders>
            <w:tcMar>
              <w:top w:w="28" w:type="dxa"/>
              <w:left w:w="0" w:type="dxa"/>
              <w:bottom w:w="28" w:type="dxa"/>
              <w:right w:w="0" w:type="dxa"/>
            </w:tcMar>
            <w:vAlign w:val="center"/>
            <w:hideMark/>
          </w:tcPr>
          <w:p w14:paraId="16F28DFB"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2269" w:type="dxa"/>
            <w:tcBorders>
              <w:top w:val="single" w:sz="2" w:space="0" w:color="000000"/>
              <w:left w:val="single" w:sz="2" w:space="0" w:color="000000"/>
              <w:bottom w:val="single" w:sz="2" w:space="0" w:color="000000"/>
              <w:right w:val="single" w:sz="6" w:space="0" w:color="000000"/>
            </w:tcBorders>
            <w:tcMar>
              <w:top w:w="28" w:type="dxa"/>
              <w:left w:w="0" w:type="dxa"/>
              <w:bottom w:w="28" w:type="dxa"/>
              <w:right w:w="0" w:type="dxa"/>
            </w:tcMar>
            <w:vAlign w:val="center"/>
            <w:hideMark/>
          </w:tcPr>
          <w:p w14:paraId="723DA382"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0,76 (0,52; 1,01)</w:t>
            </w:r>
          </w:p>
        </w:tc>
      </w:tr>
      <w:tr w:rsidR="00B2252E" w:rsidRPr="00B2252E" w14:paraId="6066FD76" w14:textId="77777777">
        <w:trPr>
          <w:trHeight w:val="227"/>
          <w:jc w:val="center"/>
        </w:trPr>
        <w:tc>
          <w:tcPr>
            <w:tcW w:w="4954" w:type="dxa"/>
            <w:tcBorders>
              <w:top w:val="single" w:sz="2" w:space="0" w:color="000000"/>
              <w:left w:val="single" w:sz="6" w:space="0" w:color="000000"/>
              <w:bottom w:val="single" w:sz="6" w:space="0" w:color="000000"/>
              <w:right w:val="single" w:sz="2" w:space="0" w:color="000000"/>
            </w:tcBorders>
            <w:tcMar>
              <w:top w:w="28" w:type="dxa"/>
              <w:left w:w="0" w:type="dxa"/>
              <w:bottom w:w="28" w:type="dxa"/>
              <w:right w:w="0" w:type="dxa"/>
            </w:tcMar>
            <w:hideMark/>
          </w:tcPr>
          <w:p w14:paraId="15C31BEC"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p-værdi </w:t>
            </w:r>
          </w:p>
        </w:tc>
        <w:tc>
          <w:tcPr>
            <w:tcW w:w="2268" w:type="dxa"/>
            <w:tcBorders>
              <w:top w:val="single" w:sz="2" w:space="0" w:color="000000"/>
              <w:left w:val="single" w:sz="2" w:space="0" w:color="000000"/>
              <w:bottom w:val="single" w:sz="6" w:space="0" w:color="000000"/>
              <w:right w:val="single" w:sz="2" w:space="0" w:color="000000"/>
            </w:tcBorders>
            <w:tcMar>
              <w:top w:w="28" w:type="dxa"/>
              <w:left w:w="0" w:type="dxa"/>
              <w:bottom w:w="28" w:type="dxa"/>
              <w:right w:w="0" w:type="dxa"/>
            </w:tcMar>
            <w:hideMark/>
          </w:tcPr>
          <w:p w14:paraId="7912E9B9"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2269" w:type="dxa"/>
            <w:tcBorders>
              <w:top w:val="single" w:sz="2" w:space="0" w:color="000000"/>
              <w:left w:val="single" w:sz="2" w:space="0" w:color="000000"/>
              <w:bottom w:val="single" w:sz="6" w:space="0" w:color="000000"/>
              <w:right w:val="single" w:sz="6" w:space="0" w:color="000000"/>
            </w:tcBorders>
            <w:tcMar>
              <w:top w:w="28" w:type="dxa"/>
              <w:left w:w="0" w:type="dxa"/>
              <w:bottom w:w="28" w:type="dxa"/>
              <w:right w:w="0" w:type="dxa"/>
            </w:tcMar>
            <w:hideMark/>
          </w:tcPr>
          <w:p w14:paraId="659D58DD"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&lt; 0,001†</w:t>
            </w:r>
          </w:p>
        </w:tc>
      </w:tr>
    </w:tbl>
    <w:p w14:paraId="6A167646" w14:textId="77777777" w:rsidR="00B2252E" w:rsidRPr="00B2252E" w:rsidRDefault="00B2252E" w:rsidP="00B2252E">
      <w:pPr>
        <w:widowControl w:val="0"/>
        <w:suppressAutoHyphens/>
        <w:autoSpaceDE w:val="0"/>
        <w:autoSpaceDN w:val="0"/>
        <w:adjustRightInd w:val="0"/>
        <w:rPr>
          <w:sz w:val="20"/>
          <w:lang w:eastAsia="da-DK"/>
        </w:rPr>
      </w:pPr>
      <w:r w:rsidRPr="00B2252E">
        <w:rPr>
          <w:sz w:val="20"/>
          <w:lang w:eastAsia="da-DK"/>
        </w:rPr>
        <w:t xml:space="preserve">De poolede studier bestod af studierne 046 (Europa/Australien), 047 (Nordamerika [NA]) og 074 (Europa/NA). </w:t>
      </w:r>
    </w:p>
    <w:p w14:paraId="7AC45689" w14:textId="77777777" w:rsidR="00B2252E" w:rsidRPr="00B2252E" w:rsidRDefault="00B2252E" w:rsidP="00B2252E">
      <w:pPr>
        <w:widowControl w:val="0"/>
        <w:suppressAutoHyphens/>
        <w:autoSpaceDE w:val="0"/>
        <w:autoSpaceDN w:val="0"/>
        <w:adjustRightInd w:val="0"/>
        <w:rPr>
          <w:sz w:val="20"/>
          <w:lang w:eastAsia="da-DK"/>
        </w:rPr>
      </w:pPr>
      <w:r w:rsidRPr="00B2252E">
        <w:rPr>
          <w:sz w:val="20"/>
          <w:lang w:eastAsia="da-DK"/>
        </w:rPr>
        <w:t xml:space="preserve">* Mindste kvadraters gennemsnit justeret for </w:t>
      </w:r>
      <w:r w:rsidRPr="00B2252E">
        <w:rPr>
          <w:i/>
          <w:sz w:val="20"/>
          <w:lang w:eastAsia="da-DK"/>
        </w:rPr>
        <w:t>baseline</w:t>
      </w:r>
      <w:r w:rsidRPr="00B2252E">
        <w:rPr>
          <w:sz w:val="20"/>
          <w:lang w:eastAsia="da-DK"/>
        </w:rPr>
        <w:t xml:space="preserve">, køn og studie. </w:t>
      </w:r>
    </w:p>
    <w:p w14:paraId="5938B051" w14:textId="77777777" w:rsidR="00B2252E" w:rsidRPr="00B2252E" w:rsidRDefault="00B2252E" w:rsidP="00B2252E">
      <w:pPr>
        <w:widowControl w:val="0"/>
        <w:suppressAutoHyphens/>
        <w:autoSpaceDE w:val="0"/>
        <w:autoSpaceDN w:val="0"/>
        <w:adjustRightInd w:val="0"/>
        <w:rPr>
          <w:sz w:val="20"/>
          <w:lang w:eastAsia="da-DK"/>
        </w:rPr>
      </w:pPr>
      <w:r w:rsidRPr="00B2252E">
        <w:rPr>
          <w:sz w:val="22"/>
          <w:szCs w:val="22"/>
          <w:lang w:eastAsia="da-DK"/>
        </w:rPr>
        <w:t xml:space="preserve">† </w:t>
      </w:r>
      <w:r w:rsidRPr="00B2252E">
        <w:rPr>
          <w:sz w:val="20"/>
          <w:lang w:eastAsia="da-DK"/>
        </w:rPr>
        <w:t xml:space="preserve">Statistisk signifikant overlegent sammenlignet med placebo ved 0,05-niveauet uden multiplicitetsjustering. </w:t>
      </w:r>
    </w:p>
    <w:p w14:paraId="6ED0F8A7" w14:textId="77777777" w:rsidR="00B2252E" w:rsidRPr="00B2252E" w:rsidRDefault="00B2252E" w:rsidP="00B2252E">
      <w:pPr>
        <w:widowControl w:val="0"/>
        <w:suppressAutoHyphens/>
        <w:autoSpaceDE w:val="0"/>
        <w:autoSpaceDN w:val="0"/>
        <w:adjustRightInd w:val="0"/>
        <w:rPr>
          <w:sz w:val="20"/>
          <w:lang w:eastAsia="da-DK"/>
        </w:rPr>
      </w:pPr>
      <w:r w:rsidRPr="00B2252E">
        <w:rPr>
          <w:sz w:val="22"/>
          <w:szCs w:val="22"/>
          <w:lang w:eastAsia="da-DK"/>
        </w:rPr>
        <w:t xml:space="preserve">‡ </w:t>
      </w:r>
      <w:r w:rsidRPr="00B2252E">
        <w:rPr>
          <w:sz w:val="20"/>
          <w:lang w:eastAsia="da-DK"/>
        </w:rPr>
        <w:t xml:space="preserve">Statistisk signifikant overlegent sammenlignet med placebo ved 0,05-niveauet med multiplicitetsjustering. </w:t>
      </w:r>
    </w:p>
    <w:p w14:paraId="61E007B7" w14:textId="77777777" w:rsidR="00B2252E" w:rsidRPr="00B2252E" w:rsidRDefault="00B2252E" w:rsidP="00B2252E">
      <w:pPr>
        <w:widowControl w:val="0"/>
        <w:suppressAutoHyphens/>
        <w:autoSpaceDE w:val="0"/>
        <w:autoSpaceDN w:val="0"/>
        <w:adjustRightInd w:val="0"/>
        <w:rPr>
          <w:sz w:val="20"/>
          <w:lang w:eastAsia="da-DK"/>
        </w:rPr>
      </w:pPr>
      <w:r w:rsidRPr="00B2252E">
        <w:rPr>
          <w:sz w:val="20"/>
          <w:lang w:eastAsia="da-DK"/>
        </w:rPr>
        <w:t xml:space="preserve">FAS: Fuldt analysesæt, alle randomiserede patienter, som tog mindst 1 dosis dobbeltblindt studielægemiddel, og som havde en vandladningsmåling i </w:t>
      </w:r>
      <w:r w:rsidRPr="00B2252E">
        <w:rPr>
          <w:i/>
          <w:sz w:val="20"/>
          <w:lang w:eastAsia="da-DK"/>
        </w:rPr>
        <w:t>baseline</w:t>
      </w:r>
      <w:r w:rsidRPr="00B2252E">
        <w:rPr>
          <w:sz w:val="20"/>
          <w:lang w:eastAsia="da-DK"/>
        </w:rPr>
        <w:t xml:space="preserve">-dagbogen og mindst 1 dagbog med en vandladningsmåling fra efter </w:t>
      </w:r>
      <w:r w:rsidRPr="00B2252E">
        <w:rPr>
          <w:i/>
          <w:sz w:val="20"/>
          <w:lang w:eastAsia="da-DK"/>
        </w:rPr>
        <w:t>baseline</w:t>
      </w:r>
      <w:r w:rsidRPr="00B2252E">
        <w:rPr>
          <w:sz w:val="20"/>
          <w:lang w:eastAsia="da-DK"/>
        </w:rPr>
        <w:t xml:space="preserve">-besøget. </w:t>
      </w:r>
    </w:p>
    <w:p w14:paraId="6A94EACB" w14:textId="77777777" w:rsidR="00B2252E" w:rsidRPr="00B2252E" w:rsidRDefault="00B2252E" w:rsidP="00B2252E">
      <w:pPr>
        <w:widowControl w:val="0"/>
        <w:suppressAutoHyphens/>
        <w:autoSpaceDE w:val="0"/>
        <w:autoSpaceDN w:val="0"/>
        <w:adjustRightInd w:val="0"/>
        <w:rPr>
          <w:sz w:val="20"/>
          <w:lang w:eastAsia="da-DK"/>
        </w:rPr>
      </w:pPr>
      <w:r w:rsidRPr="00B2252E">
        <w:rPr>
          <w:sz w:val="20"/>
          <w:lang w:eastAsia="da-DK"/>
        </w:rPr>
        <w:t xml:space="preserve">FAS-I: Undergruppe af FAS, som også havde mindst 1 inkontinensepisode i </w:t>
      </w:r>
      <w:r w:rsidRPr="00B2252E">
        <w:rPr>
          <w:i/>
          <w:sz w:val="20"/>
          <w:lang w:eastAsia="da-DK"/>
        </w:rPr>
        <w:t>baseline</w:t>
      </w:r>
      <w:r w:rsidRPr="00B2252E">
        <w:rPr>
          <w:sz w:val="20"/>
          <w:lang w:eastAsia="da-DK"/>
        </w:rPr>
        <w:t xml:space="preserve">-dagbogen. KI: Konfidensinterval </w:t>
      </w:r>
    </w:p>
    <w:p w14:paraId="6E005C7D" w14:textId="77777777" w:rsidR="00B2252E" w:rsidRPr="00B2252E" w:rsidRDefault="00B2252E" w:rsidP="00B2252E">
      <w:pPr>
        <w:widowControl w:val="0"/>
        <w:suppressAutoHyphens/>
        <w:autoSpaceDE w:val="0"/>
        <w:autoSpaceDN w:val="0"/>
        <w:adjustRightInd w:val="0"/>
        <w:rPr>
          <w:sz w:val="22"/>
          <w:szCs w:val="22"/>
          <w:lang w:eastAsia="da-DK"/>
        </w:rPr>
      </w:pPr>
    </w:p>
    <w:p w14:paraId="1EE91316" w14:textId="77777777" w:rsidR="00B2252E" w:rsidRPr="00B2252E" w:rsidRDefault="00B2252E" w:rsidP="00B2252E">
      <w:pPr>
        <w:keepNext/>
        <w:suppressAutoHyphens/>
        <w:autoSpaceDE w:val="0"/>
        <w:autoSpaceDN w:val="0"/>
        <w:adjustRightInd w:val="0"/>
        <w:rPr>
          <w:b/>
          <w:sz w:val="22"/>
          <w:szCs w:val="22"/>
          <w:lang w:eastAsia="da-DK"/>
        </w:rPr>
      </w:pPr>
      <w:r w:rsidRPr="00B2252E">
        <w:rPr>
          <w:b/>
          <w:sz w:val="22"/>
          <w:szCs w:val="22"/>
          <w:lang w:eastAsia="da-DK"/>
        </w:rPr>
        <w:t>Tabel 4:</w:t>
      </w:r>
      <w:r w:rsidRPr="00B2252E">
        <w:rPr>
          <w:sz w:val="22"/>
          <w:szCs w:val="22"/>
          <w:lang w:eastAsia="da-DK"/>
        </w:rPr>
        <w:t xml:space="preserve"> </w:t>
      </w:r>
      <w:r w:rsidRPr="00B2252E">
        <w:rPr>
          <w:b/>
          <w:sz w:val="22"/>
          <w:szCs w:val="22"/>
          <w:lang w:eastAsia="da-DK"/>
        </w:rPr>
        <w:t>Co-primære og udvalgte sekundære virkningsendepunkter ved behandlingsafslutning for studierne 046, 047 og 074 hos voksne</w:t>
      </w:r>
    </w:p>
    <w:tbl>
      <w:tblPr>
        <w:tblW w:w="10141" w:type="dxa"/>
        <w:jc w:val="center"/>
        <w:tblCellMar>
          <w:top w:w="58" w:type="dxa"/>
          <w:right w:w="58" w:type="dxa"/>
        </w:tblCellMar>
        <w:tblLook w:val="04A0" w:firstRow="1" w:lastRow="0" w:firstColumn="1" w:lastColumn="0" w:noHBand="0" w:noVBand="1"/>
      </w:tblPr>
      <w:tblGrid>
        <w:gridCol w:w="1977"/>
        <w:gridCol w:w="850"/>
        <w:gridCol w:w="1446"/>
        <w:gridCol w:w="1381"/>
        <w:gridCol w:w="844"/>
        <w:gridCol w:w="1401"/>
        <w:gridCol w:w="843"/>
        <w:gridCol w:w="1399"/>
      </w:tblGrid>
      <w:tr w:rsidR="00B2252E" w:rsidRPr="00B2252E" w14:paraId="0730285D" w14:textId="77777777">
        <w:trPr>
          <w:trHeight w:val="227"/>
          <w:jc w:val="center"/>
        </w:trPr>
        <w:tc>
          <w:tcPr>
            <w:tcW w:w="1977" w:type="dxa"/>
            <w:vMerge w:val="restart"/>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E8DE737" w14:textId="77777777" w:rsidR="00B2252E" w:rsidRPr="00B2252E" w:rsidRDefault="00B2252E" w:rsidP="00B2252E">
            <w:pPr>
              <w:keepNext/>
              <w:suppressAutoHyphens/>
              <w:autoSpaceDE w:val="0"/>
              <w:autoSpaceDN w:val="0"/>
              <w:adjustRightInd w:val="0"/>
              <w:jc w:val="center"/>
              <w:rPr>
                <w:sz w:val="22"/>
                <w:szCs w:val="22"/>
                <w:lang w:val="ru-RU" w:eastAsia="ru-RU"/>
              </w:rPr>
            </w:pPr>
            <w:r w:rsidRPr="00B2252E">
              <w:rPr>
                <w:b/>
                <w:sz w:val="22"/>
                <w:szCs w:val="22"/>
                <w:lang w:val="ru-RU" w:eastAsia="ru-RU"/>
              </w:rPr>
              <w:t>Parameter</w:t>
            </w:r>
          </w:p>
        </w:tc>
        <w:tc>
          <w:tcPr>
            <w:tcW w:w="3677" w:type="dxa"/>
            <w:gridSpan w:val="3"/>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4EC19F9" w14:textId="77777777" w:rsidR="00B2252E" w:rsidRPr="00B2252E" w:rsidRDefault="00B2252E" w:rsidP="00B2252E">
            <w:pPr>
              <w:keepNext/>
              <w:suppressAutoHyphens/>
              <w:autoSpaceDE w:val="0"/>
              <w:autoSpaceDN w:val="0"/>
              <w:adjustRightInd w:val="0"/>
              <w:jc w:val="center"/>
              <w:rPr>
                <w:sz w:val="22"/>
                <w:szCs w:val="22"/>
                <w:lang w:val="ru-RU" w:eastAsia="ru-RU"/>
              </w:rPr>
            </w:pPr>
            <w:r w:rsidRPr="00B2252E">
              <w:rPr>
                <w:b/>
                <w:sz w:val="22"/>
                <w:szCs w:val="22"/>
                <w:lang w:val="ru-RU" w:eastAsia="ru-RU"/>
              </w:rPr>
              <w:t>Studie 046</w:t>
            </w:r>
          </w:p>
        </w:tc>
        <w:tc>
          <w:tcPr>
            <w:tcW w:w="2245" w:type="dxa"/>
            <w:gridSpan w:val="2"/>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0AD3C01" w14:textId="77777777" w:rsidR="00B2252E" w:rsidRPr="00B2252E" w:rsidRDefault="00B2252E" w:rsidP="00B2252E">
            <w:pPr>
              <w:keepNext/>
              <w:suppressAutoHyphens/>
              <w:autoSpaceDE w:val="0"/>
              <w:autoSpaceDN w:val="0"/>
              <w:adjustRightInd w:val="0"/>
              <w:jc w:val="center"/>
              <w:rPr>
                <w:sz w:val="22"/>
                <w:szCs w:val="22"/>
                <w:lang w:val="ru-RU" w:eastAsia="ru-RU"/>
              </w:rPr>
            </w:pPr>
            <w:r w:rsidRPr="00B2252E">
              <w:rPr>
                <w:b/>
                <w:sz w:val="22"/>
                <w:szCs w:val="22"/>
                <w:lang w:val="ru-RU" w:eastAsia="ru-RU"/>
              </w:rPr>
              <w:t>Studie 047</w:t>
            </w:r>
          </w:p>
        </w:tc>
        <w:tc>
          <w:tcPr>
            <w:tcW w:w="2242" w:type="dxa"/>
            <w:gridSpan w:val="2"/>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0E39DFA" w14:textId="77777777" w:rsidR="00B2252E" w:rsidRPr="00B2252E" w:rsidRDefault="00B2252E" w:rsidP="00B2252E">
            <w:pPr>
              <w:keepNext/>
              <w:suppressAutoHyphens/>
              <w:autoSpaceDE w:val="0"/>
              <w:autoSpaceDN w:val="0"/>
              <w:adjustRightInd w:val="0"/>
              <w:jc w:val="center"/>
              <w:rPr>
                <w:sz w:val="22"/>
                <w:szCs w:val="22"/>
                <w:lang w:val="ru-RU" w:eastAsia="ru-RU"/>
              </w:rPr>
            </w:pPr>
            <w:r w:rsidRPr="00B2252E">
              <w:rPr>
                <w:b/>
                <w:sz w:val="22"/>
                <w:szCs w:val="22"/>
                <w:lang w:val="ru-RU" w:eastAsia="ru-RU"/>
              </w:rPr>
              <w:t>Studie 074</w:t>
            </w:r>
          </w:p>
        </w:tc>
      </w:tr>
      <w:tr w:rsidR="00B2252E" w:rsidRPr="00B2252E" w14:paraId="2AA069BA" w14:textId="77777777">
        <w:trPr>
          <w:trHeight w:val="227"/>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D891AAA" w14:textId="77777777" w:rsidR="00B2252E" w:rsidRPr="00B2252E" w:rsidRDefault="00B2252E" w:rsidP="00B2252E">
            <w:pPr>
              <w:rPr>
                <w:sz w:val="22"/>
                <w:szCs w:val="22"/>
                <w:lang w:val="ru-RU" w:eastAsia="ru-RU"/>
              </w:rPr>
            </w:pP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FD0C7A8" w14:textId="77777777" w:rsidR="00B2252E" w:rsidRPr="00B2252E" w:rsidRDefault="00B2252E" w:rsidP="00B2252E">
            <w:pPr>
              <w:keepNext/>
              <w:suppressAutoHyphens/>
              <w:autoSpaceDE w:val="0"/>
              <w:autoSpaceDN w:val="0"/>
              <w:adjustRightInd w:val="0"/>
              <w:jc w:val="center"/>
              <w:rPr>
                <w:sz w:val="22"/>
                <w:szCs w:val="22"/>
                <w:lang w:val="ru-RU" w:eastAsia="ru-RU"/>
              </w:rPr>
            </w:pPr>
            <w:r w:rsidRPr="00B2252E">
              <w:rPr>
                <w:b/>
                <w:sz w:val="22"/>
                <w:szCs w:val="22"/>
                <w:lang w:val="ru-RU" w:eastAsia="ru-RU"/>
              </w:rPr>
              <w:t>Placebo</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7885CBC" w14:textId="77777777" w:rsidR="00B2252E" w:rsidRPr="00B2252E" w:rsidRDefault="00B2252E" w:rsidP="00B2252E">
            <w:pPr>
              <w:keepNext/>
              <w:suppressAutoHyphens/>
              <w:autoSpaceDE w:val="0"/>
              <w:autoSpaceDN w:val="0"/>
              <w:adjustRightInd w:val="0"/>
              <w:jc w:val="center"/>
              <w:rPr>
                <w:b/>
                <w:sz w:val="22"/>
                <w:szCs w:val="22"/>
                <w:lang w:val="ru-RU" w:eastAsia="ru-RU"/>
              </w:rPr>
            </w:pPr>
            <w:r w:rsidRPr="00B2252E">
              <w:rPr>
                <w:b/>
                <w:sz w:val="22"/>
                <w:szCs w:val="22"/>
                <w:lang w:val="ru-RU" w:eastAsia="ru-RU"/>
              </w:rPr>
              <w:t xml:space="preserve">Mirabegron  </w:t>
            </w:r>
          </w:p>
          <w:p w14:paraId="055A76EF" w14:textId="77777777" w:rsidR="00B2252E" w:rsidRPr="00B2252E" w:rsidRDefault="00B2252E" w:rsidP="00B2252E">
            <w:pPr>
              <w:keepNext/>
              <w:suppressAutoHyphens/>
              <w:autoSpaceDE w:val="0"/>
              <w:autoSpaceDN w:val="0"/>
              <w:adjustRightInd w:val="0"/>
              <w:jc w:val="center"/>
              <w:rPr>
                <w:sz w:val="22"/>
                <w:szCs w:val="22"/>
                <w:lang w:val="ru-RU" w:eastAsia="ru-RU"/>
              </w:rPr>
            </w:pPr>
            <w:r w:rsidRPr="00B2252E">
              <w:rPr>
                <w:b/>
                <w:sz w:val="22"/>
                <w:szCs w:val="22"/>
                <w:lang w:val="ru-RU" w:eastAsia="ru-RU"/>
              </w:rPr>
              <w:t>50 mg</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A91721B" w14:textId="77777777" w:rsidR="00B2252E" w:rsidRPr="00B2252E" w:rsidRDefault="00B2252E" w:rsidP="00B2252E">
            <w:pPr>
              <w:keepNext/>
              <w:suppressAutoHyphens/>
              <w:autoSpaceDE w:val="0"/>
              <w:autoSpaceDN w:val="0"/>
              <w:adjustRightInd w:val="0"/>
              <w:jc w:val="center"/>
              <w:rPr>
                <w:b/>
                <w:sz w:val="22"/>
                <w:szCs w:val="22"/>
                <w:lang w:val="ru-RU" w:eastAsia="ru-RU"/>
              </w:rPr>
            </w:pPr>
            <w:r w:rsidRPr="00B2252E">
              <w:rPr>
                <w:b/>
                <w:sz w:val="22"/>
                <w:szCs w:val="22"/>
                <w:lang w:val="ru-RU" w:eastAsia="ru-RU"/>
              </w:rPr>
              <w:t xml:space="preserve">Tolterodin </w:t>
            </w:r>
          </w:p>
          <w:p w14:paraId="38D37A5C" w14:textId="77777777" w:rsidR="00B2252E" w:rsidRPr="00B2252E" w:rsidRDefault="00B2252E" w:rsidP="00B2252E">
            <w:pPr>
              <w:keepNext/>
              <w:suppressAutoHyphens/>
              <w:autoSpaceDE w:val="0"/>
              <w:autoSpaceDN w:val="0"/>
              <w:adjustRightInd w:val="0"/>
              <w:jc w:val="center"/>
              <w:rPr>
                <w:sz w:val="22"/>
                <w:szCs w:val="22"/>
                <w:lang w:val="ru-RU" w:eastAsia="ru-RU"/>
              </w:rPr>
            </w:pPr>
            <w:r w:rsidRPr="00B2252E">
              <w:rPr>
                <w:b/>
                <w:sz w:val="22"/>
                <w:szCs w:val="22"/>
                <w:lang w:val="ru-RU" w:eastAsia="ru-RU"/>
              </w:rPr>
              <w:t>ER 4 mg</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409DB56" w14:textId="77777777" w:rsidR="00B2252E" w:rsidRPr="00B2252E" w:rsidRDefault="00B2252E" w:rsidP="00B2252E">
            <w:pPr>
              <w:keepNext/>
              <w:suppressAutoHyphens/>
              <w:autoSpaceDE w:val="0"/>
              <w:autoSpaceDN w:val="0"/>
              <w:adjustRightInd w:val="0"/>
              <w:jc w:val="center"/>
              <w:rPr>
                <w:sz w:val="22"/>
                <w:szCs w:val="22"/>
                <w:lang w:val="ru-RU" w:eastAsia="ru-RU"/>
              </w:rPr>
            </w:pPr>
            <w:r w:rsidRPr="00B2252E">
              <w:rPr>
                <w:b/>
                <w:sz w:val="22"/>
                <w:szCs w:val="22"/>
                <w:lang w:val="ru-RU" w:eastAsia="ru-RU"/>
              </w:rPr>
              <w:t>Placebo</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93049C3" w14:textId="77777777" w:rsidR="00B2252E" w:rsidRPr="00B2252E" w:rsidRDefault="00B2252E" w:rsidP="00B2252E">
            <w:pPr>
              <w:keepNext/>
              <w:suppressAutoHyphens/>
              <w:autoSpaceDE w:val="0"/>
              <w:autoSpaceDN w:val="0"/>
              <w:adjustRightInd w:val="0"/>
              <w:jc w:val="center"/>
              <w:rPr>
                <w:sz w:val="22"/>
                <w:szCs w:val="22"/>
                <w:lang w:val="ru-RU" w:eastAsia="ru-RU"/>
              </w:rPr>
            </w:pPr>
            <w:r w:rsidRPr="00B2252E">
              <w:rPr>
                <w:b/>
                <w:sz w:val="22"/>
                <w:szCs w:val="22"/>
                <w:lang w:val="ru-RU" w:eastAsia="ru-RU"/>
              </w:rPr>
              <w:t>Mirabegron 50 mg</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C8A774F" w14:textId="77777777" w:rsidR="00B2252E" w:rsidRPr="00B2252E" w:rsidRDefault="00B2252E" w:rsidP="00B2252E">
            <w:pPr>
              <w:keepNext/>
              <w:suppressAutoHyphens/>
              <w:autoSpaceDE w:val="0"/>
              <w:autoSpaceDN w:val="0"/>
              <w:adjustRightInd w:val="0"/>
              <w:jc w:val="center"/>
              <w:rPr>
                <w:sz w:val="22"/>
                <w:szCs w:val="22"/>
                <w:lang w:val="ru-RU" w:eastAsia="ru-RU"/>
              </w:rPr>
            </w:pPr>
            <w:r w:rsidRPr="00B2252E">
              <w:rPr>
                <w:b/>
                <w:sz w:val="22"/>
                <w:szCs w:val="22"/>
                <w:lang w:val="ru-RU" w:eastAsia="ru-RU"/>
              </w:rPr>
              <w:t>Placebo</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70FF7C1" w14:textId="77777777" w:rsidR="00B2252E" w:rsidRPr="00B2252E" w:rsidRDefault="00B2252E" w:rsidP="00B2252E">
            <w:pPr>
              <w:keepNext/>
              <w:suppressAutoHyphens/>
              <w:autoSpaceDE w:val="0"/>
              <w:autoSpaceDN w:val="0"/>
              <w:adjustRightInd w:val="0"/>
              <w:jc w:val="center"/>
              <w:rPr>
                <w:sz w:val="22"/>
                <w:szCs w:val="22"/>
                <w:lang w:val="ru-RU" w:eastAsia="ru-RU"/>
              </w:rPr>
            </w:pPr>
            <w:r w:rsidRPr="00B2252E">
              <w:rPr>
                <w:b/>
                <w:sz w:val="22"/>
                <w:szCs w:val="22"/>
                <w:lang w:val="ru-RU" w:eastAsia="ru-RU"/>
              </w:rPr>
              <w:t>Mirabegron 50 mg</w:t>
            </w:r>
          </w:p>
        </w:tc>
      </w:tr>
      <w:tr w:rsidR="00B2252E" w:rsidRPr="00B2252E" w14:paraId="4AC14182" w14:textId="77777777">
        <w:trPr>
          <w:trHeight w:val="227"/>
          <w:jc w:val="center"/>
        </w:trPr>
        <w:tc>
          <w:tcPr>
            <w:tcW w:w="7899" w:type="dxa"/>
            <w:gridSpan w:val="6"/>
            <w:tcBorders>
              <w:top w:val="single" w:sz="6" w:space="0" w:color="000000"/>
              <w:left w:val="single" w:sz="6" w:space="0" w:color="000000"/>
              <w:bottom w:val="single" w:sz="6" w:space="0" w:color="000000"/>
              <w:right w:val="nil"/>
            </w:tcBorders>
            <w:tcMar>
              <w:top w:w="28" w:type="dxa"/>
              <w:left w:w="0" w:type="dxa"/>
              <w:bottom w:w="28" w:type="dxa"/>
              <w:right w:w="0" w:type="dxa"/>
            </w:tcMar>
            <w:hideMark/>
          </w:tcPr>
          <w:p w14:paraId="6704CA67" w14:textId="77777777" w:rsidR="00B2252E" w:rsidRPr="00B2252E" w:rsidRDefault="00B2252E" w:rsidP="00B2252E">
            <w:pPr>
              <w:keepNext/>
              <w:suppressAutoHyphens/>
              <w:autoSpaceDE w:val="0"/>
              <w:autoSpaceDN w:val="0"/>
              <w:adjustRightInd w:val="0"/>
              <w:ind w:left="57"/>
              <w:rPr>
                <w:sz w:val="22"/>
                <w:szCs w:val="22"/>
                <w:lang w:val="ru-RU" w:eastAsia="ru-RU"/>
              </w:rPr>
            </w:pPr>
            <w:r w:rsidRPr="00B2252E">
              <w:rPr>
                <w:b/>
                <w:sz w:val="22"/>
                <w:szCs w:val="22"/>
                <w:lang w:val="ru-RU" w:eastAsia="ru-RU"/>
              </w:rPr>
              <w:t>Gennemsnitligt antal inkontinensepisoder pr. 24 timer (FAS</w:t>
            </w:r>
            <w:r w:rsidRPr="00B2252E">
              <w:rPr>
                <w:sz w:val="22"/>
                <w:szCs w:val="22"/>
                <w:lang w:val="ru-RU" w:eastAsia="ru-RU"/>
              </w:rPr>
              <w:t>-</w:t>
            </w:r>
            <w:r w:rsidRPr="00B2252E">
              <w:rPr>
                <w:b/>
                <w:sz w:val="22"/>
                <w:szCs w:val="22"/>
                <w:lang w:val="ru-RU" w:eastAsia="ru-RU"/>
              </w:rPr>
              <w:t>I) (co-primært)</w:t>
            </w:r>
            <w:r w:rsidRPr="00B2252E">
              <w:rPr>
                <w:sz w:val="22"/>
                <w:szCs w:val="22"/>
                <w:lang w:val="ru-RU" w:eastAsia="ru-RU"/>
              </w:rPr>
              <w:t xml:space="preserve"> </w:t>
            </w:r>
          </w:p>
        </w:tc>
        <w:tc>
          <w:tcPr>
            <w:tcW w:w="2242" w:type="dxa"/>
            <w:gridSpan w:val="2"/>
            <w:tcBorders>
              <w:top w:val="single" w:sz="6" w:space="0" w:color="000000"/>
              <w:left w:val="nil"/>
              <w:bottom w:val="single" w:sz="6" w:space="0" w:color="000000"/>
              <w:right w:val="single" w:sz="6" w:space="0" w:color="000000"/>
            </w:tcBorders>
            <w:tcMar>
              <w:top w:w="28" w:type="dxa"/>
              <w:left w:w="0" w:type="dxa"/>
              <w:bottom w:w="28" w:type="dxa"/>
              <w:right w:w="0" w:type="dxa"/>
            </w:tcMar>
          </w:tcPr>
          <w:p w14:paraId="3DD5B659" w14:textId="77777777" w:rsidR="00B2252E" w:rsidRPr="00B2252E" w:rsidRDefault="00B2252E" w:rsidP="00B2252E">
            <w:pPr>
              <w:keepNext/>
              <w:suppressAutoHyphens/>
              <w:autoSpaceDE w:val="0"/>
              <w:autoSpaceDN w:val="0"/>
              <w:adjustRightInd w:val="0"/>
              <w:rPr>
                <w:sz w:val="22"/>
                <w:szCs w:val="22"/>
                <w:lang w:val="ru-RU" w:eastAsia="ru-RU"/>
              </w:rPr>
            </w:pPr>
          </w:p>
        </w:tc>
      </w:tr>
      <w:tr w:rsidR="00B2252E" w:rsidRPr="00B2252E" w14:paraId="11B883B1"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2FAF582" w14:textId="77777777" w:rsidR="00B2252E" w:rsidRPr="00B2252E" w:rsidRDefault="00B2252E" w:rsidP="00B2252E">
            <w:pPr>
              <w:keepNext/>
              <w:suppressAutoHyphens/>
              <w:autoSpaceDE w:val="0"/>
              <w:autoSpaceDN w:val="0"/>
              <w:adjustRightInd w:val="0"/>
              <w:ind w:left="57"/>
              <w:rPr>
                <w:sz w:val="22"/>
                <w:szCs w:val="22"/>
                <w:lang w:val="ru-RU" w:eastAsia="ru-RU"/>
              </w:rPr>
            </w:pPr>
            <w:r w:rsidRPr="00B2252E">
              <w:rPr>
                <w:sz w:val="22"/>
                <w:szCs w:val="22"/>
                <w:lang w:val="ru-RU" w:eastAsia="ru-RU"/>
              </w:rPr>
              <w:t xml:space="preserve">n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0A981E7" w14:textId="77777777" w:rsidR="00B2252E" w:rsidRPr="00B2252E" w:rsidRDefault="00B2252E" w:rsidP="00B2252E">
            <w:pPr>
              <w:keepNext/>
              <w:suppressAutoHyphens/>
              <w:autoSpaceDE w:val="0"/>
              <w:autoSpaceDN w:val="0"/>
              <w:adjustRightInd w:val="0"/>
              <w:jc w:val="center"/>
              <w:rPr>
                <w:sz w:val="22"/>
                <w:szCs w:val="22"/>
                <w:lang w:val="ru-RU" w:eastAsia="ru-RU"/>
              </w:rPr>
            </w:pPr>
            <w:r w:rsidRPr="00B2252E">
              <w:rPr>
                <w:sz w:val="22"/>
                <w:szCs w:val="22"/>
                <w:lang w:val="ru-RU" w:eastAsia="ru-RU"/>
              </w:rPr>
              <w:t>291</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1E93032" w14:textId="77777777" w:rsidR="00B2252E" w:rsidRPr="00B2252E" w:rsidRDefault="00B2252E" w:rsidP="00B2252E">
            <w:pPr>
              <w:keepNext/>
              <w:suppressAutoHyphens/>
              <w:autoSpaceDE w:val="0"/>
              <w:autoSpaceDN w:val="0"/>
              <w:adjustRightInd w:val="0"/>
              <w:jc w:val="center"/>
              <w:rPr>
                <w:sz w:val="22"/>
                <w:szCs w:val="22"/>
                <w:lang w:val="ru-RU" w:eastAsia="ru-RU"/>
              </w:rPr>
            </w:pPr>
            <w:r w:rsidRPr="00B2252E">
              <w:rPr>
                <w:sz w:val="22"/>
                <w:szCs w:val="22"/>
                <w:lang w:val="ru-RU" w:eastAsia="ru-RU"/>
              </w:rPr>
              <w:t>293</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9EAA743" w14:textId="77777777" w:rsidR="00B2252E" w:rsidRPr="00B2252E" w:rsidRDefault="00B2252E" w:rsidP="00B2252E">
            <w:pPr>
              <w:keepNext/>
              <w:suppressAutoHyphens/>
              <w:autoSpaceDE w:val="0"/>
              <w:autoSpaceDN w:val="0"/>
              <w:adjustRightInd w:val="0"/>
              <w:jc w:val="center"/>
              <w:rPr>
                <w:sz w:val="22"/>
                <w:szCs w:val="22"/>
                <w:lang w:val="ru-RU" w:eastAsia="ru-RU"/>
              </w:rPr>
            </w:pPr>
            <w:r w:rsidRPr="00B2252E">
              <w:rPr>
                <w:sz w:val="22"/>
                <w:szCs w:val="22"/>
                <w:lang w:val="ru-RU" w:eastAsia="ru-RU"/>
              </w:rPr>
              <w:t>300</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A1F788E" w14:textId="77777777" w:rsidR="00B2252E" w:rsidRPr="00B2252E" w:rsidRDefault="00B2252E" w:rsidP="00B2252E">
            <w:pPr>
              <w:keepNext/>
              <w:suppressAutoHyphens/>
              <w:autoSpaceDE w:val="0"/>
              <w:autoSpaceDN w:val="0"/>
              <w:adjustRightInd w:val="0"/>
              <w:jc w:val="center"/>
              <w:rPr>
                <w:sz w:val="22"/>
                <w:szCs w:val="22"/>
                <w:lang w:val="ru-RU" w:eastAsia="ru-RU"/>
              </w:rPr>
            </w:pPr>
            <w:r w:rsidRPr="00B2252E">
              <w:rPr>
                <w:sz w:val="22"/>
                <w:szCs w:val="22"/>
                <w:lang w:val="ru-RU" w:eastAsia="ru-RU"/>
              </w:rPr>
              <w:t>325</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4609070" w14:textId="77777777" w:rsidR="00B2252E" w:rsidRPr="00B2252E" w:rsidRDefault="00B2252E" w:rsidP="00B2252E">
            <w:pPr>
              <w:keepNext/>
              <w:suppressAutoHyphens/>
              <w:autoSpaceDE w:val="0"/>
              <w:autoSpaceDN w:val="0"/>
              <w:adjustRightInd w:val="0"/>
              <w:jc w:val="center"/>
              <w:rPr>
                <w:sz w:val="22"/>
                <w:szCs w:val="22"/>
                <w:lang w:val="ru-RU" w:eastAsia="ru-RU"/>
              </w:rPr>
            </w:pPr>
            <w:r w:rsidRPr="00B2252E">
              <w:rPr>
                <w:sz w:val="22"/>
                <w:szCs w:val="22"/>
                <w:lang w:val="ru-RU" w:eastAsia="ru-RU"/>
              </w:rPr>
              <w:t>312</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7920303" w14:textId="77777777" w:rsidR="00B2252E" w:rsidRPr="00B2252E" w:rsidRDefault="00B2252E" w:rsidP="00B2252E">
            <w:pPr>
              <w:keepNext/>
              <w:suppressAutoHyphens/>
              <w:autoSpaceDE w:val="0"/>
              <w:autoSpaceDN w:val="0"/>
              <w:adjustRightInd w:val="0"/>
              <w:jc w:val="center"/>
              <w:rPr>
                <w:sz w:val="22"/>
                <w:szCs w:val="22"/>
                <w:lang w:val="ru-RU" w:eastAsia="ru-RU"/>
              </w:rPr>
            </w:pPr>
            <w:r w:rsidRPr="00B2252E">
              <w:rPr>
                <w:sz w:val="22"/>
                <w:szCs w:val="22"/>
                <w:lang w:val="ru-RU" w:eastAsia="ru-RU"/>
              </w:rPr>
              <w:t>262</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78A5A56" w14:textId="77777777" w:rsidR="00B2252E" w:rsidRPr="00B2252E" w:rsidRDefault="00B2252E" w:rsidP="00B2252E">
            <w:pPr>
              <w:keepNext/>
              <w:suppressAutoHyphens/>
              <w:autoSpaceDE w:val="0"/>
              <w:autoSpaceDN w:val="0"/>
              <w:adjustRightInd w:val="0"/>
              <w:jc w:val="center"/>
              <w:rPr>
                <w:sz w:val="22"/>
                <w:szCs w:val="22"/>
                <w:lang w:val="ru-RU" w:eastAsia="ru-RU"/>
              </w:rPr>
            </w:pPr>
            <w:r w:rsidRPr="00B2252E">
              <w:rPr>
                <w:sz w:val="22"/>
                <w:szCs w:val="22"/>
                <w:lang w:val="ru-RU" w:eastAsia="ru-RU"/>
              </w:rPr>
              <w:t>257</w:t>
            </w:r>
          </w:p>
        </w:tc>
      </w:tr>
      <w:tr w:rsidR="00B2252E" w:rsidRPr="00B2252E" w14:paraId="45C81393"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EA0C6E2" w14:textId="77777777" w:rsidR="00B2252E" w:rsidRPr="00B2252E" w:rsidRDefault="00B2252E" w:rsidP="00B2252E">
            <w:pPr>
              <w:keepNext/>
              <w:suppressAutoHyphens/>
              <w:autoSpaceDE w:val="0"/>
              <w:autoSpaceDN w:val="0"/>
              <w:adjustRightInd w:val="0"/>
              <w:ind w:left="57"/>
              <w:rPr>
                <w:sz w:val="22"/>
                <w:szCs w:val="22"/>
                <w:lang w:val="ru-RU" w:eastAsia="ru-RU"/>
              </w:rPr>
            </w:pPr>
            <w:r w:rsidRPr="00B2252E">
              <w:rPr>
                <w:sz w:val="22"/>
                <w:szCs w:val="22"/>
                <w:lang w:val="ru-RU" w:eastAsia="ru-RU"/>
              </w:rPr>
              <w:t xml:space="preserve">Gennemsnitlig </w:t>
            </w:r>
            <w:r w:rsidRPr="00B2252E">
              <w:rPr>
                <w:i/>
                <w:sz w:val="22"/>
                <w:szCs w:val="22"/>
                <w:lang w:val="ru-RU" w:eastAsia="ru-RU"/>
              </w:rPr>
              <w:t>baseline</w:t>
            </w:r>
            <w:r w:rsidRPr="00B2252E">
              <w:rPr>
                <w:sz w:val="22"/>
                <w:szCs w:val="22"/>
                <w:lang w:val="ru-RU" w:eastAsia="ru-RU"/>
              </w:rPr>
              <w:t xml:space="preserve">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28FAC50A" w14:textId="77777777" w:rsidR="00B2252E" w:rsidRPr="00B2252E" w:rsidRDefault="00B2252E" w:rsidP="00B2252E">
            <w:pPr>
              <w:keepNext/>
              <w:suppressAutoHyphens/>
              <w:autoSpaceDE w:val="0"/>
              <w:autoSpaceDN w:val="0"/>
              <w:adjustRightInd w:val="0"/>
              <w:jc w:val="center"/>
              <w:rPr>
                <w:sz w:val="22"/>
                <w:szCs w:val="22"/>
                <w:lang w:val="ru-RU" w:eastAsia="ru-RU"/>
              </w:rPr>
            </w:pPr>
            <w:r w:rsidRPr="00B2252E">
              <w:rPr>
                <w:sz w:val="22"/>
                <w:szCs w:val="22"/>
                <w:lang w:val="ru-RU" w:eastAsia="ru-RU"/>
              </w:rPr>
              <w:t>2,67</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765CAB4" w14:textId="77777777" w:rsidR="00B2252E" w:rsidRPr="00B2252E" w:rsidRDefault="00B2252E" w:rsidP="00B2252E">
            <w:pPr>
              <w:keepNext/>
              <w:suppressAutoHyphens/>
              <w:autoSpaceDE w:val="0"/>
              <w:autoSpaceDN w:val="0"/>
              <w:adjustRightInd w:val="0"/>
              <w:jc w:val="center"/>
              <w:rPr>
                <w:sz w:val="22"/>
                <w:szCs w:val="22"/>
                <w:lang w:val="ru-RU" w:eastAsia="ru-RU"/>
              </w:rPr>
            </w:pPr>
            <w:r w:rsidRPr="00B2252E">
              <w:rPr>
                <w:sz w:val="22"/>
                <w:szCs w:val="22"/>
                <w:lang w:val="ru-RU" w:eastAsia="ru-RU"/>
              </w:rPr>
              <w:t>2,83</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571E2C76" w14:textId="77777777" w:rsidR="00B2252E" w:rsidRPr="00B2252E" w:rsidRDefault="00B2252E" w:rsidP="00B2252E">
            <w:pPr>
              <w:keepNext/>
              <w:suppressAutoHyphens/>
              <w:autoSpaceDE w:val="0"/>
              <w:autoSpaceDN w:val="0"/>
              <w:adjustRightInd w:val="0"/>
              <w:jc w:val="center"/>
              <w:rPr>
                <w:sz w:val="22"/>
                <w:szCs w:val="22"/>
                <w:lang w:val="ru-RU" w:eastAsia="ru-RU"/>
              </w:rPr>
            </w:pPr>
            <w:r w:rsidRPr="00B2252E">
              <w:rPr>
                <w:sz w:val="22"/>
                <w:szCs w:val="22"/>
                <w:lang w:val="ru-RU" w:eastAsia="ru-RU"/>
              </w:rPr>
              <w:t>2,63</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B9C993D" w14:textId="77777777" w:rsidR="00B2252E" w:rsidRPr="00B2252E" w:rsidRDefault="00B2252E" w:rsidP="00B2252E">
            <w:pPr>
              <w:keepNext/>
              <w:suppressAutoHyphens/>
              <w:autoSpaceDE w:val="0"/>
              <w:autoSpaceDN w:val="0"/>
              <w:adjustRightInd w:val="0"/>
              <w:jc w:val="center"/>
              <w:rPr>
                <w:sz w:val="22"/>
                <w:szCs w:val="22"/>
                <w:lang w:val="ru-RU" w:eastAsia="ru-RU"/>
              </w:rPr>
            </w:pPr>
            <w:r w:rsidRPr="00B2252E">
              <w:rPr>
                <w:sz w:val="22"/>
                <w:szCs w:val="22"/>
                <w:lang w:val="ru-RU" w:eastAsia="ru-RU"/>
              </w:rPr>
              <w:t>3,03</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01AF81FF" w14:textId="77777777" w:rsidR="00B2252E" w:rsidRPr="00B2252E" w:rsidRDefault="00B2252E" w:rsidP="00B2252E">
            <w:pPr>
              <w:keepNext/>
              <w:suppressAutoHyphens/>
              <w:autoSpaceDE w:val="0"/>
              <w:autoSpaceDN w:val="0"/>
              <w:adjustRightInd w:val="0"/>
              <w:jc w:val="center"/>
              <w:rPr>
                <w:sz w:val="22"/>
                <w:szCs w:val="22"/>
                <w:lang w:val="ru-RU" w:eastAsia="ru-RU"/>
              </w:rPr>
            </w:pPr>
            <w:r w:rsidRPr="00B2252E">
              <w:rPr>
                <w:sz w:val="22"/>
                <w:szCs w:val="22"/>
                <w:lang w:val="ru-RU" w:eastAsia="ru-RU"/>
              </w:rPr>
              <w:t>2,77</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451AB607" w14:textId="77777777" w:rsidR="00B2252E" w:rsidRPr="00B2252E" w:rsidRDefault="00B2252E" w:rsidP="00B2252E">
            <w:pPr>
              <w:keepNext/>
              <w:suppressAutoHyphens/>
              <w:autoSpaceDE w:val="0"/>
              <w:autoSpaceDN w:val="0"/>
              <w:adjustRightInd w:val="0"/>
              <w:jc w:val="center"/>
              <w:rPr>
                <w:sz w:val="22"/>
                <w:szCs w:val="22"/>
                <w:lang w:val="ru-RU" w:eastAsia="ru-RU"/>
              </w:rPr>
            </w:pPr>
            <w:r w:rsidRPr="00B2252E">
              <w:rPr>
                <w:sz w:val="22"/>
                <w:szCs w:val="22"/>
                <w:lang w:val="ru-RU" w:eastAsia="ru-RU"/>
              </w:rPr>
              <w:t>2,43</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2CC612B2" w14:textId="77777777" w:rsidR="00B2252E" w:rsidRPr="00B2252E" w:rsidRDefault="00B2252E" w:rsidP="00B2252E">
            <w:pPr>
              <w:keepNext/>
              <w:suppressAutoHyphens/>
              <w:autoSpaceDE w:val="0"/>
              <w:autoSpaceDN w:val="0"/>
              <w:adjustRightInd w:val="0"/>
              <w:jc w:val="center"/>
              <w:rPr>
                <w:sz w:val="22"/>
                <w:szCs w:val="22"/>
                <w:lang w:val="ru-RU" w:eastAsia="ru-RU"/>
              </w:rPr>
            </w:pPr>
            <w:r w:rsidRPr="00B2252E">
              <w:rPr>
                <w:sz w:val="22"/>
                <w:szCs w:val="22"/>
                <w:lang w:val="ru-RU" w:eastAsia="ru-RU"/>
              </w:rPr>
              <w:t>2,51</w:t>
            </w:r>
          </w:p>
        </w:tc>
      </w:tr>
      <w:tr w:rsidR="00B2252E" w:rsidRPr="00B2252E" w14:paraId="74A68EEF"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7A3D13C"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ændring fra </w:t>
            </w:r>
            <w:r w:rsidRPr="00B2252E">
              <w:rPr>
                <w:i/>
                <w:sz w:val="22"/>
                <w:szCs w:val="22"/>
                <w:lang w:val="ru-RU" w:eastAsia="ru-RU"/>
              </w:rPr>
              <w:t>baseline</w:t>
            </w:r>
            <w:r w:rsidRPr="00B2252E">
              <w:rPr>
                <w:sz w:val="22"/>
                <w:szCs w:val="22"/>
                <w:lang w:val="ru-RU" w:eastAsia="ru-RU"/>
              </w:rPr>
              <w:t xml:space="preserve">*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529EB4AD"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-1,17</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2D862E6F"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-1,57</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0FB02D25"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-1,27</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74C0AF97"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-1,13</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1F1D3B2E"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-1,47</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F7408FC"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-0,96</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61898B01"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-1,38</w:t>
            </w:r>
          </w:p>
        </w:tc>
      </w:tr>
      <w:tr w:rsidR="00B2252E" w:rsidRPr="00B2252E" w14:paraId="1AAAD675"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4C66468"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forskel i </w:t>
            </w:r>
          </w:p>
          <w:p w14:paraId="3A06ADBE"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forhold til placebo*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2D442233"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29E0BFA4"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-0,41</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2E24CA80"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-0,10</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547954C2"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4DB58286"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-0,34</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475D25AC"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5B7B0CE7"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-0,42</w:t>
            </w:r>
          </w:p>
        </w:tc>
      </w:tr>
      <w:tr w:rsidR="00B2252E" w:rsidRPr="00B2252E" w14:paraId="4901AB84"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6F2067F"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95 % konfidensinterval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2DEFEE42"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689435B0"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(-0,72; -0,09)</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18DC875E"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(-0,42; 0,21)</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5F41E03D"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7D445BBF"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(-0,66; -0,03)</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4280BB8D"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5FA7F227"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(-0,76; -0,08)</w:t>
            </w:r>
          </w:p>
        </w:tc>
      </w:tr>
      <w:tr w:rsidR="00B2252E" w:rsidRPr="00B2252E" w14:paraId="3DD7EB60"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01DCFA0"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p-værdi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2B323CF"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D71B19C"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0,003‡</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DB79FC9"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0,11</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879D45C"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4D4AE74"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0,026‡</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E357A98"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4AD0CFC"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0,001‡</w:t>
            </w:r>
          </w:p>
        </w:tc>
      </w:tr>
      <w:tr w:rsidR="00B2252E" w:rsidRPr="00B2252E" w14:paraId="0E14DC9F" w14:textId="77777777">
        <w:trPr>
          <w:trHeight w:val="227"/>
          <w:jc w:val="center"/>
        </w:trPr>
        <w:tc>
          <w:tcPr>
            <w:tcW w:w="7899" w:type="dxa"/>
            <w:gridSpan w:val="6"/>
            <w:tcBorders>
              <w:top w:val="single" w:sz="6" w:space="0" w:color="000000"/>
              <w:left w:val="single" w:sz="6" w:space="0" w:color="000000"/>
              <w:bottom w:val="single" w:sz="6" w:space="0" w:color="000000"/>
              <w:right w:val="nil"/>
            </w:tcBorders>
            <w:tcMar>
              <w:top w:w="28" w:type="dxa"/>
              <w:left w:w="0" w:type="dxa"/>
              <w:bottom w:w="28" w:type="dxa"/>
              <w:right w:w="0" w:type="dxa"/>
            </w:tcMar>
            <w:hideMark/>
          </w:tcPr>
          <w:p w14:paraId="1F6D94D3"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b/>
                <w:sz w:val="22"/>
                <w:szCs w:val="22"/>
                <w:lang w:val="ru-RU" w:eastAsia="ru-RU"/>
              </w:rPr>
              <w:t>Gennemsnitligt antal vandladninger pr. 24 timer (FAS) (co-primært)</w:t>
            </w:r>
            <w:r w:rsidRPr="00B2252E">
              <w:rPr>
                <w:sz w:val="22"/>
                <w:szCs w:val="22"/>
                <w:lang w:val="ru-RU" w:eastAsia="ru-RU"/>
              </w:rPr>
              <w:t xml:space="preserve"> </w:t>
            </w:r>
          </w:p>
        </w:tc>
        <w:tc>
          <w:tcPr>
            <w:tcW w:w="2242" w:type="dxa"/>
            <w:gridSpan w:val="2"/>
            <w:tcBorders>
              <w:top w:val="single" w:sz="6" w:space="0" w:color="000000"/>
              <w:left w:val="nil"/>
              <w:bottom w:val="single" w:sz="6" w:space="0" w:color="000000"/>
              <w:right w:val="single" w:sz="6" w:space="0" w:color="000000"/>
            </w:tcBorders>
            <w:tcMar>
              <w:top w:w="28" w:type="dxa"/>
              <w:left w:w="0" w:type="dxa"/>
              <w:bottom w:w="28" w:type="dxa"/>
              <w:right w:w="0" w:type="dxa"/>
            </w:tcMar>
          </w:tcPr>
          <w:p w14:paraId="49F3190D" w14:textId="77777777" w:rsidR="00B2252E" w:rsidRPr="00B2252E" w:rsidRDefault="00B2252E" w:rsidP="00B2252E">
            <w:pPr>
              <w:widowControl w:val="0"/>
              <w:suppressAutoHyphens/>
              <w:autoSpaceDE w:val="0"/>
              <w:autoSpaceDN w:val="0"/>
              <w:adjustRightInd w:val="0"/>
              <w:rPr>
                <w:sz w:val="22"/>
                <w:szCs w:val="22"/>
                <w:lang w:val="ru-RU" w:eastAsia="ru-RU"/>
              </w:rPr>
            </w:pPr>
          </w:p>
        </w:tc>
      </w:tr>
      <w:tr w:rsidR="00B2252E" w:rsidRPr="00B2252E" w14:paraId="21D63051"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1606B85"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n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B09AA26"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480</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CD17608"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473</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AA9DF0E"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475</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1DF073B"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433</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42558E6"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425</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7D029C5"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415</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7DF6FF1"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426</w:t>
            </w:r>
          </w:p>
        </w:tc>
      </w:tr>
      <w:tr w:rsidR="00B2252E" w:rsidRPr="00B2252E" w14:paraId="790EE96D"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1085D02"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w:t>
            </w:r>
            <w:r w:rsidRPr="00B2252E">
              <w:rPr>
                <w:i/>
                <w:sz w:val="22"/>
                <w:szCs w:val="22"/>
                <w:lang w:val="ru-RU" w:eastAsia="ru-RU"/>
              </w:rPr>
              <w:t>baseline</w:t>
            </w:r>
            <w:r w:rsidRPr="00B2252E">
              <w:rPr>
                <w:sz w:val="22"/>
                <w:szCs w:val="22"/>
                <w:lang w:val="ru-RU" w:eastAsia="ru-RU"/>
              </w:rPr>
              <w:t xml:space="preserve">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28E4D771"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11,71</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6E29C8FD"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11,65</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541081ED"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11,55</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18555038"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11,51</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1BF33622"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11,80</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5C707C42"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11,48</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625BDBDF"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11,66</w:t>
            </w:r>
          </w:p>
        </w:tc>
      </w:tr>
      <w:tr w:rsidR="00B2252E" w:rsidRPr="00B2252E" w14:paraId="0D6898E4"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C1DFE9F"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ændring fra </w:t>
            </w:r>
            <w:r w:rsidRPr="00B2252E">
              <w:rPr>
                <w:i/>
                <w:sz w:val="22"/>
                <w:szCs w:val="22"/>
                <w:lang w:val="ru-RU" w:eastAsia="ru-RU"/>
              </w:rPr>
              <w:t>baseline</w:t>
            </w:r>
            <w:r w:rsidRPr="00B2252E">
              <w:rPr>
                <w:sz w:val="22"/>
                <w:szCs w:val="22"/>
                <w:lang w:val="ru-RU" w:eastAsia="ru-RU"/>
              </w:rPr>
              <w:t xml:space="preserve">*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5BDF5B3"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-1,34</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5387A8FF"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-1,93</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166B17BB"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-1,59</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257A134A"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-1,05</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5742B3C1"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-1,66</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4F6E3F5"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-1,18</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7E93F69B"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-1,60</w:t>
            </w:r>
          </w:p>
        </w:tc>
      </w:tr>
      <w:tr w:rsidR="00B2252E" w:rsidRPr="00B2252E" w14:paraId="4821550E"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0BE0A9F"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w:t>
            </w:r>
            <w:r w:rsidRPr="00B2252E">
              <w:rPr>
                <w:sz w:val="22"/>
                <w:szCs w:val="22"/>
                <w:lang w:val="ru-RU" w:eastAsia="ru-RU"/>
              </w:rPr>
              <w:lastRenderedPageBreak/>
              <w:t xml:space="preserve">forskel i </w:t>
            </w:r>
          </w:p>
          <w:p w14:paraId="15AA142F"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forhold til placebo*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8D51F2D"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lastRenderedPageBreak/>
              <w:t>--</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6319C6FE"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-0,60</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6EF3E4EC"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-0,25</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1DA22C18"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71826005"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-0,61</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1AA8EB6"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7731AF5C"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-0,42</w:t>
            </w:r>
          </w:p>
        </w:tc>
      </w:tr>
      <w:tr w:rsidR="00B2252E" w:rsidRPr="00B2252E" w14:paraId="534C8E40"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1C8E502"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95 % konfidensinterval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53065F48"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6823A07"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(-0,90; -0,29)</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CF8F576"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(-0,55; 0,06)</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5ED7E51"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7313CA15"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(-0,98; -0,24)</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593C6D9B"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7E45B563"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(-0,76; -0,08)</w:t>
            </w:r>
          </w:p>
        </w:tc>
      </w:tr>
      <w:tr w:rsidR="00B2252E" w:rsidRPr="00B2252E" w14:paraId="1B32A01A"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AFA0DAF"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p-værdi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5EBC3A6"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0BD7F4F"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&lt; 0,001‡</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0C9E8E4"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0,11</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CF861F3"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FD26911"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0,001‡</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6157715"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0864C86"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0,015‡</w:t>
            </w:r>
          </w:p>
        </w:tc>
      </w:tr>
      <w:tr w:rsidR="00B2252E" w:rsidRPr="00B2252E" w14:paraId="77DB1298" w14:textId="77777777">
        <w:trPr>
          <w:trHeight w:val="227"/>
          <w:jc w:val="center"/>
        </w:trPr>
        <w:tc>
          <w:tcPr>
            <w:tcW w:w="7899" w:type="dxa"/>
            <w:gridSpan w:val="6"/>
            <w:tcBorders>
              <w:top w:val="single" w:sz="6" w:space="0" w:color="000000"/>
              <w:left w:val="single" w:sz="6" w:space="0" w:color="000000"/>
              <w:bottom w:val="single" w:sz="6" w:space="0" w:color="000000"/>
              <w:right w:val="nil"/>
            </w:tcBorders>
            <w:tcMar>
              <w:top w:w="28" w:type="dxa"/>
              <w:left w:w="0" w:type="dxa"/>
              <w:bottom w:w="28" w:type="dxa"/>
              <w:right w:w="0" w:type="dxa"/>
            </w:tcMar>
            <w:hideMark/>
          </w:tcPr>
          <w:p w14:paraId="0034BCBF"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b/>
                <w:sz w:val="22"/>
                <w:szCs w:val="22"/>
                <w:lang w:val="ru-RU" w:eastAsia="ru-RU"/>
              </w:rPr>
              <w:t>Gennemsnitlig udtømt mængde (ml) pr. vandladning (FAS) (sekundært)</w:t>
            </w:r>
            <w:r w:rsidRPr="00B2252E">
              <w:rPr>
                <w:sz w:val="22"/>
                <w:szCs w:val="22"/>
                <w:lang w:val="ru-RU" w:eastAsia="ru-RU"/>
              </w:rPr>
              <w:t xml:space="preserve"> </w:t>
            </w:r>
          </w:p>
        </w:tc>
        <w:tc>
          <w:tcPr>
            <w:tcW w:w="2242" w:type="dxa"/>
            <w:gridSpan w:val="2"/>
            <w:tcBorders>
              <w:top w:val="single" w:sz="6" w:space="0" w:color="000000"/>
              <w:left w:val="nil"/>
              <w:bottom w:val="single" w:sz="6" w:space="0" w:color="000000"/>
              <w:right w:val="single" w:sz="6" w:space="0" w:color="000000"/>
            </w:tcBorders>
            <w:tcMar>
              <w:top w:w="28" w:type="dxa"/>
              <w:left w:w="0" w:type="dxa"/>
              <w:bottom w:w="28" w:type="dxa"/>
              <w:right w:w="0" w:type="dxa"/>
            </w:tcMar>
          </w:tcPr>
          <w:p w14:paraId="0239A0D1" w14:textId="77777777" w:rsidR="00B2252E" w:rsidRPr="00B2252E" w:rsidRDefault="00B2252E" w:rsidP="00B2252E">
            <w:pPr>
              <w:widowControl w:val="0"/>
              <w:suppressAutoHyphens/>
              <w:autoSpaceDE w:val="0"/>
              <w:autoSpaceDN w:val="0"/>
              <w:adjustRightInd w:val="0"/>
              <w:rPr>
                <w:sz w:val="22"/>
                <w:szCs w:val="22"/>
                <w:lang w:val="ru-RU" w:eastAsia="ru-RU"/>
              </w:rPr>
            </w:pPr>
          </w:p>
        </w:tc>
      </w:tr>
      <w:tr w:rsidR="00B2252E" w:rsidRPr="00B2252E" w14:paraId="10EEF214"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A6540ED"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n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978977F"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480</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2589CFB"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472</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C8B2BB7"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475</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218DFEE"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433</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F5355C5"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424</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B0E5C22"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415</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0F1379B"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426</w:t>
            </w:r>
          </w:p>
        </w:tc>
      </w:tr>
      <w:tr w:rsidR="00B2252E" w:rsidRPr="00B2252E" w14:paraId="03D761C6"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9C9A8A8"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w:t>
            </w:r>
            <w:r w:rsidRPr="00B2252E">
              <w:rPr>
                <w:i/>
                <w:sz w:val="22"/>
                <w:szCs w:val="22"/>
                <w:lang w:val="ru-RU" w:eastAsia="ru-RU"/>
              </w:rPr>
              <w:t>baseline</w:t>
            </w:r>
            <w:r w:rsidRPr="00B2252E">
              <w:rPr>
                <w:sz w:val="22"/>
                <w:szCs w:val="22"/>
                <w:lang w:val="ru-RU" w:eastAsia="ru-RU"/>
              </w:rPr>
              <w:t xml:space="preserve">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08580223"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156,7</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356A8AC"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161,1</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1E918B8E"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158,6</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50A37B7C"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157,5</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2AC52707"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156,3</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68770F5B"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164,0</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A9511C4"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159,3</w:t>
            </w:r>
          </w:p>
        </w:tc>
      </w:tr>
      <w:tr w:rsidR="00B2252E" w:rsidRPr="00B2252E" w14:paraId="54AD08D1"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8CEAD09"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ændring fra </w:t>
            </w:r>
            <w:r w:rsidRPr="00B2252E">
              <w:rPr>
                <w:i/>
                <w:sz w:val="22"/>
                <w:szCs w:val="22"/>
                <w:lang w:val="ru-RU" w:eastAsia="ru-RU"/>
              </w:rPr>
              <w:t>baseline</w:t>
            </w:r>
            <w:r w:rsidRPr="00B2252E">
              <w:rPr>
                <w:sz w:val="22"/>
                <w:szCs w:val="22"/>
                <w:lang w:val="ru-RU" w:eastAsia="ru-RU"/>
              </w:rPr>
              <w:t xml:space="preserve">*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2BD136BF"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12,3</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142DF643"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24,2</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424D16A5"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25,0</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226A9B86"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7,0</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6EDD2683"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18,2</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51B70B1"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8,3</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78BF0EF0"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20,7</w:t>
            </w:r>
          </w:p>
        </w:tc>
      </w:tr>
      <w:tr w:rsidR="00B2252E" w:rsidRPr="00B2252E" w14:paraId="29786231"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D382F0B"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forskel i </w:t>
            </w:r>
          </w:p>
          <w:p w14:paraId="3F7168CD"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forhold til placebo*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7CCE55F6"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12C4C83D"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11,9</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22428808"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12,6</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6D695366"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7CB16E9B"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11,1</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DED2892"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4E3A310B"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12,4</w:t>
            </w:r>
          </w:p>
        </w:tc>
      </w:tr>
      <w:tr w:rsidR="00B2252E" w:rsidRPr="00B2252E" w14:paraId="2345CF92"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A5BBA8F"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95 % konfidensinterval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C10C1BC"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9E53592"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(6,3; 17,4)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944E7A5"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(7,1; 18,2)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3779B54"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E8EBF0E"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(4,4; 17,9)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5445840"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9FA52C3"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(6,3; 18,6) </w:t>
            </w:r>
          </w:p>
        </w:tc>
      </w:tr>
      <w:tr w:rsidR="00B2252E" w:rsidRPr="00B2252E" w14:paraId="1CB4DA97"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838C784"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p-værdi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454AE4A0"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6531A783"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&lt; 0,001‡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CF4412E"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&lt; 0,001†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01754D78"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0C299A36"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0,001‡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30DC423"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22A52BD"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&lt; 0,001‡ </w:t>
            </w:r>
          </w:p>
        </w:tc>
      </w:tr>
      <w:tr w:rsidR="00B2252E" w:rsidRPr="00B2252E" w14:paraId="6DF18319" w14:textId="77777777">
        <w:trPr>
          <w:trHeight w:val="227"/>
          <w:jc w:val="center"/>
        </w:trPr>
        <w:tc>
          <w:tcPr>
            <w:tcW w:w="10141" w:type="dxa"/>
            <w:gridSpan w:val="8"/>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1329E58"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b/>
                <w:sz w:val="22"/>
                <w:szCs w:val="22"/>
                <w:lang w:val="ru-RU" w:eastAsia="ru-RU"/>
              </w:rPr>
              <w:t>Gennemsnitlig grad af imperiøs vandladning (FAS) (sekundært)</w:t>
            </w:r>
          </w:p>
        </w:tc>
      </w:tr>
      <w:tr w:rsidR="00B2252E" w:rsidRPr="00B2252E" w14:paraId="6B6DCDFC"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53F589B"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n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4A371C55"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480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F46C38B"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472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18C87D19"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473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5E73D423"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432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1C9E3B6D"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425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7D5A8FF9"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413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16523952"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426 </w:t>
            </w:r>
          </w:p>
        </w:tc>
      </w:tr>
      <w:tr w:rsidR="00B2252E" w:rsidRPr="00B2252E" w14:paraId="1337E7CF"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E843C86"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baseline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212C3CF"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2,37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4EEC208"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2,40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6965A9D"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2,41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11F0B3B"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2,45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EFEBA3C"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2,45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D3B8DE8"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2,36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0BFA55E"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2,41 </w:t>
            </w:r>
          </w:p>
        </w:tc>
      </w:tr>
      <w:tr w:rsidR="00B2252E" w:rsidRPr="00B2252E" w14:paraId="3E0A67AD"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2C4AFD0"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ændring fra baseline*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E99A092"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-0,22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6B1CAFE"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-0,31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DC556D3"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-0,29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6A0D3B7"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-0,08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2E6DF16"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-0,19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E090D08"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-0,15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C45D508"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-0,29 </w:t>
            </w:r>
          </w:p>
        </w:tc>
      </w:tr>
      <w:tr w:rsidR="00B2252E" w:rsidRPr="00B2252E" w14:paraId="7B5431D4"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0383489"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forskel i </w:t>
            </w:r>
          </w:p>
          <w:p w14:paraId="774439B1"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forhold til placebo*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F6637E9"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F7B9BD1"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-0,09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4158748"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-0,07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8F38D46"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27FB881"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-0,11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8D6134A"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7AEE356"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-0,14 </w:t>
            </w:r>
          </w:p>
        </w:tc>
      </w:tr>
      <w:tr w:rsidR="00B2252E" w:rsidRPr="00B2252E" w14:paraId="2B130469"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8089F2E"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95 % konfidensinterval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DCF89A5"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DE041EE"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(-0,17; -0,02)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F4E09C5"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(-0,15; 0,01)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FD9C141"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FD7A9A9"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(-0,18; -0,04)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F94AA70"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55B4FD8"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(-0,22; -0,06) </w:t>
            </w:r>
          </w:p>
        </w:tc>
      </w:tr>
      <w:tr w:rsidR="00B2252E" w:rsidRPr="00B2252E" w14:paraId="1A996441"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39CFC0D"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p-værdi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087E3247"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6C5B8011"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0,018†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0D4D07D0"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0,085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5F315EF3"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04146673"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0,004†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1DAAF8E9"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431BBFC9"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&lt; 0,001§ </w:t>
            </w:r>
          </w:p>
        </w:tc>
      </w:tr>
      <w:tr w:rsidR="00B2252E" w:rsidRPr="00B2252E" w14:paraId="05016C5E" w14:textId="77777777">
        <w:trPr>
          <w:trHeight w:val="227"/>
          <w:jc w:val="center"/>
        </w:trPr>
        <w:tc>
          <w:tcPr>
            <w:tcW w:w="10141" w:type="dxa"/>
            <w:gridSpan w:val="8"/>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9A7CA1D"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b/>
                <w:sz w:val="22"/>
                <w:szCs w:val="22"/>
                <w:lang w:val="ru-RU" w:eastAsia="ru-RU"/>
              </w:rPr>
              <w:t>Gennemsnitligt antal urge-inkontinensepisoder pr. 24 timer (FAS-I) (sekundært)</w:t>
            </w:r>
          </w:p>
        </w:tc>
      </w:tr>
      <w:tr w:rsidR="00B2252E" w:rsidRPr="00B2252E" w14:paraId="5C6CC77E"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2A6FD9C"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n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7B5C0AA2"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283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1510D533"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286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41CFD22E"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289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5CBF0195"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319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26AC86EC"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297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43C0E4C0"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256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5A146B7F"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251 </w:t>
            </w:r>
          </w:p>
        </w:tc>
      </w:tr>
      <w:tr w:rsidR="00B2252E" w:rsidRPr="00B2252E" w14:paraId="19FE8103"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42E1D3D"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baseline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8249FA8"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2,43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00D9221"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2,52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3ABA1E7"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2,37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A6EF151"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2,56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D2C5BBC"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2,42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9C814B1"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2,24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BCE7229"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2,33 </w:t>
            </w:r>
          </w:p>
        </w:tc>
      </w:tr>
      <w:tr w:rsidR="00B2252E" w:rsidRPr="00B2252E" w14:paraId="38C9E295"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3A81C11"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ændring fra baseline*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349990E"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-1,11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981A8F7"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-1,46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E3C07BD"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-1,18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001A8BD"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-0,89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AB334A6"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-1,32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7F7A3E9"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-0,95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2581927"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-1,33 </w:t>
            </w:r>
          </w:p>
        </w:tc>
      </w:tr>
      <w:tr w:rsidR="00B2252E" w:rsidRPr="00B2252E" w14:paraId="428F5F7E"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40639E2"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forskel i </w:t>
            </w:r>
          </w:p>
          <w:p w14:paraId="6DE75F14"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forhold til placebo*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0376325"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7E37D66"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-0,35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D4E8EAA"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-0,07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9C3FD14"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ED0C2B3"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-0,43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9CA5673"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2633259"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-0,39 </w:t>
            </w:r>
          </w:p>
        </w:tc>
      </w:tr>
      <w:tr w:rsidR="00B2252E" w:rsidRPr="00B2252E" w14:paraId="1B0F30DC"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14F327A"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95 % konfidensinterval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65033A9"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DDA9CDA"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(-0,65; -0,05)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6C05BD1"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(-0,38; 0,23)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C8F4E3F"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0B9A154"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(-0,72; -0,15)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C6ED035"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236600A"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(-0,69; -0,08) </w:t>
            </w:r>
          </w:p>
        </w:tc>
      </w:tr>
      <w:tr w:rsidR="00B2252E" w:rsidRPr="00B2252E" w14:paraId="56E36216"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0D21781"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p-værdi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06DC7075"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51D2DBA5"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0,003†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21412A0D"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0,26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5BF6F7C8"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2C8CA34D"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0,005†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2A618D2D"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7B71C6C5"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0,002§ </w:t>
            </w:r>
          </w:p>
        </w:tc>
      </w:tr>
      <w:tr w:rsidR="00B2252E" w:rsidRPr="00B2252E" w14:paraId="0AF7253A" w14:textId="77777777">
        <w:trPr>
          <w:trHeight w:val="227"/>
          <w:jc w:val="center"/>
        </w:trPr>
        <w:tc>
          <w:tcPr>
            <w:tcW w:w="10141" w:type="dxa"/>
            <w:gridSpan w:val="8"/>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C36BCD5"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b/>
                <w:sz w:val="22"/>
                <w:szCs w:val="22"/>
                <w:lang w:val="ru-RU" w:eastAsia="ru-RU"/>
              </w:rPr>
              <w:t>Gennemsnitligt antal episoder med imperiøs vandladning af grad 3 eller 4 pr. 24 timer (FAS) (sekundært)</w:t>
            </w:r>
          </w:p>
        </w:tc>
      </w:tr>
      <w:tr w:rsidR="00B2252E" w:rsidRPr="00B2252E" w14:paraId="62F0A583"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65BE0A3"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n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4DC59A64"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479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0C0CB9D"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470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6F502557"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472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70B57C9A"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432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7D7A25D7"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424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520A99B9"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413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7BB82858"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426 </w:t>
            </w:r>
          </w:p>
        </w:tc>
      </w:tr>
      <w:tr w:rsidR="00B2252E" w:rsidRPr="00B2252E" w14:paraId="11D64B62"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50A8202"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baseline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F2A6463"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5,78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85A05C0"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5,72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09B8426"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5,79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92960C6"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5,61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37263E6"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5,90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66F2B78"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5,42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1E38E4A"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5,80 </w:t>
            </w:r>
          </w:p>
        </w:tc>
      </w:tr>
      <w:tr w:rsidR="00B2252E" w:rsidRPr="00B2252E" w14:paraId="5D5ABBE0"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5169F4E"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lastRenderedPageBreak/>
              <w:t xml:space="preserve">Gennemsnitlig ændring fra baseline*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FEA66BA"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-1,65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E73BCEB"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-2,25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9236AEC"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-2,07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EC9BA9F"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-0,82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C094C43"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-1,57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BBF92C3"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-1,35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F6E1650"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-1,94 </w:t>
            </w:r>
          </w:p>
        </w:tc>
      </w:tr>
      <w:tr w:rsidR="00B2252E" w:rsidRPr="00B2252E" w14:paraId="15D646D4"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CE65EC8"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forskel i </w:t>
            </w:r>
          </w:p>
          <w:p w14:paraId="2CCF19C4"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forhold til placebo*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01C3877"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5AEF2E9"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-0,60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3A9D200"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-0,42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4EA1F7F"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4C70848"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-0,75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2956E06"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9AABB0A"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-0,59 </w:t>
            </w:r>
          </w:p>
        </w:tc>
      </w:tr>
      <w:tr w:rsidR="00B2252E" w:rsidRPr="00B2252E" w14:paraId="66D6FD5F"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867DE79"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95 % konfidensinterval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3CEAF49"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B274981"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(-1,02; -0,18)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D3BA65E"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(-0,84; -0,00)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46A2915"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7B6E8A9"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(-1,20; -0,30)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F089A05"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809B0F8"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(-1,01; -0,16) </w:t>
            </w:r>
          </w:p>
        </w:tc>
      </w:tr>
      <w:tr w:rsidR="00B2252E" w:rsidRPr="00B2252E" w14:paraId="519CFC47"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0C31933"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p-værdi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7AAA4C0"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287F30D2"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0,005†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2809E50"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0,050†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0B463B7B"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20649E0D"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0,001†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4F100D52"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5DBF043"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0,007§ </w:t>
            </w:r>
          </w:p>
        </w:tc>
      </w:tr>
      <w:tr w:rsidR="00B2252E" w:rsidRPr="00B2252E" w14:paraId="6CA367DE" w14:textId="77777777">
        <w:trPr>
          <w:trHeight w:val="227"/>
          <w:jc w:val="center"/>
        </w:trPr>
        <w:tc>
          <w:tcPr>
            <w:tcW w:w="10141" w:type="dxa"/>
            <w:gridSpan w:val="8"/>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E8703A4"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b/>
                <w:sz w:val="22"/>
                <w:szCs w:val="22"/>
                <w:lang w:val="ru-RU" w:eastAsia="ru-RU"/>
              </w:rPr>
              <w:t>Tilfredshed med behandlingen – visuel analog skala (FAS) (sekundært)</w:t>
            </w:r>
          </w:p>
        </w:tc>
      </w:tr>
      <w:tr w:rsidR="00B2252E" w:rsidRPr="00B2252E" w14:paraId="0992722E"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3D49FD1"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n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1F03EB9F"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428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7472EC4E"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414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77E0595B"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425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74D0DCFC"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390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0BBAA32A"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387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1212403A"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377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6136ACDD"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388 </w:t>
            </w:r>
          </w:p>
        </w:tc>
      </w:tr>
      <w:tr w:rsidR="00B2252E" w:rsidRPr="00B2252E" w14:paraId="4EEA8DB3"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23304A9"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baseline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A4698D8"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4,11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1625AF4"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3,95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5481D3B"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3,87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A962B0F"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5,5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DFEDB5A"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5,4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532041A"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5,13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AD455C0"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5,13 </w:t>
            </w:r>
          </w:p>
        </w:tc>
      </w:tr>
      <w:tr w:rsidR="00B2252E" w:rsidRPr="00B2252E" w14:paraId="1042DDE2"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74AFBE6"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ændring fra baseline*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2AE614D"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1,89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6D78A08"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2,55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5D7448C"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2,44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E6DA16C"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0,7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ED6A219"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1,5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B156834"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1,05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F4B8BE5"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1,88 </w:t>
            </w:r>
          </w:p>
        </w:tc>
      </w:tr>
      <w:tr w:rsidR="00B2252E" w:rsidRPr="00B2252E" w14:paraId="15097CA8"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046ED28"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forskel i forhold til placebo*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C05115D"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978041D"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0,66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C429298"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0,55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0FEA4B1"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400DB1E"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0,8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FE2C5F1"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9D0A9A9"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0,83 </w:t>
            </w:r>
          </w:p>
        </w:tc>
      </w:tr>
      <w:tr w:rsidR="00B2252E" w:rsidRPr="00B2252E" w14:paraId="1CEC530F"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7FFFEB7"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95 % konfidensinterval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2DB8979"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B35BC60"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(0,25; 1,07)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7888B6A"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(0,14; 0,95)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C592180"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266E39F"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(0,4; 1,3)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0372679"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ECBD662"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(0,41; 1,25) </w:t>
            </w:r>
          </w:p>
        </w:tc>
      </w:tr>
      <w:tr w:rsidR="00B2252E" w:rsidRPr="00B2252E" w14:paraId="4E51E823" w14:textId="77777777">
        <w:trPr>
          <w:trHeight w:val="227"/>
          <w:jc w:val="center"/>
        </w:trPr>
        <w:tc>
          <w:tcPr>
            <w:tcW w:w="197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13B17D4"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p-værdi </w:t>
            </w:r>
          </w:p>
        </w:tc>
        <w:tc>
          <w:tcPr>
            <w:tcW w:w="850"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430DEE64"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44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087F4C05"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0,001† </w:t>
            </w:r>
          </w:p>
        </w:tc>
        <w:tc>
          <w:tcPr>
            <w:tcW w:w="138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16941F8E"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0,008† </w:t>
            </w:r>
          </w:p>
        </w:tc>
        <w:tc>
          <w:tcPr>
            <w:tcW w:w="844"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4B8B45DB"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401"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903B009"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&lt; 0,001† </w:t>
            </w:r>
          </w:p>
        </w:tc>
        <w:tc>
          <w:tcPr>
            <w:tcW w:w="84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5D851C10"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 </w:t>
            </w:r>
          </w:p>
        </w:tc>
        <w:tc>
          <w:tcPr>
            <w:tcW w:w="1399"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56928700"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 xml:space="preserve">&lt; 0,001† </w:t>
            </w:r>
          </w:p>
        </w:tc>
      </w:tr>
    </w:tbl>
    <w:p w14:paraId="37435816" w14:textId="77777777" w:rsidR="00B2252E" w:rsidRPr="00B2252E" w:rsidRDefault="00B2252E" w:rsidP="00B2252E">
      <w:pPr>
        <w:widowControl w:val="0"/>
        <w:suppressAutoHyphens/>
        <w:autoSpaceDE w:val="0"/>
        <w:autoSpaceDN w:val="0"/>
        <w:adjustRightInd w:val="0"/>
        <w:rPr>
          <w:sz w:val="20"/>
          <w:lang w:eastAsia="da-DK"/>
        </w:rPr>
      </w:pPr>
      <w:r w:rsidRPr="00B2252E">
        <w:rPr>
          <w:sz w:val="20"/>
          <w:lang w:eastAsia="da-DK"/>
        </w:rPr>
        <w:t xml:space="preserve">* Mindste kvadraters gennemsnit justeret for </w:t>
      </w:r>
      <w:r w:rsidRPr="00B2252E">
        <w:rPr>
          <w:i/>
          <w:sz w:val="20"/>
          <w:lang w:eastAsia="da-DK"/>
        </w:rPr>
        <w:t>baseline</w:t>
      </w:r>
      <w:r w:rsidRPr="00B2252E">
        <w:rPr>
          <w:sz w:val="20"/>
          <w:lang w:eastAsia="da-DK"/>
        </w:rPr>
        <w:t xml:space="preserve">, køn og geografisk region. </w:t>
      </w:r>
    </w:p>
    <w:p w14:paraId="2D9727E0" w14:textId="77777777" w:rsidR="00B2252E" w:rsidRPr="00B2252E" w:rsidRDefault="00B2252E" w:rsidP="00B2252E">
      <w:pPr>
        <w:widowControl w:val="0"/>
        <w:suppressAutoHyphens/>
        <w:autoSpaceDE w:val="0"/>
        <w:autoSpaceDN w:val="0"/>
        <w:adjustRightInd w:val="0"/>
        <w:rPr>
          <w:sz w:val="20"/>
          <w:lang w:eastAsia="da-DK"/>
        </w:rPr>
      </w:pPr>
      <w:r w:rsidRPr="00B2252E">
        <w:rPr>
          <w:sz w:val="20"/>
          <w:lang w:eastAsia="da-DK"/>
        </w:rPr>
        <w:t xml:space="preserve">† Statistisk signifikant overlegent sammenlignet med placebo ved 0,05-niveauet uden multiplicitetsjustering. </w:t>
      </w:r>
    </w:p>
    <w:p w14:paraId="1AE174B9" w14:textId="77777777" w:rsidR="00B2252E" w:rsidRPr="00B2252E" w:rsidRDefault="00B2252E" w:rsidP="00B2252E">
      <w:pPr>
        <w:widowControl w:val="0"/>
        <w:suppressAutoHyphens/>
        <w:autoSpaceDE w:val="0"/>
        <w:autoSpaceDN w:val="0"/>
        <w:adjustRightInd w:val="0"/>
        <w:ind w:left="10"/>
        <w:rPr>
          <w:sz w:val="20"/>
          <w:lang w:eastAsia="da-DK"/>
        </w:rPr>
      </w:pPr>
      <w:r w:rsidRPr="00B2252E">
        <w:rPr>
          <w:sz w:val="22"/>
          <w:szCs w:val="22"/>
          <w:lang w:eastAsia="da-DK"/>
        </w:rPr>
        <w:t xml:space="preserve">‡ </w:t>
      </w:r>
      <w:r w:rsidRPr="00B2252E">
        <w:rPr>
          <w:sz w:val="20"/>
          <w:lang w:eastAsia="da-DK"/>
        </w:rPr>
        <w:t xml:space="preserve">Statistisk signifikant overlegent sammenlignet med placebo ved 0,05-niveauet med multiplicitetsjustering. </w:t>
      </w:r>
    </w:p>
    <w:p w14:paraId="5647A776" w14:textId="77777777" w:rsidR="00B2252E" w:rsidRPr="00B2252E" w:rsidRDefault="00B2252E" w:rsidP="00B2252E">
      <w:pPr>
        <w:widowControl w:val="0"/>
        <w:suppressAutoHyphens/>
        <w:autoSpaceDE w:val="0"/>
        <w:autoSpaceDN w:val="0"/>
        <w:adjustRightInd w:val="0"/>
        <w:ind w:left="10"/>
        <w:rPr>
          <w:sz w:val="20"/>
          <w:lang w:eastAsia="da-DK"/>
        </w:rPr>
      </w:pPr>
      <w:r w:rsidRPr="00B2252E">
        <w:rPr>
          <w:sz w:val="22"/>
          <w:szCs w:val="22"/>
          <w:lang w:eastAsia="da-DK"/>
        </w:rPr>
        <w:t xml:space="preserve">§ </w:t>
      </w:r>
      <w:r w:rsidRPr="00B2252E">
        <w:rPr>
          <w:sz w:val="20"/>
          <w:lang w:eastAsia="da-DK"/>
        </w:rPr>
        <w:t xml:space="preserve">Ikke statistisk signifikant overlegent sammenlignet med placebo ved 0,05-niveauet med multiplicitetsjustering. </w:t>
      </w:r>
    </w:p>
    <w:p w14:paraId="15F033EF" w14:textId="77777777" w:rsidR="00B2252E" w:rsidRPr="00B2252E" w:rsidRDefault="00B2252E" w:rsidP="00B2252E">
      <w:pPr>
        <w:widowControl w:val="0"/>
        <w:suppressAutoHyphens/>
        <w:autoSpaceDE w:val="0"/>
        <w:autoSpaceDN w:val="0"/>
        <w:adjustRightInd w:val="0"/>
        <w:rPr>
          <w:sz w:val="20"/>
          <w:lang w:eastAsia="da-DK"/>
        </w:rPr>
      </w:pPr>
      <w:r w:rsidRPr="00B2252E">
        <w:rPr>
          <w:sz w:val="20"/>
          <w:lang w:eastAsia="da-DK"/>
        </w:rPr>
        <w:t xml:space="preserve">FAS: Fuldt analysesæt, alle randomiserede patienter, som tog mindst 1 dosis dobbeltblindt studielægemiddel, og som havde en vandladningsmåling i </w:t>
      </w:r>
      <w:r w:rsidRPr="00B2252E">
        <w:rPr>
          <w:i/>
          <w:sz w:val="20"/>
          <w:lang w:eastAsia="da-DK"/>
        </w:rPr>
        <w:t>baseline</w:t>
      </w:r>
      <w:r w:rsidRPr="00B2252E">
        <w:rPr>
          <w:sz w:val="20"/>
          <w:lang w:eastAsia="da-DK"/>
        </w:rPr>
        <w:t xml:space="preserve">-dagbogen og mindst 1 dagbog med en vandladningsmåling fra efter </w:t>
      </w:r>
      <w:r w:rsidRPr="00B2252E">
        <w:rPr>
          <w:i/>
          <w:sz w:val="20"/>
          <w:lang w:eastAsia="da-DK"/>
        </w:rPr>
        <w:t>baseline</w:t>
      </w:r>
      <w:r w:rsidRPr="00B2252E">
        <w:rPr>
          <w:sz w:val="20"/>
          <w:lang w:eastAsia="da-DK"/>
        </w:rPr>
        <w:t xml:space="preserve">-besøget. </w:t>
      </w:r>
    </w:p>
    <w:p w14:paraId="3B05180A" w14:textId="77777777" w:rsidR="00B2252E" w:rsidRPr="00B2252E" w:rsidRDefault="00B2252E" w:rsidP="00B2252E">
      <w:pPr>
        <w:widowControl w:val="0"/>
        <w:suppressAutoHyphens/>
        <w:autoSpaceDE w:val="0"/>
        <w:autoSpaceDN w:val="0"/>
        <w:adjustRightInd w:val="0"/>
        <w:rPr>
          <w:sz w:val="20"/>
          <w:lang w:eastAsia="da-DK"/>
        </w:rPr>
      </w:pPr>
      <w:r w:rsidRPr="00B2252E">
        <w:rPr>
          <w:sz w:val="20"/>
          <w:lang w:eastAsia="da-DK"/>
        </w:rPr>
        <w:t xml:space="preserve">FAS-I: Undergruppe af FAS, som også havde mindst 1 inkontinensepisode i </w:t>
      </w:r>
      <w:r w:rsidRPr="00B2252E">
        <w:rPr>
          <w:i/>
          <w:sz w:val="20"/>
          <w:lang w:eastAsia="da-DK"/>
        </w:rPr>
        <w:t>baseline</w:t>
      </w:r>
      <w:r w:rsidRPr="00B2252E">
        <w:rPr>
          <w:sz w:val="20"/>
          <w:lang w:eastAsia="da-DK"/>
        </w:rPr>
        <w:t xml:space="preserve">-dagbogen. </w:t>
      </w:r>
    </w:p>
    <w:p w14:paraId="066ADCF6" w14:textId="77777777" w:rsidR="00527CF5" w:rsidRDefault="00527CF5" w:rsidP="004931E3">
      <w:pPr>
        <w:tabs>
          <w:tab w:val="left" w:pos="851"/>
        </w:tabs>
        <w:ind w:left="851"/>
        <w:rPr>
          <w:sz w:val="24"/>
          <w:szCs w:val="24"/>
        </w:rPr>
      </w:pPr>
    </w:p>
    <w:p w14:paraId="353E0437" w14:textId="77777777" w:rsidR="00B2252E" w:rsidRPr="00B2252E" w:rsidRDefault="00B2252E" w:rsidP="00B2252E">
      <w:pPr>
        <w:tabs>
          <w:tab w:val="left" w:pos="851"/>
        </w:tabs>
        <w:ind w:left="851"/>
        <w:rPr>
          <w:sz w:val="24"/>
          <w:szCs w:val="24"/>
        </w:rPr>
      </w:pPr>
      <w:r w:rsidRPr="00B2252E">
        <w:rPr>
          <w:sz w:val="24"/>
          <w:szCs w:val="24"/>
        </w:rPr>
        <w:t xml:space="preserve">Mirabegron 50 mg én gang dagligt var effektivt på tidspunktet for første måling, uge 4, og virkningen blev opretholdt i hele 12-ugers behandlingsperioden. Et randomiseret aktivt kontrolleret langtidsstudie påviste, at virkningen blev opretholdt under hele forløbet af en 1-års behandlingsperiode. </w:t>
      </w:r>
    </w:p>
    <w:p w14:paraId="27348A8C" w14:textId="77777777" w:rsidR="00B2252E" w:rsidRPr="00B2252E" w:rsidRDefault="00B2252E" w:rsidP="00B2252E">
      <w:pPr>
        <w:tabs>
          <w:tab w:val="left" w:pos="851"/>
        </w:tabs>
        <w:ind w:left="851"/>
        <w:rPr>
          <w:sz w:val="24"/>
          <w:szCs w:val="24"/>
        </w:rPr>
      </w:pPr>
      <w:r w:rsidRPr="00B2252E">
        <w:rPr>
          <w:sz w:val="24"/>
          <w:szCs w:val="24"/>
        </w:rPr>
        <w:t xml:space="preserve"> </w:t>
      </w:r>
    </w:p>
    <w:p w14:paraId="25B3EB29" w14:textId="77777777" w:rsidR="00B2252E" w:rsidRPr="00B2252E" w:rsidRDefault="00B2252E" w:rsidP="00B2252E">
      <w:pPr>
        <w:tabs>
          <w:tab w:val="left" w:pos="851"/>
        </w:tabs>
        <w:ind w:left="851"/>
        <w:rPr>
          <w:sz w:val="24"/>
          <w:szCs w:val="24"/>
        </w:rPr>
      </w:pPr>
      <w:r w:rsidRPr="00B2252E">
        <w:rPr>
          <w:i/>
          <w:sz w:val="24"/>
          <w:szCs w:val="24"/>
        </w:rPr>
        <w:t>Subjektiv forbedring i målinger af helbredsrelateret livskvalitet</w:t>
      </w:r>
      <w:r w:rsidRPr="00B2252E">
        <w:rPr>
          <w:sz w:val="24"/>
          <w:szCs w:val="24"/>
        </w:rPr>
        <w:t xml:space="preserve"> </w:t>
      </w:r>
    </w:p>
    <w:p w14:paraId="0251569F" w14:textId="77777777" w:rsidR="00B2252E" w:rsidRPr="00B2252E" w:rsidRDefault="00B2252E" w:rsidP="00B2252E">
      <w:pPr>
        <w:tabs>
          <w:tab w:val="left" w:pos="851"/>
        </w:tabs>
        <w:ind w:left="851"/>
        <w:rPr>
          <w:sz w:val="24"/>
          <w:szCs w:val="24"/>
        </w:rPr>
      </w:pPr>
      <w:r w:rsidRPr="00B2252E">
        <w:rPr>
          <w:sz w:val="24"/>
          <w:szCs w:val="24"/>
        </w:rPr>
        <w:t xml:space="preserve">I de tre 12-ugers dobbeltblinde placebokontrollerede fase 3-studier resulterede behandling af symptomerne på OAB med mirabegron én gang dagligt i en statistisk signifikant forbedring i forhold til placebo for følgende mål for helbredsrelateret livskvalitet: tilfredshed med behandlingen og symptomgener. </w:t>
      </w:r>
    </w:p>
    <w:p w14:paraId="0574B342" w14:textId="77777777" w:rsidR="00B2252E" w:rsidRPr="00B2252E" w:rsidRDefault="00B2252E" w:rsidP="00B2252E">
      <w:pPr>
        <w:tabs>
          <w:tab w:val="left" w:pos="851"/>
        </w:tabs>
        <w:ind w:left="851"/>
        <w:rPr>
          <w:sz w:val="24"/>
          <w:szCs w:val="24"/>
        </w:rPr>
      </w:pPr>
      <w:r w:rsidRPr="00B2252E">
        <w:rPr>
          <w:sz w:val="24"/>
          <w:szCs w:val="24"/>
        </w:rPr>
        <w:t xml:space="preserve"> </w:t>
      </w:r>
    </w:p>
    <w:p w14:paraId="690DA5DF" w14:textId="77777777" w:rsidR="00B2252E" w:rsidRPr="00B2252E" w:rsidRDefault="00B2252E" w:rsidP="00B2252E">
      <w:pPr>
        <w:tabs>
          <w:tab w:val="left" w:pos="851"/>
        </w:tabs>
        <w:ind w:left="851"/>
        <w:rPr>
          <w:sz w:val="24"/>
          <w:szCs w:val="24"/>
        </w:rPr>
      </w:pPr>
      <w:r w:rsidRPr="00B2252E">
        <w:rPr>
          <w:i/>
          <w:sz w:val="24"/>
          <w:szCs w:val="24"/>
        </w:rPr>
        <w:t>Virkning hos patienter med eller uden tidligere antimuskarin OAB-behandling</w:t>
      </w:r>
      <w:r w:rsidRPr="00B2252E">
        <w:rPr>
          <w:sz w:val="24"/>
          <w:szCs w:val="24"/>
        </w:rPr>
        <w:t xml:space="preserve"> </w:t>
      </w:r>
    </w:p>
    <w:p w14:paraId="4BA14401" w14:textId="77777777" w:rsidR="00B2252E" w:rsidRPr="00B2252E" w:rsidRDefault="00B2252E" w:rsidP="00B2252E">
      <w:pPr>
        <w:tabs>
          <w:tab w:val="left" w:pos="851"/>
        </w:tabs>
        <w:ind w:left="851"/>
        <w:rPr>
          <w:sz w:val="24"/>
          <w:szCs w:val="24"/>
        </w:rPr>
      </w:pPr>
      <w:r w:rsidRPr="00B2252E">
        <w:rPr>
          <w:sz w:val="24"/>
          <w:szCs w:val="24"/>
        </w:rPr>
        <w:t xml:space="preserve">Der blev påvist virkning hos patienter med og uden tidligere antimuskarin OAB-behandling. Mirabegron udviste desuden virkning hos patienter, der tidligere havde fået seponeret antimuskarin OAB-behandling som følge af utilstrækkelig virkning (se tabel 5). </w:t>
      </w:r>
    </w:p>
    <w:p w14:paraId="6A3D3800" w14:textId="0D5D90C6" w:rsidR="00B2252E" w:rsidRDefault="00B2252E">
      <w:pPr>
        <w:rPr>
          <w:sz w:val="24"/>
          <w:szCs w:val="24"/>
        </w:rPr>
      </w:pPr>
      <w:r>
        <w:rPr>
          <w:sz w:val="24"/>
          <w:szCs w:val="24"/>
        </w:rPr>
        <w:br w:type="page"/>
      </w:r>
    </w:p>
    <w:p w14:paraId="5987A2AB" w14:textId="77777777" w:rsidR="00527CF5" w:rsidRDefault="00527CF5" w:rsidP="004931E3">
      <w:pPr>
        <w:tabs>
          <w:tab w:val="left" w:pos="851"/>
        </w:tabs>
        <w:ind w:left="851"/>
        <w:rPr>
          <w:sz w:val="24"/>
          <w:szCs w:val="24"/>
        </w:rPr>
      </w:pPr>
    </w:p>
    <w:p w14:paraId="665BEFAD" w14:textId="77777777" w:rsidR="00B2252E" w:rsidRPr="00B2252E" w:rsidRDefault="00B2252E" w:rsidP="00B2252E">
      <w:pPr>
        <w:widowControl w:val="0"/>
        <w:suppressAutoHyphens/>
        <w:autoSpaceDE w:val="0"/>
        <w:autoSpaceDN w:val="0"/>
        <w:adjustRightInd w:val="0"/>
        <w:ind w:left="142"/>
        <w:rPr>
          <w:b/>
          <w:sz w:val="22"/>
          <w:szCs w:val="22"/>
          <w:lang w:eastAsia="da-DK"/>
        </w:rPr>
      </w:pPr>
      <w:r w:rsidRPr="00B2252E">
        <w:rPr>
          <w:b/>
          <w:sz w:val="22"/>
          <w:szCs w:val="22"/>
          <w:lang w:eastAsia="da-DK"/>
        </w:rPr>
        <w:t>Tabel 5:</w:t>
      </w:r>
      <w:r w:rsidRPr="00B2252E">
        <w:rPr>
          <w:sz w:val="22"/>
          <w:szCs w:val="22"/>
          <w:lang w:eastAsia="da-DK"/>
        </w:rPr>
        <w:t xml:space="preserve"> </w:t>
      </w:r>
      <w:r w:rsidRPr="00B2252E">
        <w:rPr>
          <w:b/>
          <w:sz w:val="22"/>
          <w:szCs w:val="22"/>
          <w:lang w:eastAsia="da-DK"/>
        </w:rPr>
        <w:t>Co-primære virkningsendepunkter for voksne patienter med tidligere antimuskarin OAB-behandling</w:t>
      </w:r>
    </w:p>
    <w:tbl>
      <w:tblPr>
        <w:tblW w:w="9306" w:type="dxa"/>
        <w:jc w:val="center"/>
        <w:tblCellMar>
          <w:top w:w="58" w:type="dxa"/>
          <w:bottom w:w="7" w:type="dxa"/>
          <w:right w:w="53" w:type="dxa"/>
        </w:tblCellMar>
        <w:tblLook w:val="04A0" w:firstRow="1" w:lastRow="0" w:firstColumn="1" w:lastColumn="0" w:noHBand="0" w:noVBand="1"/>
      </w:tblPr>
      <w:tblGrid>
        <w:gridCol w:w="3232"/>
        <w:gridCol w:w="996"/>
        <w:gridCol w:w="1395"/>
        <w:gridCol w:w="953"/>
        <w:gridCol w:w="1397"/>
        <w:gridCol w:w="1333"/>
      </w:tblGrid>
      <w:tr w:rsidR="00B2252E" w:rsidRPr="00B2252E" w14:paraId="3F6A60A1" w14:textId="77777777">
        <w:trPr>
          <w:trHeight w:val="227"/>
          <w:jc w:val="center"/>
        </w:trPr>
        <w:tc>
          <w:tcPr>
            <w:tcW w:w="3232" w:type="dxa"/>
            <w:vMerge w:val="restart"/>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bottom"/>
            <w:hideMark/>
          </w:tcPr>
          <w:p w14:paraId="7006BB07"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b/>
                <w:sz w:val="22"/>
                <w:szCs w:val="22"/>
                <w:lang w:val="ru-RU" w:eastAsia="ru-RU"/>
              </w:rPr>
              <w:t>Parameter</w:t>
            </w:r>
          </w:p>
        </w:tc>
        <w:tc>
          <w:tcPr>
            <w:tcW w:w="2391" w:type="dxa"/>
            <w:gridSpan w:val="2"/>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D41ED0F" w14:textId="77777777" w:rsidR="00B2252E" w:rsidRPr="00B2252E" w:rsidRDefault="00B2252E" w:rsidP="00B2252E">
            <w:pPr>
              <w:widowControl w:val="0"/>
              <w:suppressAutoHyphens/>
              <w:autoSpaceDE w:val="0"/>
              <w:autoSpaceDN w:val="0"/>
              <w:adjustRightInd w:val="0"/>
              <w:jc w:val="center"/>
              <w:rPr>
                <w:b/>
                <w:sz w:val="22"/>
                <w:szCs w:val="22"/>
                <w:lang w:val="ru-RU" w:eastAsia="ru-RU"/>
              </w:rPr>
            </w:pPr>
            <w:r w:rsidRPr="00B2252E">
              <w:rPr>
                <w:b/>
                <w:sz w:val="22"/>
                <w:szCs w:val="22"/>
                <w:lang w:val="ru-RU" w:eastAsia="ru-RU"/>
              </w:rPr>
              <w:t xml:space="preserve">Poolede studier </w:t>
            </w:r>
          </w:p>
          <w:p w14:paraId="7530397A"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b/>
                <w:sz w:val="22"/>
                <w:szCs w:val="22"/>
                <w:lang w:val="ru-RU" w:eastAsia="ru-RU"/>
              </w:rPr>
              <w:t>(046, 047, 074)</w:t>
            </w:r>
          </w:p>
        </w:tc>
        <w:tc>
          <w:tcPr>
            <w:tcW w:w="3683" w:type="dxa"/>
            <w:gridSpan w:val="3"/>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61A0623"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b/>
                <w:sz w:val="22"/>
                <w:szCs w:val="22"/>
                <w:lang w:val="ru-RU" w:eastAsia="ru-RU"/>
              </w:rPr>
              <w:t>Studie 046</w:t>
            </w:r>
          </w:p>
        </w:tc>
      </w:tr>
      <w:tr w:rsidR="00B2252E" w:rsidRPr="00B2252E" w14:paraId="6E5DB1D0" w14:textId="77777777">
        <w:trPr>
          <w:trHeight w:val="227"/>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F09DA40" w14:textId="77777777" w:rsidR="00B2252E" w:rsidRPr="00B2252E" w:rsidRDefault="00B2252E" w:rsidP="00B2252E">
            <w:pPr>
              <w:rPr>
                <w:sz w:val="22"/>
                <w:szCs w:val="22"/>
                <w:lang w:val="ru-RU" w:eastAsia="ru-RU"/>
              </w:rPr>
            </w:pPr>
          </w:p>
        </w:tc>
        <w:tc>
          <w:tcPr>
            <w:tcW w:w="99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806BA51"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b/>
                <w:sz w:val="22"/>
                <w:szCs w:val="22"/>
                <w:lang w:val="ru-RU" w:eastAsia="ru-RU"/>
              </w:rPr>
              <w:t>Placebo</w:t>
            </w:r>
          </w:p>
        </w:tc>
        <w:tc>
          <w:tcPr>
            <w:tcW w:w="1395"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5269302"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b/>
                <w:sz w:val="22"/>
                <w:szCs w:val="22"/>
                <w:lang w:val="ru-RU" w:eastAsia="ru-RU"/>
              </w:rPr>
              <w:t>Mirabegron 50 mg</w:t>
            </w:r>
          </w:p>
        </w:tc>
        <w:tc>
          <w:tcPr>
            <w:tcW w:w="95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3E2AEE9"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b/>
                <w:sz w:val="22"/>
                <w:szCs w:val="22"/>
                <w:lang w:val="ru-RU" w:eastAsia="ru-RU"/>
              </w:rPr>
              <w:t>Placebo</w:t>
            </w:r>
          </w:p>
        </w:tc>
        <w:tc>
          <w:tcPr>
            <w:tcW w:w="139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A5CEBCB"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b/>
                <w:sz w:val="22"/>
                <w:szCs w:val="22"/>
                <w:lang w:val="ru-RU" w:eastAsia="ru-RU"/>
              </w:rPr>
              <w:t>Mirabegron 50 mg</w:t>
            </w:r>
          </w:p>
        </w:tc>
        <w:tc>
          <w:tcPr>
            <w:tcW w:w="133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9CED211"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b/>
                <w:sz w:val="22"/>
                <w:szCs w:val="22"/>
                <w:lang w:val="ru-RU" w:eastAsia="ru-RU"/>
              </w:rPr>
              <w:t>Tolterodin ER 4 mg</w:t>
            </w:r>
          </w:p>
        </w:tc>
      </w:tr>
      <w:tr w:rsidR="00B2252E" w:rsidRPr="00B2252E" w14:paraId="65ECA18A" w14:textId="77777777">
        <w:trPr>
          <w:trHeight w:val="397"/>
          <w:jc w:val="center"/>
        </w:trPr>
        <w:tc>
          <w:tcPr>
            <w:tcW w:w="9306" w:type="dxa"/>
            <w:gridSpan w:val="6"/>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1B7B5806" w14:textId="77777777" w:rsidR="00B2252E" w:rsidRPr="00B2252E" w:rsidRDefault="00B2252E" w:rsidP="00B2252E">
            <w:pPr>
              <w:widowControl w:val="0"/>
              <w:suppressAutoHyphens/>
              <w:autoSpaceDE w:val="0"/>
              <w:autoSpaceDN w:val="0"/>
              <w:adjustRightInd w:val="0"/>
              <w:ind w:left="57"/>
              <w:rPr>
                <w:b/>
                <w:sz w:val="22"/>
                <w:szCs w:val="22"/>
                <w:lang w:val="ru-RU" w:eastAsia="ru-RU"/>
              </w:rPr>
            </w:pPr>
            <w:r w:rsidRPr="00B2252E">
              <w:rPr>
                <w:b/>
                <w:sz w:val="22"/>
                <w:szCs w:val="22"/>
                <w:lang w:val="ru-RU" w:eastAsia="ru-RU"/>
              </w:rPr>
              <w:t>Patienter med tidligere antimuskarin OAB-behandling</w:t>
            </w:r>
          </w:p>
        </w:tc>
      </w:tr>
      <w:tr w:rsidR="00B2252E" w:rsidRPr="00B2252E" w14:paraId="4AC3A29A" w14:textId="77777777">
        <w:trPr>
          <w:trHeight w:val="227"/>
          <w:jc w:val="center"/>
        </w:trPr>
        <w:tc>
          <w:tcPr>
            <w:tcW w:w="9306" w:type="dxa"/>
            <w:gridSpan w:val="6"/>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1FE1049"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b/>
                <w:sz w:val="22"/>
                <w:szCs w:val="22"/>
                <w:lang w:val="ru-RU" w:eastAsia="ru-RU"/>
              </w:rPr>
              <w:t>Gennemsnitligt antal inkontinensepisoder pr. 24 timer (FAS</w:t>
            </w:r>
            <w:r w:rsidRPr="00B2252E">
              <w:rPr>
                <w:sz w:val="22"/>
                <w:szCs w:val="22"/>
                <w:lang w:val="ru-RU" w:eastAsia="ru-RU"/>
              </w:rPr>
              <w:t>-</w:t>
            </w:r>
            <w:r w:rsidRPr="00B2252E">
              <w:rPr>
                <w:b/>
                <w:sz w:val="22"/>
                <w:szCs w:val="22"/>
                <w:lang w:val="ru-RU" w:eastAsia="ru-RU"/>
              </w:rPr>
              <w:t>I)</w:t>
            </w:r>
            <w:r w:rsidRPr="00B2252E">
              <w:rPr>
                <w:sz w:val="22"/>
                <w:szCs w:val="22"/>
                <w:lang w:val="ru-RU" w:eastAsia="ru-RU"/>
              </w:rPr>
              <w:t xml:space="preserve"> </w:t>
            </w:r>
          </w:p>
        </w:tc>
      </w:tr>
      <w:tr w:rsidR="00B2252E" w:rsidRPr="00B2252E" w14:paraId="035A8880" w14:textId="77777777">
        <w:trPr>
          <w:trHeight w:val="227"/>
          <w:jc w:val="center"/>
        </w:trPr>
        <w:tc>
          <w:tcPr>
            <w:tcW w:w="3232"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E41BEDE"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n </w:t>
            </w:r>
          </w:p>
        </w:tc>
        <w:tc>
          <w:tcPr>
            <w:tcW w:w="99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B442B15"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518</w:t>
            </w:r>
          </w:p>
        </w:tc>
        <w:tc>
          <w:tcPr>
            <w:tcW w:w="1395"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13595B4"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506</w:t>
            </w:r>
          </w:p>
        </w:tc>
        <w:tc>
          <w:tcPr>
            <w:tcW w:w="95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FBCE265"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167</w:t>
            </w:r>
          </w:p>
        </w:tc>
        <w:tc>
          <w:tcPr>
            <w:tcW w:w="139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C462BE3"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164</w:t>
            </w:r>
          </w:p>
        </w:tc>
        <w:tc>
          <w:tcPr>
            <w:tcW w:w="133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B0E6C38"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160</w:t>
            </w:r>
          </w:p>
        </w:tc>
      </w:tr>
      <w:tr w:rsidR="00B2252E" w:rsidRPr="00B2252E" w14:paraId="07D26C3B" w14:textId="77777777">
        <w:trPr>
          <w:trHeight w:val="227"/>
          <w:jc w:val="center"/>
        </w:trPr>
        <w:tc>
          <w:tcPr>
            <w:tcW w:w="3232"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333360C"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w:t>
            </w:r>
            <w:r w:rsidRPr="00B2252E">
              <w:rPr>
                <w:i/>
                <w:sz w:val="22"/>
                <w:szCs w:val="22"/>
                <w:lang w:val="ru-RU" w:eastAsia="ru-RU"/>
              </w:rPr>
              <w:t>baseline</w:t>
            </w:r>
            <w:r w:rsidRPr="00B2252E">
              <w:rPr>
                <w:sz w:val="22"/>
                <w:szCs w:val="22"/>
                <w:lang w:val="ru-RU" w:eastAsia="ru-RU"/>
              </w:rPr>
              <w:t xml:space="preserve"> </w:t>
            </w:r>
          </w:p>
        </w:tc>
        <w:tc>
          <w:tcPr>
            <w:tcW w:w="99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EAD2FE5"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2,93</w:t>
            </w:r>
          </w:p>
        </w:tc>
        <w:tc>
          <w:tcPr>
            <w:tcW w:w="1395"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5132D3E"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2,98</w:t>
            </w:r>
          </w:p>
        </w:tc>
        <w:tc>
          <w:tcPr>
            <w:tcW w:w="95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BBBA78B"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2,97</w:t>
            </w:r>
          </w:p>
        </w:tc>
        <w:tc>
          <w:tcPr>
            <w:tcW w:w="139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91781CB"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3,31</w:t>
            </w:r>
          </w:p>
        </w:tc>
        <w:tc>
          <w:tcPr>
            <w:tcW w:w="133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5DB4427"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2,86</w:t>
            </w:r>
          </w:p>
        </w:tc>
      </w:tr>
      <w:tr w:rsidR="00B2252E" w:rsidRPr="00B2252E" w14:paraId="14C23A31" w14:textId="77777777">
        <w:trPr>
          <w:trHeight w:val="227"/>
          <w:jc w:val="center"/>
        </w:trPr>
        <w:tc>
          <w:tcPr>
            <w:tcW w:w="3232"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E8EC1AA"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ændring fra </w:t>
            </w:r>
            <w:r w:rsidRPr="00B2252E">
              <w:rPr>
                <w:i/>
                <w:sz w:val="22"/>
                <w:szCs w:val="22"/>
                <w:lang w:val="ru-RU" w:eastAsia="ru-RU"/>
              </w:rPr>
              <w:t>baseline</w:t>
            </w:r>
            <w:r w:rsidRPr="00B2252E">
              <w:rPr>
                <w:sz w:val="22"/>
                <w:szCs w:val="22"/>
                <w:lang w:val="ru-RU" w:eastAsia="ru-RU"/>
              </w:rPr>
              <w:t xml:space="preserve">* </w:t>
            </w:r>
          </w:p>
        </w:tc>
        <w:tc>
          <w:tcPr>
            <w:tcW w:w="99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5A8735F"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-0,92</w:t>
            </w:r>
          </w:p>
        </w:tc>
        <w:tc>
          <w:tcPr>
            <w:tcW w:w="1395"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1A5ECA79"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-1,49</w:t>
            </w:r>
          </w:p>
        </w:tc>
        <w:tc>
          <w:tcPr>
            <w:tcW w:w="95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418A37F5"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-1,00</w:t>
            </w:r>
          </w:p>
        </w:tc>
        <w:tc>
          <w:tcPr>
            <w:tcW w:w="139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6E918E17"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-1,48</w:t>
            </w:r>
          </w:p>
        </w:tc>
        <w:tc>
          <w:tcPr>
            <w:tcW w:w="133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6104EB42"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-1,10</w:t>
            </w:r>
          </w:p>
        </w:tc>
      </w:tr>
      <w:tr w:rsidR="00B2252E" w:rsidRPr="00B2252E" w14:paraId="4CE58AA5" w14:textId="77777777">
        <w:trPr>
          <w:trHeight w:val="227"/>
          <w:jc w:val="center"/>
        </w:trPr>
        <w:tc>
          <w:tcPr>
            <w:tcW w:w="3232"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A3F1CE6"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forskel i forhold til placebo* </w:t>
            </w:r>
          </w:p>
        </w:tc>
        <w:tc>
          <w:tcPr>
            <w:tcW w:w="99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62449F1C"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1395"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7D98E33D"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-0,57</w:t>
            </w:r>
          </w:p>
        </w:tc>
        <w:tc>
          <w:tcPr>
            <w:tcW w:w="95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6D5294D7"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139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1424FBB6"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-0,48</w:t>
            </w:r>
          </w:p>
        </w:tc>
        <w:tc>
          <w:tcPr>
            <w:tcW w:w="133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69D9357A"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-0,10</w:t>
            </w:r>
          </w:p>
        </w:tc>
      </w:tr>
      <w:tr w:rsidR="00B2252E" w:rsidRPr="00B2252E" w14:paraId="79ACC506" w14:textId="77777777">
        <w:trPr>
          <w:trHeight w:val="227"/>
          <w:jc w:val="center"/>
        </w:trPr>
        <w:tc>
          <w:tcPr>
            <w:tcW w:w="3232"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D04C96A"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95 % konfidensinterval </w:t>
            </w:r>
          </w:p>
        </w:tc>
        <w:tc>
          <w:tcPr>
            <w:tcW w:w="99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BAFA971"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1395"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D044E41"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(-0,81; -0,33)</w:t>
            </w:r>
          </w:p>
        </w:tc>
        <w:tc>
          <w:tcPr>
            <w:tcW w:w="95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93B1DA2"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139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BEC99CE"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(-0,90; -0,06)</w:t>
            </w:r>
          </w:p>
        </w:tc>
        <w:tc>
          <w:tcPr>
            <w:tcW w:w="133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ED55864"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(-0,52; 0,32)</w:t>
            </w:r>
          </w:p>
        </w:tc>
      </w:tr>
      <w:tr w:rsidR="00B2252E" w:rsidRPr="00B2252E" w14:paraId="0E3EB4FA" w14:textId="77777777">
        <w:trPr>
          <w:trHeight w:val="227"/>
          <w:jc w:val="center"/>
        </w:trPr>
        <w:tc>
          <w:tcPr>
            <w:tcW w:w="9306" w:type="dxa"/>
            <w:gridSpan w:val="6"/>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40F6911"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b/>
                <w:sz w:val="22"/>
                <w:szCs w:val="22"/>
                <w:lang w:val="ru-RU" w:eastAsia="ru-RU"/>
              </w:rPr>
              <w:t>Gennemsnitligt antal vandladninger pr. 24 timer (FAS)</w:t>
            </w:r>
            <w:r w:rsidRPr="00B2252E">
              <w:rPr>
                <w:sz w:val="22"/>
                <w:szCs w:val="22"/>
                <w:lang w:val="ru-RU" w:eastAsia="ru-RU"/>
              </w:rPr>
              <w:t xml:space="preserve"> </w:t>
            </w:r>
          </w:p>
        </w:tc>
      </w:tr>
      <w:tr w:rsidR="00B2252E" w:rsidRPr="00B2252E" w14:paraId="2556D5D4" w14:textId="77777777">
        <w:trPr>
          <w:trHeight w:val="227"/>
          <w:jc w:val="center"/>
        </w:trPr>
        <w:tc>
          <w:tcPr>
            <w:tcW w:w="3232"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6B1A1C8"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n </w:t>
            </w:r>
          </w:p>
        </w:tc>
        <w:tc>
          <w:tcPr>
            <w:tcW w:w="99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79829A8"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704</w:t>
            </w:r>
          </w:p>
        </w:tc>
        <w:tc>
          <w:tcPr>
            <w:tcW w:w="1395"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382EE1E"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688</w:t>
            </w:r>
          </w:p>
        </w:tc>
        <w:tc>
          <w:tcPr>
            <w:tcW w:w="95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0F5D7CE"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238</w:t>
            </w:r>
          </w:p>
        </w:tc>
        <w:tc>
          <w:tcPr>
            <w:tcW w:w="139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264CAAF"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240</w:t>
            </w:r>
          </w:p>
        </w:tc>
        <w:tc>
          <w:tcPr>
            <w:tcW w:w="133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FC0750A"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231</w:t>
            </w:r>
          </w:p>
        </w:tc>
      </w:tr>
      <w:tr w:rsidR="00B2252E" w:rsidRPr="00B2252E" w14:paraId="2DC82F82" w14:textId="77777777">
        <w:trPr>
          <w:trHeight w:val="227"/>
          <w:jc w:val="center"/>
        </w:trPr>
        <w:tc>
          <w:tcPr>
            <w:tcW w:w="3232"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F55EDA6"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w:t>
            </w:r>
            <w:r w:rsidRPr="00B2252E">
              <w:rPr>
                <w:i/>
                <w:sz w:val="22"/>
                <w:szCs w:val="22"/>
                <w:lang w:val="ru-RU" w:eastAsia="ru-RU"/>
              </w:rPr>
              <w:t>baseline</w:t>
            </w:r>
            <w:r w:rsidRPr="00B2252E">
              <w:rPr>
                <w:sz w:val="22"/>
                <w:szCs w:val="22"/>
                <w:lang w:val="ru-RU" w:eastAsia="ru-RU"/>
              </w:rPr>
              <w:t xml:space="preserve"> </w:t>
            </w:r>
          </w:p>
        </w:tc>
        <w:tc>
          <w:tcPr>
            <w:tcW w:w="99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E8AC5A7"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11,53</w:t>
            </w:r>
          </w:p>
        </w:tc>
        <w:tc>
          <w:tcPr>
            <w:tcW w:w="1395"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CCD9B64"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11,78</w:t>
            </w:r>
          </w:p>
        </w:tc>
        <w:tc>
          <w:tcPr>
            <w:tcW w:w="95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6CF31C1"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11,90</w:t>
            </w:r>
          </w:p>
        </w:tc>
        <w:tc>
          <w:tcPr>
            <w:tcW w:w="139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5B49E90"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11,85</w:t>
            </w:r>
          </w:p>
        </w:tc>
        <w:tc>
          <w:tcPr>
            <w:tcW w:w="133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D33F844"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11,76</w:t>
            </w:r>
          </w:p>
        </w:tc>
      </w:tr>
      <w:tr w:rsidR="00B2252E" w:rsidRPr="00B2252E" w14:paraId="2D5D723F" w14:textId="77777777">
        <w:trPr>
          <w:trHeight w:val="227"/>
          <w:jc w:val="center"/>
        </w:trPr>
        <w:tc>
          <w:tcPr>
            <w:tcW w:w="3232"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3D349CB"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ændring fra </w:t>
            </w:r>
            <w:r w:rsidRPr="00B2252E">
              <w:rPr>
                <w:i/>
                <w:sz w:val="22"/>
                <w:szCs w:val="22"/>
                <w:lang w:val="ru-RU" w:eastAsia="ru-RU"/>
              </w:rPr>
              <w:t>baseline</w:t>
            </w:r>
            <w:r w:rsidRPr="00B2252E">
              <w:rPr>
                <w:sz w:val="22"/>
                <w:szCs w:val="22"/>
                <w:lang w:val="ru-RU" w:eastAsia="ru-RU"/>
              </w:rPr>
              <w:t xml:space="preserve">* </w:t>
            </w:r>
          </w:p>
        </w:tc>
        <w:tc>
          <w:tcPr>
            <w:tcW w:w="99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0BC2DA19"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-0,93</w:t>
            </w:r>
          </w:p>
        </w:tc>
        <w:tc>
          <w:tcPr>
            <w:tcW w:w="1395"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4D35B38B"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-1,67</w:t>
            </w:r>
          </w:p>
        </w:tc>
        <w:tc>
          <w:tcPr>
            <w:tcW w:w="95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2035B9C2"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-1,06</w:t>
            </w:r>
          </w:p>
        </w:tc>
        <w:tc>
          <w:tcPr>
            <w:tcW w:w="139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48240E49"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-1,74</w:t>
            </w:r>
          </w:p>
        </w:tc>
        <w:tc>
          <w:tcPr>
            <w:tcW w:w="133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2A44D2F3"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-1,26</w:t>
            </w:r>
          </w:p>
        </w:tc>
      </w:tr>
      <w:tr w:rsidR="00B2252E" w:rsidRPr="00B2252E" w14:paraId="4251A7D8" w14:textId="77777777">
        <w:trPr>
          <w:trHeight w:val="227"/>
          <w:jc w:val="center"/>
        </w:trPr>
        <w:tc>
          <w:tcPr>
            <w:tcW w:w="3232"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4F496AD"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forskel i forhold til placebo* </w:t>
            </w:r>
          </w:p>
        </w:tc>
        <w:tc>
          <w:tcPr>
            <w:tcW w:w="99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6645691A"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1395"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0FDDE6D6"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-0,74</w:t>
            </w:r>
          </w:p>
        </w:tc>
        <w:tc>
          <w:tcPr>
            <w:tcW w:w="95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4EED51CB"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139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0167BF7A"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-0,68</w:t>
            </w:r>
          </w:p>
        </w:tc>
        <w:tc>
          <w:tcPr>
            <w:tcW w:w="133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04295FED"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-0,20</w:t>
            </w:r>
          </w:p>
        </w:tc>
      </w:tr>
      <w:tr w:rsidR="00B2252E" w:rsidRPr="00B2252E" w14:paraId="5648DA4C" w14:textId="77777777">
        <w:trPr>
          <w:trHeight w:val="227"/>
          <w:jc w:val="center"/>
        </w:trPr>
        <w:tc>
          <w:tcPr>
            <w:tcW w:w="3232"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1A0D6E7"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95 % konfidensinterval </w:t>
            </w:r>
          </w:p>
        </w:tc>
        <w:tc>
          <w:tcPr>
            <w:tcW w:w="99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26136CF"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1395"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6806357"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(-1,01; -0,47)</w:t>
            </w:r>
          </w:p>
        </w:tc>
        <w:tc>
          <w:tcPr>
            <w:tcW w:w="95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66FC6AB"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139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9253B3B"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(-1,12; -0,25)</w:t>
            </w:r>
          </w:p>
        </w:tc>
        <w:tc>
          <w:tcPr>
            <w:tcW w:w="133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45E073E"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(-0,64; 0,23)</w:t>
            </w:r>
          </w:p>
        </w:tc>
      </w:tr>
      <w:tr w:rsidR="00B2252E" w:rsidRPr="00B2252E" w14:paraId="395BE93E" w14:textId="77777777">
        <w:trPr>
          <w:trHeight w:val="624"/>
          <w:jc w:val="center"/>
        </w:trPr>
        <w:tc>
          <w:tcPr>
            <w:tcW w:w="9306" w:type="dxa"/>
            <w:gridSpan w:val="6"/>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43EB6A5A"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b/>
                <w:sz w:val="22"/>
                <w:szCs w:val="22"/>
                <w:lang w:val="ru-RU" w:eastAsia="ru-RU"/>
              </w:rPr>
              <w:t>Patienter med tidligere antimuskarin OAB-behandling, hvis behandling blev seponeret som følge af utilstrækkelig virkning</w:t>
            </w:r>
          </w:p>
        </w:tc>
      </w:tr>
      <w:tr w:rsidR="00B2252E" w:rsidRPr="00B2252E" w14:paraId="785BF30E" w14:textId="77777777">
        <w:trPr>
          <w:trHeight w:val="227"/>
          <w:jc w:val="center"/>
        </w:trPr>
        <w:tc>
          <w:tcPr>
            <w:tcW w:w="9306" w:type="dxa"/>
            <w:gridSpan w:val="6"/>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60FD49B"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b/>
                <w:sz w:val="22"/>
                <w:szCs w:val="22"/>
                <w:lang w:val="ru-RU" w:eastAsia="ru-RU"/>
              </w:rPr>
              <w:t>Gennemsnitligt antal inkontinensepisoder pr. 24 timer (FAS</w:t>
            </w:r>
            <w:r w:rsidRPr="00B2252E">
              <w:rPr>
                <w:sz w:val="22"/>
                <w:szCs w:val="22"/>
                <w:lang w:val="ru-RU" w:eastAsia="ru-RU"/>
              </w:rPr>
              <w:t>-</w:t>
            </w:r>
            <w:r w:rsidRPr="00B2252E">
              <w:rPr>
                <w:b/>
                <w:sz w:val="22"/>
                <w:szCs w:val="22"/>
                <w:lang w:val="ru-RU" w:eastAsia="ru-RU"/>
              </w:rPr>
              <w:t xml:space="preserve">I) </w:t>
            </w:r>
          </w:p>
        </w:tc>
      </w:tr>
      <w:tr w:rsidR="00B2252E" w:rsidRPr="00B2252E" w14:paraId="563673CB" w14:textId="77777777">
        <w:trPr>
          <w:trHeight w:val="227"/>
          <w:jc w:val="center"/>
        </w:trPr>
        <w:tc>
          <w:tcPr>
            <w:tcW w:w="3232"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A885B7D"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n </w:t>
            </w:r>
          </w:p>
        </w:tc>
        <w:tc>
          <w:tcPr>
            <w:tcW w:w="99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C2AD0E8"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336</w:t>
            </w:r>
          </w:p>
        </w:tc>
        <w:tc>
          <w:tcPr>
            <w:tcW w:w="1395"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19D2FEA"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335</w:t>
            </w:r>
          </w:p>
        </w:tc>
        <w:tc>
          <w:tcPr>
            <w:tcW w:w="95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64429D5"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112</w:t>
            </w:r>
          </w:p>
        </w:tc>
        <w:tc>
          <w:tcPr>
            <w:tcW w:w="139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00593BD"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105</w:t>
            </w:r>
          </w:p>
        </w:tc>
        <w:tc>
          <w:tcPr>
            <w:tcW w:w="133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1019ED1"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102</w:t>
            </w:r>
          </w:p>
        </w:tc>
      </w:tr>
      <w:tr w:rsidR="00B2252E" w:rsidRPr="00B2252E" w14:paraId="356B9B7E" w14:textId="77777777">
        <w:trPr>
          <w:trHeight w:val="227"/>
          <w:jc w:val="center"/>
        </w:trPr>
        <w:tc>
          <w:tcPr>
            <w:tcW w:w="3232"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205119C"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w:t>
            </w:r>
            <w:r w:rsidRPr="00B2252E">
              <w:rPr>
                <w:i/>
                <w:sz w:val="22"/>
                <w:szCs w:val="22"/>
                <w:lang w:val="ru-RU" w:eastAsia="ru-RU"/>
              </w:rPr>
              <w:t>baseline</w:t>
            </w:r>
            <w:r w:rsidRPr="00B2252E">
              <w:rPr>
                <w:sz w:val="22"/>
                <w:szCs w:val="22"/>
                <w:lang w:val="ru-RU" w:eastAsia="ru-RU"/>
              </w:rPr>
              <w:t xml:space="preserve"> </w:t>
            </w:r>
          </w:p>
        </w:tc>
        <w:tc>
          <w:tcPr>
            <w:tcW w:w="99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7813F81"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3,03</w:t>
            </w:r>
          </w:p>
        </w:tc>
        <w:tc>
          <w:tcPr>
            <w:tcW w:w="1395"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46DE353"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2,94</w:t>
            </w:r>
          </w:p>
        </w:tc>
        <w:tc>
          <w:tcPr>
            <w:tcW w:w="95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6B6BF1F"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3,15</w:t>
            </w:r>
          </w:p>
        </w:tc>
        <w:tc>
          <w:tcPr>
            <w:tcW w:w="139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BCEC52D"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3,50</w:t>
            </w:r>
          </w:p>
        </w:tc>
        <w:tc>
          <w:tcPr>
            <w:tcW w:w="133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66F4309"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2,63</w:t>
            </w:r>
          </w:p>
        </w:tc>
      </w:tr>
      <w:tr w:rsidR="00B2252E" w:rsidRPr="00B2252E" w14:paraId="0239931B" w14:textId="77777777">
        <w:trPr>
          <w:trHeight w:val="227"/>
          <w:jc w:val="center"/>
        </w:trPr>
        <w:tc>
          <w:tcPr>
            <w:tcW w:w="3232"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C3907D6"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ændring fra </w:t>
            </w:r>
            <w:r w:rsidRPr="00B2252E">
              <w:rPr>
                <w:i/>
                <w:sz w:val="22"/>
                <w:szCs w:val="22"/>
                <w:lang w:val="ru-RU" w:eastAsia="ru-RU"/>
              </w:rPr>
              <w:t>baseline</w:t>
            </w:r>
            <w:r w:rsidRPr="00B2252E">
              <w:rPr>
                <w:sz w:val="22"/>
                <w:szCs w:val="22"/>
                <w:lang w:val="ru-RU" w:eastAsia="ru-RU"/>
              </w:rPr>
              <w:t xml:space="preserve">* </w:t>
            </w:r>
          </w:p>
        </w:tc>
        <w:tc>
          <w:tcPr>
            <w:tcW w:w="99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2EE9F7E"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-0,86</w:t>
            </w:r>
          </w:p>
        </w:tc>
        <w:tc>
          <w:tcPr>
            <w:tcW w:w="1395"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07697D44"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-1,56</w:t>
            </w:r>
          </w:p>
        </w:tc>
        <w:tc>
          <w:tcPr>
            <w:tcW w:w="95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74F76108"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-0,87</w:t>
            </w:r>
          </w:p>
        </w:tc>
        <w:tc>
          <w:tcPr>
            <w:tcW w:w="139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51526D1C"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-1,63</w:t>
            </w:r>
          </w:p>
        </w:tc>
        <w:tc>
          <w:tcPr>
            <w:tcW w:w="133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6230B917"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-0,93</w:t>
            </w:r>
          </w:p>
        </w:tc>
      </w:tr>
      <w:tr w:rsidR="00B2252E" w:rsidRPr="00B2252E" w14:paraId="6FABC2C7" w14:textId="77777777">
        <w:trPr>
          <w:trHeight w:val="227"/>
          <w:jc w:val="center"/>
        </w:trPr>
        <w:tc>
          <w:tcPr>
            <w:tcW w:w="3232"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5CD2DED"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forskel i forhold til placebo* </w:t>
            </w:r>
          </w:p>
        </w:tc>
        <w:tc>
          <w:tcPr>
            <w:tcW w:w="99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5B67C300"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1395"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6B0C91E"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-0,70</w:t>
            </w:r>
          </w:p>
        </w:tc>
        <w:tc>
          <w:tcPr>
            <w:tcW w:w="95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7204FE0"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139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6DA52541"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-0,76</w:t>
            </w:r>
          </w:p>
        </w:tc>
        <w:tc>
          <w:tcPr>
            <w:tcW w:w="133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7393297E"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-0,06</w:t>
            </w:r>
          </w:p>
        </w:tc>
      </w:tr>
      <w:tr w:rsidR="00B2252E" w:rsidRPr="00B2252E" w14:paraId="647BD547" w14:textId="77777777">
        <w:trPr>
          <w:trHeight w:val="227"/>
          <w:jc w:val="center"/>
        </w:trPr>
        <w:tc>
          <w:tcPr>
            <w:tcW w:w="3232"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B5C3DD0"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95 % konfidensinterval </w:t>
            </w:r>
          </w:p>
        </w:tc>
        <w:tc>
          <w:tcPr>
            <w:tcW w:w="99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CBC0F3C"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1395"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5A12CE4"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(-1,01; -0,38)</w:t>
            </w:r>
          </w:p>
        </w:tc>
        <w:tc>
          <w:tcPr>
            <w:tcW w:w="95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343F43B"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139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50FD4743"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(-1,32; -0,19)</w:t>
            </w:r>
          </w:p>
        </w:tc>
        <w:tc>
          <w:tcPr>
            <w:tcW w:w="133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FA3A84A"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(-0,63, 0,50)</w:t>
            </w:r>
          </w:p>
        </w:tc>
      </w:tr>
      <w:tr w:rsidR="00B2252E" w:rsidRPr="00B2252E" w14:paraId="30B8C4D8" w14:textId="77777777">
        <w:trPr>
          <w:trHeight w:val="227"/>
          <w:jc w:val="center"/>
        </w:trPr>
        <w:tc>
          <w:tcPr>
            <w:tcW w:w="9306" w:type="dxa"/>
            <w:gridSpan w:val="6"/>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DB2000C"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b/>
                <w:sz w:val="22"/>
                <w:szCs w:val="22"/>
                <w:lang w:val="ru-RU" w:eastAsia="ru-RU"/>
              </w:rPr>
              <w:t>Gennemsnitligt antal vandladninger pr. 24 timer (FAS)</w:t>
            </w:r>
            <w:r w:rsidRPr="00B2252E">
              <w:rPr>
                <w:sz w:val="22"/>
                <w:szCs w:val="22"/>
                <w:lang w:val="ru-RU" w:eastAsia="ru-RU"/>
              </w:rPr>
              <w:t xml:space="preserve"> </w:t>
            </w:r>
          </w:p>
        </w:tc>
      </w:tr>
      <w:tr w:rsidR="00B2252E" w:rsidRPr="00B2252E" w14:paraId="04EDB203" w14:textId="77777777">
        <w:trPr>
          <w:trHeight w:val="227"/>
          <w:jc w:val="center"/>
        </w:trPr>
        <w:tc>
          <w:tcPr>
            <w:tcW w:w="3232"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B646F4E"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n </w:t>
            </w:r>
          </w:p>
        </w:tc>
        <w:tc>
          <w:tcPr>
            <w:tcW w:w="99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70EDF33"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466</w:t>
            </w:r>
          </w:p>
        </w:tc>
        <w:tc>
          <w:tcPr>
            <w:tcW w:w="1395"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0957587"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464</w:t>
            </w:r>
          </w:p>
        </w:tc>
        <w:tc>
          <w:tcPr>
            <w:tcW w:w="95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70CA9940"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159</w:t>
            </w:r>
          </w:p>
        </w:tc>
        <w:tc>
          <w:tcPr>
            <w:tcW w:w="139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7662AF5"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160</w:t>
            </w:r>
          </w:p>
        </w:tc>
        <w:tc>
          <w:tcPr>
            <w:tcW w:w="133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58AB27A"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155</w:t>
            </w:r>
          </w:p>
        </w:tc>
      </w:tr>
      <w:tr w:rsidR="00B2252E" w:rsidRPr="00B2252E" w14:paraId="7493D59A" w14:textId="77777777">
        <w:trPr>
          <w:trHeight w:val="227"/>
          <w:jc w:val="center"/>
        </w:trPr>
        <w:tc>
          <w:tcPr>
            <w:tcW w:w="3232"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DD2DFB4"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w:t>
            </w:r>
            <w:r w:rsidRPr="00B2252E">
              <w:rPr>
                <w:i/>
                <w:sz w:val="22"/>
                <w:szCs w:val="22"/>
                <w:lang w:val="ru-RU" w:eastAsia="ru-RU"/>
              </w:rPr>
              <w:t>baseline</w:t>
            </w:r>
            <w:r w:rsidRPr="00B2252E">
              <w:rPr>
                <w:sz w:val="22"/>
                <w:szCs w:val="22"/>
                <w:lang w:val="ru-RU" w:eastAsia="ru-RU"/>
              </w:rPr>
              <w:t xml:space="preserve"> </w:t>
            </w:r>
          </w:p>
        </w:tc>
        <w:tc>
          <w:tcPr>
            <w:tcW w:w="99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DDCC23A"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11,60</w:t>
            </w:r>
          </w:p>
        </w:tc>
        <w:tc>
          <w:tcPr>
            <w:tcW w:w="1395"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913E9A2"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11,67</w:t>
            </w:r>
          </w:p>
        </w:tc>
        <w:tc>
          <w:tcPr>
            <w:tcW w:w="95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3BF6DF64"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11,89</w:t>
            </w:r>
          </w:p>
        </w:tc>
        <w:tc>
          <w:tcPr>
            <w:tcW w:w="139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8E4DC9E"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11,49</w:t>
            </w:r>
          </w:p>
        </w:tc>
        <w:tc>
          <w:tcPr>
            <w:tcW w:w="133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EF05258"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11,99</w:t>
            </w:r>
          </w:p>
        </w:tc>
      </w:tr>
      <w:tr w:rsidR="00B2252E" w:rsidRPr="00B2252E" w14:paraId="31322A5B" w14:textId="77777777">
        <w:trPr>
          <w:trHeight w:val="227"/>
          <w:jc w:val="center"/>
        </w:trPr>
        <w:tc>
          <w:tcPr>
            <w:tcW w:w="3232"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6767AC4"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ændring fra </w:t>
            </w:r>
            <w:r w:rsidRPr="00B2252E">
              <w:rPr>
                <w:i/>
                <w:sz w:val="22"/>
                <w:szCs w:val="22"/>
                <w:lang w:val="ru-RU" w:eastAsia="ru-RU"/>
              </w:rPr>
              <w:t>baseline</w:t>
            </w:r>
            <w:r w:rsidRPr="00B2252E">
              <w:rPr>
                <w:sz w:val="22"/>
                <w:szCs w:val="22"/>
                <w:lang w:val="ru-RU" w:eastAsia="ru-RU"/>
              </w:rPr>
              <w:t xml:space="preserve">* </w:t>
            </w:r>
          </w:p>
        </w:tc>
        <w:tc>
          <w:tcPr>
            <w:tcW w:w="99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6A509AED"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-0,86</w:t>
            </w:r>
          </w:p>
        </w:tc>
        <w:tc>
          <w:tcPr>
            <w:tcW w:w="1395"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31545B41"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-1,54</w:t>
            </w:r>
          </w:p>
        </w:tc>
        <w:tc>
          <w:tcPr>
            <w:tcW w:w="95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0C3D8856"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-1,03</w:t>
            </w:r>
          </w:p>
        </w:tc>
        <w:tc>
          <w:tcPr>
            <w:tcW w:w="139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2FA3F5CE"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-1,62</w:t>
            </w:r>
          </w:p>
        </w:tc>
        <w:tc>
          <w:tcPr>
            <w:tcW w:w="133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401999E8"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-1,11</w:t>
            </w:r>
          </w:p>
        </w:tc>
      </w:tr>
      <w:tr w:rsidR="00B2252E" w:rsidRPr="00B2252E" w14:paraId="192AE7F3" w14:textId="77777777">
        <w:trPr>
          <w:trHeight w:val="227"/>
          <w:jc w:val="center"/>
        </w:trPr>
        <w:tc>
          <w:tcPr>
            <w:tcW w:w="3232"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C8FAD10"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Gennemsnitlig forskel i forhold til placebo* </w:t>
            </w:r>
          </w:p>
        </w:tc>
        <w:tc>
          <w:tcPr>
            <w:tcW w:w="99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5EEF2E01"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1395"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18C4CB7C"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-0,67</w:t>
            </w:r>
          </w:p>
        </w:tc>
        <w:tc>
          <w:tcPr>
            <w:tcW w:w="95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50BF15D5"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139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4DB578A6"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-0,59</w:t>
            </w:r>
          </w:p>
        </w:tc>
        <w:tc>
          <w:tcPr>
            <w:tcW w:w="133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vAlign w:val="center"/>
            <w:hideMark/>
          </w:tcPr>
          <w:p w14:paraId="45E26434"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-0,08</w:t>
            </w:r>
          </w:p>
        </w:tc>
      </w:tr>
      <w:tr w:rsidR="00B2252E" w:rsidRPr="00B2252E" w14:paraId="5000FAF8" w14:textId="77777777">
        <w:trPr>
          <w:trHeight w:val="227"/>
          <w:jc w:val="center"/>
        </w:trPr>
        <w:tc>
          <w:tcPr>
            <w:tcW w:w="3232"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E110C94" w14:textId="77777777" w:rsidR="00B2252E" w:rsidRPr="00B2252E" w:rsidRDefault="00B2252E" w:rsidP="00B2252E">
            <w:pPr>
              <w:widowControl w:val="0"/>
              <w:suppressAutoHyphens/>
              <w:autoSpaceDE w:val="0"/>
              <w:autoSpaceDN w:val="0"/>
              <w:adjustRightInd w:val="0"/>
              <w:ind w:left="57"/>
              <w:rPr>
                <w:sz w:val="22"/>
                <w:szCs w:val="22"/>
                <w:lang w:val="ru-RU" w:eastAsia="ru-RU"/>
              </w:rPr>
            </w:pPr>
            <w:r w:rsidRPr="00B2252E">
              <w:rPr>
                <w:sz w:val="22"/>
                <w:szCs w:val="22"/>
                <w:lang w:val="ru-RU" w:eastAsia="ru-RU"/>
              </w:rPr>
              <w:t xml:space="preserve">95 % konfidensinterval </w:t>
            </w:r>
          </w:p>
        </w:tc>
        <w:tc>
          <w:tcPr>
            <w:tcW w:w="996"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0F1C3F31"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1395"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49B101D5"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(-0,99; -0,36)</w:t>
            </w:r>
          </w:p>
        </w:tc>
        <w:tc>
          <w:tcPr>
            <w:tcW w:w="95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26A029B6"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w:t>
            </w:r>
          </w:p>
        </w:tc>
        <w:tc>
          <w:tcPr>
            <w:tcW w:w="1397"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696D0315"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(-1,15; -0,04)</w:t>
            </w:r>
          </w:p>
        </w:tc>
        <w:tc>
          <w:tcPr>
            <w:tcW w:w="1333" w:type="dxa"/>
            <w:tcBorders>
              <w:top w:val="single" w:sz="6" w:space="0" w:color="000000"/>
              <w:left w:val="single" w:sz="6" w:space="0" w:color="000000"/>
              <w:bottom w:val="single" w:sz="6" w:space="0" w:color="000000"/>
              <w:right w:val="single" w:sz="6" w:space="0" w:color="000000"/>
            </w:tcBorders>
            <w:tcMar>
              <w:top w:w="28" w:type="dxa"/>
              <w:left w:w="0" w:type="dxa"/>
              <w:bottom w:w="28" w:type="dxa"/>
              <w:right w:w="0" w:type="dxa"/>
            </w:tcMar>
            <w:hideMark/>
          </w:tcPr>
          <w:p w14:paraId="161C1FE9" w14:textId="77777777" w:rsidR="00B2252E" w:rsidRPr="00B2252E" w:rsidRDefault="00B2252E" w:rsidP="00B2252E">
            <w:pPr>
              <w:widowControl w:val="0"/>
              <w:suppressAutoHyphens/>
              <w:autoSpaceDE w:val="0"/>
              <w:autoSpaceDN w:val="0"/>
              <w:adjustRightInd w:val="0"/>
              <w:jc w:val="center"/>
              <w:rPr>
                <w:sz w:val="22"/>
                <w:szCs w:val="22"/>
                <w:lang w:val="ru-RU" w:eastAsia="ru-RU"/>
              </w:rPr>
            </w:pPr>
            <w:r w:rsidRPr="00B2252E">
              <w:rPr>
                <w:sz w:val="22"/>
                <w:szCs w:val="22"/>
                <w:lang w:val="ru-RU" w:eastAsia="ru-RU"/>
              </w:rPr>
              <w:t>(-0,64; 0,47)</w:t>
            </w:r>
          </w:p>
        </w:tc>
      </w:tr>
    </w:tbl>
    <w:p w14:paraId="50A8E751" w14:textId="77777777" w:rsidR="00B2252E" w:rsidRPr="00B2252E" w:rsidRDefault="00B2252E" w:rsidP="00B2252E">
      <w:pPr>
        <w:widowControl w:val="0"/>
        <w:suppressAutoHyphens/>
        <w:autoSpaceDE w:val="0"/>
        <w:autoSpaceDN w:val="0"/>
        <w:adjustRightInd w:val="0"/>
        <w:ind w:left="284"/>
        <w:rPr>
          <w:sz w:val="20"/>
          <w:lang w:eastAsia="da-DK"/>
        </w:rPr>
      </w:pPr>
      <w:r w:rsidRPr="00B2252E">
        <w:rPr>
          <w:sz w:val="20"/>
          <w:lang w:eastAsia="da-DK"/>
        </w:rPr>
        <w:t xml:space="preserve">De poolede studier bestod af studierne 046 (Europa/Australien), 047 (Nordamerika [NA]) og 074 (Europa/NA). </w:t>
      </w:r>
    </w:p>
    <w:p w14:paraId="7ABEE57D" w14:textId="77777777" w:rsidR="00B2252E" w:rsidRPr="00B2252E" w:rsidRDefault="00B2252E" w:rsidP="00B2252E">
      <w:pPr>
        <w:widowControl w:val="0"/>
        <w:suppressAutoHyphens/>
        <w:autoSpaceDE w:val="0"/>
        <w:autoSpaceDN w:val="0"/>
        <w:adjustRightInd w:val="0"/>
        <w:ind w:left="284"/>
        <w:rPr>
          <w:sz w:val="20"/>
          <w:lang w:eastAsia="da-DK"/>
        </w:rPr>
      </w:pPr>
      <w:r w:rsidRPr="00B2252E">
        <w:rPr>
          <w:sz w:val="20"/>
          <w:lang w:eastAsia="da-DK"/>
        </w:rPr>
        <w:t xml:space="preserve">* Mindste kvadraters gennemsnit justeret for </w:t>
      </w:r>
      <w:r w:rsidRPr="00B2252E">
        <w:rPr>
          <w:i/>
          <w:sz w:val="20"/>
          <w:lang w:eastAsia="da-DK"/>
        </w:rPr>
        <w:t>baseline</w:t>
      </w:r>
      <w:r w:rsidRPr="00B2252E">
        <w:rPr>
          <w:sz w:val="20"/>
          <w:lang w:eastAsia="da-DK"/>
        </w:rPr>
        <w:t xml:space="preserve">, køn, studie, undergruppe og undergruppe baseret på behandlingsinteraktion for de poolede studier og mindste kvadraters gennemsnit justeret for </w:t>
      </w:r>
      <w:r w:rsidRPr="00B2252E">
        <w:rPr>
          <w:i/>
          <w:sz w:val="20"/>
          <w:lang w:eastAsia="da-DK"/>
        </w:rPr>
        <w:t>baseline</w:t>
      </w:r>
      <w:r w:rsidRPr="00B2252E">
        <w:rPr>
          <w:sz w:val="20"/>
          <w:lang w:eastAsia="da-DK"/>
        </w:rPr>
        <w:t xml:space="preserve">, køn, geografisk region, undergruppe og undergruppe baseret på behandlingsinteraktion for studie 046. </w:t>
      </w:r>
    </w:p>
    <w:p w14:paraId="0876EF2A" w14:textId="77777777" w:rsidR="00B2252E" w:rsidRPr="00B2252E" w:rsidRDefault="00B2252E" w:rsidP="00B2252E">
      <w:pPr>
        <w:widowControl w:val="0"/>
        <w:suppressAutoHyphens/>
        <w:autoSpaceDE w:val="0"/>
        <w:autoSpaceDN w:val="0"/>
        <w:adjustRightInd w:val="0"/>
        <w:ind w:left="284"/>
        <w:rPr>
          <w:sz w:val="20"/>
          <w:lang w:eastAsia="da-DK"/>
        </w:rPr>
      </w:pPr>
      <w:r w:rsidRPr="00B2252E">
        <w:rPr>
          <w:sz w:val="20"/>
          <w:lang w:eastAsia="da-DK"/>
        </w:rPr>
        <w:t xml:space="preserve">FAS: Fuldt analysesæt, alle randomiserede patienter, som tog mindst 1 dosis dobbeltblindt studielægemiddel, og </w:t>
      </w:r>
      <w:r w:rsidRPr="00B2252E">
        <w:rPr>
          <w:sz w:val="20"/>
          <w:lang w:eastAsia="da-DK"/>
        </w:rPr>
        <w:lastRenderedPageBreak/>
        <w:t xml:space="preserve">som havde en vandladningsmåling i </w:t>
      </w:r>
      <w:r w:rsidRPr="00B2252E">
        <w:rPr>
          <w:i/>
          <w:sz w:val="20"/>
          <w:lang w:eastAsia="da-DK"/>
        </w:rPr>
        <w:t>baseline</w:t>
      </w:r>
      <w:r w:rsidRPr="00B2252E">
        <w:rPr>
          <w:sz w:val="20"/>
          <w:lang w:eastAsia="da-DK"/>
        </w:rPr>
        <w:t xml:space="preserve">-dagbogen og mindst 1 dagbog med en vandladningsmåling fra efter </w:t>
      </w:r>
      <w:r w:rsidRPr="00B2252E">
        <w:rPr>
          <w:i/>
          <w:sz w:val="20"/>
          <w:lang w:eastAsia="da-DK"/>
        </w:rPr>
        <w:t>baseline</w:t>
      </w:r>
      <w:r w:rsidRPr="00B2252E">
        <w:rPr>
          <w:sz w:val="20"/>
          <w:lang w:eastAsia="da-DK"/>
        </w:rPr>
        <w:t xml:space="preserve">-besøget. </w:t>
      </w:r>
    </w:p>
    <w:p w14:paraId="55C1D062" w14:textId="77777777" w:rsidR="00B2252E" w:rsidRPr="00B2252E" w:rsidRDefault="00B2252E" w:rsidP="00B2252E">
      <w:pPr>
        <w:widowControl w:val="0"/>
        <w:suppressAutoHyphens/>
        <w:autoSpaceDE w:val="0"/>
        <w:autoSpaceDN w:val="0"/>
        <w:adjustRightInd w:val="0"/>
        <w:ind w:left="284"/>
        <w:rPr>
          <w:sz w:val="20"/>
          <w:lang w:eastAsia="da-DK"/>
        </w:rPr>
      </w:pPr>
      <w:r w:rsidRPr="00B2252E">
        <w:rPr>
          <w:sz w:val="20"/>
          <w:lang w:eastAsia="da-DK"/>
        </w:rPr>
        <w:t xml:space="preserve">FAS-I: Undergruppe af FAS, som også havde mindst 1 inkontinensepisode i </w:t>
      </w:r>
      <w:r w:rsidRPr="00B2252E">
        <w:rPr>
          <w:i/>
          <w:sz w:val="20"/>
          <w:lang w:eastAsia="da-DK"/>
        </w:rPr>
        <w:t>baseline</w:t>
      </w:r>
      <w:r w:rsidRPr="00B2252E">
        <w:rPr>
          <w:sz w:val="20"/>
          <w:lang w:eastAsia="da-DK"/>
        </w:rPr>
        <w:t xml:space="preserve">-dagbogen. </w:t>
      </w:r>
    </w:p>
    <w:p w14:paraId="5B204CD6" w14:textId="77777777" w:rsidR="00B2252E" w:rsidRDefault="00B2252E" w:rsidP="004931E3">
      <w:pPr>
        <w:tabs>
          <w:tab w:val="left" w:pos="851"/>
        </w:tabs>
        <w:ind w:left="851"/>
        <w:rPr>
          <w:sz w:val="24"/>
          <w:szCs w:val="24"/>
        </w:rPr>
      </w:pPr>
    </w:p>
    <w:p w14:paraId="4B0A0AAA" w14:textId="77777777" w:rsidR="00B2252E" w:rsidRPr="00B2252E" w:rsidRDefault="00B2252E" w:rsidP="00B2252E">
      <w:pPr>
        <w:tabs>
          <w:tab w:val="left" w:pos="851"/>
        </w:tabs>
        <w:ind w:left="851"/>
        <w:rPr>
          <w:sz w:val="24"/>
          <w:szCs w:val="24"/>
        </w:rPr>
      </w:pPr>
      <w:r w:rsidRPr="00B2252E">
        <w:rPr>
          <w:i/>
          <w:sz w:val="24"/>
          <w:szCs w:val="24"/>
        </w:rPr>
        <w:t xml:space="preserve">Neurogen detrusoroveraktivitet hos pædiatriske patienter </w:t>
      </w:r>
    </w:p>
    <w:p w14:paraId="5B47E915" w14:textId="77777777" w:rsidR="00B2252E" w:rsidRPr="00B2252E" w:rsidRDefault="00B2252E" w:rsidP="00B2252E">
      <w:pPr>
        <w:tabs>
          <w:tab w:val="left" w:pos="851"/>
        </w:tabs>
        <w:ind w:left="851"/>
        <w:rPr>
          <w:sz w:val="24"/>
          <w:szCs w:val="24"/>
        </w:rPr>
      </w:pPr>
      <w:r w:rsidRPr="00B2252E">
        <w:rPr>
          <w:sz w:val="24"/>
          <w:szCs w:val="24"/>
        </w:rPr>
        <w:t xml:space="preserve">Virkningen af mirabegron-tabletter og oral suspension blev vurderet i et 52-ugers åbent, </w:t>
      </w:r>
      <w:r w:rsidRPr="00B2252E">
        <w:rPr>
          <w:i/>
          <w:sz w:val="24"/>
          <w:szCs w:val="24"/>
        </w:rPr>
        <w:t>baseline</w:t>
      </w:r>
      <w:r w:rsidRPr="00B2252E">
        <w:rPr>
          <w:sz w:val="24"/>
          <w:szCs w:val="24"/>
        </w:rPr>
        <w:t>-kontrolleret, dosistitrerings-, multicenterstudie til behandling af NDO hos pædiatriske patienter. Patienterne havde en NDO-diagnose med ufrivillige detrusorkontraktioner med en stigning i detrusortryk, der var større end 15 cm H</w:t>
      </w:r>
      <w:r w:rsidRPr="00B2252E">
        <w:rPr>
          <w:sz w:val="24"/>
          <w:szCs w:val="24"/>
          <w:vertAlign w:val="subscript"/>
        </w:rPr>
        <w:t>2</w:t>
      </w:r>
      <w:r w:rsidRPr="00B2252E">
        <w:rPr>
          <w:sz w:val="24"/>
          <w:szCs w:val="24"/>
        </w:rPr>
        <w:t xml:space="preserve">O og udførte ren intermitterende kateterisering (RIK). Patienter ≥ 35 kg fik tabletter, og patienter &lt; 35 kg (eller ≥ 35 kg, men ikke i stand til at tage tabletter) fik oral suspension. Mirabegron blev administreret oralt til alle patienter én gang dagligt sammen med mad. Startdosis var en 25 mg tablet eller mellem 3-6 ml oral suspension (afhængigt af patientens vægt). Denne dosis blev optitreret til 50 mg tablet eller mellem 6-11 ml oral suspension (afhængig af patientens kropsvægt). Dosistitreringsperioden var maksimalt 8 uger efterfulgt af en dosisvedligeholdelsesperiode på mindst 52 uger. </w:t>
      </w:r>
    </w:p>
    <w:p w14:paraId="70C5B5D9" w14:textId="77777777" w:rsidR="00B2252E" w:rsidRPr="00B2252E" w:rsidRDefault="00B2252E" w:rsidP="00B2252E">
      <w:pPr>
        <w:tabs>
          <w:tab w:val="left" w:pos="851"/>
        </w:tabs>
        <w:ind w:left="851"/>
        <w:rPr>
          <w:sz w:val="24"/>
          <w:szCs w:val="24"/>
        </w:rPr>
      </w:pPr>
      <w:r w:rsidRPr="00B2252E">
        <w:rPr>
          <w:sz w:val="24"/>
          <w:szCs w:val="24"/>
        </w:rPr>
        <w:t xml:space="preserve"> </w:t>
      </w:r>
    </w:p>
    <w:p w14:paraId="6BDE4342" w14:textId="77777777" w:rsidR="00B2252E" w:rsidRPr="00B2252E" w:rsidRDefault="00B2252E" w:rsidP="00B2252E">
      <w:pPr>
        <w:tabs>
          <w:tab w:val="left" w:pos="851"/>
        </w:tabs>
        <w:ind w:left="851"/>
        <w:rPr>
          <w:sz w:val="24"/>
          <w:szCs w:val="24"/>
        </w:rPr>
      </w:pPr>
      <w:r w:rsidRPr="00B2252E">
        <w:rPr>
          <w:sz w:val="24"/>
          <w:szCs w:val="24"/>
        </w:rPr>
        <w:t xml:space="preserve">I alt 86 patienter i alderen 3 år til under 18 år fik mirabegron. Ud af disse, fuldførte 71 patienter behandlingen til og med uge 24, og 70 fuldførte 52 ugers behandling. I alt 68 patienter havde valide urodynamiske målinger til vurdering af virkningen. Studiepopulationen omfattede 39 (45,3 %) mænd og 47 (54,7 %) kvinder. Den optimerede vedligeholdelsesdosis i denne studiepopulation omfattede 94 % patienter på maksimal dosis og 6 % patienter på startdosis. </w:t>
      </w:r>
    </w:p>
    <w:p w14:paraId="48C73DE0" w14:textId="77777777" w:rsidR="00B2252E" w:rsidRPr="00B2252E" w:rsidRDefault="00B2252E" w:rsidP="00B2252E">
      <w:pPr>
        <w:tabs>
          <w:tab w:val="left" w:pos="851"/>
        </w:tabs>
        <w:ind w:left="851"/>
        <w:rPr>
          <w:sz w:val="24"/>
          <w:szCs w:val="24"/>
        </w:rPr>
      </w:pPr>
      <w:r w:rsidRPr="00B2252E">
        <w:rPr>
          <w:sz w:val="24"/>
          <w:szCs w:val="24"/>
        </w:rPr>
        <w:t xml:space="preserve"> </w:t>
      </w:r>
    </w:p>
    <w:p w14:paraId="202EBDEE" w14:textId="4F0DFDD0" w:rsidR="00B2252E" w:rsidRPr="00B2252E" w:rsidRDefault="00B2252E" w:rsidP="00B2252E">
      <w:pPr>
        <w:tabs>
          <w:tab w:val="left" w:pos="851"/>
        </w:tabs>
        <w:ind w:left="851"/>
        <w:rPr>
          <w:sz w:val="24"/>
          <w:szCs w:val="24"/>
        </w:rPr>
      </w:pPr>
      <w:r w:rsidRPr="00B2252E">
        <w:rPr>
          <w:sz w:val="24"/>
          <w:szCs w:val="24"/>
        </w:rPr>
        <w:t xml:space="preserve">De mest almindelige (hos flere end 10 % af alle patienter) underliggende medicinske tilstande, som var relateret til NDO hos børn og unge, der var inkluderet i studiet, var medfødt anomali i centralnervesystemet (henholdsvis 54,5 % og 48,4 %), meningomyelocele (henholdsvis 27,3 % og 19,4 %) og rygmarvsbrok (henholdsvis 10,9 % og 12,9 %). Hos unge havde 12,9 % en rygmarvsskade. </w:t>
      </w:r>
    </w:p>
    <w:p w14:paraId="3C3904B0" w14:textId="77777777" w:rsidR="00B2252E" w:rsidRPr="00B2252E" w:rsidRDefault="00B2252E" w:rsidP="00B2252E">
      <w:pPr>
        <w:tabs>
          <w:tab w:val="left" w:pos="851"/>
        </w:tabs>
        <w:ind w:left="851"/>
        <w:rPr>
          <w:sz w:val="24"/>
          <w:szCs w:val="24"/>
        </w:rPr>
      </w:pPr>
      <w:r w:rsidRPr="00B2252E">
        <w:rPr>
          <w:sz w:val="24"/>
          <w:szCs w:val="24"/>
        </w:rPr>
        <w:t xml:space="preserve"> </w:t>
      </w:r>
    </w:p>
    <w:p w14:paraId="7275BABD" w14:textId="77777777" w:rsidR="00B2252E" w:rsidRPr="00B2252E" w:rsidRDefault="00B2252E" w:rsidP="00B2252E">
      <w:pPr>
        <w:tabs>
          <w:tab w:val="left" w:pos="851"/>
        </w:tabs>
        <w:ind w:left="851"/>
        <w:rPr>
          <w:sz w:val="24"/>
          <w:szCs w:val="24"/>
        </w:rPr>
      </w:pPr>
      <w:r w:rsidRPr="00B2252E">
        <w:rPr>
          <w:sz w:val="24"/>
          <w:szCs w:val="24"/>
        </w:rPr>
        <w:t xml:space="preserve">Det primære virkningsendepunkt var ændring fra </w:t>
      </w:r>
      <w:r w:rsidRPr="00B2252E">
        <w:rPr>
          <w:i/>
          <w:sz w:val="24"/>
          <w:szCs w:val="24"/>
        </w:rPr>
        <w:t>baseline</w:t>
      </w:r>
      <w:r w:rsidRPr="00B2252E">
        <w:rPr>
          <w:sz w:val="24"/>
          <w:szCs w:val="24"/>
        </w:rPr>
        <w:t xml:space="preserve"> i maksimal cystometrisk kapacitet (MCC) efter 24 ugers behandling med mirabegron. Der blev observeret forbedringer i MCC i alle patientgrupper (se tabel 6). </w:t>
      </w:r>
    </w:p>
    <w:p w14:paraId="1EE6F0CC" w14:textId="41587E72" w:rsidR="00B2252E" w:rsidRPr="00B2252E" w:rsidRDefault="00B2252E" w:rsidP="00B2252E">
      <w:pPr>
        <w:tabs>
          <w:tab w:val="left" w:pos="851"/>
        </w:tabs>
        <w:ind w:left="851"/>
        <w:rPr>
          <w:sz w:val="22"/>
          <w:szCs w:val="22"/>
          <w:lang w:eastAsia="da-DK"/>
        </w:rPr>
      </w:pPr>
    </w:p>
    <w:p w14:paraId="1CB07BF5" w14:textId="77777777" w:rsidR="00B2252E" w:rsidRPr="00B2252E" w:rsidRDefault="00B2252E" w:rsidP="00B2252E">
      <w:pPr>
        <w:widowControl w:val="0"/>
        <w:suppressAutoHyphens/>
        <w:autoSpaceDE w:val="0"/>
        <w:autoSpaceDN w:val="0"/>
        <w:adjustRightInd w:val="0"/>
        <w:ind w:left="567"/>
        <w:rPr>
          <w:b/>
          <w:bCs/>
          <w:sz w:val="22"/>
          <w:szCs w:val="22"/>
          <w:lang w:eastAsia="da-DK"/>
        </w:rPr>
      </w:pPr>
      <w:r w:rsidRPr="00B2252E">
        <w:rPr>
          <w:b/>
          <w:bCs/>
          <w:sz w:val="22"/>
          <w:szCs w:val="22"/>
          <w:lang w:eastAsia="da-DK"/>
        </w:rPr>
        <w:t>Tabel 6: Primært virkningsendepunkt hos pædiatriske patienter med NDO</w:t>
      </w:r>
    </w:p>
    <w:tbl>
      <w:tblPr>
        <w:tblW w:w="8443" w:type="dxa"/>
        <w:jc w:val="center"/>
        <w:tblCellMar>
          <w:top w:w="55" w:type="dxa"/>
          <w:left w:w="115" w:type="dxa"/>
          <w:right w:w="46" w:type="dxa"/>
        </w:tblCellMar>
        <w:tblLook w:val="04A0" w:firstRow="1" w:lastRow="0" w:firstColumn="1" w:lastColumn="0" w:noHBand="0" w:noVBand="1"/>
      </w:tblPr>
      <w:tblGrid>
        <w:gridCol w:w="3222"/>
        <w:gridCol w:w="2521"/>
        <w:gridCol w:w="2700"/>
      </w:tblGrid>
      <w:tr w:rsidR="00B2252E" w:rsidRPr="00B2252E" w14:paraId="2FBD74F5" w14:textId="77777777">
        <w:trPr>
          <w:trHeight w:val="227"/>
          <w:jc w:val="center"/>
        </w:trPr>
        <w:tc>
          <w:tcPr>
            <w:tcW w:w="3222"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3990222C" w14:textId="77777777" w:rsidR="00B2252E" w:rsidRPr="00B2252E" w:rsidRDefault="00B2252E" w:rsidP="00B2252E">
            <w:pPr>
              <w:widowControl w:val="0"/>
              <w:suppressAutoHyphens/>
              <w:kinsoku w:val="0"/>
              <w:overflowPunct w:val="0"/>
              <w:autoSpaceDE w:val="0"/>
              <w:autoSpaceDN w:val="0"/>
              <w:adjustRightInd w:val="0"/>
              <w:ind w:left="118"/>
              <w:jc w:val="center"/>
              <w:rPr>
                <w:color w:val="000000"/>
                <w:sz w:val="22"/>
                <w:szCs w:val="22"/>
                <w:lang w:val="ru-RU" w:eastAsia="ru-RU"/>
              </w:rPr>
            </w:pPr>
            <w:r w:rsidRPr="00B2252E">
              <w:rPr>
                <w:b/>
                <w:color w:val="000000"/>
                <w:sz w:val="22"/>
                <w:szCs w:val="22"/>
                <w:lang w:val="ru-RU" w:eastAsia="ru-RU"/>
              </w:rPr>
              <w:t>Parameter</w:t>
            </w:r>
          </w:p>
        </w:tc>
        <w:tc>
          <w:tcPr>
            <w:tcW w:w="2521"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97BC65A" w14:textId="77777777" w:rsidR="00B2252E" w:rsidRPr="00B2252E" w:rsidRDefault="00B2252E" w:rsidP="00B2252E">
            <w:pPr>
              <w:widowControl w:val="0"/>
              <w:suppressAutoHyphens/>
              <w:kinsoku w:val="0"/>
              <w:overflowPunct w:val="0"/>
              <w:autoSpaceDE w:val="0"/>
              <w:autoSpaceDN w:val="0"/>
              <w:adjustRightInd w:val="0"/>
              <w:ind w:left="118"/>
              <w:jc w:val="center"/>
              <w:rPr>
                <w:b/>
                <w:color w:val="000000"/>
                <w:sz w:val="22"/>
                <w:szCs w:val="22"/>
                <w:lang w:val="ru-RU" w:eastAsia="ru-RU"/>
              </w:rPr>
            </w:pPr>
            <w:r w:rsidRPr="00B2252E">
              <w:rPr>
                <w:b/>
                <w:color w:val="000000"/>
                <w:sz w:val="22"/>
                <w:szCs w:val="22"/>
                <w:lang w:val="ru-RU" w:eastAsia="ru-RU"/>
              </w:rPr>
              <w:t xml:space="preserve">Børn i alderen </w:t>
            </w:r>
          </w:p>
          <w:p w14:paraId="4C7558C4" w14:textId="77777777" w:rsidR="00B2252E" w:rsidRPr="00B2252E" w:rsidRDefault="00B2252E" w:rsidP="00B2252E">
            <w:pPr>
              <w:widowControl w:val="0"/>
              <w:suppressAutoHyphens/>
              <w:kinsoku w:val="0"/>
              <w:overflowPunct w:val="0"/>
              <w:autoSpaceDE w:val="0"/>
              <w:autoSpaceDN w:val="0"/>
              <w:adjustRightInd w:val="0"/>
              <w:ind w:left="118"/>
              <w:jc w:val="center"/>
              <w:rPr>
                <w:color w:val="000000"/>
                <w:sz w:val="22"/>
                <w:szCs w:val="22"/>
                <w:lang w:val="ru-RU" w:eastAsia="ru-RU"/>
              </w:rPr>
            </w:pPr>
            <w:r w:rsidRPr="00B2252E">
              <w:rPr>
                <w:b/>
                <w:color w:val="000000"/>
                <w:sz w:val="22"/>
                <w:szCs w:val="22"/>
                <w:lang w:val="ru-RU" w:eastAsia="ru-RU"/>
              </w:rPr>
              <w:t>3 år til &lt; 12 år</w:t>
            </w:r>
          </w:p>
          <w:p w14:paraId="4CDB2A86" w14:textId="77777777" w:rsidR="00B2252E" w:rsidRPr="00B2252E" w:rsidRDefault="00B2252E" w:rsidP="00B2252E">
            <w:pPr>
              <w:widowControl w:val="0"/>
              <w:suppressAutoHyphens/>
              <w:kinsoku w:val="0"/>
              <w:overflowPunct w:val="0"/>
              <w:autoSpaceDE w:val="0"/>
              <w:autoSpaceDN w:val="0"/>
              <w:adjustRightInd w:val="0"/>
              <w:ind w:left="118"/>
              <w:jc w:val="center"/>
              <w:rPr>
                <w:color w:val="000000"/>
                <w:sz w:val="22"/>
                <w:szCs w:val="22"/>
                <w:lang w:val="ru-RU" w:eastAsia="ru-RU"/>
              </w:rPr>
            </w:pPr>
            <w:r w:rsidRPr="00B2252E">
              <w:rPr>
                <w:b/>
                <w:color w:val="000000"/>
                <w:sz w:val="22"/>
                <w:szCs w:val="22"/>
                <w:lang w:val="ru-RU" w:eastAsia="ru-RU"/>
              </w:rPr>
              <w:t>(N = 43)*</w:t>
            </w:r>
          </w:p>
          <w:p w14:paraId="0EFB2FEC" w14:textId="77777777" w:rsidR="00B2252E" w:rsidRPr="00B2252E" w:rsidRDefault="00B2252E" w:rsidP="00B2252E">
            <w:pPr>
              <w:widowControl w:val="0"/>
              <w:suppressAutoHyphens/>
              <w:kinsoku w:val="0"/>
              <w:overflowPunct w:val="0"/>
              <w:autoSpaceDE w:val="0"/>
              <w:autoSpaceDN w:val="0"/>
              <w:adjustRightInd w:val="0"/>
              <w:ind w:left="118"/>
              <w:jc w:val="center"/>
              <w:rPr>
                <w:color w:val="000000"/>
                <w:sz w:val="22"/>
                <w:szCs w:val="22"/>
                <w:lang w:val="ru-RU" w:eastAsia="ru-RU"/>
              </w:rPr>
            </w:pPr>
            <w:r w:rsidRPr="00B2252E">
              <w:rPr>
                <w:b/>
                <w:color w:val="000000"/>
                <w:sz w:val="22"/>
                <w:szCs w:val="22"/>
                <w:lang w:val="ru-RU" w:eastAsia="ru-RU"/>
              </w:rPr>
              <w:t>Middel (SD)</w:t>
            </w:r>
          </w:p>
        </w:tc>
        <w:tc>
          <w:tcPr>
            <w:tcW w:w="2700"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556A3106" w14:textId="77777777" w:rsidR="00B2252E" w:rsidRPr="00B2252E" w:rsidRDefault="00B2252E" w:rsidP="00B2252E">
            <w:pPr>
              <w:widowControl w:val="0"/>
              <w:suppressAutoHyphens/>
              <w:kinsoku w:val="0"/>
              <w:overflowPunct w:val="0"/>
              <w:autoSpaceDE w:val="0"/>
              <w:autoSpaceDN w:val="0"/>
              <w:adjustRightInd w:val="0"/>
              <w:ind w:left="118"/>
              <w:jc w:val="center"/>
              <w:rPr>
                <w:b/>
                <w:color w:val="000000"/>
                <w:sz w:val="22"/>
                <w:szCs w:val="22"/>
                <w:lang w:val="ru-RU" w:eastAsia="ru-RU"/>
              </w:rPr>
            </w:pPr>
            <w:r w:rsidRPr="00B2252E">
              <w:rPr>
                <w:b/>
                <w:color w:val="000000"/>
                <w:sz w:val="22"/>
                <w:szCs w:val="22"/>
                <w:lang w:val="ru-RU" w:eastAsia="ru-RU"/>
              </w:rPr>
              <w:t xml:space="preserve">Unge i alderen </w:t>
            </w:r>
          </w:p>
          <w:p w14:paraId="65E7872C" w14:textId="77777777" w:rsidR="00B2252E" w:rsidRPr="00B2252E" w:rsidRDefault="00B2252E" w:rsidP="00B2252E">
            <w:pPr>
              <w:widowControl w:val="0"/>
              <w:suppressAutoHyphens/>
              <w:kinsoku w:val="0"/>
              <w:overflowPunct w:val="0"/>
              <w:autoSpaceDE w:val="0"/>
              <w:autoSpaceDN w:val="0"/>
              <w:adjustRightInd w:val="0"/>
              <w:ind w:left="118"/>
              <w:jc w:val="center"/>
              <w:rPr>
                <w:color w:val="000000"/>
                <w:sz w:val="22"/>
                <w:szCs w:val="22"/>
                <w:lang w:val="ru-RU" w:eastAsia="ru-RU"/>
              </w:rPr>
            </w:pPr>
            <w:r w:rsidRPr="00B2252E">
              <w:rPr>
                <w:b/>
                <w:color w:val="000000"/>
                <w:sz w:val="22"/>
                <w:szCs w:val="22"/>
                <w:lang w:val="ru-RU" w:eastAsia="ru-RU"/>
              </w:rPr>
              <w:t>12 år til &lt; 18 år</w:t>
            </w:r>
          </w:p>
          <w:p w14:paraId="7E399492" w14:textId="77777777" w:rsidR="00B2252E" w:rsidRPr="00B2252E" w:rsidRDefault="00B2252E" w:rsidP="00B2252E">
            <w:pPr>
              <w:widowControl w:val="0"/>
              <w:suppressAutoHyphens/>
              <w:kinsoku w:val="0"/>
              <w:overflowPunct w:val="0"/>
              <w:autoSpaceDE w:val="0"/>
              <w:autoSpaceDN w:val="0"/>
              <w:adjustRightInd w:val="0"/>
              <w:ind w:left="118"/>
              <w:jc w:val="center"/>
              <w:rPr>
                <w:color w:val="000000"/>
                <w:sz w:val="22"/>
                <w:szCs w:val="22"/>
                <w:lang w:val="ru-RU" w:eastAsia="ru-RU"/>
              </w:rPr>
            </w:pPr>
            <w:r w:rsidRPr="00B2252E">
              <w:rPr>
                <w:b/>
                <w:color w:val="000000"/>
                <w:sz w:val="22"/>
                <w:szCs w:val="22"/>
                <w:lang w:val="ru-RU" w:eastAsia="ru-RU"/>
              </w:rPr>
              <w:t>(N = 25)*</w:t>
            </w:r>
          </w:p>
          <w:p w14:paraId="0205B355" w14:textId="77777777" w:rsidR="00B2252E" w:rsidRPr="00B2252E" w:rsidRDefault="00B2252E" w:rsidP="00B2252E">
            <w:pPr>
              <w:widowControl w:val="0"/>
              <w:suppressAutoHyphens/>
              <w:kinsoku w:val="0"/>
              <w:overflowPunct w:val="0"/>
              <w:autoSpaceDE w:val="0"/>
              <w:autoSpaceDN w:val="0"/>
              <w:adjustRightInd w:val="0"/>
              <w:ind w:left="118"/>
              <w:jc w:val="center"/>
              <w:rPr>
                <w:color w:val="000000"/>
                <w:sz w:val="22"/>
                <w:szCs w:val="22"/>
                <w:lang w:val="ru-RU" w:eastAsia="ru-RU"/>
              </w:rPr>
            </w:pPr>
            <w:r w:rsidRPr="00B2252E">
              <w:rPr>
                <w:b/>
                <w:color w:val="000000"/>
                <w:sz w:val="22"/>
                <w:szCs w:val="22"/>
                <w:lang w:val="ru-RU" w:eastAsia="ru-RU"/>
              </w:rPr>
              <w:t>Middel (SD)</w:t>
            </w:r>
          </w:p>
        </w:tc>
      </w:tr>
      <w:tr w:rsidR="00B2252E" w:rsidRPr="00B2252E" w14:paraId="3DCD4CD3" w14:textId="77777777">
        <w:trPr>
          <w:trHeight w:val="227"/>
          <w:jc w:val="center"/>
        </w:trPr>
        <w:tc>
          <w:tcPr>
            <w:tcW w:w="8443" w:type="dxa"/>
            <w:gridSpan w:val="3"/>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123CB3E0" w14:textId="77777777" w:rsidR="00B2252E" w:rsidRPr="00B2252E" w:rsidRDefault="00B2252E" w:rsidP="00B2252E">
            <w:pPr>
              <w:widowControl w:val="0"/>
              <w:suppressAutoHyphens/>
              <w:kinsoku w:val="0"/>
              <w:overflowPunct w:val="0"/>
              <w:autoSpaceDE w:val="0"/>
              <w:autoSpaceDN w:val="0"/>
              <w:adjustRightInd w:val="0"/>
              <w:ind w:left="57"/>
              <w:rPr>
                <w:color w:val="000000"/>
                <w:sz w:val="22"/>
                <w:szCs w:val="22"/>
                <w:lang w:val="ru-RU" w:eastAsia="ru-RU"/>
              </w:rPr>
            </w:pPr>
            <w:r w:rsidRPr="00B2252E">
              <w:rPr>
                <w:b/>
                <w:color w:val="000000"/>
                <w:sz w:val="22"/>
                <w:szCs w:val="22"/>
                <w:lang w:val="ru-RU" w:eastAsia="ru-RU"/>
              </w:rPr>
              <w:t>Maksimal cystometrisk kapacitet (ml)</w:t>
            </w:r>
          </w:p>
        </w:tc>
      </w:tr>
      <w:tr w:rsidR="00B2252E" w:rsidRPr="00B2252E" w14:paraId="3BE32F39" w14:textId="77777777">
        <w:trPr>
          <w:trHeight w:val="227"/>
          <w:jc w:val="center"/>
        </w:trPr>
        <w:tc>
          <w:tcPr>
            <w:tcW w:w="3222"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08091A31" w14:textId="77777777" w:rsidR="00B2252E" w:rsidRPr="00B2252E" w:rsidRDefault="00B2252E" w:rsidP="00B2252E">
            <w:pPr>
              <w:widowControl w:val="0"/>
              <w:suppressAutoHyphens/>
              <w:kinsoku w:val="0"/>
              <w:overflowPunct w:val="0"/>
              <w:autoSpaceDE w:val="0"/>
              <w:autoSpaceDN w:val="0"/>
              <w:adjustRightInd w:val="0"/>
              <w:ind w:left="57"/>
              <w:rPr>
                <w:i/>
                <w:color w:val="000000"/>
                <w:sz w:val="22"/>
                <w:szCs w:val="22"/>
                <w:lang w:val="ru-RU" w:eastAsia="ru-RU"/>
              </w:rPr>
            </w:pPr>
            <w:r w:rsidRPr="00B2252E">
              <w:rPr>
                <w:i/>
                <w:color w:val="000000"/>
                <w:sz w:val="22"/>
                <w:szCs w:val="22"/>
                <w:lang w:val="ru-RU" w:eastAsia="ru-RU"/>
              </w:rPr>
              <w:t>Baseline</w:t>
            </w:r>
          </w:p>
          <w:p w14:paraId="603E6D9D" w14:textId="77777777" w:rsidR="00B2252E" w:rsidRPr="00B2252E" w:rsidRDefault="00B2252E" w:rsidP="00B2252E">
            <w:pPr>
              <w:widowControl w:val="0"/>
              <w:autoSpaceDE w:val="0"/>
              <w:autoSpaceDN w:val="0"/>
              <w:adjustRightInd w:val="0"/>
              <w:ind w:left="57"/>
              <w:rPr>
                <w:sz w:val="22"/>
                <w:szCs w:val="22"/>
                <w:lang w:val="ru-RU" w:eastAsia="ru-RU"/>
              </w:rPr>
            </w:pPr>
            <w:r w:rsidRPr="00B2252E">
              <w:rPr>
                <w:sz w:val="22"/>
                <w:szCs w:val="22"/>
                <w:lang w:val="ru-RU" w:eastAsia="ru-RU"/>
              </w:rPr>
              <w:t>Uge 24</w:t>
            </w:r>
          </w:p>
          <w:p w14:paraId="5600197E" w14:textId="77777777" w:rsidR="00B2252E" w:rsidRPr="00B2252E" w:rsidRDefault="00B2252E" w:rsidP="00B2252E">
            <w:pPr>
              <w:widowControl w:val="0"/>
              <w:autoSpaceDE w:val="0"/>
              <w:autoSpaceDN w:val="0"/>
              <w:adjustRightInd w:val="0"/>
              <w:ind w:left="57"/>
              <w:rPr>
                <w:i/>
                <w:iCs/>
                <w:sz w:val="22"/>
                <w:szCs w:val="22"/>
                <w:lang w:val="ru-RU" w:eastAsia="ru-RU"/>
              </w:rPr>
            </w:pPr>
            <w:r w:rsidRPr="00B2252E">
              <w:rPr>
                <w:sz w:val="22"/>
                <w:szCs w:val="22"/>
                <w:lang w:val="ru-RU" w:eastAsia="ru-RU"/>
              </w:rPr>
              <w:t>Ændring fra</w:t>
            </w:r>
            <w:r w:rsidRPr="00B2252E">
              <w:rPr>
                <w:i/>
                <w:iCs/>
                <w:sz w:val="22"/>
                <w:szCs w:val="22"/>
                <w:lang w:val="ru-RU" w:eastAsia="ru-RU"/>
              </w:rPr>
              <w:t xml:space="preserve"> baseline</w:t>
            </w:r>
          </w:p>
          <w:p w14:paraId="5CDEE178" w14:textId="77777777" w:rsidR="00B2252E" w:rsidRPr="00B2252E" w:rsidRDefault="00B2252E" w:rsidP="00B2252E">
            <w:pPr>
              <w:widowControl w:val="0"/>
              <w:suppressAutoHyphens/>
              <w:kinsoku w:val="0"/>
              <w:overflowPunct w:val="0"/>
              <w:autoSpaceDE w:val="0"/>
              <w:autoSpaceDN w:val="0"/>
              <w:adjustRightInd w:val="0"/>
              <w:ind w:left="57"/>
              <w:rPr>
                <w:color w:val="000000"/>
                <w:sz w:val="22"/>
                <w:szCs w:val="22"/>
                <w:lang w:val="ru-RU" w:eastAsia="ru-RU"/>
              </w:rPr>
            </w:pPr>
            <w:r w:rsidRPr="00B2252E">
              <w:rPr>
                <w:sz w:val="22"/>
                <w:szCs w:val="22"/>
                <w:lang w:val="ru-RU" w:eastAsia="ru-RU"/>
              </w:rPr>
              <w:t>95% konfidensinterval</w:t>
            </w:r>
          </w:p>
        </w:tc>
        <w:tc>
          <w:tcPr>
            <w:tcW w:w="2521"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D7CAB9B" w14:textId="77777777" w:rsidR="00B2252E" w:rsidRPr="00B2252E" w:rsidRDefault="00B2252E" w:rsidP="00B2252E">
            <w:pPr>
              <w:widowControl w:val="0"/>
              <w:suppressAutoHyphens/>
              <w:kinsoku w:val="0"/>
              <w:overflowPunct w:val="0"/>
              <w:autoSpaceDE w:val="0"/>
              <w:autoSpaceDN w:val="0"/>
              <w:adjustRightInd w:val="0"/>
              <w:ind w:left="57"/>
              <w:jc w:val="center"/>
              <w:rPr>
                <w:color w:val="000000"/>
                <w:sz w:val="22"/>
                <w:szCs w:val="22"/>
                <w:lang w:val="ru-RU" w:eastAsia="ru-RU"/>
              </w:rPr>
            </w:pPr>
            <w:r w:rsidRPr="00B2252E">
              <w:rPr>
                <w:color w:val="000000"/>
                <w:sz w:val="22"/>
                <w:szCs w:val="22"/>
                <w:lang w:val="ru-RU" w:eastAsia="ru-RU"/>
              </w:rPr>
              <w:t>158,6 (94,5)</w:t>
            </w:r>
          </w:p>
          <w:p w14:paraId="62D0528A" w14:textId="77777777" w:rsidR="00B2252E" w:rsidRPr="00B2252E" w:rsidRDefault="00B2252E" w:rsidP="00B2252E">
            <w:pPr>
              <w:widowControl w:val="0"/>
              <w:suppressAutoHyphens/>
              <w:kinsoku w:val="0"/>
              <w:overflowPunct w:val="0"/>
              <w:autoSpaceDE w:val="0"/>
              <w:autoSpaceDN w:val="0"/>
              <w:adjustRightInd w:val="0"/>
              <w:ind w:left="57"/>
              <w:jc w:val="center"/>
              <w:rPr>
                <w:color w:val="000000"/>
                <w:sz w:val="22"/>
                <w:szCs w:val="22"/>
                <w:lang w:val="ru-RU" w:eastAsia="ru-RU"/>
              </w:rPr>
            </w:pPr>
            <w:r w:rsidRPr="00B2252E">
              <w:rPr>
                <w:color w:val="000000"/>
                <w:sz w:val="22"/>
                <w:szCs w:val="22"/>
                <w:lang w:val="ru-RU" w:eastAsia="ru-RU"/>
              </w:rPr>
              <w:t>230,7 (129,1)</w:t>
            </w:r>
          </w:p>
          <w:p w14:paraId="6CFB7470" w14:textId="77777777" w:rsidR="00B2252E" w:rsidRPr="00B2252E" w:rsidRDefault="00B2252E" w:rsidP="00B2252E">
            <w:pPr>
              <w:widowControl w:val="0"/>
              <w:suppressAutoHyphens/>
              <w:kinsoku w:val="0"/>
              <w:overflowPunct w:val="0"/>
              <w:autoSpaceDE w:val="0"/>
              <w:autoSpaceDN w:val="0"/>
              <w:adjustRightInd w:val="0"/>
              <w:ind w:left="57"/>
              <w:jc w:val="center"/>
              <w:rPr>
                <w:color w:val="000000"/>
                <w:sz w:val="22"/>
                <w:szCs w:val="22"/>
                <w:lang w:val="ru-RU" w:eastAsia="ru-RU"/>
              </w:rPr>
            </w:pPr>
            <w:r w:rsidRPr="00B2252E">
              <w:rPr>
                <w:color w:val="000000"/>
                <w:sz w:val="22"/>
                <w:szCs w:val="22"/>
                <w:lang w:val="ru-RU" w:eastAsia="ru-RU"/>
              </w:rPr>
              <w:t>72,0 (87,0)</w:t>
            </w:r>
          </w:p>
          <w:p w14:paraId="05AED3A5" w14:textId="77777777" w:rsidR="00B2252E" w:rsidRPr="00B2252E" w:rsidRDefault="00B2252E" w:rsidP="00B2252E">
            <w:pPr>
              <w:widowControl w:val="0"/>
              <w:suppressAutoHyphens/>
              <w:kinsoku w:val="0"/>
              <w:overflowPunct w:val="0"/>
              <w:autoSpaceDE w:val="0"/>
              <w:autoSpaceDN w:val="0"/>
              <w:adjustRightInd w:val="0"/>
              <w:ind w:left="57"/>
              <w:jc w:val="center"/>
              <w:rPr>
                <w:color w:val="000000"/>
                <w:sz w:val="22"/>
                <w:szCs w:val="22"/>
                <w:lang w:val="ru-RU" w:eastAsia="ru-RU"/>
              </w:rPr>
            </w:pPr>
            <w:r w:rsidRPr="00B2252E">
              <w:rPr>
                <w:color w:val="000000"/>
                <w:sz w:val="22"/>
                <w:szCs w:val="22"/>
                <w:lang w:val="ru-RU" w:eastAsia="ru-RU"/>
              </w:rPr>
              <w:t>(45,2, 98,8)</w:t>
            </w:r>
          </w:p>
        </w:tc>
        <w:tc>
          <w:tcPr>
            <w:tcW w:w="2700"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1EFA043C" w14:textId="77777777" w:rsidR="00B2252E" w:rsidRPr="00B2252E" w:rsidRDefault="00B2252E" w:rsidP="00B2252E">
            <w:pPr>
              <w:widowControl w:val="0"/>
              <w:suppressAutoHyphens/>
              <w:kinsoku w:val="0"/>
              <w:overflowPunct w:val="0"/>
              <w:autoSpaceDE w:val="0"/>
              <w:autoSpaceDN w:val="0"/>
              <w:adjustRightInd w:val="0"/>
              <w:ind w:left="57"/>
              <w:jc w:val="center"/>
              <w:rPr>
                <w:color w:val="000000"/>
                <w:sz w:val="22"/>
                <w:szCs w:val="22"/>
                <w:lang w:val="ru-RU" w:eastAsia="ru-RU"/>
              </w:rPr>
            </w:pPr>
            <w:r w:rsidRPr="00B2252E">
              <w:rPr>
                <w:color w:val="000000"/>
                <w:sz w:val="22"/>
                <w:szCs w:val="22"/>
                <w:lang w:val="ru-RU" w:eastAsia="ru-RU"/>
              </w:rPr>
              <w:t>238,9 (99,1)</w:t>
            </w:r>
          </w:p>
          <w:p w14:paraId="78813A79" w14:textId="77777777" w:rsidR="00B2252E" w:rsidRPr="00B2252E" w:rsidRDefault="00B2252E" w:rsidP="00B2252E">
            <w:pPr>
              <w:widowControl w:val="0"/>
              <w:suppressAutoHyphens/>
              <w:kinsoku w:val="0"/>
              <w:overflowPunct w:val="0"/>
              <w:autoSpaceDE w:val="0"/>
              <w:autoSpaceDN w:val="0"/>
              <w:adjustRightInd w:val="0"/>
              <w:ind w:left="57"/>
              <w:jc w:val="center"/>
              <w:rPr>
                <w:color w:val="000000"/>
                <w:sz w:val="22"/>
                <w:szCs w:val="22"/>
                <w:lang w:val="ru-RU" w:eastAsia="ru-RU"/>
              </w:rPr>
            </w:pPr>
            <w:r w:rsidRPr="00B2252E">
              <w:rPr>
                <w:color w:val="000000"/>
                <w:sz w:val="22"/>
                <w:szCs w:val="22"/>
                <w:lang w:val="ru-RU" w:eastAsia="ru-RU"/>
              </w:rPr>
              <w:t>352,1 (125,2)</w:t>
            </w:r>
          </w:p>
          <w:p w14:paraId="10AD3B81" w14:textId="77777777" w:rsidR="00B2252E" w:rsidRPr="00B2252E" w:rsidRDefault="00B2252E" w:rsidP="00B2252E">
            <w:pPr>
              <w:widowControl w:val="0"/>
              <w:suppressAutoHyphens/>
              <w:kinsoku w:val="0"/>
              <w:overflowPunct w:val="0"/>
              <w:autoSpaceDE w:val="0"/>
              <w:autoSpaceDN w:val="0"/>
              <w:adjustRightInd w:val="0"/>
              <w:ind w:left="57"/>
              <w:jc w:val="center"/>
              <w:rPr>
                <w:color w:val="000000"/>
                <w:sz w:val="22"/>
                <w:szCs w:val="22"/>
                <w:lang w:val="ru-RU" w:eastAsia="ru-RU"/>
              </w:rPr>
            </w:pPr>
            <w:r w:rsidRPr="00B2252E">
              <w:rPr>
                <w:color w:val="000000"/>
                <w:sz w:val="22"/>
                <w:szCs w:val="22"/>
                <w:lang w:val="ru-RU" w:eastAsia="ru-RU"/>
              </w:rPr>
              <w:t>113,2 (82,9)</w:t>
            </w:r>
          </w:p>
          <w:p w14:paraId="60D08DF7" w14:textId="77777777" w:rsidR="00B2252E" w:rsidRPr="00B2252E" w:rsidRDefault="00B2252E" w:rsidP="00B2252E">
            <w:pPr>
              <w:widowControl w:val="0"/>
              <w:suppressAutoHyphens/>
              <w:kinsoku w:val="0"/>
              <w:overflowPunct w:val="0"/>
              <w:autoSpaceDE w:val="0"/>
              <w:autoSpaceDN w:val="0"/>
              <w:adjustRightInd w:val="0"/>
              <w:ind w:left="57"/>
              <w:jc w:val="center"/>
              <w:rPr>
                <w:color w:val="000000"/>
                <w:sz w:val="22"/>
                <w:szCs w:val="22"/>
                <w:lang w:val="ru-RU" w:eastAsia="ru-RU"/>
              </w:rPr>
            </w:pPr>
            <w:r w:rsidRPr="00B2252E">
              <w:rPr>
                <w:color w:val="000000"/>
                <w:sz w:val="22"/>
                <w:szCs w:val="22"/>
                <w:lang w:val="ru-RU" w:eastAsia="ru-RU"/>
              </w:rPr>
              <w:t>(78,9, 147,4)</w:t>
            </w:r>
          </w:p>
        </w:tc>
      </w:tr>
    </w:tbl>
    <w:p w14:paraId="1597662A" w14:textId="77777777" w:rsidR="00B2252E" w:rsidRPr="00B2252E" w:rsidRDefault="00B2252E" w:rsidP="00B2252E">
      <w:pPr>
        <w:widowControl w:val="0"/>
        <w:suppressAutoHyphens/>
        <w:kinsoku w:val="0"/>
        <w:overflowPunct w:val="0"/>
        <w:autoSpaceDE w:val="0"/>
        <w:autoSpaceDN w:val="0"/>
        <w:adjustRightInd w:val="0"/>
        <w:ind w:left="567"/>
        <w:rPr>
          <w:color w:val="000000"/>
          <w:sz w:val="20"/>
          <w:lang w:eastAsia="da-DK"/>
        </w:rPr>
      </w:pPr>
      <w:r w:rsidRPr="00B2252E">
        <w:rPr>
          <w:color w:val="000000"/>
          <w:sz w:val="20"/>
          <w:lang w:eastAsia="da-DK"/>
        </w:rPr>
        <w:t xml:space="preserve">* N er det antal patienter, som tog mindst én dosis og fik valide værdier for MCC ved </w:t>
      </w:r>
      <w:r w:rsidRPr="00B2252E">
        <w:rPr>
          <w:i/>
          <w:color w:val="000000"/>
          <w:sz w:val="20"/>
          <w:lang w:eastAsia="da-DK"/>
        </w:rPr>
        <w:t>baseline</w:t>
      </w:r>
      <w:r w:rsidRPr="00B2252E">
        <w:rPr>
          <w:color w:val="000000"/>
          <w:sz w:val="20"/>
          <w:lang w:eastAsia="da-DK"/>
        </w:rPr>
        <w:t xml:space="preserve"> og uge 24.</w:t>
      </w:r>
    </w:p>
    <w:p w14:paraId="6C372588" w14:textId="77777777" w:rsidR="00B2252E" w:rsidRPr="00B2252E" w:rsidRDefault="00B2252E" w:rsidP="00B2252E">
      <w:pPr>
        <w:widowControl w:val="0"/>
        <w:suppressAutoHyphens/>
        <w:kinsoku w:val="0"/>
        <w:overflowPunct w:val="0"/>
        <w:autoSpaceDE w:val="0"/>
        <w:autoSpaceDN w:val="0"/>
        <w:adjustRightInd w:val="0"/>
        <w:ind w:left="851"/>
        <w:rPr>
          <w:color w:val="000000"/>
          <w:sz w:val="24"/>
          <w:szCs w:val="24"/>
          <w:lang w:eastAsia="da-DK"/>
        </w:rPr>
      </w:pPr>
    </w:p>
    <w:p w14:paraId="1AA7CF2A" w14:textId="77777777" w:rsidR="00B2252E" w:rsidRPr="00B2252E" w:rsidRDefault="00B2252E" w:rsidP="00B2252E">
      <w:pPr>
        <w:widowControl w:val="0"/>
        <w:suppressAutoHyphens/>
        <w:kinsoku w:val="0"/>
        <w:overflowPunct w:val="0"/>
        <w:autoSpaceDE w:val="0"/>
        <w:autoSpaceDN w:val="0"/>
        <w:adjustRightInd w:val="0"/>
        <w:ind w:left="851"/>
        <w:rPr>
          <w:color w:val="000000"/>
          <w:sz w:val="24"/>
          <w:szCs w:val="24"/>
          <w:lang w:eastAsia="da-DK"/>
        </w:rPr>
      </w:pPr>
      <w:r w:rsidRPr="00B2252E">
        <w:rPr>
          <w:color w:val="000000"/>
          <w:sz w:val="24"/>
          <w:szCs w:val="24"/>
          <w:lang w:eastAsia="da-DK"/>
        </w:rPr>
        <w:t xml:space="preserve">De sekundære virkningsendepunkter var ændring fra </w:t>
      </w:r>
      <w:r w:rsidRPr="00B2252E">
        <w:rPr>
          <w:i/>
          <w:color w:val="000000"/>
          <w:sz w:val="24"/>
          <w:szCs w:val="24"/>
          <w:lang w:eastAsia="da-DK"/>
        </w:rPr>
        <w:t>baseline</w:t>
      </w:r>
      <w:r w:rsidRPr="00B2252E">
        <w:rPr>
          <w:color w:val="000000"/>
          <w:sz w:val="24"/>
          <w:szCs w:val="24"/>
          <w:lang w:eastAsia="da-DK"/>
        </w:rPr>
        <w:t xml:space="preserve"> i blærekomplians, antal af overaktive detrusorkontraktioner, detrusortryk ved afslutningen af blærefyldning, blærevolumen før første detrusorkontraktion, maksimal kateteriseret urinvolumen pr. dag og antallet af episoder med lækage pr. dag efter 24 ugers behandling med mirabegron (se tabel 7).</w:t>
      </w:r>
    </w:p>
    <w:p w14:paraId="32C3425E" w14:textId="77777777" w:rsidR="00B2252E" w:rsidRPr="00B2252E" w:rsidRDefault="00B2252E" w:rsidP="00B2252E">
      <w:pPr>
        <w:widowControl w:val="0"/>
        <w:suppressAutoHyphens/>
        <w:kinsoku w:val="0"/>
        <w:overflowPunct w:val="0"/>
        <w:autoSpaceDE w:val="0"/>
        <w:autoSpaceDN w:val="0"/>
        <w:adjustRightInd w:val="0"/>
        <w:ind w:left="851"/>
        <w:rPr>
          <w:color w:val="000000"/>
          <w:sz w:val="24"/>
          <w:szCs w:val="24"/>
          <w:lang w:eastAsia="da-DK"/>
        </w:rPr>
      </w:pPr>
    </w:p>
    <w:p w14:paraId="07D5EE43" w14:textId="77777777" w:rsidR="00B2252E" w:rsidRPr="00B2252E" w:rsidRDefault="00B2252E" w:rsidP="00B2252E">
      <w:pPr>
        <w:keepNext/>
        <w:suppressAutoHyphens/>
        <w:kinsoku w:val="0"/>
        <w:overflowPunct w:val="0"/>
        <w:autoSpaceDE w:val="0"/>
        <w:autoSpaceDN w:val="0"/>
        <w:adjustRightInd w:val="0"/>
        <w:ind w:left="426"/>
        <w:rPr>
          <w:b/>
          <w:color w:val="000000"/>
          <w:sz w:val="22"/>
          <w:szCs w:val="22"/>
          <w:lang w:eastAsia="da-DK"/>
        </w:rPr>
      </w:pPr>
      <w:r w:rsidRPr="00B2252E">
        <w:rPr>
          <w:b/>
          <w:color w:val="000000"/>
          <w:sz w:val="22"/>
          <w:szCs w:val="22"/>
          <w:lang w:eastAsia="da-DK"/>
        </w:rPr>
        <w:lastRenderedPageBreak/>
        <w:t>Tabel 7: Sekundære virkningsendepunkter hos pædiatriske patienter med NDO</w:t>
      </w:r>
    </w:p>
    <w:tbl>
      <w:tblPr>
        <w:tblStyle w:val="Tabel-Gitter"/>
        <w:tblW w:w="8926" w:type="dxa"/>
        <w:jc w:val="center"/>
        <w:tblInd w:w="0" w:type="dxa"/>
        <w:tblLook w:val="04A0" w:firstRow="1" w:lastRow="0" w:firstColumn="1" w:lastColumn="0" w:noHBand="0" w:noVBand="1"/>
      </w:tblPr>
      <w:tblGrid>
        <w:gridCol w:w="3153"/>
        <w:gridCol w:w="2995"/>
        <w:gridCol w:w="2778"/>
      </w:tblGrid>
      <w:tr w:rsidR="00B2252E" w:rsidRPr="00B2252E" w14:paraId="1F36FC1D" w14:textId="77777777">
        <w:trPr>
          <w:cantSplit/>
          <w:trHeight w:val="227"/>
          <w:tblHeader/>
          <w:jc w:val="center"/>
        </w:trPr>
        <w:tc>
          <w:tcPr>
            <w:tcW w:w="3153" w:type="dxa"/>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35223936" w14:textId="77777777" w:rsidR="00B2252E" w:rsidRPr="00B2252E" w:rsidRDefault="00B2252E" w:rsidP="00B2252E">
            <w:pPr>
              <w:keepNext/>
              <w:autoSpaceDE w:val="0"/>
              <w:autoSpaceDN w:val="0"/>
              <w:adjustRightInd w:val="0"/>
              <w:rPr>
                <w:bCs/>
                <w:sz w:val="22"/>
              </w:rPr>
            </w:pPr>
            <w:r w:rsidRPr="00B2252E">
              <w:rPr>
                <w:bCs/>
                <w:sz w:val="22"/>
              </w:rPr>
              <w:t>Parameter</w:t>
            </w:r>
          </w:p>
        </w:tc>
        <w:tc>
          <w:tcPr>
            <w:tcW w:w="2995" w:type="dxa"/>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7CF9A148" w14:textId="77777777" w:rsidR="00B2252E" w:rsidRPr="00B2252E" w:rsidRDefault="00B2252E" w:rsidP="00B2252E">
            <w:pPr>
              <w:keepNext/>
              <w:autoSpaceDE w:val="0"/>
              <w:autoSpaceDN w:val="0"/>
              <w:adjustRightInd w:val="0"/>
              <w:rPr>
                <w:bCs/>
                <w:sz w:val="22"/>
                <w:lang w:val="da-DK"/>
              </w:rPr>
            </w:pPr>
            <w:r w:rsidRPr="00B2252E">
              <w:rPr>
                <w:bCs/>
                <w:sz w:val="22"/>
                <w:lang w:val="da-DK"/>
              </w:rPr>
              <w:t xml:space="preserve">Børn i alderen </w:t>
            </w:r>
          </w:p>
          <w:p w14:paraId="0FAD511A" w14:textId="77777777" w:rsidR="00B2252E" w:rsidRPr="00B2252E" w:rsidRDefault="00B2252E" w:rsidP="00B2252E">
            <w:pPr>
              <w:keepNext/>
              <w:autoSpaceDE w:val="0"/>
              <w:autoSpaceDN w:val="0"/>
              <w:adjustRightInd w:val="0"/>
              <w:rPr>
                <w:bCs/>
                <w:sz w:val="22"/>
                <w:lang w:val="da-DK"/>
              </w:rPr>
            </w:pPr>
            <w:r w:rsidRPr="00B2252E">
              <w:rPr>
                <w:bCs/>
                <w:sz w:val="22"/>
                <w:lang w:val="da-DK"/>
              </w:rPr>
              <w:t xml:space="preserve">3 år til &lt; 12 år </w:t>
            </w:r>
          </w:p>
          <w:p w14:paraId="070D155C" w14:textId="77777777" w:rsidR="00B2252E" w:rsidRPr="00B2252E" w:rsidRDefault="00B2252E" w:rsidP="00B2252E">
            <w:pPr>
              <w:keepNext/>
              <w:autoSpaceDE w:val="0"/>
              <w:autoSpaceDN w:val="0"/>
              <w:adjustRightInd w:val="0"/>
              <w:rPr>
                <w:bCs/>
                <w:sz w:val="22"/>
              </w:rPr>
            </w:pPr>
            <w:r w:rsidRPr="00B2252E">
              <w:rPr>
                <w:bCs/>
                <w:sz w:val="22"/>
              </w:rPr>
              <w:t xml:space="preserve">(N = 43)* </w:t>
            </w:r>
          </w:p>
          <w:p w14:paraId="1BF925C5" w14:textId="77777777" w:rsidR="00B2252E" w:rsidRPr="00B2252E" w:rsidRDefault="00B2252E" w:rsidP="00B2252E">
            <w:pPr>
              <w:keepNext/>
              <w:autoSpaceDE w:val="0"/>
              <w:autoSpaceDN w:val="0"/>
              <w:adjustRightInd w:val="0"/>
              <w:rPr>
                <w:bCs/>
                <w:sz w:val="22"/>
              </w:rPr>
            </w:pPr>
            <w:r w:rsidRPr="00B2252E">
              <w:rPr>
                <w:bCs/>
                <w:sz w:val="22"/>
              </w:rPr>
              <w:t>Middel (SD)</w:t>
            </w:r>
          </w:p>
        </w:tc>
        <w:tc>
          <w:tcPr>
            <w:tcW w:w="2778" w:type="dxa"/>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402AA4A6" w14:textId="77777777" w:rsidR="00B2252E" w:rsidRPr="00B2252E" w:rsidRDefault="00B2252E" w:rsidP="00B2252E">
            <w:pPr>
              <w:keepNext/>
              <w:autoSpaceDE w:val="0"/>
              <w:autoSpaceDN w:val="0"/>
              <w:adjustRightInd w:val="0"/>
              <w:rPr>
                <w:bCs/>
                <w:sz w:val="22"/>
                <w:lang w:val="da-DK"/>
              </w:rPr>
            </w:pPr>
            <w:r w:rsidRPr="00B2252E">
              <w:rPr>
                <w:bCs/>
                <w:sz w:val="22"/>
                <w:lang w:val="da-DK"/>
              </w:rPr>
              <w:t xml:space="preserve">Unge i alderen </w:t>
            </w:r>
          </w:p>
          <w:p w14:paraId="3EFB42FB" w14:textId="77777777" w:rsidR="00B2252E" w:rsidRPr="00B2252E" w:rsidRDefault="00B2252E" w:rsidP="00B2252E">
            <w:pPr>
              <w:keepNext/>
              <w:autoSpaceDE w:val="0"/>
              <w:autoSpaceDN w:val="0"/>
              <w:adjustRightInd w:val="0"/>
              <w:rPr>
                <w:bCs/>
                <w:sz w:val="22"/>
                <w:lang w:val="da-DK"/>
              </w:rPr>
            </w:pPr>
            <w:r w:rsidRPr="00B2252E">
              <w:rPr>
                <w:bCs/>
                <w:sz w:val="22"/>
                <w:lang w:val="da-DK"/>
              </w:rPr>
              <w:t xml:space="preserve">12 år til &lt; 18 år </w:t>
            </w:r>
          </w:p>
          <w:p w14:paraId="48456662" w14:textId="77777777" w:rsidR="00B2252E" w:rsidRPr="00B2252E" w:rsidRDefault="00B2252E" w:rsidP="00B2252E">
            <w:pPr>
              <w:keepNext/>
              <w:autoSpaceDE w:val="0"/>
              <w:autoSpaceDN w:val="0"/>
              <w:adjustRightInd w:val="0"/>
              <w:rPr>
                <w:bCs/>
                <w:sz w:val="22"/>
              </w:rPr>
            </w:pPr>
            <w:r w:rsidRPr="00B2252E">
              <w:rPr>
                <w:bCs/>
                <w:sz w:val="22"/>
              </w:rPr>
              <w:t xml:space="preserve">(N = 25)* </w:t>
            </w:r>
          </w:p>
          <w:p w14:paraId="29759738" w14:textId="77777777" w:rsidR="00B2252E" w:rsidRPr="00B2252E" w:rsidRDefault="00B2252E" w:rsidP="00B2252E">
            <w:pPr>
              <w:keepNext/>
              <w:autoSpaceDE w:val="0"/>
              <w:autoSpaceDN w:val="0"/>
              <w:adjustRightInd w:val="0"/>
              <w:rPr>
                <w:bCs/>
                <w:sz w:val="22"/>
              </w:rPr>
            </w:pPr>
            <w:r w:rsidRPr="00B2252E">
              <w:rPr>
                <w:bCs/>
                <w:sz w:val="22"/>
              </w:rPr>
              <w:t>Middel (SD)</w:t>
            </w:r>
          </w:p>
        </w:tc>
      </w:tr>
      <w:tr w:rsidR="00B2252E" w:rsidRPr="00B2252E" w14:paraId="18078834" w14:textId="77777777">
        <w:trPr>
          <w:cantSplit/>
          <w:trHeight w:val="227"/>
          <w:jc w:val="center"/>
        </w:trPr>
        <w:tc>
          <w:tcPr>
            <w:tcW w:w="8926" w:type="dxa"/>
            <w:gridSpan w:val="3"/>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1B72A3ED" w14:textId="77777777" w:rsidR="00B2252E" w:rsidRPr="00B2252E" w:rsidRDefault="00B2252E" w:rsidP="00B2252E">
            <w:pPr>
              <w:widowControl w:val="0"/>
              <w:autoSpaceDE w:val="0"/>
              <w:autoSpaceDN w:val="0"/>
              <w:adjustRightInd w:val="0"/>
              <w:ind w:left="57"/>
              <w:rPr>
                <w:bCs/>
                <w:sz w:val="22"/>
              </w:rPr>
            </w:pPr>
            <w:r w:rsidRPr="00B2252E">
              <w:rPr>
                <w:bCs/>
                <w:sz w:val="22"/>
              </w:rPr>
              <w:t>Blærekomplians (ml/cm H</w:t>
            </w:r>
            <w:r w:rsidRPr="00B2252E">
              <w:rPr>
                <w:bCs/>
                <w:sz w:val="22"/>
                <w:vertAlign w:val="subscript"/>
              </w:rPr>
              <w:t>2</w:t>
            </w:r>
            <w:r w:rsidRPr="00B2252E">
              <w:rPr>
                <w:bCs/>
                <w:sz w:val="22"/>
              </w:rPr>
              <w:t>O)†</w:t>
            </w:r>
          </w:p>
        </w:tc>
      </w:tr>
      <w:tr w:rsidR="00B2252E" w:rsidRPr="00B2252E" w14:paraId="3E0E5462" w14:textId="77777777">
        <w:trPr>
          <w:cantSplit/>
          <w:trHeight w:val="227"/>
          <w:jc w:val="center"/>
        </w:trPr>
        <w:tc>
          <w:tcPr>
            <w:tcW w:w="3153" w:type="dxa"/>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7400E2D8" w14:textId="77777777" w:rsidR="00B2252E" w:rsidRPr="00B2252E" w:rsidRDefault="00B2252E" w:rsidP="00B2252E">
            <w:pPr>
              <w:widowControl w:val="0"/>
              <w:autoSpaceDE w:val="0"/>
              <w:autoSpaceDN w:val="0"/>
              <w:adjustRightInd w:val="0"/>
              <w:ind w:left="57"/>
              <w:rPr>
                <w:i/>
                <w:iCs/>
                <w:sz w:val="22"/>
                <w:lang w:val="da-DK"/>
              </w:rPr>
            </w:pPr>
            <w:r w:rsidRPr="00B2252E">
              <w:rPr>
                <w:i/>
                <w:iCs/>
                <w:sz w:val="22"/>
                <w:lang w:val="da-DK"/>
              </w:rPr>
              <w:t>Baseline</w:t>
            </w:r>
          </w:p>
          <w:p w14:paraId="610B5BE6" w14:textId="77777777" w:rsidR="00B2252E" w:rsidRPr="00B2252E" w:rsidRDefault="00B2252E" w:rsidP="00B2252E">
            <w:pPr>
              <w:widowControl w:val="0"/>
              <w:autoSpaceDE w:val="0"/>
              <w:autoSpaceDN w:val="0"/>
              <w:adjustRightInd w:val="0"/>
              <w:ind w:left="57"/>
              <w:rPr>
                <w:sz w:val="22"/>
                <w:lang w:val="da-DK"/>
              </w:rPr>
            </w:pPr>
            <w:r w:rsidRPr="00B2252E">
              <w:rPr>
                <w:sz w:val="22"/>
                <w:lang w:val="da-DK"/>
              </w:rPr>
              <w:t>Uge 24</w:t>
            </w:r>
          </w:p>
          <w:p w14:paraId="0BD161E5" w14:textId="77777777" w:rsidR="00B2252E" w:rsidRPr="00B2252E" w:rsidRDefault="00B2252E" w:rsidP="00B2252E">
            <w:pPr>
              <w:widowControl w:val="0"/>
              <w:autoSpaceDE w:val="0"/>
              <w:autoSpaceDN w:val="0"/>
              <w:adjustRightInd w:val="0"/>
              <w:ind w:left="57"/>
              <w:rPr>
                <w:i/>
                <w:iCs/>
                <w:sz w:val="22"/>
                <w:lang w:val="da-DK"/>
              </w:rPr>
            </w:pPr>
            <w:r w:rsidRPr="00B2252E">
              <w:rPr>
                <w:sz w:val="22"/>
                <w:lang w:val="da-DK"/>
              </w:rPr>
              <w:t>Ændring fra</w:t>
            </w:r>
            <w:r w:rsidRPr="00B2252E">
              <w:rPr>
                <w:i/>
                <w:iCs/>
                <w:sz w:val="22"/>
                <w:lang w:val="da-DK"/>
              </w:rPr>
              <w:t xml:space="preserve"> baseline</w:t>
            </w:r>
          </w:p>
          <w:p w14:paraId="7AA551C6" w14:textId="77777777" w:rsidR="00B2252E" w:rsidRPr="00B2252E" w:rsidRDefault="00B2252E" w:rsidP="00B2252E">
            <w:pPr>
              <w:widowControl w:val="0"/>
              <w:autoSpaceDE w:val="0"/>
              <w:autoSpaceDN w:val="0"/>
              <w:adjustRightInd w:val="0"/>
              <w:ind w:left="57"/>
              <w:rPr>
                <w:sz w:val="22"/>
                <w:lang w:val="da-DK"/>
              </w:rPr>
            </w:pPr>
            <w:r w:rsidRPr="00B2252E">
              <w:rPr>
                <w:sz w:val="22"/>
                <w:lang w:val="da-DK"/>
              </w:rPr>
              <w:t>95% konfidensinterval</w:t>
            </w:r>
          </w:p>
        </w:tc>
        <w:tc>
          <w:tcPr>
            <w:tcW w:w="2995" w:type="dxa"/>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333F12FD" w14:textId="77777777" w:rsidR="00B2252E" w:rsidRPr="00B2252E" w:rsidRDefault="00B2252E" w:rsidP="00B2252E">
            <w:pPr>
              <w:widowControl w:val="0"/>
              <w:autoSpaceDE w:val="0"/>
              <w:autoSpaceDN w:val="0"/>
              <w:adjustRightInd w:val="0"/>
              <w:rPr>
                <w:sz w:val="22"/>
              </w:rPr>
            </w:pPr>
            <w:r w:rsidRPr="00B2252E">
              <w:rPr>
                <w:sz w:val="22"/>
              </w:rPr>
              <w:t>14.5 (50.7)</w:t>
            </w:r>
          </w:p>
          <w:p w14:paraId="15C849B5" w14:textId="77777777" w:rsidR="00B2252E" w:rsidRPr="00B2252E" w:rsidRDefault="00B2252E" w:rsidP="00B2252E">
            <w:pPr>
              <w:widowControl w:val="0"/>
              <w:autoSpaceDE w:val="0"/>
              <w:autoSpaceDN w:val="0"/>
              <w:adjustRightInd w:val="0"/>
              <w:rPr>
                <w:sz w:val="22"/>
              </w:rPr>
            </w:pPr>
            <w:r w:rsidRPr="00B2252E">
              <w:rPr>
                <w:sz w:val="22"/>
              </w:rPr>
              <w:t>29.6 (52.8)</w:t>
            </w:r>
          </w:p>
          <w:p w14:paraId="3FC05768" w14:textId="77777777" w:rsidR="00B2252E" w:rsidRPr="00B2252E" w:rsidRDefault="00B2252E" w:rsidP="00B2252E">
            <w:pPr>
              <w:widowControl w:val="0"/>
              <w:autoSpaceDE w:val="0"/>
              <w:autoSpaceDN w:val="0"/>
              <w:adjustRightInd w:val="0"/>
              <w:rPr>
                <w:sz w:val="22"/>
              </w:rPr>
            </w:pPr>
            <w:r w:rsidRPr="00B2252E">
              <w:rPr>
                <w:sz w:val="22"/>
              </w:rPr>
              <w:t>14.6 (42.0)</w:t>
            </w:r>
          </w:p>
          <w:p w14:paraId="50E60287" w14:textId="77777777" w:rsidR="00B2252E" w:rsidRPr="00B2252E" w:rsidRDefault="00B2252E" w:rsidP="00B2252E">
            <w:pPr>
              <w:widowControl w:val="0"/>
              <w:autoSpaceDE w:val="0"/>
              <w:autoSpaceDN w:val="0"/>
              <w:adjustRightInd w:val="0"/>
              <w:rPr>
                <w:sz w:val="22"/>
              </w:rPr>
            </w:pPr>
            <w:r w:rsidRPr="00B2252E">
              <w:rPr>
                <w:sz w:val="22"/>
              </w:rPr>
              <w:t>(-0.3, 29.5)</w:t>
            </w:r>
          </w:p>
        </w:tc>
        <w:tc>
          <w:tcPr>
            <w:tcW w:w="2778" w:type="dxa"/>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22FBD567" w14:textId="77777777" w:rsidR="00B2252E" w:rsidRPr="00B2252E" w:rsidRDefault="00B2252E" w:rsidP="00B2252E">
            <w:pPr>
              <w:widowControl w:val="0"/>
              <w:autoSpaceDE w:val="0"/>
              <w:autoSpaceDN w:val="0"/>
              <w:adjustRightInd w:val="0"/>
              <w:rPr>
                <w:sz w:val="22"/>
              </w:rPr>
            </w:pPr>
            <w:r w:rsidRPr="00B2252E">
              <w:rPr>
                <w:sz w:val="22"/>
              </w:rPr>
              <w:t>11.0 (10.0)</w:t>
            </w:r>
          </w:p>
          <w:p w14:paraId="32369A86" w14:textId="77777777" w:rsidR="00B2252E" w:rsidRPr="00B2252E" w:rsidRDefault="00B2252E" w:rsidP="00B2252E">
            <w:pPr>
              <w:widowControl w:val="0"/>
              <w:autoSpaceDE w:val="0"/>
              <w:autoSpaceDN w:val="0"/>
              <w:adjustRightInd w:val="0"/>
              <w:rPr>
                <w:sz w:val="22"/>
              </w:rPr>
            </w:pPr>
            <w:r w:rsidRPr="00B2252E">
              <w:rPr>
                <w:sz w:val="22"/>
              </w:rPr>
              <w:t>23.8 (15.3)</w:t>
            </w:r>
          </w:p>
          <w:p w14:paraId="73D2D2CE" w14:textId="77777777" w:rsidR="00B2252E" w:rsidRPr="00B2252E" w:rsidRDefault="00B2252E" w:rsidP="00B2252E">
            <w:pPr>
              <w:widowControl w:val="0"/>
              <w:autoSpaceDE w:val="0"/>
              <w:autoSpaceDN w:val="0"/>
              <w:adjustRightInd w:val="0"/>
              <w:rPr>
                <w:sz w:val="22"/>
              </w:rPr>
            </w:pPr>
            <w:r w:rsidRPr="00B2252E">
              <w:rPr>
                <w:sz w:val="22"/>
              </w:rPr>
              <w:t>13.5 (15.0)</w:t>
            </w:r>
          </w:p>
          <w:p w14:paraId="79EE17A7" w14:textId="77777777" w:rsidR="00B2252E" w:rsidRPr="00B2252E" w:rsidRDefault="00B2252E" w:rsidP="00B2252E">
            <w:pPr>
              <w:widowControl w:val="0"/>
              <w:autoSpaceDE w:val="0"/>
              <w:autoSpaceDN w:val="0"/>
              <w:adjustRightInd w:val="0"/>
              <w:rPr>
                <w:sz w:val="22"/>
              </w:rPr>
            </w:pPr>
            <w:r w:rsidRPr="00B2252E">
              <w:rPr>
                <w:sz w:val="22"/>
              </w:rPr>
              <w:t>(6.7, 20.4)</w:t>
            </w:r>
          </w:p>
        </w:tc>
      </w:tr>
      <w:tr w:rsidR="00B2252E" w:rsidRPr="00B2252E" w14:paraId="04427385" w14:textId="77777777">
        <w:trPr>
          <w:cantSplit/>
          <w:trHeight w:val="227"/>
          <w:jc w:val="center"/>
        </w:trPr>
        <w:tc>
          <w:tcPr>
            <w:tcW w:w="8926" w:type="dxa"/>
            <w:gridSpan w:val="3"/>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46C81109" w14:textId="77777777" w:rsidR="00B2252E" w:rsidRPr="00B2252E" w:rsidRDefault="00B2252E" w:rsidP="00B2252E">
            <w:pPr>
              <w:widowControl w:val="0"/>
              <w:autoSpaceDE w:val="0"/>
              <w:autoSpaceDN w:val="0"/>
              <w:adjustRightInd w:val="0"/>
              <w:ind w:left="57"/>
              <w:rPr>
                <w:bCs/>
                <w:sz w:val="22"/>
                <w:lang w:val="da-DK"/>
              </w:rPr>
            </w:pPr>
            <w:r w:rsidRPr="00B2252E">
              <w:rPr>
                <w:bCs/>
                <w:sz w:val="22"/>
                <w:lang w:val="da-DK"/>
              </w:rPr>
              <w:t>Antal overaktive detrusorkontraktioner (&gt; 15 cm H</w:t>
            </w:r>
            <w:r w:rsidRPr="00B2252E">
              <w:rPr>
                <w:bCs/>
                <w:sz w:val="22"/>
                <w:vertAlign w:val="subscript"/>
                <w:lang w:val="da-DK"/>
              </w:rPr>
              <w:t>2</w:t>
            </w:r>
            <w:r w:rsidRPr="00B2252E">
              <w:rPr>
                <w:bCs/>
                <w:sz w:val="22"/>
                <w:lang w:val="da-DK"/>
              </w:rPr>
              <w:t>O)†</w:t>
            </w:r>
          </w:p>
        </w:tc>
      </w:tr>
      <w:tr w:rsidR="00B2252E" w:rsidRPr="00B2252E" w14:paraId="6CCF6C8A" w14:textId="77777777">
        <w:trPr>
          <w:cantSplit/>
          <w:trHeight w:val="227"/>
          <w:jc w:val="center"/>
        </w:trPr>
        <w:tc>
          <w:tcPr>
            <w:tcW w:w="3153" w:type="dxa"/>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0456625A" w14:textId="77777777" w:rsidR="00B2252E" w:rsidRPr="00B2252E" w:rsidRDefault="00B2252E" w:rsidP="00B2252E">
            <w:pPr>
              <w:widowControl w:val="0"/>
              <w:autoSpaceDE w:val="0"/>
              <w:autoSpaceDN w:val="0"/>
              <w:adjustRightInd w:val="0"/>
              <w:ind w:left="57"/>
              <w:rPr>
                <w:i/>
                <w:iCs/>
                <w:sz w:val="22"/>
                <w:lang w:val="da-DK"/>
              </w:rPr>
            </w:pPr>
            <w:r w:rsidRPr="00B2252E">
              <w:rPr>
                <w:i/>
                <w:iCs/>
                <w:sz w:val="22"/>
                <w:lang w:val="da-DK"/>
              </w:rPr>
              <w:t>Baseline</w:t>
            </w:r>
          </w:p>
          <w:p w14:paraId="0107D08B" w14:textId="77777777" w:rsidR="00B2252E" w:rsidRPr="00B2252E" w:rsidRDefault="00B2252E" w:rsidP="00B2252E">
            <w:pPr>
              <w:widowControl w:val="0"/>
              <w:autoSpaceDE w:val="0"/>
              <w:autoSpaceDN w:val="0"/>
              <w:adjustRightInd w:val="0"/>
              <w:ind w:left="57"/>
              <w:rPr>
                <w:sz w:val="22"/>
                <w:lang w:val="da-DK"/>
              </w:rPr>
            </w:pPr>
            <w:r w:rsidRPr="00B2252E">
              <w:rPr>
                <w:sz w:val="22"/>
                <w:lang w:val="da-DK"/>
              </w:rPr>
              <w:t>Uge 24</w:t>
            </w:r>
          </w:p>
          <w:p w14:paraId="23D820AA" w14:textId="77777777" w:rsidR="00B2252E" w:rsidRPr="00B2252E" w:rsidRDefault="00B2252E" w:rsidP="00B2252E">
            <w:pPr>
              <w:widowControl w:val="0"/>
              <w:autoSpaceDE w:val="0"/>
              <w:autoSpaceDN w:val="0"/>
              <w:adjustRightInd w:val="0"/>
              <w:ind w:left="57"/>
              <w:rPr>
                <w:i/>
                <w:iCs/>
                <w:sz w:val="22"/>
                <w:lang w:val="da-DK"/>
              </w:rPr>
            </w:pPr>
            <w:r w:rsidRPr="00B2252E">
              <w:rPr>
                <w:sz w:val="22"/>
                <w:lang w:val="da-DK"/>
              </w:rPr>
              <w:t>Ændring fra</w:t>
            </w:r>
            <w:r w:rsidRPr="00B2252E">
              <w:rPr>
                <w:i/>
                <w:iCs/>
                <w:sz w:val="22"/>
                <w:lang w:val="da-DK"/>
              </w:rPr>
              <w:t xml:space="preserve"> baseline</w:t>
            </w:r>
          </w:p>
          <w:p w14:paraId="3569EE21" w14:textId="77777777" w:rsidR="00B2252E" w:rsidRPr="00B2252E" w:rsidRDefault="00B2252E" w:rsidP="00B2252E">
            <w:pPr>
              <w:widowControl w:val="0"/>
              <w:autoSpaceDE w:val="0"/>
              <w:autoSpaceDN w:val="0"/>
              <w:adjustRightInd w:val="0"/>
              <w:ind w:left="57"/>
              <w:rPr>
                <w:sz w:val="22"/>
                <w:lang w:val="da-DK"/>
              </w:rPr>
            </w:pPr>
            <w:r w:rsidRPr="00B2252E">
              <w:rPr>
                <w:sz w:val="22"/>
                <w:lang w:val="da-DK"/>
              </w:rPr>
              <w:t>95% konfidensinterval</w:t>
            </w:r>
          </w:p>
        </w:tc>
        <w:tc>
          <w:tcPr>
            <w:tcW w:w="2995" w:type="dxa"/>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3BE13B32" w14:textId="77777777" w:rsidR="00B2252E" w:rsidRPr="00B2252E" w:rsidRDefault="00B2252E" w:rsidP="00B2252E">
            <w:pPr>
              <w:widowControl w:val="0"/>
              <w:autoSpaceDE w:val="0"/>
              <w:autoSpaceDN w:val="0"/>
              <w:adjustRightInd w:val="0"/>
              <w:rPr>
                <w:sz w:val="22"/>
              </w:rPr>
            </w:pPr>
            <w:r w:rsidRPr="00B2252E">
              <w:rPr>
                <w:sz w:val="22"/>
              </w:rPr>
              <w:t>3.0 (3.8)</w:t>
            </w:r>
          </w:p>
          <w:p w14:paraId="4AA8CF2C" w14:textId="77777777" w:rsidR="00B2252E" w:rsidRPr="00B2252E" w:rsidRDefault="00B2252E" w:rsidP="00B2252E">
            <w:pPr>
              <w:widowControl w:val="0"/>
              <w:autoSpaceDE w:val="0"/>
              <w:autoSpaceDN w:val="0"/>
              <w:adjustRightInd w:val="0"/>
              <w:rPr>
                <w:sz w:val="22"/>
              </w:rPr>
            </w:pPr>
            <w:r w:rsidRPr="00B2252E">
              <w:rPr>
                <w:sz w:val="22"/>
              </w:rPr>
              <w:t>1.0 (2.2)</w:t>
            </w:r>
          </w:p>
          <w:p w14:paraId="492094F0" w14:textId="77777777" w:rsidR="00B2252E" w:rsidRPr="00B2252E" w:rsidRDefault="00B2252E" w:rsidP="00B2252E">
            <w:pPr>
              <w:widowControl w:val="0"/>
              <w:autoSpaceDE w:val="0"/>
              <w:autoSpaceDN w:val="0"/>
              <w:adjustRightInd w:val="0"/>
              <w:rPr>
                <w:sz w:val="22"/>
              </w:rPr>
            </w:pPr>
            <w:r w:rsidRPr="00B2252E">
              <w:rPr>
                <w:sz w:val="22"/>
              </w:rPr>
              <w:t>-1.8 (4.1)</w:t>
            </w:r>
          </w:p>
          <w:p w14:paraId="01FE9FBF" w14:textId="77777777" w:rsidR="00B2252E" w:rsidRPr="00B2252E" w:rsidRDefault="00B2252E" w:rsidP="00B2252E">
            <w:pPr>
              <w:widowControl w:val="0"/>
              <w:autoSpaceDE w:val="0"/>
              <w:autoSpaceDN w:val="0"/>
              <w:adjustRightInd w:val="0"/>
              <w:rPr>
                <w:sz w:val="22"/>
              </w:rPr>
            </w:pPr>
            <w:r w:rsidRPr="00B2252E">
              <w:rPr>
                <w:sz w:val="22"/>
              </w:rPr>
              <w:t>(-3.2, -0.4)</w:t>
            </w:r>
          </w:p>
        </w:tc>
        <w:tc>
          <w:tcPr>
            <w:tcW w:w="2778" w:type="dxa"/>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20430CB9" w14:textId="77777777" w:rsidR="00B2252E" w:rsidRPr="00B2252E" w:rsidRDefault="00B2252E" w:rsidP="00B2252E">
            <w:pPr>
              <w:widowControl w:val="0"/>
              <w:autoSpaceDE w:val="0"/>
              <w:autoSpaceDN w:val="0"/>
              <w:adjustRightInd w:val="0"/>
              <w:rPr>
                <w:sz w:val="22"/>
              </w:rPr>
            </w:pPr>
            <w:r w:rsidRPr="00B2252E">
              <w:rPr>
                <w:sz w:val="22"/>
              </w:rPr>
              <w:t>2.0 (2.9)</w:t>
            </w:r>
          </w:p>
          <w:p w14:paraId="474BE0BD" w14:textId="77777777" w:rsidR="00B2252E" w:rsidRPr="00B2252E" w:rsidRDefault="00B2252E" w:rsidP="00B2252E">
            <w:pPr>
              <w:widowControl w:val="0"/>
              <w:autoSpaceDE w:val="0"/>
              <w:autoSpaceDN w:val="0"/>
              <w:adjustRightInd w:val="0"/>
              <w:rPr>
                <w:sz w:val="22"/>
              </w:rPr>
            </w:pPr>
            <w:r w:rsidRPr="00B2252E">
              <w:rPr>
                <w:sz w:val="22"/>
              </w:rPr>
              <w:t>1.4 (2.3)</w:t>
            </w:r>
          </w:p>
          <w:p w14:paraId="44F980BC" w14:textId="77777777" w:rsidR="00B2252E" w:rsidRPr="00B2252E" w:rsidRDefault="00B2252E" w:rsidP="00B2252E">
            <w:pPr>
              <w:widowControl w:val="0"/>
              <w:autoSpaceDE w:val="0"/>
              <w:autoSpaceDN w:val="0"/>
              <w:adjustRightInd w:val="0"/>
              <w:rPr>
                <w:sz w:val="22"/>
              </w:rPr>
            </w:pPr>
            <w:r w:rsidRPr="00B2252E">
              <w:rPr>
                <w:sz w:val="22"/>
              </w:rPr>
              <w:t>-0.7 (3.8)</w:t>
            </w:r>
          </w:p>
          <w:p w14:paraId="32CC907A" w14:textId="77777777" w:rsidR="00B2252E" w:rsidRPr="00B2252E" w:rsidRDefault="00B2252E" w:rsidP="00B2252E">
            <w:pPr>
              <w:widowControl w:val="0"/>
              <w:autoSpaceDE w:val="0"/>
              <w:autoSpaceDN w:val="0"/>
              <w:adjustRightInd w:val="0"/>
              <w:rPr>
                <w:sz w:val="22"/>
              </w:rPr>
            </w:pPr>
            <w:r w:rsidRPr="00B2252E">
              <w:rPr>
                <w:sz w:val="22"/>
              </w:rPr>
              <w:t>(-2.4, 0.9)</w:t>
            </w:r>
          </w:p>
        </w:tc>
      </w:tr>
      <w:tr w:rsidR="00B2252E" w:rsidRPr="00B2252E" w14:paraId="16F36E58" w14:textId="77777777">
        <w:trPr>
          <w:cantSplit/>
          <w:trHeight w:val="227"/>
          <w:jc w:val="center"/>
        </w:trPr>
        <w:tc>
          <w:tcPr>
            <w:tcW w:w="8926" w:type="dxa"/>
            <w:gridSpan w:val="3"/>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6C83CA43" w14:textId="77777777" w:rsidR="00B2252E" w:rsidRPr="00B2252E" w:rsidRDefault="00B2252E" w:rsidP="00B2252E">
            <w:pPr>
              <w:widowControl w:val="0"/>
              <w:autoSpaceDE w:val="0"/>
              <w:autoSpaceDN w:val="0"/>
              <w:adjustRightInd w:val="0"/>
              <w:ind w:left="57"/>
              <w:rPr>
                <w:sz w:val="22"/>
                <w:lang w:val="da-DK"/>
              </w:rPr>
            </w:pPr>
            <w:r w:rsidRPr="00B2252E">
              <w:rPr>
                <w:sz w:val="22"/>
                <w:lang w:val="da-DK"/>
              </w:rPr>
              <w:t>Detrusortryk (cm H</w:t>
            </w:r>
            <w:r w:rsidRPr="00B2252E">
              <w:rPr>
                <w:sz w:val="22"/>
                <w:vertAlign w:val="subscript"/>
                <w:lang w:val="da-DK"/>
              </w:rPr>
              <w:t>2</w:t>
            </w:r>
            <w:r w:rsidRPr="00B2252E">
              <w:rPr>
                <w:sz w:val="22"/>
                <w:lang w:val="da-DK"/>
              </w:rPr>
              <w:t>O) ved afslutningen af blærefyldning†</w:t>
            </w:r>
          </w:p>
        </w:tc>
      </w:tr>
      <w:tr w:rsidR="00B2252E" w:rsidRPr="00B2252E" w14:paraId="57FC57E0" w14:textId="77777777">
        <w:trPr>
          <w:cantSplit/>
          <w:trHeight w:val="227"/>
          <w:jc w:val="center"/>
        </w:trPr>
        <w:tc>
          <w:tcPr>
            <w:tcW w:w="3153" w:type="dxa"/>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13DCDF24" w14:textId="77777777" w:rsidR="00B2252E" w:rsidRPr="00B2252E" w:rsidRDefault="00B2252E" w:rsidP="00B2252E">
            <w:pPr>
              <w:widowControl w:val="0"/>
              <w:autoSpaceDE w:val="0"/>
              <w:autoSpaceDN w:val="0"/>
              <w:adjustRightInd w:val="0"/>
              <w:ind w:left="57"/>
              <w:rPr>
                <w:i/>
                <w:iCs/>
                <w:sz w:val="22"/>
                <w:lang w:val="da-DK"/>
              </w:rPr>
            </w:pPr>
            <w:r w:rsidRPr="00B2252E">
              <w:rPr>
                <w:i/>
                <w:iCs/>
                <w:sz w:val="22"/>
                <w:lang w:val="da-DK"/>
              </w:rPr>
              <w:t>Baseline</w:t>
            </w:r>
          </w:p>
          <w:p w14:paraId="1B693242" w14:textId="77777777" w:rsidR="00B2252E" w:rsidRPr="00B2252E" w:rsidRDefault="00B2252E" w:rsidP="00B2252E">
            <w:pPr>
              <w:widowControl w:val="0"/>
              <w:autoSpaceDE w:val="0"/>
              <w:autoSpaceDN w:val="0"/>
              <w:adjustRightInd w:val="0"/>
              <w:ind w:left="57"/>
              <w:rPr>
                <w:sz w:val="22"/>
                <w:lang w:val="da-DK"/>
              </w:rPr>
            </w:pPr>
            <w:r w:rsidRPr="00B2252E">
              <w:rPr>
                <w:sz w:val="22"/>
                <w:lang w:val="da-DK"/>
              </w:rPr>
              <w:t>Uge 24</w:t>
            </w:r>
          </w:p>
          <w:p w14:paraId="2DB9E113" w14:textId="77777777" w:rsidR="00B2252E" w:rsidRPr="00B2252E" w:rsidRDefault="00B2252E" w:rsidP="00B2252E">
            <w:pPr>
              <w:widowControl w:val="0"/>
              <w:autoSpaceDE w:val="0"/>
              <w:autoSpaceDN w:val="0"/>
              <w:adjustRightInd w:val="0"/>
              <w:ind w:left="57"/>
              <w:rPr>
                <w:i/>
                <w:iCs/>
                <w:sz w:val="22"/>
                <w:lang w:val="da-DK"/>
              </w:rPr>
            </w:pPr>
            <w:r w:rsidRPr="00B2252E">
              <w:rPr>
                <w:sz w:val="22"/>
                <w:lang w:val="da-DK"/>
              </w:rPr>
              <w:t>Ændring fra</w:t>
            </w:r>
            <w:r w:rsidRPr="00B2252E">
              <w:rPr>
                <w:i/>
                <w:iCs/>
                <w:sz w:val="22"/>
                <w:lang w:val="da-DK"/>
              </w:rPr>
              <w:t xml:space="preserve"> baseline</w:t>
            </w:r>
          </w:p>
          <w:p w14:paraId="4EFC5A3D" w14:textId="77777777" w:rsidR="00B2252E" w:rsidRPr="00B2252E" w:rsidRDefault="00B2252E" w:rsidP="00B2252E">
            <w:pPr>
              <w:widowControl w:val="0"/>
              <w:autoSpaceDE w:val="0"/>
              <w:autoSpaceDN w:val="0"/>
              <w:adjustRightInd w:val="0"/>
              <w:ind w:left="57"/>
              <w:rPr>
                <w:sz w:val="22"/>
                <w:lang w:val="da-DK"/>
              </w:rPr>
            </w:pPr>
            <w:r w:rsidRPr="00B2252E">
              <w:rPr>
                <w:sz w:val="22"/>
                <w:lang w:val="da-DK"/>
              </w:rPr>
              <w:t>95% konfidensinterval</w:t>
            </w:r>
          </w:p>
        </w:tc>
        <w:tc>
          <w:tcPr>
            <w:tcW w:w="2995" w:type="dxa"/>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421EA2D0" w14:textId="77777777" w:rsidR="00B2252E" w:rsidRPr="00B2252E" w:rsidRDefault="00B2252E" w:rsidP="00B2252E">
            <w:pPr>
              <w:widowControl w:val="0"/>
              <w:autoSpaceDE w:val="0"/>
              <w:autoSpaceDN w:val="0"/>
              <w:adjustRightInd w:val="0"/>
              <w:rPr>
                <w:sz w:val="22"/>
              </w:rPr>
            </w:pPr>
            <w:r w:rsidRPr="00B2252E">
              <w:rPr>
                <w:sz w:val="22"/>
              </w:rPr>
              <w:t>42.2 (26.2)</w:t>
            </w:r>
          </w:p>
          <w:p w14:paraId="2C58D86F" w14:textId="77777777" w:rsidR="00B2252E" w:rsidRPr="00B2252E" w:rsidRDefault="00B2252E" w:rsidP="00B2252E">
            <w:pPr>
              <w:widowControl w:val="0"/>
              <w:autoSpaceDE w:val="0"/>
              <w:autoSpaceDN w:val="0"/>
              <w:adjustRightInd w:val="0"/>
              <w:rPr>
                <w:sz w:val="22"/>
              </w:rPr>
            </w:pPr>
            <w:r w:rsidRPr="00B2252E">
              <w:rPr>
                <w:sz w:val="22"/>
              </w:rPr>
              <w:t>25.6 (21.2)</w:t>
            </w:r>
          </w:p>
          <w:p w14:paraId="6773F01D" w14:textId="77777777" w:rsidR="00B2252E" w:rsidRPr="00B2252E" w:rsidRDefault="00B2252E" w:rsidP="00B2252E">
            <w:pPr>
              <w:widowControl w:val="0"/>
              <w:autoSpaceDE w:val="0"/>
              <w:autoSpaceDN w:val="0"/>
              <w:adjustRightInd w:val="0"/>
              <w:rPr>
                <w:sz w:val="22"/>
              </w:rPr>
            </w:pPr>
            <w:r w:rsidRPr="00B2252E">
              <w:rPr>
                <w:sz w:val="22"/>
              </w:rPr>
              <w:t>-18.1 (19.9)</w:t>
            </w:r>
          </w:p>
          <w:p w14:paraId="65CF87E9" w14:textId="77777777" w:rsidR="00B2252E" w:rsidRPr="00B2252E" w:rsidRDefault="00B2252E" w:rsidP="00B2252E">
            <w:pPr>
              <w:widowControl w:val="0"/>
              <w:autoSpaceDE w:val="0"/>
              <w:autoSpaceDN w:val="0"/>
              <w:adjustRightInd w:val="0"/>
              <w:rPr>
                <w:sz w:val="22"/>
              </w:rPr>
            </w:pPr>
            <w:r w:rsidRPr="00B2252E">
              <w:rPr>
                <w:sz w:val="22"/>
              </w:rPr>
              <w:t>(-24.8, -11.3)</w:t>
            </w:r>
          </w:p>
        </w:tc>
        <w:tc>
          <w:tcPr>
            <w:tcW w:w="2778" w:type="dxa"/>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659DEDC1" w14:textId="77777777" w:rsidR="00B2252E" w:rsidRPr="00B2252E" w:rsidRDefault="00B2252E" w:rsidP="00B2252E">
            <w:pPr>
              <w:widowControl w:val="0"/>
              <w:autoSpaceDE w:val="0"/>
              <w:autoSpaceDN w:val="0"/>
              <w:adjustRightInd w:val="0"/>
              <w:rPr>
                <w:sz w:val="22"/>
              </w:rPr>
            </w:pPr>
            <w:r w:rsidRPr="00B2252E">
              <w:rPr>
                <w:sz w:val="22"/>
              </w:rPr>
              <w:t>38.6 (17.9)</w:t>
            </w:r>
          </w:p>
          <w:p w14:paraId="76B6E578" w14:textId="77777777" w:rsidR="00B2252E" w:rsidRPr="00B2252E" w:rsidRDefault="00B2252E" w:rsidP="00B2252E">
            <w:pPr>
              <w:widowControl w:val="0"/>
              <w:autoSpaceDE w:val="0"/>
              <w:autoSpaceDN w:val="0"/>
              <w:adjustRightInd w:val="0"/>
              <w:rPr>
                <w:sz w:val="22"/>
              </w:rPr>
            </w:pPr>
            <w:r w:rsidRPr="00B2252E">
              <w:rPr>
                <w:sz w:val="22"/>
              </w:rPr>
              <w:t>27.8 (27.8)</w:t>
            </w:r>
          </w:p>
          <w:p w14:paraId="618E1D0F" w14:textId="77777777" w:rsidR="00B2252E" w:rsidRPr="00B2252E" w:rsidRDefault="00B2252E" w:rsidP="00B2252E">
            <w:pPr>
              <w:widowControl w:val="0"/>
              <w:autoSpaceDE w:val="0"/>
              <w:autoSpaceDN w:val="0"/>
              <w:adjustRightInd w:val="0"/>
              <w:rPr>
                <w:sz w:val="22"/>
              </w:rPr>
            </w:pPr>
            <w:r w:rsidRPr="00B2252E">
              <w:rPr>
                <w:sz w:val="22"/>
              </w:rPr>
              <w:t>-13.1 (19.9)</w:t>
            </w:r>
          </w:p>
          <w:p w14:paraId="23FDBB04" w14:textId="77777777" w:rsidR="00B2252E" w:rsidRPr="00B2252E" w:rsidRDefault="00B2252E" w:rsidP="00B2252E">
            <w:pPr>
              <w:widowControl w:val="0"/>
              <w:autoSpaceDE w:val="0"/>
              <w:autoSpaceDN w:val="0"/>
              <w:adjustRightInd w:val="0"/>
              <w:rPr>
                <w:sz w:val="22"/>
              </w:rPr>
            </w:pPr>
            <w:r w:rsidRPr="00B2252E">
              <w:rPr>
                <w:sz w:val="22"/>
              </w:rPr>
              <w:t>(-22.0, -4.3)</w:t>
            </w:r>
          </w:p>
        </w:tc>
      </w:tr>
      <w:tr w:rsidR="00B2252E" w:rsidRPr="00B2252E" w14:paraId="2C4899F6" w14:textId="77777777">
        <w:trPr>
          <w:cantSplit/>
          <w:trHeight w:val="227"/>
          <w:jc w:val="center"/>
        </w:trPr>
        <w:tc>
          <w:tcPr>
            <w:tcW w:w="8926" w:type="dxa"/>
            <w:gridSpan w:val="3"/>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06C41AE6" w14:textId="77777777" w:rsidR="00B2252E" w:rsidRPr="00B2252E" w:rsidRDefault="00B2252E" w:rsidP="00B2252E">
            <w:pPr>
              <w:widowControl w:val="0"/>
              <w:autoSpaceDE w:val="0"/>
              <w:autoSpaceDN w:val="0"/>
              <w:adjustRightInd w:val="0"/>
              <w:ind w:left="57"/>
              <w:rPr>
                <w:bCs/>
                <w:sz w:val="22"/>
                <w:lang w:val="da-DK"/>
              </w:rPr>
            </w:pPr>
            <w:r w:rsidRPr="00B2252E">
              <w:rPr>
                <w:bCs/>
                <w:sz w:val="22"/>
                <w:lang w:val="da-DK"/>
              </w:rPr>
              <w:t>Blærevolumen før første detrusorkontraktion (&gt; 15 cm H</w:t>
            </w:r>
            <w:r w:rsidRPr="00B2252E">
              <w:rPr>
                <w:bCs/>
                <w:sz w:val="22"/>
                <w:vertAlign w:val="subscript"/>
                <w:lang w:val="da-DK"/>
              </w:rPr>
              <w:t>2</w:t>
            </w:r>
            <w:r w:rsidRPr="00B2252E">
              <w:rPr>
                <w:bCs/>
                <w:sz w:val="22"/>
                <w:lang w:val="da-DK"/>
              </w:rPr>
              <w:t>O)†</w:t>
            </w:r>
          </w:p>
        </w:tc>
      </w:tr>
      <w:tr w:rsidR="00B2252E" w:rsidRPr="00B2252E" w14:paraId="5CDAC483" w14:textId="77777777">
        <w:trPr>
          <w:cantSplit/>
          <w:trHeight w:val="227"/>
          <w:jc w:val="center"/>
        </w:trPr>
        <w:tc>
          <w:tcPr>
            <w:tcW w:w="3153" w:type="dxa"/>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784732E1" w14:textId="77777777" w:rsidR="00B2252E" w:rsidRPr="00B2252E" w:rsidRDefault="00B2252E" w:rsidP="00B2252E">
            <w:pPr>
              <w:widowControl w:val="0"/>
              <w:autoSpaceDE w:val="0"/>
              <w:autoSpaceDN w:val="0"/>
              <w:adjustRightInd w:val="0"/>
              <w:ind w:left="57"/>
              <w:rPr>
                <w:i/>
                <w:iCs/>
                <w:sz w:val="22"/>
                <w:lang w:val="da-DK"/>
              </w:rPr>
            </w:pPr>
            <w:r w:rsidRPr="00B2252E">
              <w:rPr>
                <w:i/>
                <w:iCs/>
                <w:sz w:val="22"/>
                <w:lang w:val="da-DK"/>
              </w:rPr>
              <w:t>Baseline</w:t>
            </w:r>
          </w:p>
          <w:p w14:paraId="5E77CAA3" w14:textId="77777777" w:rsidR="00B2252E" w:rsidRPr="00B2252E" w:rsidRDefault="00B2252E" w:rsidP="00B2252E">
            <w:pPr>
              <w:widowControl w:val="0"/>
              <w:autoSpaceDE w:val="0"/>
              <w:autoSpaceDN w:val="0"/>
              <w:adjustRightInd w:val="0"/>
              <w:ind w:left="57"/>
              <w:rPr>
                <w:sz w:val="22"/>
                <w:lang w:val="da-DK"/>
              </w:rPr>
            </w:pPr>
            <w:r w:rsidRPr="00B2252E">
              <w:rPr>
                <w:sz w:val="22"/>
                <w:lang w:val="da-DK"/>
              </w:rPr>
              <w:t>Uge 24</w:t>
            </w:r>
          </w:p>
          <w:p w14:paraId="34A5B472" w14:textId="77777777" w:rsidR="00B2252E" w:rsidRPr="00B2252E" w:rsidRDefault="00B2252E" w:rsidP="00B2252E">
            <w:pPr>
              <w:widowControl w:val="0"/>
              <w:autoSpaceDE w:val="0"/>
              <w:autoSpaceDN w:val="0"/>
              <w:adjustRightInd w:val="0"/>
              <w:ind w:left="57"/>
              <w:rPr>
                <w:i/>
                <w:iCs/>
                <w:sz w:val="22"/>
                <w:lang w:val="da-DK"/>
              </w:rPr>
            </w:pPr>
            <w:r w:rsidRPr="00B2252E">
              <w:rPr>
                <w:sz w:val="22"/>
                <w:lang w:val="da-DK"/>
              </w:rPr>
              <w:t>Ændring fra</w:t>
            </w:r>
            <w:r w:rsidRPr="00B2252E">
              <w:rPr>
                <w:i/>
                <w:iCs/>
                <w:sz w:val="22"/>
                <w:lang w:val="da-DK"/>
              </w:rPr>
              <w:t xml:space="preserve"> baseline</w:t>
            </w:r>
          </w:p>
          <w:p w14:paraId="54083C19" w14:textId="77777777" w:rsidR="00B2252E" w:rsidRPr="00B2252E" w:rsidRDefault="00B2252E" w:rsidP="00B2252E">
            <w:pPr>
              <w:widowControl w:val="0"/>
              <w:autoSpaceDE w:val="0"/>
              <w:autoSpaceDN w:val="0"/>
              <w:adjustRightInd w:val="0"/>
              <w:ind w:left="57"/>
              <w:rPr>
                <w:sz w:val="22"/>
                <w:lang w:val="da-DK"/>
              </w:rPr>
            </w:pPr>
            <w:r w:rsidRPr="00B2252E">
              <w:rPr>
                <w:sz w:val="22"/>
                <w:lang w:val="da-DK"/>
              </w:rPr>
              <w:t>95% konfidensinterval</w:t>
            </w:r>
          </w:p>
        </w:tc>
        <w:tc>
          <w:tcPr>
            <w:tcW w:w="2995" w:type="dxa"/>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5AF67E3F" w14:textId="77777777" w:rsidR="00B2252E" w:rsidRPr="00B2252E" w:rsidRDefault="00B2252E" w:rsidP="00B2252E">
            <w:pPr>
              <w:widowControl w:val="0"/>
              <w:autoSpaceDE w:val="0"/>
              <w:autoSpaceDN w:val="0"/>
              <w:adjustRightInd w:val="0"/>
              <w:rPr>
                <w:sz w:val="22"/>
              </w:rPr>
            </w:pPr>
            <w:r w:rsidRPr="00B2252E">
              <w:rPr>
                <w:sz w:val="22"/>
              </w:rPr>
              <w:t>115.8 (87.0)</w:t>
            </w:r>
          </w:p>
          <w:p w14:paraId="3D5617B2" w14:textId="77777777" w:rsidR="00B2252E" w:rsidRPr="00B2252E" w:rsidRDefault="00B2252E" w:rsidP="00B2252E">
            <w:pPr>
              <w:widowControl w:val="0"/>
              <w:autoSpaceDE w:val="0"/>
              <w:autoSpaceDN w:val="0"/>
              <w:adjustRightInd w:val="0"/>
              <w:rPr>
                <w:sz w:val="22"/>
              </w:rPr>
            </w:pPr>
            <w:r w:rsidRPr="00B2252E">
              <w:rPr>
                <w:sz w:val="22"/>
              </w:rPr>
              <w:t>207.9 (97.8)</w:t>
            </w:r>
          </w:p>
          <w:p w14:paraId="2AD7D537" w14:textId="77777777" w:rsidR="00B2252E" w:rsidRPr="00B2252E" w:rsidRDefault="00B2252E" w:rsidP="00B2252E">
            <w:pPr>
              <w:widowControl w:val="0"/>
              <w:autoSpaceDE w:val="0"/>
              <w:autoSpaceDN w:val="0"/>
              <w:adjustRightInd w:val="0"/>
              <w:rPr>
                <w:sz w:val="22"/>
              </w:rPr>
            </w:pPr>
            <w:r w:rsidRPr="00B2252E">
              <w:rPr>
                <w:sz w:val="22"/>
              </w:rPr>
              <w:t>93.1 (88.1)</w:t>
            </w:r>
          </w:p>
          <w:p w14:paraId="351B78BF" w14:textId="77777777" w:rsidR="00B2252E" w:rsidRPr="00B2252E" w:rsidRDefault="00B2252E" w:rsidP="00B2252E">
            <w:pPr>
              <w:widowControl w:val="0"/>
              <w:autoSpaceDE w:val="0"/>
              <w:autoSpaceDN w:val="0"/>
              <w:adjustRightInd w:val="0"/>
              <w:rPr>
                <w:sz w:val="22"/>
              </w:rPr>
            </w:pPr>
            <w:r w:rsidRPr="00B2252E">
              <w:rPr>
                <w:sz w:val="22"/>
              </w:rPr>
              <w:t>(64.1, 122.1)</w:t>
            </w:r>
          </w:p>
        </w:tc>
        <w:tc>
          <w:tcPr>
            <w:tcW w:w="2778" w:type="dxa"/>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79F40216" w14:textId="77777777" w:rsidR="00B2252E" w:rsidRPr="00B2252E" w:rsidRDefault="00B2252E" w:rsidP="00B2252E">
            <w:pPr>
              <w:widowControl w:val="0"/>
              <w:autoSpaceDE w:val="0"/>
              <w:autoSpaceDN w:val="0"/>
              <w:adjustRightInd w:val="0"/>
              <w:rPr>
                <w:sz w:val="22"/>
              </w:rPr>
            </w:pPr>
            <w:r w:rsidRPr="00B2252E">
              <w:rPr>
                <w:sz w:val="22"/>
              </w:rPr>
              <w:t>185.2 (121.2)</w:t>
            </w:r>
          </w:p>
          <w:p w14:paraId="210109DE" w14:textId="77777777" w:rsidR="00B2252E" w:rsidRPr="00B2252E" w:rsidRDefault="00B2252E" w:rsidP="00B2252E">
            <w:pPr>
              <w:widowControl w:val="0"/>
              <w:autoSpaceDE w:val="0"/>
              <w:autoSpaceDN w:val="0"/>
              <w:adjustRightInd w:val="0"/>
              <w:rPr>
                <w:sz w:val="22"/>
              </w:rPr>
            </w:pPr>
            <w:r w:rsidRPr="00B2252E">
              <w:rPr>
                <w:sz w:val="22"/>
              </w:rPr>
              <w:t>298.7 (144.4)</w:t>
            </w:r>
          </w:p>
          <w:p w14:paraId="3FE45780" w14:textId="77777777" w:rsidR="00B2252E" w:rsidRPr="00B2252E" w:rsidRDefault="00B2252E" w:rsidP="00B2252E">
            <w:pPr>
              <w:widowControl w:val="0"/>
              <w:autoSpaceDE w:val="0"/>
              <w:autoSpaceDN w:val="0"/>
              <w:adjustRightInd w:val="0"/>
              <w:rPr>
                <w:sz w:val="22"/>
              </w:rPr>
            </w:pPr>
            <w:r w:rsidRPr="00B2252E">
              <w:rPr>
                <w:sz w:val="22"/>
              </w:rPr>
              <w:t>121.3 (159.8)</w:t>
            </w:r>
          </w:p>
          <w:p w14:paraId="35FD98C6" w14:textId="77777777" w:rsidR="00B2252E" w:rsidRPr="00B2252E" w:rsidRDefault="00B2252E" w:rsidP="00B2252E">
            <w:pPr>
              <w:widowControl w:val="0"/>
              <w:autoSpaceDE w:val="0"/>
              <w:autoSpaceDN w:val="0"/>
              <w:adjustRightInd w:val="0"/>
              <w:rPr>
                <w:sz w:val="22"/>
              </w:rPr>
            </w:pPr>
            <w:r w:rsidRPr="00B2252E">
              <w:rPr>
                <w:sz w:val="22"/>
              </w:rPr>
              <w:t>(53.8, 188.8)</w:t>
            </w:r>
          </w:p>
        </w:tc>
      </w:tr>
      <w:tr w:rsidR="00B2252E" w:rsidRPr="00B2252E" w14:paraId="6F6A37B5" w14:textId="77777777">
        <w:trPr>
          <w:cantSplit/>
          <w:trHeight w:val="227"/>
          <w:jc w:val="center"/>
        </w:trPr>
        <w:tc>
          <w:tcPr>
            <w:tcW w:w="8926" w:type="dxa"/>
            <w:gridSpan w:val="3"/>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4FB1B499" w14:textId="77777777" w:rsidR="00B2252E" w:rsidRPr="00B2252E" w:rsidRDefault="00B2252E" w:rsidP="00B2252E">
            <w:pPr>
              <w:widowControl w:val="0"/>
              <w:autoSpaceDE w:val="0"/>
              <w:autoSpaceDN w:val="0"/>
              <w:adjustRightInd w:val="0"/>
              <w:ind w:left="57"/>
              <w:rPr>
                <w:bCs/>
                <w:sz w:val="22"/>
                <w:lang w:val="da-DK"/>
              </w:rPr>
            </w:pPr>
            <w:r w:rsidRPr="00B2252E">
              <w:rPr>
                <w:bCs/>
                <w:sz w:val="22"/>
                <w:lang w:val="da-DK"/>
              </w:rPr>
              <w:t>Maksimal kateteriseret urinvolumen pr. dag (ml)†</w:t>
            </w:r>
          </w:p>
        </w:tc>
      </w:tr>
      <w:tr w:rsidR="00B2252E" w:rsidRPr="00B2252E" w14:paraId="75C113B5" w14:textId="77777777">
        <w:trPr>
          <w:cantSplit/>
          <w:trHeight w:val="227"/>
          <w:jc w:val="center"/>
        </w:trPr>
        <w:tc>
          <w:tcPr>
            <w:tcW w:w="3153" w:type="dxa"/>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58E80AB2" w14:textId="77777777" w:rsidR="00B2252E" w:rsidRPr="00B2252E" w:rsidRDefault="00B2252E" w:rsidP="00B2252E">
            <w:pPr>
              <w:widowControl w:val="0"/>
              <w:autoSpaceDE w:val="0"/>
              <w:autoSpaceDN w:val="0"/>
              <w:adjustRightInd w:val="0"/>
              <w:ind w:left="57"/>
              <w:rPr>
                <w:i/>
                <w:iCs/>
                <w:sz w:val="22"/>
                <w:lang w:val="da-DK"/>
              </w:rPr>
            </w:pPr>
            <w:r w:rsidRPr="00B2252E">
              <w:rPr>
                <w:i/>
                <w:iCs/>
                <w:sz w:val="22"/>
                <w:lang w:val="da-DK"/>
              </w:rPr>
              <w:t>Baseline</w:t>
            </w:r>
          </w:p>
          <w:p w14:paraId="58EF36E3" w14:textId="77777777" w:rsidR="00B2252E" w:rsidRPr="00B2252E" w:rsidRDefault="00B2252E" w:rsidP="00B2252E">
            <w:pPr>
              <w:widowControl w:val="0"/>
              <w:autoSpaceDE w:val="0"/>
              <w:autoSpaceDN w:val="0"/>
              <w:adjustRightInd w:val="0"/>
              <w:ind w:left="57"/>
              <w:rPr>
                <w:sz w:val="22"/>
                <w:lang w:val="da-DK"/>
              </w:rPr>
            </w:pPr>
            <w:r w:rsidRPr="00B2252E">
              <w:rPr>
                <w:sz w:val="22"/>
                <w:lang w:val="da-DK"/>
              </w:rPr>
              <w:t>Uge 24</w:t>
            </w:r>
          </w:p>
          <w:p w14:paraId="6C1995B4" w14:textId="77777777" w:rsidR="00B2252E" w:rsidRPr="00B2252E" w:rsidRDefault="00B2252E" w:rsidP="00B2252E">
            <w:pPr>
              <w:widowControl w:val="0"/>
              <w:autoSpaceDE w:val="0"/>
              <w:autoSpaceDN w:val="0"/>
              <w:adjustRightInd w:val="0"/>
              <w:ind w:left="57"/>
              <w:rPr>
                <w:i/>
                <w:iCs/>
                <w:sz w:val="22"/>
                <w:lang w:val="da-DK"/>
              </w:rPr>
            </w:pPr>
            <w:r w:rsidRPr="00B2252E">
              <w:rPr>
                <w:sz w:val="22"/>
                <w:lang w:val="da-DK"/>
              </w:rPr>
              <w:t>Ændring fra</w:t>
            </w:r>
            <w:r w:rsidRPr="00B2252E">
              <w:rPr>
                <w:i/>
                <w:iCs/>
                <w:sz w:val="22"/>
                <w:lang w:val="da-DK"/>
              </w:rPr>
              <w:t xml:space="preserve"> baseline</w:t>
            </w:r>
          </w:p>
          <w:p w14:paraId="2C91022B" w14:textId="77777777" w:rsidR="00B2252E" w:rsidRPr="00B2252E" w:rsidRDefault="00B2252E" w:rsidP="00B2252E">
            <w:pPr>
              <w:widowControl w:val="0"/>
              <w:autoSpaceDE w:val="0"/>
              <w:autoSpaceDN w:val="0"/>
              <w:adjustRightInd w:val="0"/>
              <w:ind w:left="57"/>
              <w:rPr>
                <w:sz w:val="22"/>
                <w:lang w:val="da-DK"/>
              </w:rPr>
            </w:pPr>
            <w:r w:rsidRPr="00B2252E">
              <w:rPr>
                <w:sz w:val="22"/>
                <w:lang w:val="da-DK"/>
              </w:rPr>
              <w:t>95% konfidensinterval</w:t>
            </w:r>
          </w:p>
        </w:tc>
        <w:tc>
          <w:tcPr>
            <w:tcW w:w="2995" w:type="dxa"/>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520CF520" w14:textId="77777777" w:rsidR="00B2252E" w:rsidRPr="00B2252E" w:rsidRDefault="00B2252E" w:rsidP="00B2252E">
            <w:pPr>
              <w:widowControl w:val="0"/>
              <w:autoSpaceDE w:val="0"/>
              <w:autoSpaceDN w:val="0"/>
              <w:adjustRightInd w:val="0"/>
              <w:rPr>
                <w:sz w:val="22"/>
              </w:rPr>
            </w:pPr>
            <w:r w:rsidRPr="00B2252E">
              <w:rPr>
                <w:sz w:val="22"/>
              </w:rPr>
              <w:t>300.1 (105.7)</w:t>
            </w:r>
          </w:p>
          <w:p w14:paraId="5624ADBB" w14:textId="77777777" w:rsidR="00B2252E" w:rsidRPr="00B2252E" w:rsidRDefault="00B2252E" w:rsidP="00B2252E">
            <w:pPr>
              <w:widowControl w:val="0"/>
              <w:autoSpaceDE w:val="0"/>
              <w:autoSpaceDN w:val="0"/>
              <w:adjustRightInd w:val="0"/>
              <w:rPr>
                <w:sz w:val="22"/>
              </w:rPr>
            </w:pPr>
            <w:r w:rsidRPr="00B2252E">
              <w:rPr>
                <w:sz w:val="22"/>
              </w:rPr>
              <w:t>345.9 (84.6)</w:t>
            </w:r>
          </w:p>
          <w:p w14:paraId="5829C85B" w14:textId="77777777" w:rsidR="00B2252E" w:rsidRPr="00B2252E" w:rsidRDefault="00B2252E" w:rsidP="00B2252E">
            <w:pPr>
              <w:widowControl w:val="0"/>
              <w:autoSpaceDE w:val="0"/>
              <w:autoSpaceDN w:val="0"/>
              <w:adjustRightInd w:val="0"/>
              <w:rPr>
                <w:sz w:val="22"/>
              </w:rPr>
            </w:pPr>
            <w:r w:rsidRPr="00B2252E">
              <w:rPr>
                <w:sz w:val="22"/>
              </w:rPr>
              <w:t>44.2 (98.3)</w:t>
            </w:r>
          </w:p>
          <w:p w14:paraId="55F83AB3" w14:textId="77777777" w:rsidR="00B2252E" w:rsidRPr="00B2252E" w:rsidRDefault="00B2252E" w:rsidP="00B2252E">
            <w:pPr>
              <w:widowControl w:val="0"/>
              <w:autoSpaceDE w:val="0"/>
              <w:autoSpaceDN w:val="0"/>
              <w:adjustRightInd w:val="0"/>
              <w:rPr>
                <w:sz w:val="22"/>
              </w:rPr>
            </w:pPr>
            <w:r w:rsidRPr="00B2252E">
              <w:rPr>
                <w:sz w:val="22"/>
              </w:rPr>
              <w:t>(13.2, 75.2)</w:t>
            </w:r>
          </w:p>
        </w:tc>
        <w:tc>
          <w:tcPr>
            <w:tcW w:w="2778" w:type="dxa"/>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2EF0D798" w14:textId="77777777" w:rsidR="00B2252E" w:rsidRPr="00B2252E" w:rsidRDefault="00B2252E" w:rsidP="00B2252E">
            <w:pPr>
              <w:widowControl w:val="0"/>
              <w:autoSpaceDE w:val="0"/>
              <w:autoSpaceDN w:val="0"/>
              <w:adjustRightInd w:val="0"/>
              <w:rPr>
                <w:sz w:val="22"/>
              </w:rPr>
            </w:pPr>
            <w:r w:rsidRPr="00B2252E">
              <w:rPr>
                <w:sz w:val="22"/>
              </w:rPr>
              <w:t>367.5 (119.0)</w:t>
            </w:r>
          </w:p>
          <w:p w14:paraId="688BB1A4" w14:textId="77777777" w:rsidR="00B2252E" w:rsidRPr="00B2252E" w:rsidRDefault="00B2252E" w:rsidP="00B2252E">
            <w:pPr>
              <w:widowControl w:val="0"/>
              <w:autoSpaceDE w:val="0"/>
              <w:autoSpaceDN w:val="0"/>
              <w:adjustRightInd w:val="0"/>
              <w:rPr>
                <w:sz w:val="22"/>
              </w:rPr>
            </w:pPr>
            <w:r w:rsidRPr="00B2252E">
              <w:rPr>
                <w:sz w:val="22"/>
              </w:rPr>
              <w:t>449.9 (146.6)</w:t>
            </w:r>
          </w:p>
          <w:p w14:paraId="522ACF19" w14:textId="77777777" w:rsidR="00B2252E" w:rsidRPr="00B2252E" w:rsidRDefault="00B2252E" w:rsidP="00B2252E">
            <w:pPr>
              <w:widowControl w:val="0"/>
              <w:autoSpaceDE w:val="0"/>
              <w:autoSpaceDN w:val="0"/>
              <w:adjustRightInd w:val="0"/>
              <w:rPr>
                <w:sz w:val="22"/>
              </w:rPr>
            </w:pPr>
            <w:r w:rsidRPr="00B2252E">
              <w:rPr>
                <w:sz w:val="22"/>
              </w:rPr>
              <w:t>81.3 (117.7)</w:t>
            </w:r>
          </w:p>
          <w:p w14:paraId="4F57C8D9" w14:textId="77777777" w:rsidR="00B2252E" w:rsidRPr="00B2252E" w:rsidRDefault="00B2252E" w:rsidP="00B2252E">
            <w:pPr>
              <w:widowControl w:val="0"/>
              <w:autoSpaceDE w:val="0"/>
              <w:autoSpaceDN w:val="0"/>
              <w:adjustRightInd w:val="0"/>
              <w:rPr>
                <w:sz w:val="22"/>
              </w:rPr>
            </w:pPr>
            <w:r w:rsidRPr="00B2252E">
              <w:rPr>
                <w:sz w:val="22"/>
              </w:rPr>
              <w:t>(30.4, 132.3)</w:t>
            </w:r>
          </w:p>
        </w:tc>
      </w:tr>
      <w:tr w:rsidR="00B2252E" w:rsidRPr="00B2252E" w14:paraId="167FBEE6" w14:textId="77777777">
        <w:trPr>
          <w:cantSplit/>
          <w:trHeight w:val="227"/>
          <w:jc w:val="center"/>
        </w:trPr>
        <w:tc>
          <w:tcPr>
            <w:tcW w:w="8926" w:type="dxa"/>
            <w:gridSpan w:val="3"/>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0B1DEFA8" w14:textId="77777777" w:rsidR="00B2252E" w:rsidRPr="00B2252E" w:rsidRDefault="00B2252E" w:rsidP="00B2252E">
            <w:pPr>
              <w:widowControl w:val="0"/>
              <w:autoSpaceDE w:val="0"/>
              <w:autoSpaceDN w:val="0"/>
              <w:adjustRightInd w:val="0"/>
              <w:ind w:left="57"/>
              <w:rPr>
                <w:bCs/>
                <w:sz w:val="22"/>
                <w:lang w:val="da-DK"/>
              </w:rPr>
            </w:pPr>
            <w:r w:rsidRPr="00B2252E">
              <w:rPr>
                <w:bCs/>
                <w:sz w:val="22"/>
                <w:lang w:val="da-DK"/>
              </w:rPr>
              <w:t>Antal episoder med lækage pr. dag†</w:t>
            </w:r>
          </w:p>
        </w:tc>
      </w:tr>
      <w:tr w:rsidR="00B2252E" w:rsidRPr="00B2252E" w14:paraId="360B20D6" w14:textId="77777777">
        <w:trPr>
          <w:cantSplit/>
          <w:trHeight w:val="227"/>
          <w:jc w:val="center"/>
        </w:trPr>
        <w:tc>
          <w:tcPr>
            <w:tcW w:w="3153" w:type="dxa"/>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3DCB403E" w14:textId="77777777" w:rsidR="00B2252E" w:rsidRPr="00B2252E" w:rsidRDefault="00B2252E" w:rsidP="00B2252E">
            <w:pPr>
              <w:widowControl w:val="0"/>
              <w:autoSpaceDE w:val="0"/>
              <w:autoSpaceDN w:val="0"/>
              <w:adjustRightInd w:val="0"/>
              <w:ind w:left="57"/>
              <w:rPr>
                <w:i/>
                <w:iCs/>
                <w:sz w:val="22"/>
                <w:lang w:val="da-DK"/>
              </w:rPr>
            </w:pPr>
            <w:r w:rsidRPr="00B2252E">
              <w:rPr>
                <w:i/>
                <w:iCs/>
                <w:sz w:val="22"/>
                <w:lang w:val="da-DK"/>
              </w:rPr>
              <w:t>Baseline</w:t>
            </w:r>
          </w:p>
          <w:p w14:paraId="396C5753" w14:textId="77777777" w:rsidR="00B2252E" w:rsidRPr="00B2252E" w:rsidRDefault="00B2252E" w:rsidP="00B2252E">
            <w:pPr>
              <w:widowControl w:val="0"/>
              <w:autoSpaceDE w:val="0"/>
              <w:autoSpaceDN w:val="0"/>
              <w:adjustRightInd w:val="0"/>
              <w:ind w:left="57"/>
              <w:rPr>
                <w:sz w:val="22"/>
                <w:lang w:val="da-DK"/>
              </w:rPr>
            </w:pPr>
            <w:r w:rsidRPr="00B2252E">
              <w:rPr>
                <w:sz w:val="22"/>
                <w:lang w:val="da-DK"/>
              </w:rPr>
              <w:t>Uge 24</w:t>
            </w:r>
          </w:p>
          <w:p w14:paraId="0C5EEBF7" w14:textId="77777777" w:rsidR="00B2252E" w:rsidRPr="00B2252E" w:rsidRDefault="00B2252E" w:rsidP="00B2252E">
            <w:pPr>
              <w:widowControl w:val="0"/>
              <w:autoSpaceDE w:val="0"/>
              <w:autoSpaceDN w:val="0"/>
              <w:adjustRightInd w:val="0"/>
              <w:ind w:left="57"/>
              <w:rPr>
                <w:i/>
                <w:iCs/>
                <w:sz w:val="22"/>
                <w:lang w:val="da-DK"/>
              </w:rPr>
            </w:pPr>
            <w:r w:rsidRPr="00B2252E">
              <w:rPr>
                <w:sz w:val="22"/>
                <w:lang w:val="da-DK"/>
              </w:rPr>
              <w:t>Ændring fra</w:t>
            </w:r>
            <w:r w:rsidRPr="00B2252E">
              <w:rPr>
                <w:i/>
                <w:iCs/>
                <w:sz w:val="22"/>
                <w:lang w:val="da-DK"/>
              </w:rPr>
              <w:t xml:space="preserve"> baseline</w:t>
            </w:r>
          </w:p>
          <w:p w14:paraId="308F09EB" w14:textId="77777777" w:rsidR="00B2252E" w:rsidRPr="00B2252E" w:rsidRDefault="00B2252E" w:rsidP="00B2252E">
            <w:pPr>
              <w:widowControl w:val="0"/>
              <w:autoSpaceDE w:val="0"/>
              <w:autoSpaceDN w:val="0"/>
              <w:adjustRightInd w:val="0"/>
              <w:ind w:left="57"/>
              <w:rPr>
                <w:sz w:val="22"/>
                <w:lang w:val="da-DK"/>
              </w:rPr>
            </w:pPr>
            <w:r w:rsidRPr="00B2252E">
              <w:rPr>
                <w:sz w:val="22"/>
                <w:lang w:val="da-DK"/>
              </w:rPr>
              <w:t>95% konfidensinterval</w:t>
            </w:r>
          </w:p>
        </w:tc>
        <w:tc>
          <w:tcPr>
            <w:tcW w:w="2995" w:type="dxa"/>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7A7C5622" w14:textId="77777777" w:rsidR="00B2252E" w:rsidRPr="00B2252E" w:rsidRDefault="00B2252E" w:rsidP="00B2252E">
            <w:pPr>
              <w:widowControl w:val="0"/>
              <w:autoSpaceDE w:val="0"/>
              <w:autoSpaceDN w:val="0"/>
              <w:adjustRightInd w:val="0"/>
              <w:rPr>
                <w:sz w:val="22"/>
              </w:rPr>
            </w:pPr>
            <w:r w:rsidRPr="00B2252E">
              <w:rPr>
                <w:sz w:val="22"/>
              </w:rPr>
              <w:t>3.2 (3.7)</w:t>
            </w:r>
          </w:p>
          <w:p w14:paraId="0F01476C" w14:textId="77777777" w:rsidR="00B2252E" w:rsidRPr="00B2252E" w:rsidRDefault="00B2252E" w:rsidP="00B2252E">
            <w:pPr>
              <w:widowControl w:val="0"/>
              <w:autoSpaceDE w:val="0"/>
              <w:autoSpaceDN w:val="0"/>
              <w:adjustRightInd w:val="0"/>
              <w:rPr>
                <w:sz w:val="22"/>
              </w:rPr>
            </w:pPr>
            <w:r w:rsidRPr="00B2252E">
              <w:rPr>
                <w:sz w:val="22"/>
              </w:rPr>
              <w:t>0.7 (1.2)</w:t>
            </w:r>
          </w:p>
          <w:p w14:paraId="3F1DB175" w14:textId="77777777" w:rsidR="00B2252E" w:rsidRPr="00B2252E" w:rsidRDefault="00B2252E" w:rsidP="00B2252E">
            <w:pPr>
              <w:widowControl w:val="0"/>
              <w:autoSpaceDE w:val="0"/>
              <w:autoSpaceDN w:val="0"/>
              <w:adjustRightInd w:val="0"/>
              <w:rPr>
                <w:sz w:val="22"/>
              </w:rPr>
            </w:pPr>
            <w:r w:rsidRPr="00B2252E">
              <w:rPr>
                <w:sz w:val="22"/>
              </w:rPr>
              <w:t>-2.0 (3.2)</w:t>
            </w:r>
          </w:p>
          <w:p w14:paraId="712DAA52" w14:textId="77777777" w:rsidR="00B2252E" w:rsidRPr="00B2252E" w:rsidRDefault="00B2252E" w:rsidP="00B2252E">
            <w:pPr>
              <w:widowControl w:val="0"/>
              <w:autoSpaceDE w:val="0"/>
              <w:autoSpaceDN w:val="0"/>
              <w:adjustRightInd w:val="0"/>
              <w:rPr>
                <w:sz w:val="22"/>
              </w:rPr>
            </w:pPr>
            <w:r w:rsidRPr="00B2252E">
              <w:rPr>
                <w:sz w:val="22"/>
              </w:rPr>
              <w:t>(-3.2, -0.7)</w:t>
            </w:r>
          </w:p>
        </w:tc>
        <w:tc>
          <w:tcPr>
            <w:tcW w:w="2778" w:type="dxa"/>
            <w:tcBorders>
              <w:top w:val="single" w:sz="4" w:space="0" w:color="auto"/>
              <w:left w:val="single" w:sz="4" w:space="0" w:color="auto"/>
              <w:bottom w:val="single" w:sz="4" w:space="0" w:color="auto"/>
              <w:right w:val="single" w:sz="4" w:space="0" w:color="auto"/>
            </w:tcBorders>
            <w:tcMar>
              <w:top w:w="28" w:type="dxa"/>
              <w:left w:w="0" w:type="dxa"/>
              <w:bottom w:w="28" w:type="dxa"/>
              <w:right w:w="0" w:type="dxa"/>
            </w:tcMar>
            <w:hideMark/>
          </w:tcPr>
          <w:p w14:paraId="7FEBFD4D" w14:textId="77777777" w:rsidR="00B2252E" w:rsidRPr="00B2252E" w:rsidRDefault="00B2252E" w:rsidP="00B2252E">
            <w:pPr>
              <w:widowControl w:val="0"/>
              <w:autoSpaceDE w:val="0"/>
              <w:autoSpaceDN w:val="0"/>
              <w:adjustRightInd w:val="0"/>
              <w:rPr>
                <w:sz w:val="22"/>
              </w:rPr>
            </w:pPr>
            <w:r w:rsidRPr="00B2252E">
              <w:rPr>
                <w:sz w:val="22"/>
              </w:rPr>
              <w:t>1.8 (1.7)</w:t>
            </w:r>
          </w:p>
          <w:p w14:paraId="1B617A5F" w14:textId="77777777" w:rsidR="00B2252E" w:rsidRPr="00B2252E" w:rsidRDefault="00B2252E" w:rsidP="00B2252E">
            <w:pPr>
              <w:widowControl w:val="0"/>
              <w:autoSpaceDE w:val="0"/>
              <w:autoSpaceDN w:val="0"/>
              <w:adjustRightInd w:val="0"/>
              <w:rPr>
                <w:sz w:val="22"/>
              </w:rPr>
            </w:pPr>
            <w:r w:rsidRPr="00B2252E">
              <w:rPr>
                <w:sz w:val="22"/>
              </w:rPr>
              <w:t>0.9 (1.2)</w:t>
            </w:r>
          </w:p>
          <w:p w14:paraId="05A04AAF" w14:textId="77777777" w:rsidR="00B2252E" w:rsidRPr="00B2252E" w:rsidRDefault="00B2252E" w:rsidP="00B2252E">
            <w:pPr>
              <w:widowControl w:val="0"/>
              <w:autoSpaceDE w:val="0"/>
              <w:autoSpaceDN w:val="0"/>
              <w:adjustRightInd w:val="0"/>
              <w:rPr>
                <w:sz w:val="22"/>
              </w:rPr>
            </w:pPr>
            <w:r w:rsidRPr="00B2252E">
              <w:rPr>
                <w:sz w:val="22"/>
              </w:rPr>
              <w:t>-1.0 (1.1)</w:t>
            </w:r>
          </w:p>
          <w:p w14:paraId="715DC994" w14:textId="77777777" w:rsidR="00B2252E" w:rsidRPr="00B2252E" w:rsidRDefault="00B2252E" w:rsidP="00B2252E">
            <w:pPr>
              <w:widowControl w:val="0"/>
              <w:autoSpaceDE w:val="0"/>
              <w:autoSpaceDN w:val="0"/>
              <w:adjustRightInd w:val="0"/>
              <w:rPr>
                <w:sz w:val="22"/>
              </w:rPr>
            </w:pPr>
            <w:r w:rsidRPr="00B2252E">
              <w:rPr>
                <w:sz w:val="22"/>
              </w:rPr>
              <w:t>(-1.5, -0.5)</w:t>
            </w:r>
          </w:p>
        </w:tc>
      </w:tr>
    </w:tbl>
    <w:p w14:paraId="63F78523" w14:textId="77777777" w:rsidR="00B2252E" w:rsidRPr="00B2252E" w:rsidRDefault="00B2252E" w:rsidP="00B2252E">
      <w:pPr>
        <w:widowControl w:val="0"/>
        <w:suppressAutoHyphens/>
        <w:kinsoku w:val="0"/>
        <w:overflowPunct w:val="0"/>
        <w:autoSpaceDE w:val="0"/>
        <w:autoSpaceDN w:val="0"/>
        <w:adjustRightInd w:val="0"/>
        <w:ind w:left="426"/>
        <w:rPr>
          <w:color w:val="000000"/>
          <w:sz w:val="20"/>
          <w:lang w:eastAsia="da-DK"/>
        </w:rPr>
      </w:pPr>
      <w:r w:rsidRPr="00B2252E">
        <w:rPr>
          <w:color w:val="000000"/>
          <w:sz w:val="20"/>
          <w:lang w:eastAsia="da-DK"/>
        </w:rPr>
        <w:t xml:space="preserve">* N er det antal patienter, som tog mindst én dosis og fik valide værdier for MCC ved </w:t>
      </w:r>
      <w:r w:rsidRPr="00B2252E">
        <w:rPr>
          <w:i/>
          <w:color w:val="000000"/>
          <w:sz w:val="20"/>
          <w:lang w:eastAsia="da-DK"/>
        </w:rPr>
        <w:t>baseline</w:t>
      </w:r>
      <w:r w:rsidRPr="00B2252E">
        <w:rPr>
          <w:color w:val="000000"/>
          <w:sz w:val="20"/>
          <w:lang w:eastAsia="da-DK"/>
        </w:rPr>
        <w:t xml:space="preserve"> og uge 24. </w:t>
      </w:r>
    </w:p>
    <w:p w14:paraId="29BB6FED" w14:textId="77777777" w:rsidR="00B2252E" w:rsidRPr="00B2252E" w:rsidRDefault="00B2252E" w:rsidP="00B2252E">
      <w:pPr>
        <w:widowControl w:val="0"/>
        <w:suppressAutoHyphens/>
        <w:kinsoku w:val="0"/>
        <w:overflowPunct w:val="0"/>
        <w:autoSpaceDE w:val="0"/>
        <w:autoSpaceDN w:val="0"/>
        <w:adjustRightInd w:val="0"/>
        <w:ind w:left="426"/>
        <w:rPr>
          <w:color w:val="000000"/>
          <w:sz w:val="20"/>
          <w:lang w:eastAsia="da-DK"/>
        </w:rPr>
      </w:pPr>
      <w:r w:rsidRPr="00B2252E">
        <w:rPr>
          <w:color w:val="000000"/>
          <w:sz w:val="20"/>
          <w:lang w:eastAsia="da-DK"/>
        </w:rPr>
        <w:t xml:space="preserve">† Antallet af patienter (børn/unge) med tilgængelige data for både </w:t>
      </w:r>
      <w:r w:rsidRPr="00B2252E">
        <w:rPr>
          <w:i/>
          <w:color w:val="000000"/>
          <w:sz w:val="20"/>
          <w:lang w:eastAsia="da-DK"/>
        </w:rPr>
        <w:t>baseline</w:t>
      </w:r>
      <w:r w:rsidRPr="00B2252E">
        <w:rPr>
          <w:color w:val="000000"/>
          <w:sz w:val="20"/>
          <w:lang w:eastAsia="da-DK"/>
        </w:rPr>
        <w:t xml:space="preserve"> og uge 24; blærekomplians: n = 33/21; antal overaktive detrusorkontraktioner: n = 36/22; detrusortryk ved afslutningen af blærefyldning: n = 36/22; blærevolumen før første detrusorkontraktion: n = 38/24; maksimal kateteriseret urinvolumen pr. dag: n = 41/23; antal episoder med lækage pr. dag: n = 26/21. </w:t>
      </w:r>
    </w:p>
    <w:p w14:paraId="16C19345" w14:textId="77777777" w:rsidR="00B2252E" w:rsidRPr="00B2252E" w:rsidRDefault="00B2252E" w:rsidP="00B2252E">
      <w:pPr>
        <w:widowControl w:val="0"/>
        <w:suppressAutoHyphens/>
        <w:kinsoku w:val="0"/>
        <w:overflowPunct w:val="0"/>
        <w:autoSpaceDE w:val="0"/>
        <w:autoSpaceDN w:val="0"/>
        <w:adjustRightInd w:val="0"/>
        <w:ind w:left="851"/>
        <w:rPr>
          <w:color w:val="000000"/>
          <w:sz w:val="24"/>
          <w:szCs w:val="24"/>
          <w:lang w:eastAsia="da-DK"/>
        </w:rPr>
      </w:pPr>
      <w:r w:rsidRPr="00B2252E">
        <w:rPr>
          <w:color w:val="000000"/>
          <w:sz w:val="24"/>
          <w:szCs w:val="24"/>
          <w:lang w:eastAsia="da-DK"/>
        </w:rPr>
        <w:t xml:space="preserve"> </w:t>
      </w:r>
    </w:p>
    <w:p w14:paraId="51ADDC9C" w14:textId="1CF83177" w:rsidR="00B2252E" w:rsidRPr="00B2252E" w:rsidRDefault="00B2252E" w:rsidP="00B2252E">
      <w:pPr>
        <w:widowControl w:val="0"/>
        <w:suppressAutoHyphens/>
        <w:kinsoku w:val="0"/>
        <w:overflowPunct w:val="0"/>
        <w:autoSpaceDE w:val="0"/>
        <w:autoSpaceDN w:val="0"/>
        <w:adjustRightInd w:val="0"/>
        <w:ind w:left="851"/>
        <w:rPr>
          <w:color w:val="000000"/>
          <w:sz w:val="24"/>
          <w:szCs w:val="24"/>
          <w:lang w:eastAsia="da-DK"/>
        </w:rPr>
      </w:pPr>
      <w:r w:rsidRPr="00B2252E">
        <w:rPr>
          <w:color w:val="000000"/>
          <w:sz w:val="24"/>
          <w:szCs w:val="24"/>
          <w:lang w:eastAsia="da-DK"/>
        </w:rPr>
        <w:t xml:space="preserve">Patient- eller klinikerrapporterede spørgeskema-endepunkter inkluderede acceptabilitet, ændring fra </w:t>
      </w:r>
      <w:r w:rsidRPr="00B2252E">
        <w:rPr>
          <w:i/>
          <w:color w:val="000000"/>
          <w:sz w:val="24"/>
          <w:szCs w:val="24"/>
          <w:lang w:eastAsia="da-DK"/>
        </w:rPr>
        <w:t>baseline</w:t>
      </w:r>
      <w:r w:rsidRPr="00B2252E">
        <w:rPr>
          <w:color w:val="000000"/>
          <w:sz w:val="24"/>
          <w:szCs w:val="24"/>
          <w:lang w:eastAsia="da-DK"/>
        </w:rPr>
        <w:t xml:space="preserve"> i </w:t>
      </w:r>
      <w:r w:rsidRPr="00B2252E">
        <w:rPr>
          <w:i/>
          <w:color w:val="000000"/>
          <w:sz w:val="24"/>
          <w:szCs w:val="24"/>
          <w:lang w:eastAsia="da-DK"/>
        </w:rPr>
        <w:t>Pediatric Incontinence Questionnaire</w:t>
      </w:r>
      <w:r w:rsidRPr="00B2252E">
        <w:rPr>
          <w:color w:val="000000"/>
          <w:sz w:val="24"/>
          <w:szCs w:val="24"/>
          <w:lang w:eastAsia="da-DK"/>
        </w:rPr>
        <w:t xml:space="preserve"> (PIN-Q), ændring fra </w:t>
      </w:r>
      <w:r w:rsidRPr="00B2252E">
        <w:rPr>
          <w:i/>
          <w:color w:val="000000"/>
          <w:sz w:val="24"/>
          <w:szCs w:val="24"/>
          <w:lang w:eastAsia="da-DK"/>
        </w:rPr>
        <w:t>baseline</w:t>
      </w:r>
      <w:r w:rsidRPr="00B2252E">
        <w:rPr>
          <w:color w:val="000000"/>
          <w:sz w:val="24"/>
          <w:szCs w:val="24"/>
          <w:lang w:eastAsia="da-DK"/>
        </w:rPr>
        <w:t xml:space="preserve"> i </w:t>
      </w:r>
      <w:r w:rsidRPr="00B2252E">
        <w:rPr>
          <w:i/>
          <w:color w:val="000000"/>
          <w:sz w:val="24"/>
          <w:szCs w:val="24"/>
          <w:lang w:eastAsia="da-DK"/>
        </w:rPr>
        <w:t>Patient Global Impression of Severity Scale</w:t>
      </w:r>
      <w:r w:rsidRPr="00B2252E">
        <w:rPr>
          <w:color w:val="000000"/>
          <w:sz w:val="24"/>
          <w:szCs w:val="24"/>
          <w:lang w:eastAsia="da-DK"/>
        </w:rPr>
        <w:t xml:space="preserve"> (PGI-S) og </w:t>
      </w:r>
      <w:r w:rsidRPr="00B2252E">
        <w:rPr>
          <w:i/>
          <w:color w:val="000000"/>
          <w:sz w:val="24"/>
          <w:szCs w:val="24"/>
          <w:lang w:eastAsia="da-DK"/>
        </w:rPr>
        <w:t>Clinician Global Impression of Change</w:t>
      </w:r>
      <w:r w:rsidRPr="00B2252E">
        <w:rPr>
          <w:color w:val="000000"/>
          <w:sz w:val="24"/>
          <w:szCs w:val="24"/>
          <w:lang w:eastAsia="da-DK"/>
        </w:rPr>
        <w:t xml:space="preserve"> (CGI-C) (se tabel 8). </w:t>
      </w:r>
    </w:p>
    <w:p w14:paraId="15F51FFF" w14:textId="77777777" w:rsidR="00B2252E" w:rsidRPr="00B2252E" w:rsidRDefault="00B2252E" w:rsidP="00B2252E">
      <w:pPr>
        <w:widowControl w:val="0"/>
        <w:suppressAutoHyphens/>
        <w:kinsoku w:val="0"/>
        <w:overflowPunct w:val="0"/>
        <w:autoSpaceDE w:val="0"/>
        <w:autoSpaceDN w:val="0"/>
        <w:adjustRightInd w:val="0"/>
        <w:ind w:left="851"/>
        <w:rPr>
          <w:color w:val="000000"/>
          <w:sz w:val="24"/>
          <w:szCs w:val="24"/>
          <w:lang w:eastAsia="da-DK"/>
        </w:rPr>
      </w:pPr>
      <w:r w:rsidRPr="00B2252E">
        <w:rPr>
          <w:color w:val="000000"/>
          <w:sz w:val="24"/>
          <w:szCs w:val="24"/>
          <w:lang w:eastAsia="da-DK"/>
        </w:rPr>
        <w:t xml:space="preserve"> </w:t>
      </w:r>
    </w:p>
    <w:p w14:paraId="77D92C83" w14:textId="77777777" w:rsidR="00B2252E" w:rsidRPr="00B2252E" w:rsidRDefault="00B2252E" w:rsidP="00B2252E">
      <w:pPr>
        <w:keepNext/>
        <w:suppressAutoHyphens/>
        <w:kinsoku w:val="0"/>
        <w:overflowPunct w:val="0"/>
        <w:autoSpaceDE w:val="0"/>
        <w:autoSpaceDN w:val="0"/>
        <w:adjustRightInd w:val="0"/>
        <w:ind w:left="567"/>
        <w:rPr>
          <w:b/>
          <w:bCs/>
          <w:color w:val="000000"/>
          <w:sz w:val="22"/>
          <w:szCs w:val="22"/>
          <w:lang w:eastAsia="da-DK"/>
        </w:rPr>
      </w:pPr>
      <w:r w:rsidRPr="00B2252E">
        <w:rPr>
          <w:b/>
          <w:bCs/>
          <w:color w:val="000000"/>
          <w:sz w:val="22"/>
          <w:szCs w:val="22"/>
          <w:lang w:eastAsia="da-DK"/>
        </w:rPr>
        <w:lastRenderedPageBreak/>
        <w:t>Tabel 8: Patient- eller klinikerrapporterede spørgeskema-endepunkter hos pædiatriske patienter med NDO</w:t>
      </w:r>
    </w:p>
    <w:tbl>
      <w:tblPr>
        <w:tblW w:w="8585" w:type="dxa"/>
        <w:jc w:val="center"/>
        <w:tblCellMar>
          <w:top w:w="56" w:type="dxa"/>
          <w:left w:w="115" w:type="dxa"/>
          <w:right w:w="115" w:type="dxa"/>
        </w:tblCellMar>
        <w:tblLook w:val="04A0" w:firstRow="1" w:lastRow="0" w:firstColumn="1" w:lastColumn="0" w:noHBand="0" w:noVBand="1"/>
      </w:tblPr>
      <w:tblGrid>
        <w:gridCol w:w="3635"/>
        <w:gridCol w:w="2429"/>
        <w:gridCol w:w="2521"/>
      </w:tblGrid>
      <w:tr w:rsidR="00B2252E" w:rsidRPr="00B2252E" w14:paraId="25E05648" w14:textId="77777777">
        <w:trPr>
          <w:trHeight w:val="227"/>
          <w:jc w:val="center"/>
        </w:trPr>
        <w:tc>
          <w:tcPr>
            <w:tcW w:w="3635"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18D843D" w14:textId="77777777" w:rsidR="00B2252E" w:rsidRPr="00B2252E" w:rsidRDefault="00B2252E" w:rsidP="00B2252E">
            <w:pPr>
              <w:keepNext/>
              <w:suppressAutoHyphens/>
              <w:kinsoku w:val="0"/>
              <w:overflowPunct w:val="0"/>
              <w:autoSpaceDE w:val="0"/>
              <w:autoSpaceDN w:val="0"/>
              <w:adjustRightInd w:val="0"/>
              <w:jc w:val="center"/>
              <w:rPr>
                <w:color w:val="000000"/>
                <w:sz w:val="22"/>
                <w:szCs w:val="22"/>
                <w:lang w:val="ru-RU" w:eastAsia="ru-RU"/>
              </w:rPr>
            </w:pPr>
            <w:r w:rsidRPr="00B2252E">
              <w:rPr>
                <w:b/>
                <w:color w:val="000000"/>
                <w:sz w:val="22"/>
                <w:szCs w:val="22"/>
                <w:lang w:val="ru-RU" w:eastAsia="ru-RU"/>
              </w:rPr>
              <w:t>Parameter</w:t>
            </w:r>
          </w:p>
        </w:tc>
        <w:tc>
          <w:tcPr>
            <w:tcW w:w="2429"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0D1712AC" w14:textId="77777777" w:rsidR="00B2252E" w:rsidRPr="00B2252E" w:rsidRDefault="00B2252E" w:rsidP="00B2252E">
            <w:pPr>
              <w:keepNext/>
              <w:suppressAutoHyphens/>
              <w:kinsoku w:val="0"/>
              <w:overflowPunct w:val="0"/>
              <w:autoSpaceDE w:val="0"/>
              <w:autoSpaceDN w:val="0"/>
              <w:adjustRightInd w:val="0"/>
              <w:jc w:val="center"/>
              <w:rPr>
                <w:b/>
                <w:color w:val="000000"/>
                <w:sz w:val="22"/>
                <w:szCs w:val="22"/>
                <w:lang w:val="ru-RU" w:eastAsia="ru-RU"/>
              </w:rPr>
            </w:pPr>
            <w:r w:rsidRPr="00B2252E">
              <w:rPr>
                <w:b/>
                <w:color w:val="000000"/>
                <w:sz w:val="22"/>
                <w:szCs w:val="22"/>
                <w:lang w:val="ru-RU" w:eastAsia="ru-RU"/>
              </w:rPr>
              <w:t>Børn i alderen</w:t>
            </w:r>
          </w:p>
          <w:p w14:paraId="49340349" w14:textId="77777777" w:rsidR="00B2252E" w:rsidRPr="00B2252E" w:rsidRDefault="00B2252E" w:rsidP="00B2252E">
            <w:pPr>
              <w:keepNext/>
              <w:suppressAutoHyphens/>
              <w:kinsoku w:val="0"/>
              <w:overflowPunct w:val="0"/>
              <w:autoSpaceDE w:val="0"/>
              <w:autoSpaceDN w:val="0"/>
              <w:adjustRightInd w:val="0"/>
              <w:jc w:val="center"/>
              <w:rPr>
                <w:color w:val="000000"/>
                <w:sz w:val="22"/>
                <w:szCs w:val="22"/>
                <w:lang w:val="ru-RU" w:eastAsia="ru-RU"/>
              </w:rPr>
            </w:pPr>
            <w:r w:rsidRPr="00B2252E">
              <w:rPr>
                <w:b/>
                <w:color w:val="000000"/>
                <w:sz w:val="22"/>
                <w:szCs w:val="22"/>
                <w:lang w:val="ru-RU" w:eastAsia="ru-RU"/>
              </w:rPr>
              <w:t>3 år til &lt; 12 år</w:t>
            </w:r>
          </w:p>
          <w:p w14:paraId="6B6EE733" w14:textId="77777777" w:rsidR="00B2252E" w:rsidRPr="00B2252E" w:rsidRDefault="00B2252E" w:rsidP="00B2252E">
            <w:pPr>
              <w:keepNext/>
              <w:suppressAutoHyphens/>
              <w:kinsoku w:val="0"/>
              <w:overflowPunct w:val="0"/>
              <w:autoSpaceDE w:val="0"/>
              <w:autoSpaceDN w:val="0"/>
              <w:adjustRightInd w:val="0"/>
              <w:jc w:val="center"/>
              <w:rPr>
                <w:color w:val="000000"/>
                <w:sz w:val="22"/>
                <w:szCs w:val="22"/>
                <w:lang w:val="ru-RU" w:eastAsia="ru-RU"/>
              </w:rPr>
            </w:pPr>
            <w:r w:rsidRPr="00B2252E">
              <w:rPr>
                <w:b/>
                <w:color w:val="000000"/>
                <w:sz w:val="22"/>
                <w:szCs w:val="22"/>
                <w:lang w:val="ru-RU" w:eastAsia="ru-RU"/>
              </w:rPr>
              <w:t>(N = 43)*</w:t>
            </w:r>
          </w:p>
          <w:p w14:paraId="18A88E02" w14:textId="77777777" w:rsidR="00B2252E" w:rsidRPr="00B2252E" w:rsidRDefault="00B2252E" w:rsidP="00B2252E">
            <w:pPr>
              <w:keepNext/>
              <w:suppressAutoHyphens/>
              <w:kinsoku w:val="0"/>
              <w:overflowPunct w:val="0"/>
              <w:autoSpaceDE w:val="0"/>
              <w:autoSpaceDN w:val="0"/>
              <w:adjustRightInd w:val="0"/>
              <w:jc w:val="center"/>
              <w:rPr>
                <w:color w:val="000000"/>
                <w:sz w:val="22"/>
                <w:szCs w:val="22"/>
                <w:lang w:val="ru-RU" w:eastAsia="ru-RU"/>
              </w:rPr>
            </w:pPr>
            <w:r w:rsidRPr="00B2252E">
              <w:rPr>
                <w:b/>
                <w:color w:val="000000"/>
                <w:sz w:val="22"/>
                <w:szCs w:val="22"/>
                <w:lang w:val="ru-RU" w:eastAsia="ru-RU"/>
              </w:rPr>
              <w:t>Middel (SD)</w:t>
            </w:r>
          </w:p>
        </w:tc>
        <w:tc>
          <w:tcPr>
            <w:tcW w:w="2521"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155CAD95" w14:textId="77777777" w:rsidR="00B2252E" w:rsidRPr="00B2252E" w:rsidRDefault="00B2252E" w:rsidP="00B2252E">
            <w:pPr>
              <w:keepNext/>
              <w:suppressAutoHyphens/>
              <w:kinsoku w:val="0"/>
              <w:overflowPunct w:val="0"/>
              <w:autoSpaceDE w:val="0"/>
              <w:autoSpaceDN w:val="0"/>
              <w:adjustRightInd w:val="0"/>
              <w:jc w:val="center"/>
              <w:rPr>
                <w:b/>
                <w:color w:val="000000"/>
                <w:sz w:val="22"/>
                <w:szCs w:val="22"/>
                <w:lang w:val="ru-RU" w:eastAsia="ru-RU"/>
              </w:rPr>
            </w:pPr>
            <w:r w:rsidRPr="00B2252E">
              <w:rPr>
                <w:b/>
                <w:color w:val="000000"/>
                <w:sz w:val="22"/>
                <w:szCs w:val="22"/>
                <w:lang w:val="ru-RU" w:eastAsia="ru-RU"/>
              </w:rPr>
              <w:t>Unge i alderen</w:t>
            </w:r>
          </w:p>
          <w:p w14:paraId="1F7BF237" w14:textId="77777777" w:rsidR="00B2252E" w:rsidRPr="00B2252E" w:rsidRDefault="00B2252E" w:rsidP="00B2252E">
            <w:pPr>
              <w:keepNext/>
              <w:suppressAutoHyphens/>
              <w:kinsoku w:val="0"/>
              <w:overflowPunct w:val="0"/>
              <w:autoSpaceDE w:val="0"/>
              <w:autoSpaceDN w:val="0"/>
              <w:adjustRightInd w:val="0"/>
              <w:jc w:val="center"/>
              <w:rPr>
                <w:color w:val="000000"/>
                <w:sz w:val="22"/>
                <w:szCs w:val="22"/>
                <w:lang w:val="ru-RU" w:eastAsia="ru-RU"/>
              </w:rPr>
            </w:pPr>
            <w:r w:rsidRPr="00B2252E">
              <w:rPr>
                <w:b/>
                <w:color w:val="000000"/>
                <w:sz w:val="22"/>
                <w:szCs w:val="22"/>
                <w:lang w:val="ru-RU" w:eastAsia="ru-RU"/>
              </w:rPr>
              <w:t>12 år til &lt; 18 år</w:t>
            </w:r>
          </w:p>
          <w:p w14:paraId="7107ED96" w14:textId="77777777" w:rsidR="00B2252E" w:rsidRPr="00B2252E" w:rsidRDefault="00B2252E" w:rsidP="00B2252E">
            <w:pPr>
              <w:keepNext/>
              <w:suppressAutoHyphens/>
              <w:kinsoku w:val="0"/>
              <w:overflowPunct w:val="0"/>
              <w:autoSpaceDE w:val="0"/>
              <w:autoSpaceDN w:val="0"/>
              <w:adjustRightInd w:val="0"/>
              <w:jc w:val="center"/>
              <w:rPr>
                <w:color w:val="000000"/>
                <w:sz w:val="22"/>
                <w:szCs w:val="22"/>
                <w:lang w:val="ru-RU" w:eastAsia="ru-RU"/>
              </w:rPr>
            </w:pPr>
            <w:r w:rsidRPr="00B2252E">
              <w:rPr>
                <w:b/>
                <w:color w:val="000000"/>
                <w:sz w:val="22"/>
                <w:szCs w:val="22"/>
                <w:lang w:val="ru-RU" w:eastAsia="ru-RU"/>
              </w:rPr>
              <w:t>(N = 25)*</w:t>
            </w:r>
          </w:p>
          <w:p w14:paraId="583289E1" w14:textId="77777777" w:rsidR="00B2252E" w:rsidRPr="00B2252E" w:rsidRDefault="00B2252E" w:rsidP="00B2252E">
            <w:pPr>
              <w:keepNext/>
              <w:suppressAutoHyphens/>
              <w:kinsoku w:val="0"/>
              <w:overflowPunct w:val="0"/>
              <w:autoSpaceDE w:val="0"/>
              <w:autoSpaceDN w:val="0"/>
              <w:adjustRightInd w:val="0"/>
              <w:jc w:val="center"/>
              <w:rPr>
                <w:color w:val="000000"/>
                <w:sz w:val="22"/>
                <w:szCs w:val="22"/>
                <w:lang w:val="ru-RU" w:eastAsia="ru-RU"/>
              </w:rPr>
            </w:pPr>
            <w:r w:rsidRPr="00B2252E">
              <w:rPr>
                <w:b/>
                <w:color w:val="000000"/>
                <w:sz w:val="22"/>
                <w:szCs w:val="22"/>
                <w:lang w:val="ru-RU" w:eastAsia="ru-RU"/>
              </w:rPr>
              <w:t>Middel (SD)</w:t>
            </w:r>
          </w:p>
        </w:tc>
      </w:tr>
      <w:tr w:rsidR="00B2252E" w:rsidRPr="00FC5B82" w14:paraId="76362383" w14:textId="77777777">
        <w:trPr>
          <w:trHeight w:val="227"/>
          <w:jc w:val="center"/>
        </w:trPr>
        <w:tc>
          <w:tcPr>
            <w:tcW w:w="8585" w:type="dxa"/>
            <w:gridSpan w:val="3"/>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2A5ABDF5" w14:textId="77777777" w:rsidR="00B2252E" w:rsidRPr="00B2252E" w:rsidRDefault="00B2252E" w:rsidP="00B2252E">
            <w:pPr>
              <w:keepNext/>
              <w:suppressAutoHyphens/>
              <w:kinsoku w:val="0"/>
              <w:overflowPunct w:val="0"/>
              <w:autoSpaceDE w:val="0"/>
              <w:autoSpaceDN w:val="0"/>
              <w:adjustRightInd w:val="0"/>
              <w:ind w:left="57"/>
              <w:rPr>
                <w:color w:val="000000"/>
                <w:sz w:val="22"/>
                <w:szCs w:val="22"/>
                <w:lang w:val="en-US" w:eastAsia="ru-RU"/>
              </w:rPr>
            </w:pPr>
            <w:r w:rsidRPr="00B2252E">
              <w:rPr>
                <w:b/>
                <w:color w:val="000000"/>
                <w:sz w:val="22"/>
                <w:szCs w:val="22"/>
                <w:lang w:val="en-US" w:eastAsia="ru-RU"/>
              </w:rPr>
              <w:t xml:space="preserve">Score for </w:t>
            </w:r>
            <w:r w:rsidRPr="00B2252E">
              <w:rPr>
                <w:b/>
                <w:i/>
                <w:color w:val="000000"/>
                <w:sz w:val="22"/>
                <w:szCs w:val="22"/>
                <w:lang w:val="en-US" w:eastAsia="ru-RU"/>
              </w:rPr>
              <w:t>Pediatric Incontinence Questionnaire</w:t>
            </w:r>
            <w:r w:rsidRPr="00B2252E">
              <w:rPr>
                <w:b/>
                <w:color w:val="000000"/>
                <w:sz w:val="22"/>
                <w:szCs w:val="22"/>
                <w:lang w:val="en-US" w:eastAsia="ru-RU"/>
              </w:rPr>
              <w:t xml:space="preserve"> (PIN-Q)† </w:t>
            </w:r>
          </w:p>
        </w:tc>
      </w:tr>
      <w:tr w:rsidR="00B2252E" w:rsidRPr="00B2252E" w14:paraId="41353A0C" w14:textId="77777777">
        <w:trPr>
          <w:trHeight w:val="227"/>
          <w:jc w:val="center"/>
        </w:trPr>
        <w:tc>
          <w:tcPr>
            <w:tcW w:w="3635"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15FD4BAF" w14:textId="77777777" w:rsidR="00B2252E" w:rsidRPr="00B2252E" w:rsidRDefault="00B2252E" w:rsidP="00B2252E">
            <w:pPr>
              <w:keepNext/>
              <w:suppressAutoHyphens/>
              <w:kinsoku w:val="0"/>
              <w:overflowPunct w:val="0"/>
              <w:autoSpaceDE w:val="0"/>
              <w:autoSpaceDN w:val="0"/>
              <w:adjustRightInd w:val="0"/>
              <w:ind w:left="57"/>
              <w:rPr>
                <w:color w:val="000000"/>
                <w:sz w:val="22"/>
                <w:szCs w:val="22"/>
                <w:lang w:val="ru-RU" w:eastAsia="ru-RU"/>
              </w:rPr>
            </w:pPr>
            <w:r w:rsidRPr="00B2252E">
              <w:rPr>
                <w:i/>
                <w:color w:val="000000"/>
                <w:sz w:val="22"/>
                <w:szCs w:val="22"/>
                <w:lang w:val="ru-RU" w:eastAsia="ru-RU"/>
              </w:rPr>
              <w:t>Baseline</w:t>
            </w:r>
            <w:r w:rsidRPr="00B2252E">
              <w:rPr>
                <w:color w:val="000000"/>
                <w:sz w:val="22"/>
                <w:szCs w:val="22"/>
                <w:lang w:val="ru-RU" w:eastAsia="ru-RU"/>
              </w:rPr>
              <w:t xml:space="preserve"> </w:t>
            </w:r>
          </w:p>
          <w:p w14:paraId="314D2C0D" w14:textId="77777777" w:rsidR="00B2252E" w:rsidRPr="00B2252E" w:rsidRDefault="00B2252E" w:rsidP="00B2252E">
            <w:pPr>
              <w:keepNext/>
              <w:suppressAutoHyphens/>
              <w:kinsoku w:val="0"/>
              <w:overflowPunct w:val="0"/>
              <w:autoSpaceDE w:val="0"/>
              <w:autoSpaceDN w:val="0"/>
              <w:adjustRightInd w:val="0"/>
              <w:ind w:left="57"/>
              <w:rPr>
                <w:color w:val="000000"/>
                <w:sz w:val="22"/>
                <w:szCs w:val="22"/>
                <w:lang w:val="ru-RU" w:eastAsia="ru-RU"/>
              </w:rPr>
            </w:pPr>
            <w:r w:rsidRPr="00B2252E">
              <w:rPr>
                <w:color w:val="000000"/>
                <w:sz w:val="22"/>
                <w:szCs w:val="22"/>
                <w:lang w:val="ru-RU" w:eastAsia="ru-RU"/>
              </w:rPr>
              <w:t xml:space="preserve">Uge 24 </w:t>
            </w:r>
          </w:p>
          <w:p w14:paraId="789FC064" w14:textId="77777777" w:rsidR="00B2252E" w:rsidRPr="00B2252E" w:rsidRDefault="00B2252E" w:rsidP="00B2252E">
            <w:pPr>
              <w:keepNext/>
              <w:suppressAutoHyphens/>
              <w:kinsoku w:val="0"/>
              <w:overflowPunct w:val="0"/>
              <w:autoSpaceDE w:val="0"/>
              <w:autoSpaceDN w:val="0"/>
              <w:adjustRightInd w:val="0"/>
              <w:ind w:left="57"/>
              <w:rPr>
                <w:color w:val="000000"/>
                <w:sz w:val="22"/>
                <w:szCs w:val="22"/>
                <w:lang w:val="ru-RU" w:eastAsia="ru-RU"/>
              </w:rPr>
            </w:pPr>
            <w:r w:rsidRPr="00B2252E">
              <w:rPr>
                <w:color w:val="000000"/>
                <w:sz w:val="22"/>
                <w:szCs w:val="22"/>
                <w:lang w:val="ru-RU" w:eastAsia="ru-RU"/>
              </w:rPr>
              <w:t xml:space="preserve">Ændring fra </w:t>
            </w:r>
            <w:r w:rsidRPr="00B2252E">
              <w:rPr>
                <w:i/>
                <w:color w:val="000000"/>
                <w:sz w:val="22"/>
                <w:szCs w:val="22"/>
                <w:lang w:val="ru-RU" w:eastAsia="ru-RU"/>
              </w:rPr>
              <w:t>baseline</w:t>
            </w:r>
            <w:r w:rsidRPr="00B2252E">
              <w:rPr>
                <w:color w:val="000000"/>
                <w:sz w:val="22"/>
                <w:szCs w:val="22"/>
                <w:lang w:val="ru-RU" w:eastAsia="ru-RU"/>
              </w:rPr>
              <w:t xml:space="preserve"> </w:t>
            </w:r>
          </w:p>
          <w:p w14:paraId="23A4BC15" w14:textId="77777777" w:rsidR="00B2252E" w:rsidRPr="00B2252E" w:rsidRDefault="00B2252E" w:rsidP="00B2252E">
            <w:pPr>
              <w:keepNext/>
              <w:suppressAutoHyphens/>
              <w:kinsoku w:val="0"/>
              <w:overflowPunct w:val="0"/>
              <w:autoSpaceDE w:val="0"/>
              <w:autoSpaceDN w:val="0"/>
              <w:adjustRightInd w:val="0"/>
              <w:ind w:left="57"/>
              <w:rPr>
                <w:color w:val="000000"/>
                <w:sz w:val="22"/>
                <w:szCs w:val="22"/>
                <w:lang w:val="ru-RU" w:eastAsia="ru-RU"/>
              </w:rPr>
            </w:pPr>
            <w:r w:rsidRPr="00B2252E">
              <w:rPr>
                <w:color w:val="000000"/>
                <w:sz w:val="22"/>
                <w:szCs w:val="22"/>
                <w:lang w:val="ru-RU" w:eastAsia="ru-RU"/>
              </w:rPr>
              <w:t xml:space="preserve">95 % konfidensinterval </w:t>
            </w:r>
          </w:p>
        </w:tc>
        <w:tc>
          <w:tcPr>
            <w:tcW w:w="2429"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01D03FEF" w14:textId="77777777" w:rsidR="00B2252E" w:rsidRPr="00B2252E" w:rsidRDefault="00B2252E" w:rsidP="00B2252E">
            <w:pPr>
              <w:keepNext/>
              <w:suppressAutoHyphens/>
              <w:kinsoku w:val="0"/>
              <w:overflowPunct w:val="0"/>
              <w:autoSpaceDE w:val="0"/>
              <w:autoSpaceDN w:val="0"/>
              <w:adjustRightInd w:val="0"/>
              <w:jc w:val="center"/>
              <w:rPr>
                <w:color w:val="000000"/>
                <w:sz w:val="22"/>
                <w:szCs w:val="22"/>
                <w:lang w:val="ru-RU" w:eastAsia="ru-RU"/>
              </w:rPr>
            </w:pPr>
            <w:r w:rsidRPr="00B2252E">
              <w:rPr>
                <w:color w:val="000000"/>
                <w:sz w:val="22"/>
                <w:szCs w:val="22"/>
                <w:lang w:val="ru-RU" w:eastAsia="ru-RU"/>
              </w:rPr>
              <w:t>30,8 (15,7)</w:t>
            </w:r>
          </w:p>
          <w:p w14:paraId="2D31602F" w14:textId="77777777" w:rsidR="00B2252E" w:rsidRPr="00B2252E" w:rsidRDefault="00B2252E" w:rsidP="00B2252E">
            <w:pPr>
              <w:keepNext/>
              <w:suppressAutoHyphens/>
              <w:kinsoku w:val="0"/>
              <w:overflowPunct w:val="0"/>
              <w:autoSpaceDE w:val="0"/>
              <w:autoSpaceDN w:val="0"/>
              <w:adjustRightInd w:val="0"/>
              <w:jc w:val="center"/>
              <w:rPr>
                <w:color w:val="000000"/>
                <w:sz w:val="22"/>
                <w:szCs w:val="22"/>
                <w:lang w:val="ru-RU" w:eastAsia="ru-RU"/>
              </w:rPr>
            </w:pPr>
            <w:r w:rsidRPr="00B2252E">
              <w:rPr>
                <w:color w:val="000000"/>
                <w:sz w:val="22"/>
                <w:szCs w:val="22"/>
                <w:lang w:val="ru-RU" w:eastAsia="ru-RU"/>
              </w:rPr>
              <w:t>30,6 (15,2)</w:t>
            </w:r>
          </w:p>
          <w:p w14:paraId="5A43B2EE" w14:textId="77777777" w:rsidR="00B2252E" w:rsidRPr="00B2252E" w:rsidRDefault="00B2252E" w:rsidP="00B2252E">
            <w:pPr>
              <w:keepNext/>
              <w:suppressAutoHyphens/>
              <w:kinsoku w:val="0"/>
              <w:overflowPunct w:val="0"/>
              <w:autoSpaceDE w:val="0"/>
              <w:autoSpaceDN w:val="0"/>
              <w:adjustRightInd w:val="0"/>
              <w:jc w:val="center"/>
              <w:rPr>
                <w:color w:val="000000"/>
                <w:sz w:val="22"/>
                <w:szCs w:val="22"/>
                <w:lang w:val="ru-RU" w:eastAsia="ru-RU"/>
              </w:rPr>
            </w:pPr>
            <w:r w:rsidRPr="00B2252E">
              <w:rPr>
                <w:color w:val="000000"/>
                <w:sz w:val="22"/>
                <w:szCs w:val="22"/>
                <w:lang w:val="ru-RU" w:eastAsia="ru-RU"/>
              </w:rPr>
              <w:t>2,0 (10,5)</w:t>
            </w:r>
          </w:p>
          <w:p w14:paraId="72344CB8" w14:textId="77777777" w:rsidR="00B2252E" w:rsidRPr="00B2252E" w:rsidRDefault="00B2252E" w:rsidP="00B2252E">
            <w:pPr>
              <w:keepNext/>
              <w:suppressAutoHyphens/>
              <w:kinsoku w:val="0"/>
              <w:overflowPunct w:val="0"/>
              <w:autoSpaceDE w:val="0"/>
              <w:autoSpaceDN w:val="0"/>
              <w:adjustRightInd w:val="0"/>
              <w:jc w:val="center"/>
              <w:rPr>
                <w:color w:val="000000"/>
                <w:sz w:val="22"/>
                <w:szCs w:val="22"/>
                <w:lang w:val="ru-RU" w:eastAsia="ru-RU"/>
              </w:rPr>
            </w:pPr>
            <w:r w:rsidRPr="00B2252E">
              <w:rPr>
                <w:color w:val="000000"/>
                <w:sz w:val="22"/>
                <w:szCs w:val="22"/>
                <w:lang w:val="ru-RU" w:eastAsia="ru-RU"/>
              </w:rPr>
              <w:t>(-2,4; 6,4)</w:t>
            </w:r>
          </w:p>
        </w:tc>
        <w:tc>
          <w:tcPr>
            <w:tcW w:w="2521"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5B701D23" w14:textId="77777777" w:rsidR="00B2252E" w:rsidRPr="00B2252E" w:rsidRDefault="00B2252E" w:rsidP="00B2252E">
            <w:pPr>
              <w:keepNext/>
              <w:suppressAutoHyphens/>
              <w:kinsoku w:val="0"/>
              <w:overflowPunct w:val="0"/>
              <w:autoSpaceDE w:val="0"/>
              <w:autoSpaceDN w:val="0"/>
              <w:adjustRightInd w:val="0"/>
              <w:jc w:val="center"/>
              <w:rPr>
                <w:color w:val="000000"/>
                <w:sz w:val="22"/>
                <w:szCs w:val="22"/>
                <w:lang w:val="ru-RU" w:eastAsia="ru-RU"/>
              </w:rPr>
            </w:pPr>
            <w:r w:rsidRPr="00B2252E">
              <w:rPr>
                <w:color w:val="000000"/>
                <w:sz w:val="22"/>
                <w:szCs w:val="22"/>
                <w:lang w:val="ru-RU" w:eastAsia="ru-RU"/>
              </w:rPr>
              <w:t>29,4 (14,6)</w:t>
            </w:r>
          </w:p>
          <w:p w14:paraId="771AAFF0" w14:textId="77777777" w:rsidR="00B2252E" w:rsidRPr="00B2252E" w:rsidRDefault="00B2252E" w:rsidP="00B2252E">
            <w:pPr>
              <w:keepNext/>
              <w:suppressAutoHyphens/>
              <w:kinsoku w:val="0"/>
              <w:overflowPunct w:val="0"/>
              <w:autoSpaceDE w:val="0"/>
              <w:autoSpaceDN w:val="0"/>
              <w:adjustRightInd w:val="0"/>
              <w:jc w:val="center"/>
              <w:rPr>
                <w:color w:val="000000"/>
                <w:sz w:val="22"/>
                <w:szCs w:val="22"/>
                <w:lang w:val="ru-RU" w:eastAsia="ru-RU"/>
              </w:rPr>
            </w:pPr>
            <w:r w:rsidRPr="00B2252E">
              <w:rPr>
                <w:color w:val="000000"/>
                <w:sz w:val="22"/>
                <w:szCs w:val="22"/>
                <w:lang w:val="ru-RU" w:eastAsia="ru-RU"/>
              </w:rPr>
              <w:t>25,2 (15,5)</w:t>
            </w:r>
          </w:p>
          <w:p w14:paraId="55DC7D6D" w14:textId="77777777" w:rsidR="00B2252E" w:rsidRPr="00B2252E" w:rsidRDefault="00B2252E" w:rsidP="00B2252E">
            <w:pPr>
              <w:keepNext/>
              <w:suppressAutoHyphens/>
              <w:kinsoku w:val="0"/>
              <w:overflowPunct w:val="0"/>
              <w:autoSpaceDE w:val="0"/>
              <w:autoSpaceDN w:val="0"/>
              <w:adjustRightInd w:val="0"/>
              <w:jc w:val="center"/>
              <w:rPr>
                <w:color w:val="000000"/>
                <w:sz w:val="22"/>
                <w:szCs w:val="22"/>
                <w:lang w:val="ru-RU" w:eastAsia="ru-RU"/>
              </w:rPr>
            </w:pPr>
            <w:r w:rsidRPr="00B2252E">
              <w:rPr>
                <w:color w:val="000000"/>
                <w:sz w:val="22"/>
                <w:szCs w:val="22"/>
                <w:lang w:val="ru-RU" w:eastAsia="ru-RU"/>
              </w:rPr>
              <w:t>-4,9 (14,1)</w:t>
            </w:r>
          </w:p>
          <w:p w14:paraId="06C4A687" w14:textId="77777777" w:rsidR="00B2252E" w:rsidRPr="00B2252E" w:rsidRDefault="00B2252E" w:rsidP="00B2252E">
            <w:pPr>
              <w:keepNext/>
              <w:suppressAutoHyphens/>
              <w:kinsoku w:val="0"/>
              <w:overflowPunct w:val="0"/>
              <w:autoSpaceDE w:val="0"/>
              <w:autoSpaceDN w:val="0"/>
              <w:adjustRightInd w:val="0"/>
              <w:jc w:val="center"/>
              <w:rPr>
                <w:color w:val="000000"/>
                <w:sz w:val="22"/>
                <w:szCs w:val="22"/>
                <w:lang w:val="ru-RU" w:eastAsia="ru-RU"/>
              </w:rPr>
            </w:pPr>
            <w:r w:rsidRPr="00B2252E">
              <w:rPr>
                <w:color w:val="000000"/>
                <w:sz w:val="22"/>
                <w:szCs w:val="22"/>
                <w:lang w:val="ru-RU" w:eastAsia="ru-RU"/>
              </w:rPr>
              <w:t>(-11,3; 1,5)</w:t>
            </w:r>
          </w:p>
        </w:tc>
      </w:tr>
      <w:tr w:rsidR="00B2252E" w:rsidRPr="00FC5B82" w14:paraId="5F769BE8" w14:textId="77777777">
        <w:trPr>
          <w:trHeight w:val="227"/>
          <w:jc w:val="center"/>
        </w:trPr>
        <w:tc>
          <w:tcPr>
            <w:tcW w:w="8585" w:type="dxa"/>
            <w:gridSpan w:val="3"/>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3200B042" w14:textId="77777777" w:rsidR="00B2252E" w:rsidRPr="00B2252E" w:rsidRDefault="00B2252E" w:rsidP="00B2252E">
            <w:pPr>
              <w:widowControl w:val="0"/>
              <w:suppressAutoHyphens/>
              <w:kinsoku w:val="0"/>
              <w:overflowPunct w:val="0"/>
              <w:autoSpaceDE w:val="0"/>
              <w:autoSpaceDN w:val="0"/>
              <w:adjustRightInd w:val="0"/>
              <w:ind w:left="57"/>
              <w:rPr>
                <w:color w:val="000000"/>
                <w:sz w:val="22"/>
                <w:szCs w:val="22"/>
                <w:lang w:val="en-US" w:eastAsia="ru-RU"/>
              </w:rPr>
            </w:pPr>
            <w:r w:rsidRPr="00B2252E">
              <w:rPr>
                <w:b/>
                <w:color w:val="000000"/>
                <w:sz w:val="22"/>
                <w:szCs w:val="22"/>
                <w:lang w:val="en-US" w:eastAsia="ru-RU"/>
              </w:rPr>
              <w:t xml:space="preserve">Samlet score for </w:t>
            </w:r>
            <w:r w:rsidRPr="00B2252E">
              <w:rPr>
                <w:b/>
                <w:i/>
                <w:color w:val="000000"/>
                <w:sz w:val="22"/>
                <w:szCs w:val="22"/>
                <w:lang w:val="en-US" w:eastAsia="ru-RU"/>
              </w:rPr>
              <w:t>Patient Global Impression of Severity Scale</w:t>
            </w:r>
            <w:r w:rsidRPr="00B2252E">
              <w:rPr>
                <w:b/>
                <w:color w:val="000000"/>
                <w:sz w:val="22"/>
                <w:szCs w:val="22"/>
                <w:lang w:val="en-US" w:eastAsia="ru-RU"/>
              </w:rPr>
              <w:t xml:space="preserve"> (PGI-S)† </w:t>
            </w:r>
          </w:p>
        </w:tc>
      </w:tr>
      <w:tr w:rsidR="00B2252E" w:rsidRPr="00B2252E" w14:paraId="1CD8E8EC" w14:textId="77777777">
        <w:trPr>
          <w:trHeight w:val="227"/>
          <w:jc w:val="center"/>
        </w:trPr>
        <w:tc>
          <w:tcPr>
            <w:tcW w:w="3635"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6447FB81" w14:textId="77777777" w:rsidR="00B2252E" w:rsidRPr="00B2252E" w:rsidRDefault="00B2252E" w:rsidP="00B2252E">
            <w:pPr>
              <w:widowControl w:val="0"/>
              <w:suppressAutoHyphens/>
              <w:kinsoku w:val="0"/>
              <w:overflowPunct w:val="0"/>
              <w:autoSpaceDE w:val="0"/>
              <w:autoSpaceDN w:val="0"/>
              <w:adjustRightInd w:val="0"/>
              <w:ind w:left="57"/>
              <w:rPr>
                <w:color w:val="000000"/>
                <w:sz w:val="22"/>
                <w:szCs w:val="22"/>
                <w:lang w:val="ru-RU" w:eastAsia="ru-RU"/>
              </w:rPr>
            </w:pPr>
            <w:r w:rsidRPr="00B2252E">
              <w:rPr>
                <w:i/>
                <w:color w:val="000000"/>
                <w:sz w:val="22"/>
                <w:szCs w:val="22"/>
                <w:lang w:val="ru-RU" w:eastAsia="ru-RU"/>
              </w:rPr>
              <w:t>Baseline</w:t>
            </w:r>
            <w:r w:rsidRPr="00B2252E">
              <w:rPr>
                <w:color w:val="000000"/>
                <w:sz w:val="22"/>
                <w:szCs w:val="22"/>
                <w:lang w:val="ru-RU" w:eastAsia="ru-RU"/>
              </w:rPr>
              <w:t xml:space="preserve"> </w:t>
            </w:r>
          </w:p>
          <w:p w14:paraId="3888771B" w14:textId="77777777" w:rsidR="00B2252E" w:rsidRPr="00B2252E" w:rsidRDefault="00B2252E" w:rsidP="00B2252E">
            <w:pPr>
              <w:widowControl w:val="0"/>
              <w:suppressAutoHyphens/>
              <w:kinsoku w:val="0"/>
              <w:overflowPunct w:val="0"/>
              <w:autoSpaceDE w:val="0"/>
              <w:autoSpaceDN w:val="0"/>
              <w:adjustRightInd w:val="0"/>
              <w:ind w:left="57"/>
              <w:rPr>
                <w:color w:val="000000"/>
                <w:sz w:val="22"/>
                <w:szCs w:val="22"/>
                <w:lang w:val="ru-RU" w:eastAsia="ru-RU"/>
              </w:rPr>
            </w:pPr>
            <w:r w:rsidRPr="00B2252E">
              <w:rPr>
                <w:color w:val="000000"/>
                <w:sz w:val="22"/>
                <w:szCs w:val="22"/>
                <w:lang w:val="ru-RU" w:eastAsia="ru-RU"/>
              </w:rPr>
              <w:t xml:space="preserve">Uge 24 </w:t>
            </w:r>
          </w:p>
          <w:p w14:paraId="664E0838" w14:textId="77777777" w:rsidR="00B2252E" w:rsidRPr="00B2252E" w:rsidRDefault="00B2252E" w:rsidP="00B2252E">
            <w:pPr>
              <w:widowControl w:val="0"/>
              <w:suppressAutoHyphens/>
              <w:kinsoku w:val="0"/>
              <w:overflowPunct w:val="0"/>
              <w:autoSpaceDE w:val="0"/>
              <w:autoSpaceDN w:val="0"/>
              <w:adjustRightInd w:val="0"/>
              <w:ind w:left="57"/>
              <w:rPr>
                <w:color w:val="000000"/>
                <w:sz w:val="22"/>
                <w:szCs w:val="22"/>
                <w:lang w:val="ru-RU" w:eastAsia="ru-RU"/>
              </w:rPr>
            </w:pPr>
            <w:r w:rsidRPr="00B2252E">
              <w:rPr>
                <w:color w:val="000000"/>
                <w:sz w:val="22"/>
                <w:szCs w:val="22"/>
                <w:lang w:val="ru-RU" w:eastAsia="ru-RU"/>
              </w:rPr>
              <w:t xml:space="preserve">Ændring fra </w:t>
            </w:r>
            <w:r w:rsidRPr="00B2252E">
              <w:rPr>
                <w:i/>
                <w:color w:val="000000"/>
                <w:sz w:val="22"/>
                <w:szCs w:val="22"/>
                <w:lang w:val="ru-RU" w:eastAsia="ru-RU"/>
              </w:rPr>
              <w:t>baseline</w:t>
            </w:r>
            <w:r w:rsidRPr="00B2252E">
              <w:rPr>
                <w:color w:val="000000"/>
                <w:sz w:val="22"/>
                <w:szCs w:val="22"/>
                <w:lang w:val="ru-RU" w:eastAsia="ru-RU"/>
              </w:rPr>
              <w:t xml:space="preserve"> </w:t>
            </w:r>
          </w:p>
          <w:p w14:paraId="5A9E3C23" w14:textId="77777777" w:rsidR="00B2252E" w:rsidRPr="00B2252E" w:rsidRDefault="00B2252E" w:rsidP="00B2252E">
            <w:pPr>
              <w:widowControl w:val="0"/>
              <w:suppressAutoHyphens/>
              <w:kinsoku w:val="0"/>
              <w:overflowPunct w:val="0"/>
              <w:autoSpaceDE w:val="0"/>
              <w:autoSpaceDN w:val="0"/>
              <w:adjustRightInd w:val="0"/>
              <w:ind w:left="57"/>
              <w:rPr>
                <w:color w:val="000000"/>
                <w:sz w:val="22"/>
                <w:szCs w:val="22"/>
                <w:lang w:val="ru-RU" w:eastAsia="ru-RU"/>
              </w:rPr>
            </w:pPr>
            <w:r w:rsidRPr="00B2252E">
              <w:rPr>
                <w:color w:val="000000"/>
                <w:sz w:val="22"/>
                <w:szCs w:val="22"/>
                <w:lang w:val="ru-RU" w:eastAsia="ru-RU"/>
              </w:rPr>
              <w:t xml:space="preserve">95 % konfidensinterval </w:t>
            </w:r>
          </w:p>
        </w:tc>
        <w:tc>
          <w:tcPr>
            <w:tcW w:w="2429"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0375E4DC" w14:textId="77777777" w:rsidR="00B2252E" w:rsidRPr="00B2252E" w:rsidRDefault="00B2252E" w:rsidP="00B2252E">
            <w:pPr>
              <w:widowControl w:val="0"/>
              <w:suppressAutoHyphens/>
              <w:kinsoku w:val="0"/>
              <w:overflowPunct w:val="0"/>
              <w:autoSpaceDE w:val="0"/>
              <w:autoSpaceDN w:val="0"/>
              <w:adjustRightInd w:val="0"/>
              <w:jc w:val="center"/>
              <w:rPr>
                <w:color w:val="000000"/>
                <w:sz w:val="22"/>
                <w:szCs w:val="22"/>
                <w:lang w:val="ru-RU" w:eastAsia="ru-RU"/>
              </w:rPr>
            </w:pPr>
            <w:r w:rsidRPr="00B2252E">
              <w:rPr>
                <w:color w:val="000000"/>
                <w:sz w:val="22"/>
                <w:szCs w:val="22"/>
                <w:lang w:val="ru-RU" w:eastAsia="ru-RU"/>
              </w:rPr>
              <w:t>2,2 (0,8)</w:t>
            </w:r>
          </w:p>
          <w:p w14:paraId="5CD96CBD" w14:textId="77777777" w:rsidR="00B2252E" w:rsidRPr="00B2252E" w:rsidRDefault="00B2252E" w:rsidP="00B2252E">
            <w:pPr>
              <w:widowControl w:val="0"/>
              <w:suppressAutoHyphens/>
              <w:kinsoku w:val="0"/>
              <w:overflowPunct w:val="0"/>
              <w:autoSpaceDE w:val="0"/>
              <w:autoSpaceDN w:val="0"/>
              <w:adjustRightInd w:val="0"/>
              <w:jc w:val="center"/>
              <w:rPr>
                <w:color w:val="000000"/>
                <w:sz w:val="22"/>
                <w:szCs w:val="22"/>
                <w:lang w:val="ru-RU" w:eastAsia="ru-RU"/>
              </w:rPr>
            </w:pPr>
            <w:r w:rsidRPr="00B2252E">
              <w:rPr>
                <w:color w:val="000000"/>
                <w:sz w:val="22"/>
                <w:szCs w:val="22"/>
                <w:lang w:val="ru-RU" w:eastAsia="ru-RU"/>
              </w:rPr>
              <w:t>2,6 (0,8)</w:t>
            </w:r>
          </w:p>
          <w:p w14:paraId="1C2D7DEE" w14:textId="77777777" w:rsidR="00B2252E" w:rsidRPr="00B2252E" w:rsidRDefault="00B2252E" w:rsidP="00B2252E">
            <w:pPr>
              <w:widowControl w:val="0"/>
              <w:suppressAutoHyphens/>
              <w:kinsoku w:val="0"/>
              <w:overflowPunct w:val="0"/>
              <w:autoSpaceDE w:val="0"/>
              <w:autoSpaceDN w:val="0"/>
              <w:adjustRightInd w:val="0"/>
              <w:jc w:val="center"/>
              <w:rPr>
                <w:color w:val="000000"/>
                <w:sz w:val="22"/>
                <w:szCs w:val="22"/>
                <w:lang w:val="ru-RU" w:eastAsia="ru-RU"/>
              </w:rPr>
            </w:pPr>
            <w:r w:rsidRPr="00B2252E">
              <w:rPr>
                <w:color w:val="000000"/>
                <w:sz w:val="22"/>
                <w:szCs w:val="22"/>
                <w:lang w:val="ru-RU" w:eastAsia="ru-RU"/>
              </w:rPr>
              <w:t>0,3 (1,2)</w:t>
            </w:r>
          </w:p>
          <w:p w14:paraId="1844E330" w14:textId="77777777" w:rsidR="00B2252E" w:rsidRPr="00B2252E" w:rsidRDefault="00B2252E" w:rsidP="00B2252E">
            <w:pPr>
              <w:widowControl w:val="0"/>
              <w:suppressAutoHyphens/>
              <w:kinsoku w:val="0"/>
              <w:overflowPunct w:val="0"/>
              <w:autoSpaceDE w:val="0"/>
              <w:autoSpaceDN w:val="0"/>
              <w:adjustRightInd w:val="0"/>
              <w:jc w:val="center"/>
              <w:rPr>
                <w:color w:val="000000"/>
                <w:sz w:val="22"/>
                <w:szCs w:val="22"/>
                <w:lang w:val="ru-RU" w:eastAsia="ru-RU"/>
              </w:rPr>
            </w:pPr>
            <w:r w:rsidRPr="00B2252E">
              <w:rPr>
                <w:color w:val="000000"/>
                <w:sz w:val="22"/>
                <w:szCs w:val="22"/>
                <w:lang w:val="ru-RU" w:eastAsia="ru-RU"/>
              </w:rPr>
              <w:t>(-0,1; 0,8)</w:t>
            </w:r>
          </w:p>
        </w:tc>
        <w:tc>
          <w:tcPr>
            <w:tcW w:w="2521"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25CC661B" w14:textId="77777777" w:rsidR="00B2252E" w:rsidRPr="00B2252E" w:rsidRDefault="00B2252E" w:rsidP="00B2252E">
            <w:pPr>
              <w:widowControl w:val="0"/>
              <w:suppressAutoHyphens/>
              <w:kinsoku w:val="0"/>
              <w:overflowPunct w:val="0"/>
              <w:autoSpaceDE w:val="0"/>
              <w:autoSpaceDN w:val="0"/>
              <w:adjustRightInd w:val="0"/>
              <w:jc w:val="center"/>
              <w:rPr>
                <w:color w:val="000000"/>
                <w:sz w:val="22"/>
                <w:szCs w:val="22"/>
                <w:lang w:val="ru-RU" w:eastAsia="ru-RU"/>
              </w:rPr>
            </w:pPr>
            <w:r w:rsidRPr="00B2252E">
              <w:rPr>
                <w:color w:val="000000"/>
                <w:sz w:val="22"/>
                <w:szCs w:val="22"/>
                <w:lang w:val="ru-RU" w:eastAsia="ru-RU"/>
              </w:rPr>
              <w:t>2,3 (0,9)</w:t>
            </w:r>
          </w:p>
          <w:p w14:paraId="2D75E018" w14:textId="77777777" w:rsidR="00B2252E" w:rsidRPr="00B2252E" w:rsidRDefault="00B2252E" w:rsidP="00B2252E">
            <w:pPr>
              <w:widowControl w:val="0"/>
              <w:suppressAutoHyphens/>
              <w:kinsoku w:val="0"/>
              <w:overflowPunct w:val="0"/>
              <w:autoSpaceDE w:val="0"/>
              <w:autoSpaceDN w:val="0"/>
              <w:adjustRightInd w:val="0"/>
              <w:jc w:val="center"/>
              <w:rPr>
                <w:color w:val="000000"/>
                <w:sz w:val="22"/>
                <w:szCs w:val="22"/>
                <w:lang w:val="ru-RU" w:eastAsia="ru-RU"/>
              </w:rPr>
            </w:pPr>
            <w:r w:rsidRPr="00B2252E">
              <w:rPr>
                <w:color w:val="000000"/>
                <w:sz w:val="22"/>
                <w:szCs w:val="22"/>
                <w:lang w:val="ru-RU" w:eastAsia="ru-RU"/>
              </w:rPr>
              <w:t>3,0 (0,7)</w:t>
            </w:r>
          </w:p>
          <w:p w14:paraId="1E22BABC" w14:textId="77777777" w:rsidR="00B2252E" w:rsidRPr="00B2252E" w:rsidRDefault="00B2252E" w:rsidP="00B2252E">
            <w:pPr>
              <w:widowControl w:val="0"/>
              <w:suppressAutoHyphens/>
              <w:kinsoku w:val="0"/>
              <w:overflowPunct w:val="0"/>
              <w:autoSpaceDE w:val="0"/>
              <w:autoSpaceDN w:val="0"/>
              <w:adjustRightInd w:val="0"/>
              <w:jc w:val="center"/>
              <w:rPr>
                <w:color w:val="000000"/>
                <w:sz w:val="22"/>
                <w:szCs w:val="22"/>
                <w:lang w:val="ru-RU" w:eastAsia="ru-RU"/>
              </w:rPr>
            </w:pPr>
            <w:r w:rsidRPr="00B2252E">
              <w:rPr>
                <w:color w:val="000000"/>
                <w:sz w:val="22"/>
                <w:szCs w:val="22"/>
                <w:lang w:val="ru-RU" w:eastAsia="ru-RU"/>
              </w:rPr>
              <w:t>0,6 (1,0)</w:t>
            </w:r>
          </w:p>
          <w:p w14:paraId="356272BF" w14:textId="77777777" w:rsidR="00B2252E" w:rsidRPr="00B2252E" w:rsidRDefault="00B2252E" w:rsidP="00B2252E">
            <w:pPr>
              <w:widowControl w:val="0"/>
              <w:suppressAutoHyphens/>
              <w:kinsoku w:val="0"/>
              <w:overflowPunct w:val="0"/>
              <w:autoSpaceDE w:val="0"/>
              <w:autoSpaceDN w:val="0"/>
              <w:adjustRightInd w:val="0"/>
              <w:jc w:val="center"/>
              <w:rPr>
                <w:color w:val="000000"/>
                <w:sz w:val="22"/>
                <w:szCs w:val="22"/>
                <w:lang w:val="ru-RU" w:eastAsia="ru-RU"/>
              </w:rPr>
            </w:pPr>
            <w:r w:rsidRPr="00B2252E">
              <w:rPr>
                <w:color w:val="000000"/>
                <w:sz w:val="22"/>
                <w:szCs w:val="22"/>
                <w:lang w:val="ru-RU" w:eastAsia="ru-RU"/>
              </w:rPr>
              <w:t>(0,1; 1,0)</w:t>
            </w:r>
          </w:p>
        </w:tc>
      </w:tr>
      <w:tr w:rsidR="00B2252E" w:rsidRPr="00B2252E" w14:paraId="030E371B" w14:textId="77777777">
        <w:trPr>
          <w:trHeight w:val="227"/>
          <w:jc w:val="center"/>
        </w:trPr>
        <w:tc>
          <w:tcPr>
            <w:tcW w:w="8585" w:type="dxa"/>
            <w:gridSpan w:val="3"/>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486C6FEA" w14:textId="77777777" w:rsidR="00B2252E" w:rsidRPr="00B2252E" w:rsidRDefault="00B2252E" w:rsidP="00B2252E">
            <w:pPr>
              <w:widowControl w:val="0"/>
              <w:suppressAutoHyphens/>
              <w:kinsoku w:val="0"/>
              <w:overflowPunct w:val="0"/>
              <w:autoSpaceDE w:val="0"/>
              <w:autoSpaceDN w:val="0"/>
              <w:adjustRightInd w:val="0"/>
              <w:ind w:left="57"/>
              <w:rPr>
                <w:color w:val="000000"/>
                <w:sz w:val="22"/>
                <w:szCs w:val="22"/>
                <w:lang w:val="ru-RU" w:eastAsia="ru-RU"/>
              </w:rPr>
            </w:pPr>
            <w:r w:rsidRPr="00B2252E">
              <w:rPr>
                <w:b/>
                <w:color w:val="000000"/>
                <w:sz w:val="22"/>
                <w:szCs w:val="22"/>
                <w:lang w:val="ru-RU" w:eastAsia="ru-RU"/>
              </w:rPr>
              <w:t xml:space="preserve">Samlet </w:t>
            </w:r>
            <w:r w:rsidRPr="00B2252E">
              <w:rPr>
                <w:b/>
                <w:i/>
                <w:color w:val="000000"/>
                <w:sz w:val="22"/>
                <w:szCs w:val="22"/>
                <w:lang w:val="ru-RU" w:eastAsia="ru-RU"/>
              </w:rPr>
              <w:t>Clinician Global Impression of Change</w:t>
            </w:r>
            <w:r w:rsidRPr="00B2252E">
              <w:rPr>
                <w:b/>
                <w:color w:val="000000"/>
                <w:sz w:val="22"/>
                <w:szCs w:val="22"/>
                <w:lang w:val="ru-RU" w:eastAsia="ru-RU"/>
              </w:rPr>
              <w:t xml:space="preserve"> (CGI-C) ved uge 24, N (%)†</w:t>
            </w:r>
            <w:r w:rsidRPr="00B2252E">
              <w:rPr>
                <w:color w:val="000000"/>
                <w:sz w:val="22"/>
                <w:szCs w:val="22"/>
                <w:lang w:val="ru-RU" w:eastAsia="ru-RU"/>
              </w:rPr>
              <w:t xml:space="preserve"> </w:t>
            </w:r>
          </w:p>
        </w:tc>
      </w:tr>
      <w:tr w:rsidR="00B2252E" w:rsidRPr="00B2252E" w14:paraId="3C969081" w14:textId="77777777">
        <w:trPr>
          <w:trHeight w:val="227"/>
          <w:jc w:val="center"/>
        </w:trPr>
        <w:tc>
          <w:tcPr>
            <w:tcW w:w="3635"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5364CB24" w14:textId="77777777" w:rsidR="00B2252E" w:rsidRPr="00B2252E" w:rsidRDefault="00B2252E" w:rsidP="00B2252E">
            <w:pPr>
              <w:widowControl w:val="0"/>
              <w:suppressAutoHyphens/>
              <w:kinsoku w:val="0"/>
              <w:overflowPunct w:val="0"/>
              <w:autoSpaceDE w:val="0"/>
              <w:autoSpaceDN w:val="0"/>
              <w:adjustRightInd w:val="0"/>
              <w:ind w:left="57"/>
              <w:rPr>
                <w:color w:val="000000"/>
                <w:sz w:val="22"/>
                <w:szCs w:val="22"/>
                <w:lang w:val="ru-RU" w:eastAsia="ru-RU"/>
              </w:rPr>
            </w:pPr>
            <w:r w:rsidRPr="00B2252E">
              <w:rPr>
                <w:color w:val="000000"/>
                <w:sz w:val="22"/>
                <w:szCs w:val="22"/>
                <w:lang w:val="ru-RU" w:eastAsia="ru-RU"/>
              </w:rPr>
              <w:t xml:space="preserve">Rigtig meget forbedret </w:t>
            </w:r>
          </w:p>
          <w:p w14:paraId="5CD21718" w14:textId="77777777" w:rsidR="00B2252E" w:rsidRPr="00B2252E" w:rsidRDefault="00B2252E" w:rsidP="00B2252E">
            <w:pPr>
              <w:widowControl w:val="0"/>
              <w:suppressAutoHyphens/>
              <w:kinsoku w:val="0"/>
              <w:overflowPunct w:val="0"/>
              <w:autoSpaceDE w:val="0"/>
              <w:autoSpaceDN w:val="0"/>
              <w:adjustRightInd w:val="0"/>
              <w:ind w:left="57"/>
              <w:rPr>
                <w:color w:val="000000"/>
                <w:sz w:val="22"/>
                <w:szCs w:val="22"/>
                <w:lang w:val="ru-RU" w:eastAsia="ru-RU"/>
              </w:rPr>
            </w:pPr>
            <w:r w:rsidRPr="00B2252E">
              <w:rPr>
                <w:color w:val="000000"/>
                <w:sz w:val="22"/>
                <w:szCs w:val="22"/>
                <w:lang w:val="ru-RU" w:eastAsia="ru-RU"/>
              </w:rPr>
              <w:t xml:space="preserve">Meget forbedret </w:t>
            </w:r>
          </w:p>
          <w:p w14:paraId="02CCDD99" w14:textId="77777777" w:rsidR="00B2252E" w:rsidRPr="00B2252E" w:rsidRDefault="00B2252E" w:rsidP="00B2252E">
            <w:pPr>
              <w:widowControl w:val="0"/>
              <w:suppressAutoHyphens/>
              <w:kinsoku w:val="0"/>
              <w:overflowPunct w:val="0"/>
              <w:autoSpaceDE w:val="0"/>
              <w:autoSpaceDN w:val="0"/>
              <w:adjustRightInd w:val="0"/>
              <w:ind w:left="57"/>
              <w:rPr>
                <w:color w:val="000000"/>
                <w:sz w:val="22"/>
                <w:szCs w:val="22"/>
                <w:lang w:val="ru-RU" w:eastAsia="ru-RU"/>
              </w:rPr>
            </w:pPr>
            <w:r w:rsidRPr="00B2252E">
              <w:rPr>
                <w:color w:val="000000"/>
                <w:sz w:val="22"/>
                <w:szCs w:val="22"/>
                <w:lang w:val="ru-RU" w:eastAsia="ru-RU"/>
              </w:rPr>
              <w:t xml:space="preserve">Minimalt forbedret </w:t>
            </w:r>
          </w:p>
          <w:p w14:paraId="085DDCF3" w14:textId="77777777" w:rsidR="00B2252E" w:rsidRPr="00B2252E" w:rsidRDefault="00B2252E" w:rsidP="00B2252E">
            <w:pPr>
              <w:widowControl w:val="0"/>
              <w:suppressAutoHyphens/>
              <w:kinsoku w:val="0"/>
              <w:overflowPunct w:val="0"/>
              <w:autoSpaceDE w:val="0"/>
              <w:autoSpaceDN w:val="0"/>
              <w:adjustRightInd w:val="0"/>
              <w:ind w:left="57"/>
              <w:rPr>
                <w:color w:val="000000"/>
                <w:sz w:val="22"/>
                <w:szCs w:val="22"/>
                <w:lang w:val="ru-RU" w:eastAsia="ru-RU"/>
              </w:rPr>
            </w:pPr>
            <w:r w:rsidRPr="00B2252E">
              <w:rPr>
                <w:color w:val="000000"/>
                <w:sz w:val="22"/>
                <w:szCs w:val="22"/>
                <w:lang w:val="ru-RU" w:eastAsia="ru-RU"/>
              </w:rPr>
              <w:t xml:space="preserve">Ingen ændring </w:t>
            </w:r>
          </w:p>
          <w:p w14:paraId="13F209C2" w14:textId="77777777" w:rsidR="00B2252E" w:rsidRPr="00B2252E" w:rsidRDefault="00B2252E" w:rsidP="00B2252E">
            <w:pPr>
              <w:widowControl w:val="0"/>
              <w:suppressAutoHyphens/>
              <w:kinsoku w:val="0"/>
              <w:overflowPunct w:val="0"/>
              <w:autoSpaceDE w:val="0"/>
              <w:autoSpaceDN w:val="0"/>
              <w:adjustRightInd w:val="0"/>
              <w:ind w:left="57"/>
              <w:rPr>
                <w:color w:val="000000"/>
                <w:sz w:val="22"/>
                <w:szCs w:val="22"/>
                <w:lang w:val="ru-RU" w:eastAsia="ru-RU"/>
              </w:rPr>
            </w:pPr>
            <w:r w:rsidRPr="00B2252E">
              <w:rPr>
                <w:color w:val="000000"/>
                <w:sz w:val="22"/>
                <w:szCs w:val="22"/>
                <w:lang w:val="ru-RU" w:eastAsia="ru-RU"/>
              </w:rPr>
              <w:t xml:space="preserve">Minimalt værre </w:t>
            </w:r>
          </w:p>
          <w:p w14:paraId="476D19C7" w14:textId="77777777" w:rsidR="00B2252E" w:rsidRPr="00B2252E" w:rsidRDefault="00B2252E" w:rsidP="00B2252E">
            <w:pPr>
              <w:widowControl w:val="0"/>
              <w:suppressAutoHyphens/>
              <w:kinsoku w:val="0"/>
              <w:overflowPunct w:val="0"/>
              <w:autoSpaceDE w:val="0"/>
              <w:autoSpaceDN w:val="0"/>
              <w:adjustRightInd w:val="0"/>
              <w:ind w:left="57"/>
              <w:rPr>
                <w:color w:val="000000"/>
                <w:sz w:val="22"/>
                <w:szCs w:val="22"/>
                <w:lang w:val="ru-RU" w:eastAsia="ru-RU"/>
              </w:rPr>
            </w:pPr>
            <w:r w:rsidRPr="00B2252E">
              <w:rPr>
                <w:color w:val="000000"/>
                <w:sz w:val="22"/>
                <w:szCs w:val="22"/>
                <w:lang w:val="ru-RU" w:eastAsia="ru-RU"/>
              </w:rPr>
              <w:t xml:space="preserve">Meget værre </w:t>
            </w:r>
          </w:p>
          <w:p w14:paraId="3F82CEBB" w14:textId="77777777" w:rsidR="00B2252E" w:rsidRPr="00B2252E" w:rsidRDefault="00B2252E" w:rsidP="00B2252E">
            <w:pPr>
              <w:widowControl w:val="0"/>
              <w:suppressAutoHyphens/>
              <w:kinsoku w:val="0"/>
              <w:overflowPunct w:val="0"/>
              <w:autoSpaceDE w:val="0"/>
              <w:autoSpaceDN w:val="0"/>
              <w:adjustRightInd w:val="0"/>
              <w:ind w:left="57"/>
              <w:rPr>
                <w:color w:val="000000"/>
                <w:sz w:val="22"/>
                <w:szCs w:val="22"/>
                <w:lang w:val="ru-RU" w:eastAsia="ru-RU"/>
              </w:rPr>
            </w:pPr>
            <w:r w:rsidRPr="00B2252E">
              <w:rPr>
                <w:color w:val="000000"/>
                <w:sz w:val="22"/>
                <w:szCs w:val="22"/>
                <w:lang w:val="ru-RU" w:eastAsia="ru-RU"/>
              </w:rPr>
              <w:t xml:space="preserve">Rigtig meget værre </w:t>
            </w:r>
          </w:p>
        </w:tc>
        <w:tc>
          <w:tcPr>
            <w:tcW w:w="2429"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1841BF97" w14:textId="77777777" w:rsidR="00B2252E" w:rsidRPr="00B2252E" w:rsidRDefault="00B2252E" w:rsidP="00B2252E">
            <w:pPr>
              <w:widowControl w:val="0"/>
              <w:suppressAutoHyphens/>
              <w:kinsoku w:val="0"/>
              <w:overflowPunct w:val="0"/>
              <w:autoSpaceDE w:val="0"/>
              <w:autoSpaceDN w:val="0"/>
              <w:adjustRightInd w:val="0"/>
              <w:jc w:val="center"/>
              <w:rPr>
                <w:color w:val="000000"/>
                <w:sz w:val="22"/>
                <w:szCs w:val="22"/>
                <w:lang w:val="ru-RU" w:eastAsia="ru-RU"/>
              </w:rPr>
            </w:pPr>
            <w:r w:rsidRPr="00B2252E">
              <w:rPr>
                <w:color w:val="000000"/>
                <w:sz w:val="22"/>
                <w:szCs w:val="22"/>
                <w:lang w:val="ru-RU" w:eastAsia="ru-RU"/>
              </w:rPr>
              <w:t>6 (14,6 %)</w:t>
            </w:r>
          </w:p>
          <w:p w14:paraId="2D5FCDA9" w14:textId="77777777" w:rsidR="00B2252E" w:rsidRPr="00B2252E" w:rsidRDefault="00B2252E" w:rsidP="00B2252E">
            <w:pPr>
              <w:widowControl w:val="0"/>
              <w:suppressAutoHyphens/>
              <w:kinsoku w:val="0"/>
              <w:overflowPunct w:val="0"/>
              <w:autoSpaceDE w:val="0"/>
              <w:autoSpaceDN w:val="0"/>
              <w:adjustRightInd w:val="0"/>
              <w:jc w:val="center"/>
              <w:rPr>
                <w:color w:val="000000"/>
                <w:sz w:val="22"/>
                <w:szCs w:val="22"/>
                <w:lang w:val="ru-RU" w:eastAsia="ru-RU"/>
              </w:rPr>
            </w:pPr>
            <w:r w:rsidRPr="00B2252E">
              <w:rPr>
                <w:color w:val="000000"/>
                <w:sz w:val="22"/>
                <w:szCs w:val="22"/>
                <w:lang w:val="ru-RU" w:eastAsia="ru-RU"/>
              </w:rPr>
              <w:t>24 (58,5 %)</w:t>
            </w:r>
          </w:p>
          <w:p w14:paraId="4F61A303" w14:textId="77777777" w:rsidR="00B2252E" w:rsidRPr="00B2252E" w:rsidRDefault="00B2252E" w:rsidP="00B2252E">
            <w:pPr>
              <w:widowControl w:val="0"/>
              <w:suppressAutoHyphens/>
              <w:kinsoku w:val="0"/>
              <w:overflowPunct w:val="0"/>
              <w:autoSpaceDE w:val="0"/>
              <w:autoSpaceDN w:val="0"/>
              <w:adjustRightInd w:val="0"/>
              <w:jc w:val="center"/>
              <w:rPr>
                <w:color w:val="000000"/>
                <w:sz w:val="22"/>
                <w:szCs w:val="22"/>
                <w:lang w:val="ru-RU" w:eastAsia="ru-RU"/>
              </w:rPr>
            </w:pPr>
            <w:r w:rsidRPr="00B2252E">
              <w:rPr>
                <w:color w:val="000000"/>
                <w:sz w:val="22"/>
                <w:szCs w:val="22"/>
                <w:lang w:val="ru-RU" w:eastAsia="ru-RU"/>
              </w:rPr>
              <w:t>6 (14,6 %)</w:t>
            </w:r>
          </w:p>
          <w:p w14:paraId="6FB78307" w14:textId="77777777" w:rsidR="00B2252E" w:rsidRPr="00B2252E" w:rsidRDefault="00B2252E" w:rsidP="00B2252E">
            <w:pPr>
              <w:widowControl w:val="0"/>
              <w:suppressAutoHyphens/>
              <w:kinsoku w:val="0"/>
              <w:overflowPunct w:val="0"/>
              <w:autoSpaceDE w:val="0"/>
              <w:autoSpaceDN w:val="0"/>
              <w:adjustRightInd w:val="0"/>
              <w:jc w:val="center"/>
              <w:rPr>
                <w:color w:val="000000"/>
                <w:sz w:val="22"/>
                <w:szCs w:val="22"/>
                <w:lang w:val="ru-RU" w:eastAsia="ru-RU"/>
              </w:rPr>
            </w:pPr>
            <w:r w:rsidRPr="00B2252E">
              <w:rPr>
                <w:color w:val="000000"/>
                <w:sz w:val="22"/>
                <w:szCs w:val="22"/>
                <w:lang w:val="ru-RU" w:eastAsia="ru-RU"/>
              </w:rPr>
              <w:t>4 (9,8 %)</w:t>
            </w:r>
          </w:p>
          <w:p w14:paraId="6E2A94AF" w14:textId="77777777" w:rsidR="00B2252E" w:rsidRPr="00B2252E" w:rsidRDefault="00B2252E" w:rsidP="00B2252E">
            <w:pPr>
              <w:widowControl w:val="0"/>
              <w:suppressAutoHyphens/>
              <w:kinsoku w:val="0"/>
              <w:overflowPunct w:val="0"/>
              <w:autoSpaceDE w:val="0"/>
              <w:autoSpaceDN w:val="0"/>
              <w:adjustRightInd w:val="0"/>
              <w:jc w:val="center"/>
              <w:rPr>
                <w:color w:val="000000"/>
                <w:sz w:val="22"/>
                <w:szCs w:val="22"/>
                <w:lang w:val="ru-RU" w:eastAsia="ru-RU"/>
              </w:rPr>
            </w:pPr>
            <w:r w:rsidRPr="00B2252E">
              <w:rPr>
                <w:color w:val="000000"/>
                <w:sz w:val="22"/>
                <w:szCs w:val="22"/>
                <w:lang w:val="ru-RU" w:eastAsia="ru-RU"/>
              </w:rPr>
              <w:t>1 (2,4 %)</w:t>
            </w:r>
          </w:p>
          <w:p w14:paraId="7296E233" w14:textId="77777777" w:rsidR="00B2252E" w:rsidRPr="00B2252E" w:rsidRDefault="00B2252E" w:rsidP="00B2252E">
            <w:pPr>
              <w:widowControl w:val="0"/>
              <w:suppressAutoHyphens/>
              <w:kinsoku w:val="0"/>
              <w:overflowPunct w:val="0"/>
              <w:autoSpaceDE w:val="0"/>
              <w:autoSpaceDN w:val="0"/>
              <w:adjustRightInd w:val="0"/>
              <w:jc w:val="center"/>
              <w:rPr>
                <w:color w:val="000000"/>
                <w:sz w:val="22"/>
                <w:szCs w:val="22"/>
                <w:lang w:val="ru-RU" w:eastAsia="ru-RU"/>
              </w:rPr>
            </w:pPr>
            <w:r w:rsidRPr="00B2252E">
              <w:rPr>
                <w:color w:val="000000"/>
                <w:sz w:val="22"/>
                <w:szCs w:val="22"/>
                <w:lang w:val="ru-RU" w:eastAsia="ru-RU"/>
              </w:rPr>
              <w:t>0</w:t>
            </w:r>
          </w:p>
          <w:p w14:paraId="2170BCA2" w14:textId="77777777" w:rsidR="00B2252E" w:rsidRPr="00B2252E" w:rsidRDefault="00B2252E" w:rsidP="00B2252E">
            <w:pPr>
              <w:widowControl w:val="0"/>
              <w:suppressAutoHyphens/>
              <w:kinsoku w:val="0"/>
              <w:overflowPunct w:val="0"/>
              <w:autoSpaceDE w:val="0"/>
              <w:autoSpaceDN w:val="0"/>
              <w:adjustRightInd w:val="0"/>
              <w:jc w:val="center"/>
              <w:rPr>
                <w:color w:val="000000"/>
                <w:sz w:val="22"/>
                <w:szCs w:val="22"/>
                <w:lang w:val="ru-RU" w:eastAsia="ru-RU"/>
              </w:rPr>
            </w:pPr>
            <w:r w:rsidRPr="00B2252E">
              <w:rPr>
                <w:color w:val="000000"/>
                <w:sz w:val="22"/>
                <w:szCs w:val="22"/>
                <w:lang w:val="ru-RU" w:eastAsia="ru-RU"/>
              </w:rPr>
              <w:t>0</w:t>
            </w:r>
          </w:p>
        </w:tc>
        <w:tc>
          <w:tcPr>
            <w:tcW w:w="2521" w:type="dxa"/>
            <w:tcBorders>
              <w:top w:val="single" w:sz="4" w:space="0" w:color="000000"/>
              <w:left w:val="single" w:sz="4" w:space="0" w:color="000000"/>
              <w:bottom w:val="single" w:sz="4" w:space="0" w:color="000000"/>
              <w:right w:val="single" w:sz="4" w:space="0" w:color="000000"/>
            </w:tcBorders>
            <w:tcMar>
              <w:top w:w="28" w:type="dxa"/>
              <w:left w:w="0" w:type="dxa"/>
              <w:bottom w:w="28" w:type="dxa"/>
              <w:right w:w="0" w:type="dxa"/>
            </w:tcMar>
            <w:hideMark/>
          </w:tcPr>
          <w:p w14:paraId="7D01614C" w14:textId="77777777" w:rsidR="00B2252E" w:rsidRPr="00B2252E" w:rsidRDefault="00B2252E" w:rsidP="00B2252E">
            <w:pPr>
              <w:widowControl w:val="0"/>
              <w:suppressAutoHyphens/>
              <w:kinsoku w:val="0"/>
              <w:overflowPunct w:val="0"/>
              <w:autoSpaceDE w:val="0"/>
              <w:autoSpaceDN w:val="0"/>
              <w:adjustRightInd w:val="0"/>
              <w:jc w:val="center"/>
              <w:rPr>
                <w:color w:val="000000"/>
                <w:sz w:val="22"/>
                <w:szCs w:val="22"/>
                <w:lang w:val="ru-RU" w:eastAsia="ru-RU"/>
              </w:rPr>
            </w:pPr>
            <w:r w:rsidRPr="00B2252E">
              <w:rPr>
                <w:color w:val="000000"/>
                <w:sz w:val="22"/>
                <w:szCs w:val="22"/>
                <w:lang w:val="ru-RU" w:eastAsia="ru-RU"/>
              </w:rPr>
              <w:t>10 (41,7 %)</w:t>
            </w:r>
          </w:p>
          <w:p w14:paraId="38FEA7A2" w14:textId="77777777" w:rsidR="00B2252E" w:rsidRPr="00B2252E" w:rsidRDefault="00B2252E" w:rsidP="00B2252E">
            <w:pPr>
              <w:widowControl w:val="0"/>
              <w:suppressAutoHyphens/>
              <w:kinsoku w:val="0"/>
              <w:overflowPunct w:val="0"/>
              <w:autoSpaceDE w:val="0"/>
              <w:autoSpaceDN w:val="0"/>
              <w:adjustRightInd w:val="0"/>
              <w:jc w:val="center"/>
              <w:rPr>
                <w:color w:val="000000"/>
                <w:sz w:val="22"/>
                <w:szCs w:val="22"/>
                <w:lang w:val="ru-RU" w:eastAsia="ru-RU"/>
              </w:rPr>
            </w:pPr>
            <w:r w:rsidRPr="00B2252E">
              <w:rPr>
                <w:color w:val="000000"/>
                <w:sz w:val="22"/>
                <w:szCs w:val="22"/>
                <w:lang w:val="ru-RU" w:eastAsia="ru-RU"/>
              </w:rPr>
              <w:t>7 (29,2 %)</w:t>
            </w:r>
          </w:p>
          <w:p w14:paraId="1C71B19E" w14:textId="77777777" w:rsidR="00B2252E" w:rsidRPr="00B2252E" w:rsidRDefault="00B2252E" w:rsidP="00B2252E">
            <w:pPr>
              <w:widowControl w:val="0"/>
              <w:suppressAutoHyphens/>
              <w:kinsoku w:val="0"/>
              <w:overflowPunct w:val="0"/>
              <w:autoSpaceDE w:val="0"/>
              <w:autoSpaceDN w:val="0"/>
              <w:adjustRightInd w:val="0"/>
              <w:jc w:val="center"/>
              <w:rPr>
                <w:color w:val="000000"/>
                <w:sz w:val="22"/>
                <w:szCs w:val="22"/>
                <w:lang w:val="ru-RU" w:eastAsia="ru-RU"/>
              </w:rPr>
            </w:pPr>
            <w:r w:rsidRPr="00B2252E">
              <w:rPr>
                <w:color w:val="000000"/>
                <w:sz w:val="22"/>
                <w:szCs w:val="22"/>
                <w:lang w:val="ru-RU" w:eastAsia="ru-RU"/>
              </w:rPr>
              <w:t>5 (20,8 %)</w:t>
            </w:r>
          </w:p>
          <w:p w14:paraId="50B7C3FA" w14:textId="77777777" w:rsidR="00B2252E" w:rsidRPr="00B2252E" w:rsidRDefault="00B2252E" w:rsidP="00B2252E">
            <w:pPr>
              <w:widowControl w:val="0"/>
              <w:suppressAutoHyphens/>
              <w:kinsoku w:val="0"/>
              <w:overflowPunct w:val="0"/>
              <w:autoSpaceDE w:val="0"/>
              <w:autoSpaceDN w:val="0"/>
              <w:adjustRightInd w:val="0"/>
              <w:jc w:val="center"/>
              <w:rPr>
                <w:color w:val="000000"/>
                <w:sz w:val="22"/>
                <w:szCs w:val="22"/>
                <w:lang w:val="ru-RU" w:eastAsia="ru-RU"/>
              </w:rPr>
            </w:pPr>
            <w:r w:rsidRPr="00B2252E">
              <w:rPr>
                <w:color w:val="000000"/>
                <w:sz w:val="22"/>
                <w:szCs w:val="22"/>
                <w:lang w:val="ru-RU" w:eastAsia="ru-RU"/>
              </w:rPr>
              <w:t>1 (4,2 %)</w:t>
            </w:r>
          </w:p>
          <w:p w14:paraId="34E635E6" w14:textId="77777777" w:rsidR="00B2252E" w:rsidRPr="00B2252E" w:rsidRDefault="00B2252E" w:rsidP="00B2252E">
            <w:pPr>
              <w:widowControl w:val="0"/>
              <w:suppressAutoHyphens/>
              <w:kinsoku w:val="0"/>
              <w:overflowPunct w:val="0"/>
              <w:autoSpaceDE w:val="0"/>
              <w:autoSpaceDN w:val="0"/>
              <w:adjustRightInd w:val="0"/>
              <w:jc w:val="center"/>
              <w:rPr>
                <w:color w:val="000000"/>
                <w:sz w:val="22"/>
                <w:szCs w:val="22"/>
                <w:lang w:val="ru-RU" w:eastAsia="ru-RU"/>
              </w:rPr>
            </w:pPr>
            <w:r w:rsidRPr="00B2252E">
              <w:rPr>
                <w:color w:val="000000"/>
                <w:sz w:val="22"/>
                <w:szCs w:val="22"/>
                <w:lang w:val="ru-RU" w:eastAsia="ru-RU"/>
              </w:rPr>
              <w:t>1 (4,2 %)</w:t>
            </w:r>
          </w:p>
          <w:p w14:paraId="7EAE777E" w14:textId="77777777" w:rsidR="00B2252E" w:rsidRPr="00B2252E" w:rsidRDefault="00B2252E" w:rsidP="00B2252E">
            <w:pPr>
              <w:widowControl w:val="0"/>
              <w:suppressAutoHyphens/>
              <w:kinsoku w:val="0"/>
              <w:overflowPunct w:val="0"/>
              <w:autoSpaceDE w:val="0"/>
              <w:autoSpaceDN w:val="0"/>
              <w:adjustRightInd w:val="0"/>
              <w:jc w:val="center"/>
              <w:rPr>
                <w:color w:val="000000"/>
                <w:sz w:val="22"/>
                <w:szCs w:val="22"/>
                <w:lang w:val="ru-RU" w:eastAsia="ru-RU"/>
              </w:rPr>
            </w:pPr>
            <w:r w:rsidRPr="00B2252E">
              <w:rPr>
                <w:color w:val="000000"/>
                <w:sz w:val="22"/>
                <w:szCs w:val="22"/>
                <w:lang w:val="ru-RU" w:eastAsia="ru-RU"/>
              </w:rPr>
              <w:t>0</w:t>
            </w:r>
          </w:p>
          <w:p w14:paraId="062B0CCC" w14:textId="77777777" w:rsidR="00B2252E" w:rsidRPr="00B2252E" w:rsidRDefault="00B2252E" w:rsidP="00B2252E">
            <w:pPr>
              <w:widowControl w:val="0"/>
              <w:suppressAutoHyphens/>
              <w:kinsoku w:val="0"/>
              <w:overflowPunct w:val="0"/>
              <w:autoSpaceDE w:val="0"/>
              <w:autoSpaceDN w:val="0"/>
              <w:adjustRightInd w:val="0"/>
              <w:jc w:val="center"/>
              <w:rPr>
                <w:color w:val="000000"/>
                <w:sz w:val="22"/>
                <w:szCs w:val="22"/>
                <w:lang w:val="ru-RU" w:eastAsia="ru-RU"/>
              </w:rPr>
            </w:pPr>
            <w:r w:rsidRPr="00B2252E">
              <w:rPr>
                <w:color w:val="000000"/>
                <w:sz w:val="22"/>
                <w:szCs w:val="22"/>
                <w:lang w:val="ru-RU" w:eastAsia="ru-RU"/>
              </w:rPr>
              <w:t>0</w:t>
            </w:r>
          </w:p>
        </w:tc>
      </w:tr>
    </w:tbl>
    <w:p w14:paraId="773266A6" w14:textId="77777777" w:rsidR="00B2252E" w:rsidRPr="00B2252E" w:rsidRDefault="00B2252E" w:rsidP="00B2252E">
      <w:pPr>
        <w:widowControl w:val="0"/>
        <w:suppressAutoHyphens/>
        <w:kinsoku w:val="0"/>
        <w:overflowPunct w:val="0"/>
        <w:autoSpaceDE w:val="0"/>
        <w:autoSpaceDN w:val="0"/>
        <w:adjustRightInd w:val="0"/>
        <w:ind w:left="567"/>
        <w:rPr>
          <w:color w:val="000000"/>
          <w:sz w:val="20"/>
          <w:lang w:eastAsia="da-DK"/>
        </w:rPr>
      </w:pPr>
      <w:r w:rsidRPr="00B2252E">
        <w:rPr>
          <w:color w:val="000000"/>
          <w:sz w:val="20"/>
          <w:lang w:eastAsia="da-DK"/>
        </w:rPr>
        <w:t xml:space="preserve">* N er det antal patienter, som tog mindst én dosis og fik valide værdier for MCC ved </w:t>
      </w:r>
      <w:r w:rsidRPr="00B2252E">
        <w:rPr>
          <w:i/>
          <w:color w:val="000000"/>
          <w:sz w:val="20"/>
          <w:lang w:eastAsia="da-DK"/>
        </w:rPr>
        <w:t>baseline</w:t>
      </w:r>
      <w:r w:rsidRPr="00B2252E">
        <w:rPr>
          <w:color w:val="000000"/>
          <w:sz w:val="20"/>
          <w:lang w:eastAsia="da-DK"/>
        </w:rPr>
        <w:t xml:space="preserve"> og uge 24. </w:t>
      </w:r>
    </w:p>
    <w:p w14:paraId="6398DA93" w14:textId="77777777" w:rsidR="00B2252E" w:rsidRPr="00B2252E" w:rsidRDefault="00B2252E" w:rsidP="00B2252E">
      <w:pPr>
        <w:widowControl w:val="0"/>
        <w:suppressAutoHyphens/>
        <w:kinsoku w:val="0"/>
        <w:overflowPunct w:val="0"/>
        <w:autoSpaceDE w:val="0"/>
        <w:autoSpaceDN w:val="0"/>
        <w:adjustRightInd w:val="0"/>
        <w:ind w:left="567"/>
        <w:rPr>
          <w:color w:val="000000"/>
          <w:sz w:val="20"/>
          <w:lang w:eastAsia="da-DK"/>
        </w:rPr>
      </w:pPr>
      <w:r w:rsidRPr="00B2252E">
        <w:rPr>
          <w:color w:val="000000"/>
          <w:sz w:val="20"/>
          <w:lang w:eastAsia="da-DK"/>
        </w:rPr>
        <w:t xml:space="preserve">† Antallet af patienter (børn/unge) med tilgængelige data for både </w:t>
      </w:r>
      <w:r w:rsidRPr="00B2252E">
        <w:rPr>
          <w:i/>
          <w:color w:val="000000"/>
          <w:sz w:val="20"/>
          <w:lang w:eastAsia="da-DK"/>
        </w:rPr>
        <w:t>baseline</w:t>
      </w:r>
      <w:r w:rsidRPr="00B2252E">
        <w:rPr>
          <w:color w:val="000000"/>
          <w:sz w:val="20"/>
          <w:lang w:eastAsia="da-DK"/>
        </w:rPr>
        <w:t xml:space="preserve"> og uge 24. PIN-Q-score: n = 24/21, samlet PGI-S-score: n = 25/22; samlet CGI-C ved uge 24: n = 41/24. </w:t>
      </w:r>
    </w:p>
    <w:p w14:paraId="3ED984C6" w14:textId="77777777" w:rsidR="00B2252E" w:rsidRDefault="00B2252E" w:rsidP="004931E3">
      <w:pPr>
        <w:tabs>
          <w:tab w:val="left" w:pos="851"/>
        </w:tabs>
        <w:ind w:left="851"/>
        <w:rPr>
          <w:sz w:val="24"/>
          <w:szCs w:val="24"/>
        </w:rPr>
      </w:pPr>
    </w:p>
    <w:p w14:paraId="743890A0" w14:textId="77777777" w:rsidR="00B2252E" w:rsidRPr="00B2252E" w:rsidRDefault="00B2252E" w:rsidP="00B2252E">
      <w:pPr>
        <w:tabs>
          <w:tab w:val="left" w:pos="851"/>
        </w:tabs>
        <w:ind w:left="851"/>
        <w:rPr>
          <w:iCs/>
          <w:sz w:val="24"/>
          <w:szCs w:val="24"/>
          <w:u w:val="single"/>
        </w:rPr>
      </w:pPr>
      <w:r w:rsidRPr="00B2252E">
        <w:rPr>
          <w:iCs/>
          <w:sz w:val="24"/>
          <w:szCs w:val="24"/>
          <w:u w:val="single"/>
        </w:rPr>
        <w:t xml:space="preserve">Pædiatrisk population </w:t>
      </w:r>
    </w:p>
    <w:p w14:paraId="3911398B" w14:textId="77777777" w:rsidR="00B2252E" w:rsidRPr="00B2252E" w:rsidRDefault="00B2252E" w:rsidP="00B2252E">
      <w:pPr>
        <w:tabs>
          <w:tab w:val="left" w:pos="851"/>
        </w:tabs>
        <w:ind w:left="851"/>
        <w:rPr>
          <w:sz w:val="24"/>
          <w:szCs w:val="24"/>
        </w:rPr>
      </w:pPr>
      <w:r w:rsidRPr="00B2252E">
        <w:rPr>
          <w:sz w:val="24"/>
          <w:szCs w:val="24"/>
        </w:rPr>
        <w:t xml:space="preserve"> </w:t>
      </w:r>
    </w:p>
    <w:p w14:paraId="64D9673B" w14:textId="77777777" w:rsidR="00B2252E" w:rsidRPr="00B2252E" w:rsidRDefault="00B2252E" w:rsidP="00B2252E">
      <w:pPr>
        <w:tabs>
          <w:tab w:val="left" w:pos="851"/>
        </w:tabs>
        <w:ind w:left="851"/>
        <w:rPr>
          <w:sz w:val="24"/>
          <w:szCs w:val="24"/>
        </w:rPr>
      </w:pPr>
      <w:r w:rsidRPr="00B2252E">
        <w:rPr>
          <w:i/>
          <w:sz w:val="24"/>
          <w:szCs w:val="24"/>
        </w:rPr>
        <w:t>Overaktiv blære</w:t>
      </w:r>
      <w:r w:rsidRPr="00B2252E">
        <w:rPr>
          <w:sz w:val="24"/>
          <w:szCs w:val="24"/>
        </w:rPr>
        <w:t xml:space="preserve"> </w:t>
      </w:r>
    </w:p>
    <w:p w14:paraId="035A2531" w14:textId="77777777" w:rsidR="00B2252E" w:rsidRPr="00B2252E" w:rsidRDefault="00B2252E" w:rsidP="00B2252E">
      <w:pPr>
        <w:tabs>
          <w:tab w:val="left" w:pos="851"/>
        </w:tabs>
        <w:ind w:left="851"/>
        <w:rPr>
          <w:sz w:val="24"/>
          <w:szCs w:val="24"/>
        </w:rPr>
      </w:pPr>
      <w:r w:rsidRPr="00B2252E">
        <w:rPr>
          <w:sz w:val="24"/>
          <w:szCs w:val="24"/>
        </w:rPr>
        <w:t xml:space="preserve">Virkningen af mirabegron-tabletter og oral suspension blev vurderet i et 12 ugers dobbeltblindet, randomiseret, placebokontrolleret parallelgruppe-multicenterstudie med sekventiel dosistitrering til behandling af OAB hos pædiatriske patienter (i alderen 5 til under 18 år). Patienter ≥ 35 kg fik tabletter, og patienter &lt; 35 kg (eller ≥ 35 kg, men som ikke kunne synke tabletter) fik oral suspension. Mirabegron blev administreret oralt til alle patienter én gang dagligt sammen med mad. Startdosis var en 25 mg tablet eller mellem 3-6 ml oral suspension (afhængigt af patientens vægt). Denne dosis blev optitreret til 50 mg tablet eller mellem 6-11 ml oral suspension (afhængigt af patientens vægt). Dosistitrering til den høje dosis blev udført efter 4 ugers behandling, medmindre investigator traf en anden beslutning. </w:t>
      </w:r>
    </w:p>
    <w:p w14:paraId="34518BB6" w14:textId="77777777" w:rsidR="00B2252E" w:rsidRPr="00B2252E" w:rsidRDefault="00B2252E" w:rsidP="00B2252E">
      <w:pPr>
        <w:tabs>
          <w:tab w:val="left" w:pos="851"/>
        </w:tabs>
        <w:ind w:left="851"/>
        <w:rPr>
          <w:sz w:val="24"/>
          <w:szCs w:val="24"/>
        </w:rPr>
      </w:pPr>
      <w:r w:rsidRPr="00B2252E">
        <w:rPr>
          <w:sz w:val="24"/>
          <w:szCs w:val="24"/>
        </w:rPr>
        <w:t xml:space="preserve"> </w:t>
      </w:r>
    </w:p>
    <w:p w14:paraId="3769A6D3" w14:textId="77777777" w:rsidR="00B2252E" w:rsidRPr="00B2252E" w:rsidRDefault="00B2252E" w:rsidP="00B2252E">
      <w:pPr>
        <w:tabs>
          <w:tab w:val="left" w:pos="851"/>
        </w:tabs>
        <w:ind w:left="851"/>
        <w:rPr>
          <w:sz w:val="24"/>
          <w:szCs w:val="24"/>
        </w:rPr>
      </w:pPr>
      <w:r w:rsidRPr="00B2252E">
        <w:rPr>
          <w:sz w:val="24"/>
          <w:szCs w:val="24"/>
        </w:rPr>
        <w:t xml:space="preserve">I alt 23 børn (i alderen 5 til under 12 år) og 3 unge (i alderen 12 til under 18 år) fik studielægemidlet: 13 forsøgspersoner fik placebo, og 13 forsøgspersoner fik mirabegron. 10 ud af de 12 forsøgspersoner i placebogruppen og 9 ud af 11 forsøgspersoner i mirabegrongruppen fuldførte studiet med 12 ugers behandling. </w:t>
      </w:r>
    </w:p>
    <w:p w14:paraId="6B31C118" w14:textId="77777777" w:rsidR="00B2252E" w:rsidRPr="00B2252E" w:rsidRDefault="00B2252E" w:rsidP="00B2252E">
      <w:pPr>
        <w:tabs>
          <w:tab w:val="left" w:pos="851"/>
        </w:tabs>
        <w:ind w:left="851"/>
        <w:rPr>
          <w:sz w:val="24"/>
          <w:szCs w:val="24"/>
        </w:rPr>
      </w:pPr>
      <w:r w:rsidRPr="00B2252E">
        <w:rPr>
          <w:sz w:val="24"/>
          <w:szCs w:val="24"/>
        </w:rPr>
        <w:t xml:space="preserve"> </w:t>
      </w:r>
    </w:p>
    <w:p w14:paraId="6EC9AAC1" w14:textId="77777777" w:rsidR="00B2252E" w:rsidRPr="00B2252E" w:rsidRDefault="00B2252E" w:rsidP="00B2252E">
      <w:pPr>
        <w:tabs>
          <w:tab w:val="left" w:pos="851"/>
        </w:tabs>
        <w:ind w:left="851"/>
        <w:rPr>
          <w:sz w:val="24"/>
          <w:szCs w:val="24"/>
        </w:rPr>
      </w:pPr>
      <w:r w:rsidRPr="00B2252E">
        <w:rPr>
          <w:sz w:val="24"/>
          <w:szCs w:val="24"/>
        </w:rPr>
        <w:t xml:space="preserve">Det primære virkningsendepunkt var ændring fra </w:t>
      </w:r>
      <w:r w:rsidRPr="00B2252E">
        <w:rPr>
          <w:i/>
          <w:sz w:val="24"/>
          <w:szCs w:val="24"/>
        </w:rPr>
        <w:t>baseline</w:t>
      </w:r>
      <w:r w:rsidRPr="00B2252E">
        <w:rPr>
          <w:sz w:val="24"/>
          <w:szCs w:val="24"/>
        </w:rPr>
        <w:t xml:space="preserve"> i gennemsnitligt antal vandladninger pr. 24 timer efter 12 ugers behandling og blev kun vurderet hos børn (i alderen 5 til under 12 år). På grund af det lille antal forsøgspersoner var det ikke muligt at foretage en rigtig vurdering af virkningsendepunktet, og de observerede resultater var ikke entydige. </w:t>
      </w:r>
    </w:p>
    <w:p w14:paraId="49A8A3D3" w14:textId="77777777" w:rsidR="00B2252E" w:rsidRPr="00B2252E" w:rsidRDefault="00B2252E" w:rsidP="00B2252E">
      <w:pPr>
        <w:tabs>
          <w:tab w:val="left" w:pos="851"/>
        </w:tabs>
        <w:ind w:left="851"/>
        <w:rPr>
          <w:sz w:val="24"/>
          <w:szCs w:val="24"/>
        </w:rPr>
      </w:pPr>
      <w:r w:rsidRPr="00B2252E">
        <w:rPr>
          <w:sz w:val="24"/>
          <w:szCs w:val="24"/>
        </w:rPr>
        <w:lastRenderedPageBreak/>
        <w:t xml:space="preserve"> </w:t>
      </w:r>
    </w:p>
    <w:p w14:paraId="65A1BD47" w14:textId="77777777" w:rsidR="00B2252E" w:rsidRPr="00B2252E" w:rsidRDefault="00B2252E" w:rsidP="00B2252E">
      <w:pPr>
        <w:tabs>
          <w:tab w:val="left" w:pos="851"/>
        </w:tabs>
        <w:ind w:left="851"/>
        <w:rPr>
          <w:sz w:val="24"/>
          <w:szCs w:val="24"/>
        </w:rPr>
      </w:pPr>
      <w:r w:rsidRPr="00B2252E">
        <w:rPr>
          <w:sz w:val="24"/>
          <w:szCs w:val="24"/>
        </w:rPr>
        <w:t xml:space="preserve">Den justerede LS-middelændring (SEM) fra </w:t>
      </w:r>
      <w:r w:rsidRPr="00B2252E">
        <w:rPr>
          <w:i/>
          <w:sz w:val="24"/>
          <w:szCs w:val="24"/>
        </w:rPr>
        <w:t>baseline</w:t>
      </w:r>
      <w:r w:rsidRPr="00B2252E">
        <w:rPr>
          <w:sz w:val="24"/>
          <w:szCs w:val="24"/>
        </w:rPr>
        <w:t xml:space="preserve"> til uge 12/behandlingsafslutning i frekvensen af vandladningshændelser pr. 24 timer var -3,84 (0,89) hos børn på placebo og -1,62 (0,89) hos børn på mirabegron. LS-middelforskellen (SEM) mellem behandlingsgrupperne (placebo minus mirabegron) var ikke statistisk signifikant: 2,22 (1,34) (90 % CI: -0,15; 4,59; P = 0,121). </w:t>
      </w:r>
    </w:p>
    <w:p w14:paraId="08E72EA7" w14:textId="77777777" w:rsidR="00B2252E" w:rsidRPr="00B2252E" w:rsidRDefault="00B2252E" w:rsidP="00B2252E">
      <w:pPr>
        <w:tabs>
          <w:tab w:val="left" w:pos="851"/>
        </w:tabs>
        <w:ind w:left="851"/>
        <w:rPr>
          <w:sz w:val="24"/>
          <w:szCs w:val="24"/>
        </w:rPr>
      </w:pPr>
      <w:r w:rsidRPr="00B2252E">
        <w:rPr>
          <w:sz w:val="24"/>
          <w:szCs w:val="24"/>
        </w:rPr>
        <w:t xml:space="preserve"> </w:t>
      </w:r>
    </w:p>
    <w:p w14:paraId="27F578B0" w14:textId="77777777" w:rsidR="00B2252E" w:rsidRPr="00B2252E" w:rsidRDefault="00B2252E" w:rsidP="00B2252E">
      <w:pPr>
        <w:tabs>
          <w:tab w:val="left" w:pos="851"/>
        </w:tabs>
        <w:ind w:left="851"/>
        <w:rPr>
          <w:sz w:val="24"/>
          <w:szCs w:val="24"/>
        </w:rPr>
      </w:pPr>
      <w:r w:rsidRPr="00B2252E">
        <w:rPr>
          <w:sz w:val="24"/>
          <w:szCs w:val="24"/>
        </w:rPr>
        <w:t>Det Europæiske Lægemiddelagentur har dispenseret fra kravet om at fremlægge resultaterne af studier med referencelægemiddelet indeholdende mirabegron i alle undergrupper af den pædiatriske population ved "Behandling af idiopatisk overaktiv blære" (se pkt. 4.2 for oplysninger om pædiatrisk anvendelse).</w:t>
      </w:r>
    </w:p>
    <w:p w14:paraId="3EA1724F" w14:textId="77777777" w:rsidR="00527CF5" w:rsidRDefault="00527CF5" w:rsidP="004931E3">
      <w:pPr>
        <w:tabs>
          <w:tab w:val="left" w:pos="851"/>
        </w:tabs>
        <w:ind w:left="851"/>
        <w:rPr>
          <w:sz w:val="24"/>
          <w:szCs w:val="24"/>
        </w:rPr>
      </w:pPr>
    </w:p>
    <w:p w14:paraId="68CD79FA" w14:textId="77777777" w:rsidR="009260DE" w:rsidRPr="00C84483" w:rsidRDefault="009260DE" w:rsidP="004931E3">
      <w:pPr>
        <w:tabs>
          <w:tab w:val="left" w:pos="851"/>
        </w:tabs>
        <w:ind w:left="851" w:hanging="851"/>
        <w:rPr>
          <w:b/>
          <w:sz w:val="24"/>
          <w:szCs w:val="24"/>
        </w:rPr>
      </w:pPr>
      <w:r w:rsidRPr="00C84483">
        <w:rPr>
          <w:b/>
          <w:sz w:val="24"/>
          <w:szCs w:val="24"/>
        </w:rPr>
        <w:t>5.2</w:t>
      </w:r>
      <w:r w:rsidRPr="00C84483">
        <w:rPr>
          <w:b/>
          <w:sz w:val="24"/>
          <w:szCs w:val="24"/>
        </w:rPr>
        <w:tab/>
        <w:t>Farmakokinetiske egenskaber</w:t>
      </w:r>
    </w:p>
    <w:p w14:paraId="65CBB404" w14:textId="77777777" w:rsidR="006C28AA" w:rsidRPr="006C28AA" w:rsidRDefault="006C28AA" w:rsidP="006C28AA">
      <w:pPr>
        <w:tabs>
          <w:tab w:val="left" w:pos="851"/>
        </w:tabs>
        <w:ind w:left="851"/>
        <w:rPr>
          <w:sz w:val="24"/>
          <w:szCs w:val="24"/>
        </w:rPr>
      </w:pPr>
    </w:p>
    <w:p w14:paraId="52C5E920" w14:textId="77777777" w:rsidR="006C28AA" w:rsidRPr="006C28AA" w:rsidRDefault="006C28AA" w:rsidP="006C28AA">
      <w:pPr>
        <w:tabs>
          <w:tab w:val="left" w:pos="851"/>
        </w:tabs>
        <w:ind w:left="851"/>
        <w:rPr>
          <w:sz w:val="24"/>
          <w:szCs w:val="24"/>
          <w:u w:val="single"/>
        </w:rPr>
      </w:pPr>
      <w:r w:rsidRPr="006C28AA">
        <w:rPr>
          <w:sz w:val="24"/>
          <w:szCs w:val="24"/>
          <w:u w:val="single"/>
        </w:rPr>
        <w:t>Absorption</w:t>
      </w:r>
      <w:r w:rsidRPr="006C28AA">
        <w:rPr>
          <w:sz w:val="24"/>
          <w:szCs w:val="24"/>
        </w:rPr>
        <w:t xml:space="preserve"> </w:t>
      </w:r>
    </w:p>
    <w:p w14:paraId="0D8D4B24" w14:textId="77777777" w:rsidR="006C28AA" w:rsidRPr="006C28AA" w:rsidRDefault="006C28AA" w:rsidP="006C28AA">
      <w:pPr>
        <w:tabs>
          <w:tab w:val="left" w:pos="851"/>
        </w:tabs>
        <w:ind w:left="851"/>
        <w:rPr>
          <w:sz w:val="24"/>
          <w:szCs w:val="24"/>
        </w:rPr>
      </w:pPr>
      <w:r w:rsidRPr="006C28AA">
        <w:rPr>
          <w:sz w:val="24"/>
          <w:szCs w:val="24"/>
        </w:rPr>
        <w:t xml:space="preserve"> </w:t>
      </w:r>
    </w:p>
    <w:p w14:paraId="008867BE" w14:textId="77777777" w:rsidR="006C28AA" w:rsidRPr="006C28AA" w:rsidRDefault="006C28AA" w:rsidP="006C28AA">
      <w:pPr>
        <w:tabs>
          <w:tab w:val="left" w:pos="851"/>
        </w:tabs>
        <w:ind w:left="851"/>
        <w:rPr>
          <w:sz w:val="24"/>
          <w:szCs w:val="24"/>
        </w:rPr>
      </w:pPr>
      <w:r w:rsidRPr="006C28AA">
        <w:rPr>
          <w:i/>
          <w:sz w:val="24"/>
          <w:szCs w:val="24"/>
        </w:rPr>
        <w:t>Voksne</w:t>
      </w:r>
      <w:r w:rsidRPr="006C28AA">
        <w:rPr>
          <w:sz w:val="24"/>
          <w:szCs w:val="24"/>
        </w:rPr>
        <w:t xml:space="preserve"> </w:t>
      </w:r>
    </w:p>
    <w:p w14:paraId="0C009854" w14:textId="77777777" w:rsidR="006C28AA" w:rsidRPr="006C28AA" w:rsidRDefault="006C28AA" w:rsidP="006C28AA">
      <w:pPr>
        <w:tabs>
          <w:tab w:val="left" w:pos="851"/>
        </w:tabs>
        <w:ind w:left="851"/>
        <w:rPr>
          <w:sz w:val="24"/>
          <w:szCs w:val="24"/>
        </w:rPr>
      </w:pPr>
      <w:r w:rsidRPr="006C28AA">
        <w:rPr>
          <w:sz w:val="24"/>
          <w:szCs w:val="24"/>
        </w:rPr>
        <w:t>Efter oral administration af mirabegron hos raske frivillige absorberes mirabegron til opnåelse af maksimale plasmakoncentrationer (C</w:t>
      </w:r>
      <w:r w:rsidRPr="006C28AA">
        <w:rPr>
          <w:sz w:val="24"/>
          <w:szCs w:val="24"/>
          <w:vertAlign w:val="subscript"/>
        </w:rPr>
        <w:t>max</w:t>
      </w:r>
      <w:r w:rsidRPr="006C28AA">
        <w:rPr>
          <w:sz w:val="24"/>
          <w:szCs w:val="24"/>
        </w:rPr>
        <w:t>) i løbet af mellem 3 og 4 timer. Den absolutte biotilgængelighed steg fra 29 % ved en dosis på 25 mg til 35 % ved en dosis på 50 mg. De gennemsnitlige C</w:t>
      </w:r>
      <w:r w:rsidRPr="006C28AA">
        <w:rPr>
          <w:sz w:val="24"/>
          <w:szCs w:val="24"/>
          <w:vertAlign w:val="subscript"/>
        </w:rPr>
        <w:t>max</w:t>
      </w:r>
      <w:r w:rsidRPr="006C28AA">
        <w:rPr>
          <w:sz w:val="24"/>
          <w:szCs w:val="24"/>
        </w:rPr>
        <w:t>- og AUC-værdier steg mere end dosisproportionalt i dosisintervallet. I den samlede voksne population af mænd og kvinder øgede en fordobling af dosis fra 50 mg til 100 mg mirabegron C</w:t>
      </w:r>
      <w:r w:rsidRPr="006C28AA">
        <w:rPr>
          <w:sz w:val="24"/>
          <w:szCs w:val="24"/>
          <w:vertAlign w:val="subscript"/>
        </w:rPr>
        <w:t>max</w:t>
      </w:r>
      <w:r w:rsidRPr="006C28AA">
        <w:rPr>
          <w:sz w:val="24"/>
          <w:szCs w:val="24"/>
        </w:rPr>
        <w:t xml:space="preserve"> og AUC</w:t>
      </w:r>
      <w:r w:rsidRPr="006C28AA">
        <w:rPr>
          <w:sz w:val="24"/>
          <w:szCs w:val="24"/>
          <w:vertAlign w:val="subscript"/>
        </w:rPr>
        <w:t>tau</w:t>
      </w:r>
      <w:r w:rsidRPr="006C28AA">
        <w:rPr>
          <w:sz w:val="24"/>
          <w:szCs w:val="24"/>
        </w:rPr>
        <w:t xml:space="preserve"> med en faktor på henholdsvis ca. 2,9 og 2,6, mens en firedobling af dosis fra 50 mg til 200 mg mirabegron øgede C</w:t>
      </w:r>
      <w:r w:rsidRPr="006C28AA">
        <w:rPr>
          <w:sz w:val="24"/>
          <w:szCs w:val="24"/>
          <w:vertAlign w:val="subscript"/>
        </w:rPr>
        <w:t>max</w:t>
      </w:r>
      <w:r w:rsidRPr="006C28AA">
        <w:rPr>
          <w:sz w:val="24"/>
          <w:szCs w:val="24"/>
        </w:rPr>
        <w:t xml:space="preserve"> og AUC</w:t>
      </w:r>
      <w:r w:rsidRPr="006C28AA">
        <w:rPr>
          <w:sz w:val="24"/>
          <w:szCs w:val="24"/>
          <w:vertAlign w:val="subscript"/>
        </w:rPr>
        <w:t>tau</w:t>
      </w:r>
      <w:r w:rsidRPr="006C28AA">
        <w:rPr>
          <w:sz w:val="24"/>
          <w:szCs w:val="24"/>
        </w:rPr>
        <w:t xml:space="preserve"> med en faktor på ca. 8,4 og 6,5. </w:t>
      </w:r>
      <w:r w:rsidRPr="006C28AA">
        <w:rPr>
          <w:i/>
          <w:sz w:val="24"/>
          <w:szCs w:val="24"/>
        </w:rPr>
        <w:t>Steady state</w:t>
      </w:r>
      <w:r w:rsidRPr="006C28AA">
        <w:rPr>
          <w:sz w:val="24"/>
          <w:szCs w:val="24"/>
        </w:rPr>
        <w:t xml:space="preserve">koncentrationer opnås inden for 7 dage med dosering af mirabegron én gang dagligt. Efter administration én gang dagligt er plasmaeksponeringen for mirabegron ved </w:t>
      </w:r>
      <w:r w:rsidRPr="006C28AA">
        <w:rPr>
          <w:i/>
          <w:sz w:val="24"/>
          <w:szCs w:val="24"/>
        </w:rPr>
        <w:t>steady state</w:t>
      </w:r>
      <w:r w:rsidRPr="006C28AA">
        <w:rPr>
          <w:sz w:val="24"/>
          <w:szCs w:val="24"/>
        </w:rPr>
        <w:t xml:space="preserve"> ca. dobbelt så høj som efter en enkeltdosis. </w:t>
      </w:r>
    </w:p>
    <w:p w14:paraId="0DE079C1" w14:textId="77777777" w:rsidR="006C28AA" w:rsidRPr="006C28AA" w:rsidRDefault="006C28AA" w:rsidP="006C28AA">
      <w:pPr>
        <w:tabs>
          <w:tab w:val="left" w:pos="851"/>
        </w:tabs>
        <w:ind w:left="851"/>
        <w:rPr>
          <w:sz w:val="24"/>
          <w:szCs w:val="24"/>
        </w:rPr>
      </w:pPr>
      <w:r w:rsidRPr="006C28AA">
        <w:rPr>
          <w:sz w:val="24"/>
          <w:szCs w:val="24"/>
        </w:rPr>
        <w:t xml:space="preserve"> </w:t>
      </w:r>
    </w:p>
    <w:p w14:paraId="77AB98AB" w14:textId="77777777" w:rsidR="006C28AA" w:rsidRPr="006C28AA" w:rsidRDefault="006C28AA" w:rsidP="006C28AA">
      <w:pPr>
        <w:tabs>
          <w:tab w:val="left" w:pos="851"/>
        </w:tabs>
        <w:ind w:left="851"/>
        <w:rPr>
          <w:sz w:val="24"/>
          <w:szCs w:val="24"/>
        </w:rPr>
      </w:pPr>
      <w:r w:rsidRPr="006C28AA">
        <w:rPr>
          <w:i/>
          <w:sz w:val="24"/>
          <w:szCs w:val="24"/>
        </w:rPr>
        <w:t>Pædiatrisk population</w:t>
      </w:r>
    </w:p>
    <w:p w14:paraId="0D0CDF7C" w14:textId="77777777" w:rsidR="006C28AA" w:rsidRPr="006C28AA" w:rsidRDefault="006C28AA" w:rsidP="006C28AA">
      <w:pPr>
        <w:tabs>
          <w:tab w:val="left" w:pos="851"/>
        </w:tabs>
        <w:ind w:left="851"/>
        <w:rPr>
          <w:sz w:val="24"/>
          <w:szCs w:val="24"/>
        </w:rPr>
      </w:pPr>
      <w:r w:rsidRPr="006C28AA">
        <w:rPr>
          <w:sz w:val="24"/>
          <w:szCs w:val="24"/>
        </w:rPr>
        <w:t>Det mediane T</w:t>
      </w:r>
      <w:r w:rsidRPr="006C28AA">
        <w:rPr>
          <w:sz w:val="24"/>
          <w:szCs w:val="24"/>
          <w:vertAlign w:val="subscript"/>
        </w:rPr>
        <w:t>max</w:t>
      </w:r>
      <w:r w:rsidRPr="006C28AA">
        <w:rPr>
          <w:sz w:val="24"/>
          <w:szCs w:val="24"/>
        </w:rPr>
        <w:t xml:space="preserve"> for mirabegron efter oral administration af en enkelt dosis mirabegron-tabletter eller oral suspension hos patienter, der havde indtaget mad, var 4-5 timer. En farmakokinetisk populationsanalyse forudsagde, at median T</w:t>
      </w:r>
      <w:r w:rsidRPr="006C28AA">
        <w:rPr>
          <w:sz w:val="24"/>
          <w:szCs w:val="24"/>
          <w:vertAlign w:val="subscript"/>
        </w:rPr>
        <w:t>max</w:t>
      </w:r>
      <w:r w:rsidRPr="006C28AA">
        <w:rPr>
          <w:sz w:val="24"/>
          <w:szCs w:val="24"/>
        </w:rPr>
        <w:t xml:space="preserve"> for mirabegron-tabletter eller oral suspension ved </w:t>
      </w:r>
      <w:r w:rsidRPr="006C28AA">
        <w:rPr>
          <w:i/>
          <w:sz w:val="24"/>
          <w:szCs w:val="24"/>
        </w:rPr>
        <w:t>steady state</w:t>
      </w:r>
      <w:r w:rsidRPr="006C28AA">
        <w:rPr>
          <w:sz w:val="24"/>
          <w:szCs w:val="24"/>
        </w:rPr>
        <w:t xml:space="preserve"> var 3-4 timer. </w:t>
      </w:r>
    </w:p>
    <w:p w14:paraId="41E63D96" w14:textId="77777777" w:rsidR="006C28AA" w:rsidRPr="006C28AA" w:rsidRDefault="006C28AA" w:rsidP="006C28AA">
      <w:pPr>
        <w:tabs>
          <w:tab w:val="left" w:pos="851"/>
        </w:tabs>
        <w:ind w:left="851"/>
        <w:rPr>
          <w:sz w:val="24"/>
          <w:szCs w:val="24"/>
        </w:rPr>
      </w:pPr>
      <w:r w:rsidRPr="006C28AA">
        <w:rPr>
          <w:sz w:val="24"/>
          <w:szCs w:val="24"/>
        </w:rPr>
        <w:t xml:space="preserve"> </w:t>
      </w:r>
    </w:p>
    <w:p w14:paraId="38D57D68" w14:textId="77777777" w:rsidR="006C28AA" w:rsidRPr="006C28AA" w:rsidRDefault="006C28AA" w:rsidP="006C28AA">
      <w:pPr>
        <w:tabs>
          <w:tab w:val="left" w:pos="851"/>
        </w:tabs>
        <w:ind w:left="851"/>
        <w:rPr>
          <w:sz w:val="24"/>
          <w:szCs w:val="24"/>
        </w:rPr>
      </w:pPr>
      <w:r w:rsidRPr="006C28AA">
        <w:rPr>
          <w:sz w:val="24"/>
          <w:szCs w:val="24"/>
        </w:rPr>
        <w:t>Biotilgængeligheden af den orale suspensionsformulering er lavere end for tabletten. Forholdet mellem populationens middeleksponering (AUC</w:t>
      </w:r>
      <w:r w:rsidRPr="006C28AA">
        <w:rPr>
          <w:sz w:val="24"/>
          <w:szCs w:val="24"/>
          <w:vertAlign w:val="subscript"/>
        </w:rPr>
        <w:t>tau</w:t>
      </w:r>
      <w:r w:rsidRPr="006C28AA">
        <w:rPr>
          <w:sz w:val="24"/>
          <w:szCs w:val="24"/>
        </w:rPr>
        <w:t xml:space="preserve">) for den orale suspension og for tabletten er ca. 45 %. </w:t>
      </w:r>
    </w:p>
    <w:p w14:paraId="7138D76B" w14:textId="77777777" w:rsidR="006C28AA" w:rsidRPr="006C28AA" w:rsidRDefault="006C28AA" w:rsidP="006C28AA">
      <w:pPr>
        <w:tabs>
          <w:tab w:val="left" w:pos="851"/>
        </w:tabs>
        <w:ind w:left="851"/>
        <w:rPr>
          <w:sz w:val="24"/>
          <w:szCs w:val="24"/>
        </w:rPr>
      </w:pPr>
      <w:r w:rsidRPr="006C28AA">
        <w:rPr>
          <w:sz w:val="24"/>
          <w:szCs w:val="24"/>
        </w:rPr>
        <w:t xml:space="preserve"> </w:t>
      </w:r>
    </w:p>
    <w:p w14:paraId="2CAD1F81" w14:textId="77777777" w:rsidR="006C28AA" w:rsidRPr="006C28AA" w:rsidRDefault="006C28AA" w:rsidP="006C28AA">
      <w:pPr>
        <w:tabs>
          <w:tab w:val="left" w:pos="851"/>
        </w:tabs>
        <w:ind w:left="851"/>
        <w:rPr>
          <w:sz w:val="24"/>
          <w:szCs w:val="24"/>
          <w:u w:val="single"/>
        </w:rPr>
      </w:pPr>
      <w:r w:rsidRPr="006C28AA">
        <w:rPr>
          <w:sz w:val="24"/>
          <w:szCs w:val="24"/>
          <w:u w:val="single"/>
        </w:rPr>
        <w:t>Virkningen af mad på absorption</w:t>
      </w:r>
      <w:r w:rsidRPr="006C28AA">
        <w:rPr>
          <w:sz w:val="24"/>
          <w:szCs w:val="24"/>
        </w:rPr>
        <w:t xml:space="preserve"> </w:t>
      </w:r>
    </w:p>
    <w:p w14:paraId="089E669E" w14:textId="77777777" w:rsidR="006C28AA" w:rsidRPr="006C28AA" w:rsidRDefault="006C28AA" w:rsidP="006C28AA">
      <w:pPr>
        <w:tabs>
          <w:tab w:val="left" w:pos="851"/>
        </w:tabs>
        <w:ind w:left="851"/>
        <w:rPr>
          <w:sz w:val="24"/>
          <w:szCs w:val="24"/>
        </w:rPr>
      </w:pPr>
      <w:r w:rsidRPr="006C28AA">
        <w:rPr>
          <w:sz w:val="24"/>
          <w:szCs w:val="24"/>
        </w:rPr>
        <w:t xml:space="preserve"> </w:t>
      </w:r>
    </w:p>
    <w:p w14:paraId="3FD36B34" w14:textId="77777777" w:rsidR="006C28AA" w:rsidRPr="006C28AA" w:rsidRDefault="006C28AA" w:rsidP="006C28AA">
      <w:pPr>
        <w:tabs>
          <w:tab w:val="left" w:pos="851"/>
        </w:tabs>
        <w:ind w:left="851"/>
        <w:rPr>
          <w:sz w:val="24"/>
          <w:szCs w:val="24"/>
        </w:rPr>
      </w:pPr>
      <w:r w:rsidRPr="006C28AA">
        <w:rPr>
          <w:i/>
          <w:sz w:val="24"/>
          <w:szCs w:val="24"/>
        </w:rPr>
        <w:t>Voksne</w:t>
      </w:r>
    </w:p>
    <w:p w14:paraId="2CC47F63" w14:textId="77777777" w:rsidR="006C28AA" w:rsidRPr="006C28AA" w:rsidRDefault="006C28AA" w:rsidP="006C28AA">
      <w:pPr>
        <w:tabs>
          <w:tab w:val="left" w:pos="851"/>
        </w:tabs>
        <w:ind w:left="851"/>
        <w:rPr>
          <w:sz w:val="24"/>
          <w:szCs w:val="24"/>
        </w:rPr>
      </w:pPr>
      <w:r w:rsidRPr="006C28AA">
        <w:rPr>
          <w:sz w:val="24"/>
          <w:szCs w:val="24"/>
        </w:rPr>
        <w:t>Administration af en 50 mg tablet samtidig med et måltid med højt fedtindhold reducerede mirabegrons C</w:t>
      </w:r>
      <w:r w:rsidRPr="006C28AA">
        <w:rPr>
          <w:sz w:val="24"/>
          <w:szCs w:val="24"/>
          <w:vertAlign w:val="subscript"/>
        </w:rPr>
        <w:t>max</w:t>
      </w:r>
      <w:r w:rsidRPr="006C28AA">
        <w:rPr>
          <w:sz w:val="24"/>
          <w:szCs w:val="24"/>
        </w:rPr>
        <w:t xml:space="preserve"> og AUC med henholdsvis 45 % og 17 %. Et måltid med lavt fedtindhold reducerede mirabegrons C</w:t>
      </w:r>
      <w:r w:rsidRPr="006C28AA">
        <w:rPr>
          <w:sz w:val="24"/>
          <w:szCs w:val="24"/>
          <w:vertAlign w:val="subscript"/>
        </w:rPr>
        <w:t>max</w:t>
      </w:r>
      <w:r w:rsidRPr="006C28AA">
        <w:rPr>
          <w:sz w:val="24"/>
          <w:szCs w:val="24"/>
        </w:rPr>
        <w:t xml:space="preserve"> og AUC med henholdsvis 75 % og 51 %. I fase 3-studierne blev mirabegron administreret med eller uden mad og udviste både sikkerhed og virkning. Mirabegron kan derfor tages med eller uden mad i den anbefalede dosis. </w:t>
      </w:r>
    </w:p>
    <w:p w14:paraId="0957B61C" w14:textId="77777777" w:rsidR="006C28AA" w:rsidRPr="006C28AA" w:rsidRDefault="006C28AA" w:rsidP="006C28AA">
      <w:pPr>
        <w:tabs>
          <w:tab w:val="left" w:pos="851"/>
        </w:tabs>
        <w:ind w:left="851"/>
        <w:rPr>
          <w:sz w:val="24"/>
          <w:szCs w:val="24"/>
        </w:rPr>
      </w:pPr>
      <w:r w:rsidRPr="006C28AA">
        <w:rPr>
          <w:sz w:val="24"/>
          <w:szCs w:val="24"/>
        </w:rPr>
        <w:t xml:space="preserve"> </w:t>
      </w:r>
    </w:p>
    <w:p w14:paraId="04F20C0B" w14:textId="77777777" w:rsidR="006C28AA" w:rsidRPr="006C28AA" w:rsidRDefault="006C28AA" w:rsidP="006C28AA">
      <w:pPr>
        <w:tabs>
          <w:tab w:val="left" w:pos="851"/>
        </w:tabs>
        <w:ind w:left="851"/>
        <w:rPr>
          <w:sz w:val="24"/>
          <w:szCs w:val="24"/>
        </w:rPr>
      </w:pPr>
      <w:r w:rsidRPr="006C28AA">
        <w:rPr>
          <w:i/>
          <w:sz w:val="24"/>
          <w:szCs w:val="24"/>
        </w:rPr>
        <w:t>Pædiatrisk population</w:t>
      </w:r>
    </w:p>
    <w:p w14:paraId="54C4BA7E" w14:textId="77777777" w:rsidR="006C28AA" w:rsidRPr="006C28AA" w:rsidRDefault="006C28AA" w:rsidP="006C28AA">
      <w:pPr>
        <w:tabs>
          <w:tab w:val="left" w:pos="851"/>
        </w:tabs>
        <w:ind w:left="851"/>
        <w:rPr>
          <w:sz w:val="24"/>
          <w:szCs w:val="24"/>
        </w:rPr>
      </w:pPr>
      <w:r w:rsidRPr="006C28AA">
        <w:rPr>
          <w:sz w:val="24"/>
          <w:szCs w:val="24"/>
        </w:rPr>
        <w:t xml:space="preserve">Den farmakokinetiske populationsmodel forudsagde, at de patienter, der fik mirabegron efter at have indtaget mad, ville have 44,7 % </w:t>
      </w:r>
      <w:r w:rsidRPr="006C28AA">
        <w:rPr>
          <w:i/>
          <w:sz w:val="24"/>
          <w:szCs w:val="24"/>
        </w:rPr>
        <w:t>steady state</w:t>
      </w:r>
      <w:r w:rsidRPr="006C28AA">
        <w:rPr>
          <w:sz w:val="24"/>
          <w:szCs w:val="24"/>
        </w:rPr>
        <w:t xml:space="preserve"> AUC</w:t>
      </w:r>
      <w:r w:rsidRPr="006C28AA">
        <w:rPr>
          <w:sz w:val="24"/>
          <w:szCs w:val="24"/>
          <w:vertAlign w:val="subscript"/>
        </w:rPr>
        <w:t>tau</w:t>
      </w:r>
      <w:r w:rsidRPr="006C28AA">
        <w:rPr>
          <w:sz w:val="24"/>
          <w:szCs w:val="24"/>
        </w:rPr>
        <w:t xml:space="preserve"> i forhold til en </w:t>
      </w:r>
      <w:r w:rsidRPr="006C28AA">
        <w:rPr>
          <w:sz w:val="24"/>
          <w:szCs w:val="24"/>
        </w:rPr>
        <w:lastRenderedPageBreak/>
        <w:t>tilsvarende dosis administreret under faste. Denne værdi er i overensstemmelse med AUC</w:t>
      </w:r>
      <w:r w:rsidRPr="006C28AA">
        <w:rPr>
          <w:sz w:val="24"/>
          <w:szCs w:val="24"/>
          <w:vertAlign w:val="subscript"/>
        </w:rPr>
        <w:t>inf</w:t>
      </w:r>
      <w:r w:rsidRPr="006C28AA">
        <w:rPr>
          <w:sz w:val="24"/>
          <w:szCs w:val="24"/>
        </w:rPr>
        <w:t>-resultaterne, som ses i studierne af virkningen af mirabegron ved enkeltdosis og mad. I det pædiatriske fase 3-studie blev mirabegron administreret sammen med mad og udviste både sikkerhed og virkning. Doseringsanbefalingerne er baseret på den forventede eksponering efter indtagelse af mad. Derfor skal mirabegron hos pædiatriske patienter tages sammen med mad i den anbefalede dosis.</w:t>
      </w:r>
    </w:p>
    <w:p w14:paraId="1A334BF7" w14:textId="77777777" w:rsidR="006C28AA" w:rsidRPr="006C28AA" w:rsidRDefault="006C28AA" w:rsidP="006C28AA">
      <w:pPr>
        <w:tabs>
          <w:tab w:val="left" w:pos="851"/>
        </w:tabs>
        <w:ind w:left="851"/>
        <w:rPr>
          <w:sz w:val="24"/>
          <w:szCs w:val="24"/>
        </w:rPr>
      </w:pPr>
    </w:p>
    <w:p w14:paraId="3CF6148D" w14:textId="77777777" w:rsidR="006C28AA" w:rsidRPr="006C28AA" w:rsidRDefault="006C28AA" w:rsidP="006C28AA">
      <w:pPr>
        <w:tabs>
          <w:tab w:val="left" w:pos="851"/>
        </w:tabs>
        <w:ind w:left="851"/>
        <w:rPr>
          <w:sz w:val="24"/>
          <w:szCs w:val="24"/>
          <w:u w:val="single"/>
        </w:rPr>
      </w:pPr>
      <w:r w:rsidRPr="006C28AA">
        <w:rPr>
          <w:sz w:val="24"/>
          <w:szCs w:val="24"/>
          <w:u w:val="single"/>
        </w:rPr>
        <w:t>Fordeling</w:t>
      </w:r>
      <w:r w:rsidRPr="006C28AA">
        <w:rPr>
          <w:sz w:val="24"/>
          <w:szCs w:val="24"/>
        </w:rPr>
        <w:t xml:space="preserve"> </w:t>
      </w:r>
    </w:p>
    <w:p w14:paraId="477F4C8C" w14:textId="77777777" w:rsidR="006C28AA" w:rsidRPr="006C28AA" w:rsidRDefault="006C28AA" w:rsidP="006C28AA">
      <w:pPr>
        <w:tabs>
          <w:tab w:val="left" w:pos="851"/>
        </w:tabs>
        <w:ind w:left="851"/>
        <w:rPr>
          <w:sz w:val="24"/>
          <w:szCs w:val="24"/>
        </w:rPr>
      </w:pPr>
      <w:r w:rsidRPr="006C28AA">
        <w:rPr>
          <w:sz w:val="24"/>
          <w:szCs w:val="24"/>
        </w:rPr>
        <w:t xml:space="preserve"> </w:t>
      </w:r>
    </w:p>
    <w:p w14:paraId="79A88334" w14:textId="77777777" w:rsidR="006C28AA" w:rsidRPr="006C28AA" w:rsidRDefault="006C28AA" w:rsidP="006C28AA">
      <w:pPr>
        <w:tabs>
          <w:tab w:val="left" w:pos="851"/>
        </w:tabs>
        <w:ind w:left="851"/>
        <w:rPr>
          <w:sz w:val="24"/>
          <w:szCs w:val="24"/>
        </w:rPr>
      </w:pPr>
      <w:r w:rsidRPr="006C28AA">
        <w:rPr>
          <w:i/>
          <w:sz w:val="24"/>
          <w:szCs w:val="24"/>
        </w:rPr>
        <w:t>Voksne</w:t>
      </w:r>
    </w:p>
    <w:p w14:paraId="50BE54C1" w14:textId="77777777" w:rsidR="006C28AA" w:rsidRPr="006C28AA" w:rsidRDefault="006C28AA" w:rsidP="006C28AA">
      <w:pPr>
        <w:tabs>
          <w:tab w:val="left" w:pos="851"/>
        </w:tabs>
        <w:ind w:left="851"/>
        <w:rPr>
          <w:sz w:val="24"/>
          <w:szCs w:val="24"/>
        </w:rPr>
      </w:pPr>
      <w:r w:rsidRPr="006C28AA">
        <w:rPr>
          <w:sz w:val="24"/>
          <w:szCs w:val="24"/>
        </w:rPr>
        <w:t xml:space="preserve">Mirabegron distribueres i udstrakt grad. Distributionsvolumenet ved </w:t>
      </w:r>
      <w:r w:rsidRPr="006C28AA">
        <w:rPr>
          <w:i/>
          <w:sz w:val="24"/>
          <w:szCs w:val="24"/>
        </w:rPr>
        <w:t>steady state</w:t>
      </w:r>
      <w:r w:rsidRPr="006C28AA">
        <w:rPr>
          <w:sz w:val="24"/>
          <w:szCs w:val="24"/>
        </w:rPr>
        <w:t xml:space="preserve"> (V</w:t>
      </w:r>
      <w:r w:rsidRPr="006C28AA">
        <w:rPr>
          <w:sz w:val="24"/>
          <w:szCs w:val="24"/>
          <w:vertAlign w:val="subscript"/>
        </w:rPr>
        <w:t>ss</w:t>
      </w:r>
      <w:r w:rsidRPr="006C28AA">
        <w:rPr>
          <w:sz w:val="24"/>
          <w:szCs w:val="24"/>
        </w:rPr>
        <w:t xml:space="preserve">) er ca. 1.670 l. Mirabegron bindes (ca. 71 %) til humane plasmaproteiner og udviser moderat affinitet for albumin og alfa-1-syre glycoprotein. Mirabegron distribueres til erytrocytterne. </w:t>
      </w:r>
      <w:r w:rsidRPr="006C28AA">
        <w:rPr>
          <w:i/>
          <w:sz w:val="24"/>
          <w:szCs w:val="24"/>
        </w:rPr>
        <w:t>In vitro</w:t>
      </w:r>
      <w:r w:rsidRPr="006C28AA">
        <w:rPr>
          <w:sz w:val="24"/>
          <w:szCs w:val="24"/>
        </w:rPr>
        <w:t xml:space="preserve">erytrocyt-koncentrationerne af </w:t>
      </w:r>
      <w:r w:rsidRPr="006C28AA">
        <w:rPr>
          <w:sz w:val="24"/>
          <w:szCs w:val="24"/>
          <w:vertAlign w:val="superscript"/>
        </w:rPr>
        <w:t>14</w:t>
      </w:r>
      <w:r w:rsidRPr="006C28AA">
        <w:rPr>
          <w:sz w:val="24"/>
          <w:szCs w:val="24"/>
        </w:rPr>
        <w:t>C-mirabegron var ca. dobbelt så høje som i plasma.</w:t>
      </w:r>
    </w:p>
    <w:p w14:paraId="30C65B7D" w14:textId="77777777" w:rsidR="006C28AA" w:rsidRPr="006C28AA" w:rsidRDefault="006C28AA" w:rsidP="006C28AA">
      <w:pPr>
        <w:tabs>
          <w:tab w:val="left" w:pos="851"/>
        </w:tabs>
        <w:ind w:left="851"/>
        <w:rPr>
          <w:sz w:val="24"/>
          <w:szCs w:val="24"/>
        </w:rPr>
      </w:pPr>
    </w:p>
    <w:p w14:paraId="44B0890D" w14:textId="77777777" w:rsidR="006C28AA" w:rsidRPr="006C28AA" w:rsidRDefault="006C28AA" w:rsidP="006C28AA">
      <w:pPr>
        <w:tabs>
          <w:tab w:val="left" w:pos="851"/>
        </w:tabs>
        <w:ind w:left="851"/>
        <w:rPr>
          <w:sz w:val="24"/>
          <w:szCs w:val="24"/>
        </w:rPr>
      </w:pPr>
      <w:r w:rsidRPr="006C28AA">
        <w:rPr>
          <w:i/>
          <w:sz w:val="24"/>
          <w:szCs w:val="24"/>
        </w:rPr>
        <w:t>Pædiatrisk population</w:t>
      </w:r>
    </w:p>
    <w:p w14:paraId="43868BDE" w14:textId="77777777" w:rsidR="006C28AA" w:rsidRPr="006C28AA" w:rsidRDefault="006C28AA" w:rsidP="006C28AA">
      <w:pPr>
        <w:tabs>
          <w:tab w:val="left" w:pos="851"/>
        </w:tabs>
        <w:ind w:left="851"/>
        <w:rPr>
          <w:sz w:val="24"/>
          <w:szCs w:val="24"/>
        </w:rPr>
      </w:pPr>
      <w:r w:rsidRPr="006C28AA">
        <w:rPr>
          <w:sz w:val="24"/>
          <w:szCs w:val="24"/>
        </w:rPr>
        <w:t>Distributionssvolumenet for mirabegron var relativt stort og blev øget ved stigende kropsvægt i overensstemmelse med allometriske principper på baggrund af farmakokinetisk populationsanalyse. Alder, køn og patientpopulation havde ingen indflydelse på distributionsvolumen, når der tages højde for potentielle forskelle i kropsvægt.</w:t>
      </w:r>
    </w:p>
    <w:p w14:paraId="1BB09CD1" w14:textId="77777777" w:rsidR="006C28AA" w:rsidRPr="006C28AA" w:rsidRDefault="006C28AA" w:rsidP="006C28AA">
      <w:pPr>
        <w:tabs>
          <w:tab w:val="left" w:pos="851"/>
        </w:tabs>
        <w:ind w:left="851"/>
        <w:rPr>
          <w:sz w:val="24"/>
          <w:szCs w:val="24"/>
        </w:rPr>
      </w:pPr>
    </w:p>
    <w:p w14:paraId="617CB73F" w14:textId="77777777" w:rsidR="006C28AA" w:rsidRPr="006C28AA" w:rsidRDefault="006C28AA" w:rsidP="006C28AA">
      <w:pPr>
        <w:tabs>
          <w:tab w:val="left" w:pos="851"/>
        </w:tabs>
        <w:ind w:left="851"/>
        <w:rPr>
          <w:sz w:val="24"/>
          <w:szCs w:val="24"/>
          <w:u w:val="single"/>
        </w:rPr>
      </w:pPr>
      <w:r w:rsidRPr="006C28AA">
        <w:rPr>
          <w:sz w:val="24"/>
          <w:szCs w:val="24"/>
          <w:u w:val="single"/>
        </w:rPr>
        <w:t>Biotransformation</w:t>
      </w:r>
      <w:r w:rsidRPr="006C28AA">
        <w:rPr>
          <w:sz w:val="24"/>
          <w:szCs w:val="24"/>
        </w:rPr>
        <w:t xml:space="preserve"> </w:t>
      </w:r>
    </w:p>
    <w:p w14:paraId="68022537" w14:textId="77777777" w:rsidR="006C28AA" w:rsidRPr="006C28AA" w:rsidRDefault="006C28AA" w:rsidP="006C28AA">
      <w:pPr>
        <w:tabs>
          <w:tab w:val="left" w:pos="851"/>
        </w:tabs>
        <w:ind w:left="851"/>
        <w:rPr>
          <w:sz w:val="24"/>
          <w:szCs w:val="24"/>
        </w:rPr>
      </w:pPr>
      <w:r w:rsidRPr="006C28AA">
        <w:rPr>
          <w:sz w:val="24"/>
          <w:szCs w:val="24"/>
        </w:rPr>
        <w:t xml:space="preserve">Mirabegron metaboliseres via flere pathways, som involverer dealkylering, oxidation, (direkte) glucuronidering og amidhydrolyse. Mirabegron er den væsentligste cirkulerende komponent efter en enkeltdosis af </w:t>
      </w:r>
      <w:r w:rsidRPr="006C28AA">
        <w:rPr>
          <w:sz w:val="24"/>
          <w:szCs w:val="24"/>
          <w:vertAlign w:val="superscript"/>
        </w:rPr>
        <w:t>14</w:t>
      </w:r>
      <w:r w:rsidRPr="006C28AA">
        <w:rPr>
          <w:sz w:val="24"/>
          <w:szCs w:val="24"/>
        </w:rPr>
        <w:t xml:space="preserve">C-mirabegron. Der blev observeret to væsentlige metabolitter i humant plasma fra voksne; begge er fase 2-glucuronider, som udgør 16 % og 11 % af den samlede eksponering. Disse metabolitter er ikke farmakologisk aktive. </w:t>
      </w:r>
    </w:p>
    <w:p w14:paraId="355A9A6E" w14:textId="77777777" w:rsidR="006C28AA" w:rsidRPr="006C28AA" w:rsidRDefault="006C28AA" w:rsidP="006C28AA">
      <w:pPr>
        <w:tabs>
          <w:tab w:val="left" w:pos="851"/>
        </w:tabs>
        <w:ind w:left="851"/>
        <w:rPr>
          <w:sz w:val="24"/>
          <w:szCs w:val="24"/>
        </w:rPr>
      </w:pPr>
      <w:r w:rsidRPr="006C28AA">
        <w:rPr>
          <w:sz w:val="24"/>
          <w:szCs w:val="24"/>
        </w:rPr>
        <w:t xml:space="preserve"> </w:t>
      </w:r>
    </w:p>
    <w:p w14:paraId="6FE33391" w14:textId="77777777" w:rsidR="006C28AA" w:rsidRPr="006C28AA" w:rsidRDefault="006C28AA" w:rsidP="006C28AA">
      <w:pPr>
        <w:tabs>
          <w:tab w:val="left" w:pos="851"/>
        </w:tabs>
        <w:ind w:left="851"/>
        <w:rPr>
          <w:sz w:val="24"/>
          <w:szCs w:val="24"/>
        </w:rPr>
      </w:pPr>
      <w:r w:rsidRPr="006C28AA">
        <w:rPr>
          <w:sz w:val="24"/>
          <w:szCs w:val="24"/>
        </w:rPr>
        <w:t xml:space="preserve">Ud fra </w:t>
      </w:r>
      <w:r w:rsidRPr="006C28AA">
        <w:rPr>
          <w:i/>
          <w:sz w:val="24"/>
          <w:szCs w:val="24"/>
        </w:rPr>
        <w:t>in vitro-</w:t>
      </w:r>
      <w:r w:rsidRPr="006C28AA">
        <w:rPr>
          <w:sz w:val="24"/>
          <w:szCs w:val="24"/>
        </w:rPr>
        <w:t xml:space="preserve">studier er det usandsynligt, at mirabegron hæmmer metabolismen af samtidigt administrerede lægemidler, der metaboliseres af følgende cytochrom P450-enzymer: CYP1A2, CYP2B6, CYP2C8, CYP2C9, CYP2C19 og CYP2E1, eftersom mirabegron ikke hæmmede aktiviteten af disse enzymer ved klinisk relevante koncentrationer. Mirabegron inducerede hverken CYP1A2 eller CYP3A. Mirabegron forventes ikke at forårsage klinisk relevant hæmning af OCTmedieret lægemiddeltransport. </w:t>
      </w:r>
    </w:p>
    <w:p w14:paraId="7A3E380F" w14:textId="77777777" w:rsidR="006C28AA" w:rsidRPr="006C28AA" w:rsidRDefault="006C28AA" w:rsidP="006C28AA">
      <w:pPr>
        <w:tabs>
          <w:tab w:val="left" w:pos="851"/>
        </w:tabs>
        <w:ind w:left="851"/>
        <w:rPr>
          <w:sz w:val="24"/>
          <w:szCs w:val="24"/>
        </w:rPr>
      </w:pPr>
      <w:r w:rsidRPr="006C28AA">
        <w:rPr>
          <w:sz w:val="24"/>
          <w:szCs w:val="24"/>
        </w:rPr>
        <w:t xml:space="preserve"> </w:t>
      </w:r>
    </w:p>
    <w:p w14:paraId="3FF9975A" w14:textId="77777777" w:rsidR="006C28AA" w:rsidRPr="006C28AA" w:rsidRDefault="006C28AA" w:rsidP="006C28AA">
      <w:pPr>
        <w:tabs>
          <w:tab w:val="left" w:pos="851"/>
        </w:tabs>
        <w:ind w:left="851"/>
        <w:rPr>
          <w:sz w:val="24"/>
          <w:szCs w:val="24"/>
        </w:rPr>
      </w:pPr>
      <w:r w:rsidRPr="006C28AA">
        <w:rPr>
          <w:sz w:val="24"/>
          <w:szCs w:val="24"/>
        </w:rPr>
        <w:t xml:space="preserve">Selvom </w:t>
      </w:r>
      <w:r w:rsidRPr="006C28AA">
        <w:rPr>
          <w:i/>
          <w:sz w:val="24"/>
          <w:szCs w:val="24"/>
        </w:rPr>
        <w:t>in vitro</w:t>
      </w:r>
      <w:r w:rsidRPr="006C28AA">
        <w:rPr>
          <w:sz w:val="24"/>
          <w:szCs w:val="24"/>
        </w:rPr>
        <w:t xml:space="preserve">-studier indikerer, at CYP2D6 og CYP3A4 har en rolle i den oxidative metabolisme af mirabegron, indikerer </w:t>
      </w:r>
      <w:r w:rsidRPr="006C28AA">
        <w:rPr>
          <w:i/>
          <w:sz w:val="24"/>
          <w:szCs w:val="24"/>
        </w:rPr>
        <w:t>in vivo</w:t>
      </w:r>
      <w:r w:rsidRPr="006C28AA">
        <w:rPr>
          <w:sz w:val="24"/>
          <w:szCs w:val="24"/>
        </w:rPr>
        <w:t xml:space="preserve">-resultater, at disse isozymer har begrænset betydning i den samlede elimination. </w:t>
      </w:r>
      <w:r w:rsidRPr="006C28AA">
        <w:rPr>
          <w:i/>
          <w:sz w:val="24"/>
          <w:szCs w:val="24"/>
        </w:rPr>
        <w:t>In vitro</w:t>
      </w:r>
      <w:r w:rsidRPr="006C28AA">
        <w:rPr>
          <w:sz w:val="24"/>
          <w:szCs w:val="24"/>
        </w:rPr>
        <w:t xml:space="preserve">- og </w:t>
      </w:r>
      <w:r w:rsidRPr="006C28AA">
        <w:rPr>
          <w:i/>
          <w:sz w:val="24"/>
          <w:szCs w:val="24"/>
        </w:rPr>
        <w:t>ex vivo</w:t>
      </w:r>
      <w:r w:rsidRPr="006C28AA">
        <w:rPr>
          <w:sz w:val="24"/>
          <w:szCs w:val="24"/>
        </w:rPr>
        <w:t xml:space="preserve">-studier har påvist, at der foruden CYP3A4 og CYP2D6 er involvering af butyrylcholinesterase, UGT og muligvis alkoholdehydrogenase (ADH) i metabolismen af mirabegron. </w:t>
      </w:r>
    </w:p>
    <w:p w14:paraId="653033EE" w14:textId="77777777" w:rsidR="006C28AA" w:rsidRPr="006C28AA" w:rsidRDefault="006C28AA" w:rsidP="006C28AA">
      <w:pPr>
        <w:tabs>
          <w:tab w:val="left" w:pos="851"/>
        </w:tabs>
        <w:ind w:left="851"/>
        <w:rPr>
          <w:sz w:val="24"/>
          <w:szCs w:val="24"/>
        </w:rPr>
      </w:pPr>
      <w:r w:rsidRPr="006C28AA">
        <w:rPr>
          <w:sz w:val="24"/>
          <w:szCs w:val="24"/>
        </w:rPr>
        <w:t xml:space="preserve"> </w:t>
      </w:r>
    </w:p>
    <w:p w14:paraId="0545224F" w14:textId="77777777" w:rsidR="006C28AA" w:rsidRPr="006C28AA" w:rsidRDefault="006C28AA" w:rsidP="006C28AA">
      <w:pPr>
        <w:tabs>
          <w:tab w:val="left" w:pos="851"/>
        </w:tabs>
        <w:ind w:left="851"/>
        <w:rPr>
          <w:sz w:val="24"/>
          <w:szCs w:val="24"/>
        </w:rPr>
      </w:pPr>
      <w:r w:rsidRPr="006C28AA">
        <w:rPr>
          <w:i/>
          <w:sz w:val="24"/>
          <w:szCs w:val="24"/>
        </w:rPr>
        <w:t>CYP2D6-polymorfisme</w:t>
      </w:r>
      <w:r w:rsidRPr="006C28AA">
        <w:rPr>
          <w:sz w:val="24"/>
          <w:szCs w:val="24"/>
        </w:rPr>
        <w:t xml:space="preserve"> </w:t>
      </w:r>
    </w:p>
    <w:p w14:paraId="4841D2F1" w14:textId="77777777" w:rsidR="006C28AA" w:rsidRPr="006C28AA" w:rsidRDefault="006C28AA" w:rsidP="006C28AA">
      <w:pPr>
        <w:tabs>
          <w:tab w:val="left" w:pos="851"/>
        </w:tabs>
        <w:ind w:left="851"/>
        <w:rPr>
          <w:sz w:val="24"/>
          <w:szCs w:val="24"/>
        </w:rPr>
      </w:pPr>
      <w:r w:rsidRPr="006C28AA">
        <w:rPr>
          <w:sz w:val="24"/>
          <w:szCs w:val="24"/>
        </w:rPr>
        <w:t>Hos raske voksne forsøgspersoner, som har genotypisk ringe metabolisme af CYP2D6-substrater (anvendt som surrogat for CYP2D6-hæmning), var de gennemsnitlige C</w:t>
      </w:r>
      <w:r w:rsidRPr="006C28AA">
        <w:rPr>
          <w:sz w:val="24"/>
          <w:szCs w:val="24"/>
          <w:vertAlign w:val="subscript"/>
        </w:rPr>
        <w:t>max</w:t>
      </w:r>
      <w:r w:rsidRPr="006C28AA">
        <w:rPr>
          <w:sz w:val="24"/>
          <w:szCs w:val="24"/>
        </w:rPr>
        <w:t>- og AUC</w:t>
      </w:r>
      <w:r w:rsidRPr="006C28AA">
        <w:rPr>
          <w:sz w:val="24"/>
          <w:szCs w:val="24"/>
          <w:vertAlign w:val="subscript"/>
        </w:rPr>
        <w:t>inf</w:t>
      </w:r>
      <w:r w:rsidRPr="006C28AA">
        <w:rPr>
          <w:sz w:val="24"/>
          <w:szCs w:val="24"/>
        </w:rPr>
        <w:t xml:space="preserve">-værdier ved en enkelt dosering af 160 mg af en mirabegronformulering IR 14 % og 19 % højere end hos personer med omfattende metabolisme, hvilket indikerer, at genetisk polymorfisme i CYP2D6 har minimal indflydelse på den gennemsnitlige plasmaeksponering for mirabegron. Interaktion af mirabegron med en kendt CYP2D6-hæmmer forventes ikke og blev ikke undersøgt. Dosisjustering er ikke nødvendig for </w:t>
      </w:r>
      <w:r w:rsidRPr="006C28AA">
        <w:rPr>
          <w:sz w:val="24"/>
          <w:szCs w:val="24"/>
        </w:rPr>
        <w:lastRenderedPageBreak/>
        <w:t>mirabegron ved administration sammen med CYP2D6-hæmmere eller hos voksne patienter med ringe CYP2D6-metabolisme.</w:t>
      </w:r>
    </w:p>
    <w:p w14:paraId="204641C4" w14:textId="77777777" w:rsidR="006C28AA" w:rsidRPr="006C28AA" w:rsidRDefault="006C28AA" w:rsidP="006C28AA">
      <w:pPr>
        <w:tabs>
          <w:tab w:val="left" w:pos="851"/>
        </w:tabs>
        <w:ind w:left="851"/>
        <w:rPr>
          <w:sz w:val="24"/>
          <w:szCs w:val="24"/>
        </w:rPr>
      </w:pPr>
    </w:p>
    <w:p w14:paraId="4255CA5B" w14:textId="77777777" w:rsidR="006C28AA" w:rsidRPr="006C28AA" w:rsidRDefault="006C28AA" w:rsidP="006C28AA">
      <w:pPr>
        <w:tabs>
          <w:tab w:val="left" w:pos="851"/>
        </w:tabs>
        <w:ind w:left="851"/>
        <w:rPr>
          <w:sz w:val="24"/>
          <w:szCs w:val="24"/>
          <w:u w:val="single"/>
        </w:rPr>
      </w:pPr>
      <w:r w:rsidRPr="006C28AA">
        <w:rPr>
          <w:sz w:val="24"/>
          <w:szCs w:val="24"/>
          <w:u w:val="single"/>
        </w:rPr>
        <w:t>Elimination</w:t>
      </w:r>
      <w:r w:rsidRPr="006C28AA">
        <w:rPr>
          <w:sz w:val="24"/>
          <w:szCs w:val="24"/>
        </w:rPr>
        <w:t xml:space="preserve"> </w:t>
      </w:r>
    </w:p>
    <w:p w14:paraId="7040C9D7" w14:textId="77777777" w:rsidR="006C28AA" w:rsidRPr="006C28AA" w:rsidRDefault="006C28AA" w:rsidP="006C28AA">
      <w:pPr>
        <w:tabs>
          <w:tab w:val="left" w:pos="851"/>
        </w:tabs>
        <w:ind w:left="851"/>
        <w:rPr>
          <w:sz w:val="24"/>
          <w:szCs w:val="24"/>
        </w:rPr>
      </w:pPr>
      <w:r w:rsidRPr="006C28AA">
        <w:rPr>
          <w:sz w:val="24"/>
          <w:szCs w:val="24"/>
        </w:rPr>
        <w:t xml:space="preserve"> </w:t>
      </w:r>
    </w:p>
    <w:p w14:paraId="008C3392" w14:textId="77777777" w:rsidR="006C28AA" w:rsidRPr="006C28AA" w:rsidRDefault="006C28AA" w:rsidP="006C28AA">
      <w:pPr>
        <w:tabs>
          <w:tab w:val="left" w:pos="851"/>
        </w:tabs>
        <w:ind w:left="851"/>
        <w:rPr>
          <w:sz w:val="24"/>
          <w:szCs w:val="24"/>
        </w:rPr>
      </w:pPr>
      <w:r w:rsidRPr="006C28AA">
        <w:rPr>
          <w:i/>
          <w:sz w:val="24"/>
          <w:szCs w:val="24"/>
        </w:rPr>
        <w:t>Voksne</w:t>
      </w:r>
    </w:p>
    <w:p w14:paraId="1DA32243" w14:textId="77777777" w:rsidR="006C28AA" w:rsidRPr="006C28AA" w:rsidRDefault="006C28AA" w:rsidP="006C28AA">
      <w:pPr>
        <w:tabs>
          <w:tab w:val="left" w:pos="851"/>
        </w:tabs>
        <w:ind w:left="851"/>
        <w:rPr>
          <w:sz w:val="24"/>
          <w:szCs w:val="24"/>
        </w:rPr>
      </w:pPr>
      <w:r w:rsidRPr="006C28AA">
        <w:rPr>
          <w:sz w:val="24"/>
          <w:szCs w:val="24"/>
        </w:rPr>
        <w:t>Kroppens totale plasmaclearance (CL</w:t>
      </w:r>
      <w:r w:rsidRPr="006C28AA">
        <w:rPr>
          <w:sz w:val="24"/>
          <w:szCs w:val="24"/>
          <w:vertAlign w:val="subscript"/>
        </w:rPr>
        <w:t>tot</w:t>
      </w:r>
      <w:r w:rsidRPr="006C28AA">
        <w:rPr>
          <w:sz w:val="24"/>
          <w:szCs w:val="24"/>
        </w:rPr>
        <w:t>) er ca. 57 l/t. Den terminale eliminationshalveringstid (t</w:t>
      </w:r>
      <w:r w:rsidRPr="006C28AA">
        <w:rPr>
          <w:sz w:val="24"/>
          <w:szCs w:val="24"/>
          <w:vertAlign w:val="subscript"/>
        </w:rPr>
        <w:t>1/2</w:t>
      </w:r>
      <w:r w:rsidRPr="006C28AA">
        <w:rPr>
          <w:sz w:val="24"/>
          <w:szCs w:val="24"/>
        </w:rPr>
        <w:t>) er ca. 50 timer. Den renale clearance (CL</w:t>
      </w:r>
      <w:r w:rsidRPr="006C28AA">
        <w:rPr>
          <w:sz w:val="24"/>
          <w:szCs w:val="24"/>
          <w:vertAlign w:val="subscript"/>
        </w:rPr>
        <w:t>R</w:t>
      </w:r>
      <w:r w:rsidRPr="006C28AA">
        <w:rPr>
          <w:sz w:val="24"/>
          <w:szCs w:val="24"/>
        </w:rPr>
        <w:t>) er ca. 13 l/t., hvilket svarer til næsten 25 % af CL</w:t>
      </w:r>
      <w:r w:rsidRPr="006C28AA">
        <w:rPr>
          <w:sz w:val="24"/>
          <w:szCs w:val="24"/>
          <w:vertAlign w:val="subscript"/>
        </w:rPr>
        <w:t>tot</w:t>
      </w:r>
      <w:r w:rsidRPr="006C28AA">
        <w:rPr>
          <w:sz w:val="24"/>
          <w:szCs w:val="24"/>
        </w:rPr>
        <w:t xml:space="preserve">. Den renale elimination af mirabegron sker primært via aktiv tubulær sekretion sammen med glomerulær filtrering. Urinudskillelsen af uomdannet mirabegron er dosisafhængig og varierer fra ca. 6,0 % efter en daglig dosis på 25 mg til 12,2 % efter en daglig dosis på 100 mg. Efter administration af 160 mg </w:t>
      </w:r>
      <w:r w:rsidRPr="006C28AA">
        <w:rPr>
          <w:sz w:val="24"/>
          <w:szCs w:val="24"/>
          <w:vertAlign w:val="superscript"/>
        </w:rPr>
        <w:t>14</w:t>
      </w:r>
      <w:r w:rsidRPr="006C28AA">
        <w:rPr>
          <w:sz w:val="24"/>
          <w:szCs w:val="24"/>
        </w:rPr>
        <w:t xml:space="preserve">C-mirabegron til raske frivillige blev ca. 55 % af det radioaktivt mærkede stof genfundet i urinen og 34 % i fæces. Uomdannet mirabegron udgjorde 45 % af radioaktiviteten i urinen, hvilket indikerede tilstedeværelse af metabolitter. Uomdannet mirabegron udgjorde størstedelen af radioaktiviteten i fæces. </w:t>
      </w:r>
    </w:p>
    <w:p w14:paraId="16661CFD" w14:textId="77777777" w:rsidR="006C28AA" w:rsidRPr="006C28AA" w:rsidRDefault="006C28AA" w:rsidP="006C28AA">
      <w:pPr>
        <w:tabs>
          <w:tab w:val="left" w:pos="851"/>
        </w:tabs>
        <w:ind w:left="851"/>
        <w:rPr>
          <w:sz w:val="24"/>
          <w:szCs w:val="24"/>
        </w:rPr>
      </w:pPr>
      <w:r w:rsidRPr="006C28AA">
        <w:rPr>
          <w:sz w:val="24"/>
          <w:szCs w:val="24"/>
        </w:rPr>
        <w:t xml:space="preserve"> </w:t>
      </w:r>
    </w:p>
    <w:p w14:paraId="6672E12C" w14:textId="77777777" w:rsidR="006C28AA" w:rsidRPr="006C28AA" w:rsidRDefault="006C28AA" w:rsidP="006C28AA">
      <w:pPr>
        <w:tabs>
          <w:tab w:val="left" w:pos="851"/>
        </w:tabs>
        <w:ind w:left="851"/>
        <w:rPr>
          <w:sz w:val="24"/>
          <w:szCs w:val="24"/>
        </w:rPr>
      </w:pPr>
      <w:r w:rsidRPr="006C28AA">
        <w:rPr>
          <w:i/>
          <w:sz w:val="24"/>
          <w:szCs w:val="24"/>
        </w:rPr>
        <w:t>Pædiatrisk population</w:t>
      </w:r>
    </w:p>
    <w:p w14:paraId="60355393" w14:textId="77777777" w:rsidR="006C28AA" w:rsidRPr="006C28AA" w:rsidRDefault="006C28AA" w:rsidP="006C28AA">
      <w:pPr>
        <w:tabs>
          <w:tab w:val="left" w:pos="851"/>
        </w:tabs>
        <w:ind w:left="851"/>
        <w:rPr>
          <w:sz w:val="24"/>
          <w:szCs w:val="24"/>
        </w:rPr>
      </w:pPr>
      <w:r w:rsidRPr="006C28AA">
        <w:rPr>
          <w:sz w:val="24"/>
          <w:szCs w:val="24"/>
        </w:rPr>
        <w:t>Det var forventet, at clearance for mirabegron ville stige hos patienter med stigende kropsvægt i overensstemmelse med allometriske principper på baggrund af farmakokinetisk populationsanalyse. Det tilsyneladende clearanceparameter blev påvirket signifikant af dosis, formulering og madens virkning på den relative biotilgængelighed. Værdierne for tilsyneladende clearance var meget variable, men generelt ens blandt børn og unge på trods af forskelle i kropsvægt på grund af disse virkninger på biotilgængeligheden.</w:t>
      </w:r>
    </w:p>
    <w:p w14:paraId="78D416D9" w14:textId="77777777" w:rsidR="006C28AA" w:rsidRPr="006C28AA" w:rsidRDefault="006C28AA" w:rsidP="006C28AA">
      <w:pPr>
        <w:tabs>
          <w:tab w:val="left" w:pos="851"/>
        </w:tabs>
        <w:ind w:left="851"/>
        <w:rPr>
          <w:sz w:val="24"/>
          <w:szCs w:val="24"/>
        </w:rPr>
      </w:pPr>
    </w:p>
    <w:p w14:paraId="7B7D8AF9" w14:textId="77777777" w:rsidR="006C28AA" w:rsidRPr="006C28AA" w:rsidRDefault="006C28AA" w:rsidP="006C28AA">
      <w:pPr>
        <w:tabs>
          <w:tab w:val="left" w:pos="851"/>
        </w:tabs>
        <w:ind w:left="851"/>
        <w:rPr>
          <w:sz w:val="24"/>
          <w:szCs w:val="24"/>
          <w:u w:val="single"/>
        </w:rPr>
      </w:pPr>
      <w:r w:rsidRPr="006C28AA">
        <w:rPr>
          <w:sz w:val="24"/>
          <w:szCs w:val="24"/>
          <w:u w:val="single"/>
        </w:rPr>
        <w:t>Alder</w:t>
      </w:r>
      <w:r w:rsidRPr="006C28AA">
        <w:rPr>
          <w:sz w:val="24"/>
          <w:szCs w:val="24"/>
        </w:rPr>
        <w:t xml:space="preserve"> </w:t>
      </w:r>
    </w:p>
    <w:p w14:paraId="1A49744F" w14:textId="77777777" w:rsidR="006C28AA" w:rsidRPr="006C28AA" w:rsidRDefault="006C28AA" w:rsidP="006C28AA">
      <w:pPr>
        <w:tabs>
          <w:tab w:val="left" w:pos="851"/>
        </w:tabs>
        <w:ind w:left="851"/>
        <w:rPr>
          <w:sz w:val="24"/>
          <w:szCs w:val="24"/>
        </w:rPr>
      </w:pPr>
      <w:r w:rsidRPr="006C28AA">
        <w:rPr>
          <w:sz w:val="24"/>
          <w:szCs w:val="24"/>
        </w:rPr>
        <w:t xml:space="preserve"> </w:t>
      </w:r>
    </w:p>
    <w:p w14:paraId="0EFFCC4D" w14:textId="77777777" w:rsidR="006C28AA" w:rsidRPr="006C28AA" w:rsidRDefault="006C28AA" w:rsidP="006C28AA">
      <w:pPr>
        <w:tabs>
          <w:tab w:val="left" w:pos="851"/>
        </w:tabs>
        <w:ind w:left="851"/>
        <w:rPr>
          <w:sz w:val="24"/>
          <w:szCs w:val="24"/>
        </w:rPr>
      </w:pPr>
      <w:r w:rsidRPr="006C28AA">
        <w:rPr>
          <w:i/>
          <w:sz w:val="24"/>
          <w:szCs w:val="24"/>
        </w:rPr>
        <w:t>Voksne</w:t>
      </w:r>
    </w:p>
    <w:p w14:paraId="064D5209" w14:textId="77777777" w:rsidR="006C28AA" w:rsidRPr="006C28AA" w:rsidRDefault="006C28AA" w:rsidP="006C28AA">
      <w:pPr>
        <w:tabs>
          <w:tab w:val="left" w:pos="851"/>
        </w:tabs>
        <w:ind w:left="851"/>
        <w:rPr>
          <w:sz w:val="24"/>
          <w:szCs w:val="24"/>
        </w:rPr>
      </w:pPr>
      <w:r w:rsidRPr="006C28AA">
        <w:rPr>
          <w:sz w:val="24"/>
          <w:szCs w:val="24"/>
        </w:rPr>
        <w:t>C</w:t>
      </w:r>
      <w:r w:rsidRPr="006C28AA">
        <w:rPr>
          <w:sz w:val="24"/>
          <w:szCs w:val="24"/>
          <w:vertAlign w:val="subscript"/>
        </w:rPr>
        <w:t>max</w:t>
      </w:r>
      <w:r w:rsidRPr="006C28AA">
        <w:rPr>
          <w:sz w:val="24"/>
          <w:szCs w:val="24"/>
        </w:rPr>
        <w:t xml:space="preserve"> og AUC for mirabegron og metabolitter deraf efter flere orale doser hos ældre frivillige (≥ 65 år) svarede til dem hos yngre frivillige (18–45 år). </w:t>
      </w:r>
    </w:p>
    <w:p w14:paraId="5F50CF40" w14:textId="77777777" w:rsidR="006C28AA" w:rsidRPr="006C28AA" w:rsidRDefault="006C28AA" w:rsidP="006C28AA">
      <w:pPr>
        <w:tabs>
          <w:tab w:val="left" w:pos="851"/>
        </w:tabs>
        <w:ind w:left="851"/>
        <w:rPr>
          <w:sz w:val="24"/>
          <w:szCs w:val="24"/>
        </w:rPr>
      </w:pPr>
      <w:r w:rsidRPr="006C28AA">
        <w:rPr>
          <w:sz w:val="24"/>
          <w:szCs w:val="24"/>
        </w:rPr>
        <w:t xml:space="preserve"> </w:t>
      </w:r>
    </w:p>
    <w:p w14:paraId="3A2BBBFE" w14:textId="77777777" w:rsidR="006C28AA" w:rsidRPr="006C28AA" w:rsidRDefault="006C28AA" w:rsidP="006C28AA">
      <w:pPr>
        <w:tabs>
          <w:tab w:val="left" w:pos="851"/>
        </w:tabs>
        <w:ind w:left="851"/>
        <w:rPr>
          <w:sz w:val="24"/>
          <w:szCs w:val="24"/>
        </w:rPr>
      </w:pPr>
      <w:r w:rsidRPr="006C28AA">
        <w:rPr>
          <w:i/>
          <w:sz w:val="24"/>
          <w:szCs w:val="24"/>
        </w:rPr>
        <w:t>Pædiatrisk population</w:t>
      </w:r>
    </w:p>
    <w:p w14:paraId="3AD7CEC6" w14:textId="77777777" w:rsidR="006C28AA" w:rsidRPr="006C28AA" w:rsidRDefault="006C28AA" w:rsidP="006C28AA">
      <w:pPr>
        <w:tabs>
          <w:tab w:val="left" w:pos="851"/>
        </w:tabs>
        <w:ind w:left="851"/>
        <w:rPr>
          <w:sz w:val="24"/>
          <w:szCs w:val="24"/>
        </w:rPr>
      </w:pPr>
      <w:r w:rsidRPr="006C28AA">
        <w:rPr>
          <w:sz w:val="24"/>
          <w:szCs w:val="24"/>
        </w:rPr>
        <w:t xml:space="preserve">Hos patienter i alderen 3 år til under 18 år var det ikke forventet, at alder havde nogen indflydelse på de vigtigste farmakokinetiske parametre for mirabegron, når der var taget højde for forskelle i kropsvægt. Modeller, der omfattede alder, gav ingen betydningsfulde forbedringer i den pædiatriske farmakokinetiske populationsmodel, hvilket indikerede, at inklusion af kropsvægt var tilstrækkeligt til at håndtere forskelle i mirabegrons farmakokinetik på grund af alder. </w:t>
      </w:r>
    </w:p>
    <w:p w14:paraId="0424510F" w14:textId="77777777" w:rsidR="006C28AA" w:rsidRPr="006C28AA" w:rsidRDefault="006C28AA" w:rsidP="006C28AA">
      <w:pPr>
        <w:tabs>
          <w:tab w:val="left" w:pos="851"/>
        </w:tabs>
        <w:ind w:left="851"/>
        <w:rPr>
          <w:sz w:val="24"/>
          <w:szCs w:val="24"/>
        </w:rPr>
      </w:pPr>
      <w:r w:rsidRPr="006C28AA">
        <w:rPr>
          <w:sz w:val="24"/>
          <w:szCs w:val="24"/>
        </w:rPr>
        <w:t xml:space="preserve"> </w:t>
      </w:r>
    </w:p>
    <w:p w14:paraId="004658BC" w14:textId="77777777" w:rsidR="006C28AA" w:rsidRPr="006C28AA" w:rsidRDefault="006C28AA" w:rsidP="006C28AA">
      <w:pPr>
        <w:tabs>
          <w:tab w:val="left" w:pos="851"/>
        </w:tabs>
        <w:ind w:left="851"/>
        <w:rPr>
          <w:sz w:val="24"/>
          <w:szCs w:val="24"/>
          <w:u w:val="single"/>
        </w:rPr>
      </w:pPr>
      <w:r w:rsidRPr="006C28AA">
        <w:rPr>
          <w:sz w:val="24"/>
          <w:szCs w:val="24"/>
          <w:u w:val="single"/>
        </w:rPr>
        <w:t>Køn</w:t>
      </w:r>
      <w:r w:rsidRPr="006C28AA">
        <w:rPr>
          <w:sz w:val="24"/>
          <w:szCs w:val="24"/>
        </w:rPr>
        <w:t xml:space="preserve"> </w:t>
      </w:r>
    </w:p>
    <w:p w14:paraId="25C6E530" w14:textId="77777777" w:rsidR="006C28AA" w:rsidRPr="006C28AA" w:rsidRDefault="006C28AA" w:rsidP="006C28AA">
      <w:pPr>
        <w:tabs>
          <w:tab w:val="left" w:pos="851"/>
        </w:tabs>
        <w:ind w:left="851"/>
        <w:rPr>
          <w:sz w:val="24"/>
          <w:szCs w:val="24"/>
        </w:rPr>
      </w:pPr>
      <w:r w:rsidRPr="006C28AA">
        <w:rPr>
          <w:sz w:val="24"/>
          <w:szCs w:val="24"/>
        </w:rPr>
        <w:t xml:space="preserve"> </w:t>
      </w:r>
    </w:p>
    <w:p w14:paraId="5A532174" w14:textId="77777777" w:rsidR="006C28AA" w:rsidRPr="006C28AA" w:rsidRDefault="006C28AA" w:rsidP="006C28AA">
      <w:pPr>
        <w:tabs>
          <w:tab w:val="left" w:pos="851"/>
        </w:tabs>
        <w:ind w:left="851"/>
        <w:rPr>
          <w:sz w:val="24"/>
          <w:szCs w:val="24"/>
        </w:rPr>
      </w:pPr>
      <w:r w:rsidRPr="006C28AA">
        <w:rPr>
          <w:i/>
          <w:sz w:val="24"/>
          <w:szCs w:val="24"/>
        </w:rPr>
        <w:t>Voksne</w:t>
      </w:r>
    </w:p>
    <w:p w14:paraId="42373E26" w14:textId="77777777" w:rsidR="006C28AA" w:rsidRPr="006C28AA" w:rsidRDefault="006C28AA" w:rsidP="006C28AA">
      <w:pPr>
        <w:tabs>
          <w:tab w:val="left" w:pos="851"/>
        </w:tabs>
        <w:ind w:left="851"/>
        <w:rPr>
          <w:sz w:val="24"/>
          <w:szCs w:val="24"/>
        </w:rPr>
      </w:pPr>
      <w:r w:rsidRPr="006C28AA">
        <w:rPr>
          <w:sz w:val="24"/>
          <w:szCs w:val="24"/>
        </w:rPr>
        <w:t>C</w:t>
      </w:r>
      <w:r w:rsidRPr="006C28AA">
        <w:rPr>
          <w:sz w:val="24"/>
          <w:szCs w:val="24"/>
          <w:vertAlign w:val="subscript"/>
        </w:rPr>
        <w:t>max</w:t>
      </w:r>
      <w:r w:rsidRPr="006C28AA">
        <w:rPr>
          <w:sz w:val="24"/>
          <w:szCs w:val="24"/>
        </w:rPr>
        <w:t xml:space="preserve"> og AUC er ca. 40 % til 50 % højere hos kvinder end hos mænd. Kønsforskelle i C</w:t>
      </w:r>
      <w:r w:rsidRPr="006C28AA">
        <w:rPr>
          <w:sz w:val="24"/>
          <w:szCs w:val="24"/>
          <w:vertAlign w:val="subscript"/>
        </w:rPr>
        <w:t>max</w:t>
      </w:r>
      <w:r w:rsidRPr="006C28AA">
        <w:rPr>
          <w:sz w:val="24"/>
          <w:szCs w:val="24"/>
        </w:rPr>
        <w:t xml:space="preserve"> og AUC tilskrives forskelle i kropsvægt og biotilgængelighed. </w:t>
      </w:r>
    </w:p>
    <w:p w14:paraId="5C581DEE" w14:textId="77777777" w:rsidR="006C28AA" w:rsidRPr="006C28AA" w:rsidRDefault="006C28AA" w:rsidP="006C28AA">
      <w:pPr>
        <w:tabs>
          <w:tab w:val="left" w:pos="851"/>
        </w:tabs>
        <w:ind w:left="851"/>
        <w:rPr>
          <w:sz w:val="24"/>
          <w:szCs w:val="24"/>
        </w:rPr>
      </w:pPr>
      <w:r w:rsidRPr="006C28AA">
        <w:rPr>
          <w:sz w:val="24"/>
          <w:szCs w:val="24"/>
        </w:rPr>
        <w:t xml:space="preserve"> </w:t>
      </w:r>
    </w:p>
    <w:p w14:paraId="3B812368" w14:textId="77777777" w:rsidR="006C28AA" w:rsidRPr="006C28AA" w:rsidRDefault="006C28AA" w:rsidP="006C28AA">
      <w:pPr>
        <w:tabs>
          <w:tab w:val="left" w:pos="851"/>
        </w:tabs>
        <w:ind w:left="851"/>
        <w:rPr>
          <w:sz w:val="24"/>
          <w:szCs w:val="24"/>
        </w:rPr>
      </w:pPr>
      <w:r w:rsidRPr="006C28AA">
        <w:rPr>
          <w:i/>
          <w:sz w:val="24"/>
          <w:szCs w:val="24"/>
        </w:rPr>
        <w:t>Pædiatrisk population</w:t>
      </w:r>
    </w:p>
    <w:p w14:paraId="64380E7E" w14:textId="77777777" w:rsidR="006C28AA" w:rsidRPr="006C28AA" w:rsidRDefault="006C28AA" w:rsidP="006C28AA">
      <w:pPr>
        <w:tabs>
          <w:tab w:val="left" w:pos="851"/>
        </w:tabs>
        <w:ind w:left="851"/>
        <w:rPr>
          <w:sz w:val="24"/>
          <w:szCs w:val="24"/>
        </w:rPr>
      </w:pPr>
      <w:r w:rsidRPr="006C28AA">
        <w:rPr>
          <w:sz w:val="24"/>
          <w:szCs w:val="24"/>
        </w:rPr>
        <w:t xml:space="preserve">Køn havde ingen betydningsfuld indflydelse på mirabegrons farmakokinetik i den pædiatriske population fra alderen 3 år til under 18 år. </w:t>
      </w:r>
    </w:p>
    <w:p w14:paraId="5590DD13" w14:textId="49A0439A" w:rsidR="00F50F68" w:rsidRDefault="00F50F68">
      <w:pPr>
        <w:rPr>
          <w:sz w:val="24"/>
          <w:szCs w:val="24"/>
        </w:rPr>
      </w:pPr>
      <w:r>
        <w:rPr>
          <w:sz w:val="24"/>
          <w:szCs w:val="24"/>
        </w:rPr>
        <w:br w:type="page"/>
      </w:r>
    </w:p>
    <w:p w14:paraId="244E5293" w14:textId="77777777" w:rsidR="006C28AA" w:rsidRPr="006C28AA" w:rsidRDefault="006C28AA" w:rsidP="006C28AA">
      <w:pPr>
        <w:tabs>
          <w:tab w:val="left" w:pos="851"/>
        </w:tabs>
        <w:ind w:left="851"/>
        <w:rPr>
          <w:sz w:val="24"/>
          <w:szCs w:val="24"/>
        </w:rPr>
      </w:pPr>
    </w:p>
    <w:p w14:paraId="317E11EC" w14:textId="77777777" w:rsidR="006C28AA" w:rsidRPr="006C28AA" w:rsidRDefault="006C28AA" w:rsidP="006C28AA">
      <w:pPr>
        <w:tabs>
          <w:tab w:val="left" w:pos="851"/>
        </w:tabs>
        <w:ind w:left="851"/>
        <w:rPr>
          <w:sz w:val="24"/>
          <w:szCs w:val="24"/>
        </w:rPr>
      </w:pPr>
      <w:r w:rsidRPr="006C28AA">
        <w:rPr>
          <w:sz w:val="24"/>
          <w:szCs w:val="24"/>
          <w:u w:val="single"/>
        </w:rPr>
        <w:t>Race</w:t>
      </w:r>
      <w:r w:rsidRPr="006C28AA">
        <w:rPr>
          <w:sz w:val="24"/>
          <w:szCs w:val="24"/>
        </w:rPr>
        <w:t xml:space="preserve"> </w:t>
      </w:r>
    </w:p>
    <w:p w14:paraId="3EC6EAB1" w14:textId="21A40F93" w:rsidR="006C28AA" w:rsidRPr="006C28AA" w:rsidRDefault="006C28AA" w:rsidP="006C28AA">
      <w:pPr>
        <w:tabs>
          <w:tab w:val="left" w:pos="851"/>
        </w:tabs>
        <w:ind w:left="851"/>
        <w:rPr>
          <w:sz w:val="24"/>
          <w:szCs w:val="24"/>
        </w:rPr>
      </w:pPr>
      <w:r w:rsidRPr="006C28AA">
        <w:rPr>
          <w:sz w:val="24"/>
          <w:szCs w:val="24"/>
        </w:rPr>
        <w:t xml:space="preserve">Mirabegrons farmakokinetik hos voksne er uafhængig af race. </w:t>
      </w:r>
    </w:p>
    <w:p w14:paraId="70265254" w14:textId="77777777" w:rsidR="006C28AA" w:rsidRPr="006C28AA" w:rsidRDefault="006C28AA" w:rsidP="006C28AA">
      <w:pPr>
        <w:tabs>
          <w:tab w:val="left" w:pos="851"/>
        </w:tabs>
        <w:ind w:left="851"/>
        <w:rPr>
          <w:sz w:val="24"/>
          <w:szCs w:val="24"/>
        </w:rPr>
      </w:pPr>
      <w:r w:rsidRPr="006C28AA">
        <w:rPr>
          <w:sz w:val="24"/>
          <w:szCs w:val="24"/>
        </w:rPr>
        <w:t xml:space="preserve"> </w:t>
      </w:r>
    </w:p>
    <w:p w14:paraId="09314C0B" w14:textId="77777777" w:rsidR="006C28AA" w:rsidRPr="006C28AA" w:rsidRDefault="006C28AA" w:rsidP="006C28AA">
      <w:pPr>
        <w:tabs>
          <w:tab w:val="left" w:pos="851"/>
        </w:tabs>
        <w:ind w:left="851"/>
        <w:rPr>
          <w:sz w:val="24"/>
          <w:szCs w:val="24"/>
          <w:u w:val="single"/>
        </w:rPr>
      </w:pPr>
      <w:r w:rsidRPr="006C28AA">
        <w:rPr>
          <w:sz w:val="24"/>
          <w:szCs w:val="24"/>
          <w:u w:val="single"/>
        </w:rPr>
        <w:t>Nedsat nyrefunktion</w:t>
      </w:r>
      <w:r w:rsidRPr="006C28AA">
        <w:rPr>
          <w:sz w:val="24"/>
          <w:szCs w:val="24"/>
        </w:rPr>
        <w:t xml:space="preserve"> </w:t>
      </w:r>
    </w:p>
    <w:p w14:paraId="5F620B63" w14:textId="5B25018F" w:rsidR="006C28AA" w:rsidRPr="006C28AA" w:rsidRDefault="006C28AA" w:rsidP="006C28AA">
      <w:pPr>
        <w:tabs>
          <w:tab w:val="left" w:pos="851"/>
        </w:tabs>
        <w:ind w:left="851"/>
        <w:rPr>
          <w:sz w:val="24"/>
          <w:szCs w:val="24"/>
        </w:rPr>
      </w:pPr>
      <w:r w:rsidRPr="006C28AA">
        <w:rPr>
          <w:sz w:val="24"/>
          <w:szCs w:val="24"/>
        </w:rPr>
        <w:t>Efter administration af 100 mg mirabegron som enkeltdosis hos voksne frivillige med let nedsat nyrefunktion (eGFR-MDRD 60 til 89 ml/min/1,73 m</w:t>
      </w:r>
      <w:r w:rsidRPr="006C28AA">
        <w:rPr>
          <w:sz w:val="24"/>
          <w:szCs w:val="24"/>
          <w:vertAlign w:val="superscript"/>
        </w:rPr>
        <w:t>2</w:t>
      </w:r>
      <w:r w:rsidRPr="006C28AA">
        <w:rPr>
          <w:sz w:val="24"/>
          <w:szCs w:val="24"/>
        </w:rPr>
        <w:t>) steg de gennemsnitlige C</w:t>
      </w:r>
      <w:r w:rsidRPr="006C28AA">
        <w:rPr>
          <w:sz w:val="24"/>
          <w:szCs w:val="24"/>
          <w:vertAlign w:val="subscript"/>
        </w:rPr>
        <w:t>max</w:t>
      </w:r>
      <w:r w:rsidRPr="006C28AA">
        <w:rPr>
          <w:sz w:val="24"/>
          <w:szCs w:val="24"/>
        </w:rPr>
        <w:t>- og AUC-værdier for mirabegron med 6 % og 31 % i forhold til værdierne for voksne frivillige med normal nyrefunktion. Hos voksne frivillige med moderat nedsat nyrefunktion (eGFR-MDRD 30 til 59 ml/min/1,73 m</w:t>
      </w:r>
      <w:r w:rsidRPr="006C28AA">
        <w:rPr>
          <w:sz w:val="24"/>
          <w:szCs w:val="24"/>
          <w:vertAlign w:val="superscript"/>
        </w:rPr>
        <w:t>2</w:t>
      </w:r>
      <w:r w:rsidRPr="006C28AA">
        <w:rPr>
          <w:sz w:val="24"/>
          <w:szCs w:val="24"/>
        </w:rPr>
        <w:t>) steg C</w:t>
      </w:r>
      <w:r w:rsidRPr="006C28AA">
        <w:rPr>
          <w:sz w:val="24"/>
          <w:szCs w:val="24"/>
          <w:vertAlign w:val="subscript"/>
        </w:rPr>
        <w:t>max</w:t>
      </w:r>
      <w:r w:rsidRPr="006C28AA">
        <w:rPr>
          <w:sz w:val="24"/>
          <w:szCs w:val="24"/>
        </w:rPr>
        <w:t xml:space="preserve"> og AUC med henholdsvis 23 % og 66 %. Hos voksne frivillige med svært nedsat nyrefunktion (eGFR-MDRD 15 til 29 ml/min/1,73 m</w:t>
      </w:r>
      <w:r w:rsidRPr="006C28AA">
        <w:rPr>
          <w:sz w:val="24"/>
          <w:szCs w:val="24"/>
          <w:vertAlign w:val="superscript"/>
        </w:rPr>
        <w:t>2</w:t>
      </w:r>
      <w:r w:rsidRPr="006C28AA">
        <w:rPr>
          <w:sz w:val="24"/>
          <w:szCs w:val="24"/>
        </w:rPr>
        <w:t>) var de gennemsnitlige C</w:t>
      </w:r>
      <w:r w:rsidRPr="006C28AA">
        <w:rPr>
          <w:sz w:val="24"/>
          <w:szCs w:val="24"/>
          <w:vertAlign w:val="subscript"/>
        </w:rPr>
        <w:t>max</w:t>
      </w:r>
      <w:r w:rsidRPr="006C28AA">
        <w:rPr>
          <w:sz w:val="24"/>
          <w:szCs w:val="24"/>
        </w:rPr>
        <w:t xml:space="preserve">- og AUC-værdier henholdsvis </w:t>
      </w:r>
    </w:p>
    <w:p w14:paraId="4F5BD11F" w14:textId="77777777" w:rsidR="006C28AA" w:rsidRPr="006C28AA" w:rsidRDefault="006C28AA" w:rsidP="006C28AA">
      <w:pPr>
        <w:tabs>
          <w:tab w:val="left" w:pos="851"/>
        </w:tabs>
        <w:ind w:left="851"/>
        <w:rPr>
          <w:sz w:val="24"/>
          <w:szCs w:val="24"/>
        </w:rPr>
      </w:pPr>
      <w:r w:rsidRPr="006C28AA">
        <w:rPr>
          <w:sz w:val="24"/>
          <w:szCs w:val="24"/>
        </w:rPr>
        <w:t xml:space="preserve">92 % og 118 % højere. Mirabegron er ikke undersøgt hos patienter med ESRD </w:t>
      </w:r>
      <w:r w:rsidRPr="006C28AA">
        <w:rPr>
          <w:sz w:val="24"/>
          <w:szCs w:val="24"/>
        </w:rPr>
        <w:br/>
        <w:t>(eGFR &lt; 15 ml/min/1,73 m</w:t>
      </w:r>
      <w:r w:rsidRPr="006C28AA">
        <w:rPr>
          <w:sz w:val="24"/>
          <w:szCs w:val="24"/>
          <w:vertAlign w:val="superscript"/>
        </w:rPr>
        <w:t>2</w:t>
      </w:r>
      <w:r w:rsidRPr="006C28AA">
        <w:rPr>
          <w:sz w:val="24"/>
          <w:szCs w:val="24"/>
        </w:rPr>
        <w:t xml:space="preserve">) eller patienter med behov for hæmodialyse. </w:t>
      </w:r>
    </w:p>
    <w:p w14:paraId="10726B48" w14:textId="77777777" w:rsidR="006C28AA" w:rsidRPr="006C28AA" w:rsidRDefault="006C28AA" w:rsidP="006C28AA">
      <w:pPr>
        <w:tabs>
          <w:tab w:val="left" w:pos="851"/>
        </w:tabs>
        <w:ind w:left="851"/>
        <w:rPr>
          <w:sz w:val="24"/>
          <w:szCs w:val="24"/>
        </w:rPr>
      </w:pPr>
      <w:r w:rsidRPr="006C28AA">
        <w:rPr>
          <w:sz w:val="24"/>
          <w:szCs w:val="24"/>
        </w:rPr>
        <w:t xml:space="preserve"> </w:t>
      </w:r>
    </w:p>
    <w:p w14:paraId="108A548B" w14:textId="77777777" w:rsidR="006C28AA" w:rsidRPr="006C28AA" w:rsidRDefault="006C28AA" w:rsidP="006C28AA">
      <w:pPr>
        <w:tabs>
          <w:tab w:val="left" w:pos="851"/>
        </w:tabs>
        <w:ind w:left="851"/>
        <w:rPr>
          <w:sz w:val="24"/>
          <w:szCs w:val="24"/>
          <w:u w:val="single"/>
        </w:rPr>
      </w:pPr>
      <w:r w:rsidRPr="006C28AA">
        <w:rPr>
          <w:sz w:val="24"/>
          <w:szCs w:val="24"/>
          <w:u w:val="single"/>
        </w:rPr>
        <w:t>Nedsat leverfunktion</w:t>
      </w:r>
      <w:r w:rsidRPr="006C28AA">
        <w:rPr>
          <w:sz w:val="24"/>
          <w:szCs w:val="24"/>
        </w:rPr>
        <w:t xml:space="preserve"> </w:t>
      </w:r>
    </w:p>
    <w:p w14:paraId="3A0435E1" w14:textId="77777777" w:rsidR="006C28AA" w:rsidRPr="006C28AA" w:rsidRDefault="006C28AA" w:rsidP="006C28AA">
      <w:pPr>
        <w:tabs>
          <w:tab w:val="left" w:pos="851"/>
        </w:tabs>
        <w:ind w:left="851"/>
        <w:rPr>
          <w:sz w:val="24"/>
          <w:szCs w:val="24"/>
        </w:rPr>
      </w:pPr>
      <w:r w:rsidRPr="006C28AA">
        <w:rPr>
          <w:sz w:val="24"/>
          <w:szCs w:val="24"/>
        </w:rPr>
        <w:t>Efter administration af 100 mg mirabegron som enkeltdosis hos voksne frivillige med let nedsat leverfunktion (Child-Pugh-klasse A) steg de gennemsnitlige C</w:t>
      </w:r>
      <w:r w:rsidRPr="006C28AA">
        <w:rPr>
          <w:sz w:val="24"/>
          <w:szCs w:val="24"/>
          <w:vertAlign w:val="subscript"/>
        </w:rPr>
        <w:t>max</w:t>
      </w:r>
      <w:r w:rsidRPr="006C28AA">
        <w:rPr>
          <w:sz w:val="24"/>
          <w:szCs w:val="24"/>
        </w:rPr>
        <w:t>- og AUC-værdier for mirabegron med 9 % og 19 % i forhold til værdierne for voksne frivillige med normal leverfunktion. Hos voksne frivillige med moderat nedsat leverfunktion (Child-Pugh-klasse B) var de gennemsnitlige C</w:t>
      </w:r>
      <w:r w:rsidRPr="006C28AA">
        <w:rPr>
          <w:sz w:val="24"/>
          <w:szCs w:val="24"/>
          <w:vertAlign w:val="subscript"/>
        </w:rPr>
        <w:t>max</w:t>
      </w:r>
      <w:r w:rsidRPr="006C28AA">
        <w:rPr>
          <w:sz w:val="24"/>
          <w:szCs w:val="24"/>
        </w:rPr>
        <w:t>- og AUC-værdier henholdsvis 175 % og 65 % højere. Mirabegron er ikke undersøgt hos patienter med svært nedsat leverfunktion (Child-Pugh-klasse C).</w:t>
      </w:r>
    </w:p>
    <w:p w14:paraId="3B9680C9" w14:textId="77777777" w:rsidR="009260DE" w:rsidRPr="00C84483" w:rsidRDefault="009260DE" w:rsidP="004931E3">
      <w:pPr>
        <w:tabs>
          <w:tab w:val="left" w:pos="851"/>
        </w:tabs>
        <w:ind w:left="851"/>
        <w:rPr>
          <w:sz w:val="24"/>
          <w:szCs w:val="24"/>
        </w:rPr>
      </w:pPr>
    </w:p>
    <w:p w14:paraId="17D76E85" w14:textId="77777777" w:rsidR="009260DE" w:rsidRPr="00C84483" w:rsidRDefault="009260DE" w:rsidP="004931E3">
      <w:pPr>
        <w:tabs>
          <w:tab w:val="left" w:pos="851"/>
        </w:tabs>
        <w:ind w:left="851" w:hanging="851"/>
        <w:rPr>
          <w:b/>
          <w:sz w:val="24"/>
          <w:szCs w:val="24"/>
        </w:rPr>
      </w:pPr>
      <w:r w:rsidRPr="00C84483">
        <w:rPr>
          <w:b/>
          <w:sz w:val="24"/>
          <w:szCs w:val="24"/>
        </w:rPr>
        <w:t>5.3</w:t>
      </w:r>
      <w:r w:rsidRPr="00C84483">
        <w:rPr>
          <w:b/>
          <w:sz w:val="24"/>
          <w:szCs w:val="24"/>
        </w:rPr>
        <w:tab/>
      </w:r>
      <w:r w:rsidR="00BD7931">
        <w:rPr>
          <w:b/>
          <w:sz w:val="24"/>
          <w:szCs w:val="24"/>
        </w:rPr>
        <w:t>Non-</w:t>
      </w:r>
      <w:r w:rsidRPr="00C84483">
        <w:rPr>
          <w:b/>
          <w:sz w:val="24"/>
          <w:szCs w:val="24"/>
        </w:rPr>
        <w:t>kliniske sikkerhedsdata</w:t>
      </w:r>
    </w:p>
    <w:p w14:paraId="4A380E6F" w14:textId="77777777" w:rsidR="008E4E99" w:rsidRPr="008E4E99" w:rsidRDefault="008E4E99" w:rsidP="008E4E99">
      <w:pPr>
        <w:tabs>
          <w:tab w:val="left" w:pos="851"/>
        </w:tabs>
        <w:ind w:left="851"/>
        <w:rPr>
          <w:sz w:val="24"/>
          <w:szCs w:val="24"/>
        </w:rPr>
      </w:pPr>
      <w:r w:rsidRPr="008E4E99">
        <w:rPr>
          <w:sz w:val="24"/>
          <w:szCs w:val="24"/>
        </w:rPr>
        <w:t xml:space="preserve">Non-kliniske studier har identificeret målorganer for toksicitet, som er i overensstemmelse med kliniske observationer. Der blev set forbigående stigninger i leverenzymer og hepatocytforandringer (nekrose og reduktion i glycogenpartikler) hos rotter, og reducerede niveauer af plasmaleptin blev bemærket. Der blev observeret øget hjertefrekvens hos rotter, kaniner, hunde og aber. </w:t>
      </w:r>
    </w:p>
    <w:p w14:paraId="638E8918" w14:textId="77777777" w:rsidR="008E4E99" w:rsidRPr="008E4E99" w:rsidRDefault="008E4E99" w:rsidP="008E4E99">
      <w:pPr>
        <w:tabs>
          <w:tab w:val="left" w:pos="851"/>
        </w:tabs>
        <w:ind w:left="851"/>
        <w:rPr>
          <w:sz w:val="24"/>
          <w:szCs w:val="24"/>
        </w:rPr>
      </w:pPr>
      <w:r w:rsidRPr="008E4E99">
        <w:rPr>
          <w:sz w:val="24"/>
          <w:szCs w:val="24"/>
        </w:rPr>
        <w:t xml:space="preserve">Genotoksicitets- og karcinogenicitetsstudier har ikke påvist genotoksisk eller karcinogent potentiale </w:t>
      </w:r>
      <w:r w:rsidRPr="008E4E99">
        <w:rPr>
          <w:i/>
          <w:sz w:val="24"/>
          <w:szCs w:val="24"/>
        </w:rPr>
        <w:t>in vivo</w:t>
      </w:r>
      <w:r w:rsidRPr="008E4E99">
        <w:rPr>
          <w:sz w:val="24"/>
          <w:szCs w:val="24"/>
        </w:rPr>
        <w:t xml:space="preserve">. </w:t>
      </w:r>
    </w:p>
    <w:p w14:paraId="6E2E5693" w14:textId="77777777" w:rsidR="008E4E99" w:rsidRPr="008E4E99" w:rsidRDefault="008E4E99" w:rsidP="008E4E99">
      <w:pPr>
        <w:tabs>
          <w:tab w:val="left" w:pos="851"/>
        </w:tabs>
        <w:ind w:left="851"/>
        <w:rPr>
          <w:sz w:val="24"/>
          <w:szCs w:val="24"/>
        </w:rPr>
      </w:pPr>
      <w:r w:rsidRPr="008E4E99">
        <w:rPr>
          <w:sz w:val="24"/>
          <w:szCs w:val="24"/>
        </w:rPr>
        <w:t xml:space="preserve"> </w:t>
      </w:r>
    </w:p>
    <w:p w14:paraId="02BC4516" w14:textId="77777777" w:rsidR="008E4E99" w:rsidRPr="008E4E99" w:rsidRDefault="008E4E99" w:rsidP="008E4E99">
      <w:pPr>
        <w:tabs>
          <w:tab w:val="left" w:pos="851"/>
        </w:tabs>
        <w:ind w:left="851"/>
        <w:rPr>
          <w:sz w:val="24"/>
          <w:szCs w:val="24"/>
        </w:rPr>
      </w:pPr>
      <w:r w:rsidRPr="008E4E99">
        <w:rPr>
          <w:sz w:val="24"/>
          <w:szCs w:val="24"/>
        </w:rPr>
        <w:t xml:space="preserve">Mirabegron havde ingen mærkbar virkning på niveauet af gonadotropiner eller steroide kønshormoner. Derudover blev der ikke observeret nogen virkning på fertilitet ved subletale doser (den ækvivalente humane dosis var 19 gange højere end den maksimale anbefalede humane dosis (MRHD)). De væsentligste fund i embryoføtale udviklingsstudier hos kaniner omfattede misdannelser i hjertet (dilateret aorta, kardiomegali) ved systemiske eksponeringer, der var 36 gange højere end dem, der blev observeret ved MRHD. Der blev desuden observeret misdannelser i lungerne (fraværende accessorisk lungelap) og øget tab efter implantation hos kaninen ved systemiske eksponeringer, som var 14 gange højere end dem, der blev observeret ved MRHD, mens der hos rotten blev bemærket reversibel virkning på ossifikation (bølgede ribben, forsinket ossifikation, reduceret antal ossificerede sternebrae, metacarpi eller metatarsi) ved systemiske eksponeringer, der var 22 gange højere end dem, der blev observeret ved MRHD. Den observerede embryoføtale toksicitet forekom ved doser associeret med maternel toksicitet. Det blev påvist, at de hos kaninen observerede kardiovaskulære misdannelser medieres via aktivering af beta </w:t>
      </w:r>
    </w:p>
    <w:p w14:paraId="0BB2FDE4" w14:textId="77777777" w:rsidR="008E4E99" w:rsidRPr="008E4E99" w:rsidRDefault="008E4E99" w:rsidP="008E4E99">
      <w:pPr>
        <w:tabs>
          <w:tab w:val="left" w:pos="851"/>
        </w:tabs>
        <w:ind w:left="851"/>
        <w:rPr>
          <w:sz w:val="24"/>
          <w:szCs w:val="24"/>
        </w:rPr>
      </w:pPr>
      <w:r w:rsidRPr="008E4E99">
        <w:rPr>
          <w:sz w:val="24"/>
          <w:szCs w:val="24"/>
        </w:rPr>
        <w:t xml:space="preserve">1-adrenoceptoren. </w:t>
      </w:r>
    </w:p>
    <w:p w14:paraId="6CC2BD57" w14:textId="77777777" w:rsidR="008E4E99" w:rsidRPr="008E4E99" w:rsidRDefault="008E4E99" w:rsidP="008E4E99">
      <w:pPr>
        <w:tabs>
          <w:tab w:val="left" w:pos="851"/>
        </w:tabs>
        <w:ind w:left="851"/>
        <w:rPr>
          <w:sz w:val="24"/>
          <w:szCs w:val="24"/>
        </w:rPr>
      </w:pPr>
      <w:r w:rsidRPr="008E4E99">
        <w:rPr>
          <w:sz w:val="24"/>
          <w:szCs w:val="24"/>
        </w:rPr>
        <w:t xml:space="preserve"> </w:t>
      </w:r>
    </w:p>
    <w:p w14:paraId="05E69535" w14:textId="77777777" w:rsidR="008E4E99" w:rsidRPr="008E4E99" w:rsidRDefault="008E4E99" w:rsidP="008E4E99">
      <w:pPr>
        <w:tabs>
          <w:tab w:val="left" w:pos="851"/>
        </w:tabs>
        <w:ind w:left="851"/>
        <w:rPr>
          <w:sz w:val="24"/>
          <w:szCs w:val="24"/>
        </w:rPr>
      </w:pPr>
      <w:r w:rsidRPr="008E4E99">
        <w:rPr>
          <w:sz w:val="24"/>
          <w:szCs w:val="24"/>
        </w:rPr>
        <w:t xml:space="preserve">Den samlede sikkerhedsprofil, som ses hos juvenile rotter, kunne sammenlignes med den, der ses hos voksne dyr. Juvenile rotter, der fik mirabegron oralt i 13 uger, viste stigninger i </w:t>
      </w:r>
      <w:r w:rsidRPr="008E4E99">
        <w:rPr>
          <w:sz w:val="24"/>
          <w:szCs w:val="24"/>
        </w:rPr>
        <w:lastRenderedPageBreak/>
        <w:t xml:space="preserve">leverenzymer med en stigning i levervægt uden histopatologiske fund ved systemiske eksponeringer, der var ca. 12 gange højere end den forventede humane systemiske eksponering hos børn. Sikkerhedsstudier med gentagen dosis udført med juvenile rotter påviste ingen virkning på fysisk udvikling eller seksuel modning. Administration af mirabegron fra afvænning til og med seksuel modning havde ingen indvirkning på parringsevne, fertilitet eller embryoføtal udvikling. Administration af mirabegron øgede lipolyse og madindtag samt reducerede kropsvægtøgningen hos juvenile rotter. </w:t>
      </w:r>
    </w:p>
    <w:p w14:paraId="79F6B817" w14:textId="77777777" w:rsidR="008E4E99" w:rsidRPr="008E4E99" w:rsidRDefault="008E4E99" w:rsidP="008E4E99">
      <w:pPr>
        <w:tabs>
          <w:tab w:val="left" w:pos="851"/>
        </w:tabs>
        <w:ind w:left="851"/>
        <w:rPr>
          <w:sz w:val="24"/>
          <w:szCs w:val="24"/>
        </w:rPr>
      </w:pPr>
      <w:r w:rsidRPr="008E4E99">
        <w:rPr>
          <w:sz w:val="24"/>
          <w:szCs w:val="24"/>
        </w:rPr>
        <w:t xml:space="preserve"> </w:t>
      </w:r>
    </w:p>
    <w:p w14:paraId="09014025" w14:textId="77777777" w:rsidR="008E4E99" w:rsidRPr="008E4E99" w:rsidRDefault="008E4E99" w:rsidP="008E4E99">
      <w:pPr>
        <w:tabs>
          <w:tab w:val="left" w:pos="851"/>
        </w:tabs>
        <w:ind w:left="851"/>
        <w:rPr>
          <w:sz w:val="24"/>
          <w:szCs w:val="24"/>
        </w:rPr>
      </w:pPr>
      <w:r w:rsidRPr="008E4E99">
        <w:rPr>
          <w:sz w:val="24"/>
          <w:szCs w:val="24"/>
        </w:rPr>
        <w:t>Farmakokinetiske studier udført med radioaktivt mærket mirabegron har påvist, at modersubstansen og/eller metabolitter deraf udskilles i rottemælk i niveauer, der var ca. 1,7 gange højere end plasmaniveauerne 4 timer efter administration (se pkt. 4.6).</w:t>
      </w:r>
    </w:p>
    <w:p w14:paraId="1006939A" w14:textId="77777777" w:rsidR="008E4E99" w:rsidRPr="008E4E99" w:rsidRDefault="008E4E99" w:rsidP="008E4E99">
      <w:pPr>
        <w:tabs>
          <w:tab w:val="left" w:pos="851"/>
        </w:tabs>
        <w:ind w:left="851"/>
        <w:rPr>
          <w:sz w:val="24"/>
          <w:szCs w:val="24"/>
        </w:rPr>
      </w:pPr>
    </w:p>
    <w:p w14:paraId="49FF3BEA" w14:textId="77777777" w:rsidR="009260DE" w:rsidRPr="00C84483" w:rsidRDefault="009260DE" w:rsidP="004931E3">
      <w:pPr>
        <w:tabs>
          <w:tab w:val="left" w:pos="851"/>
        </w:tabs>
        <w:ind w:left="851"/>
        <w:rPr>
          <w:sz w:val="24"/>
          <w:szCs w:val="24"/>
        </w:rPr>
      </w:pPr>
    </w:p>
    <w:p w14:paraId="5FAA6562" w14:textId="77777777" w:rsidR="009260DE" w:rsidRPr="00C84483" w:rsidRDefault="009260DE" w:rsidP="004931E3">
      <w:pPr>
        <w:tabs>
          <w:tab w:val="left" w:pos="851"/>
        </w:tabs>
        <w:ind w:left="851" w:hanging="851"/>
        <w:rPr>
          <w:b/>
          <w:sz w:val="24"/>
          <w:szCs w:val="24"/>
        </w:rPr>
      </w:pPr>
      <w:r w:rsidRPr="00C84483">
        <w:rPr>
          <w:b/>
          <w:sz w:val="24"/>
          <w:szCs w:val="24"/>
        </w:rPr>
        <w:t>6.</w:t>
      </w:r>
      <w:r w:rsidRPr="00C84483">
        <w:rPr>
          <w:b/>
          <w:sz w:val="24"/>
          <w:szCs w:val="24"/>
        </w:rPr>
        <w:tab/>
        <w:t>FARMACEUTISKE OPLYSNINGER</w:t>
      </w:r>
    </w:p>
    <w:p w14:paraId="27005797" w14:textId="77777777" w:rsidR="009260DE" w:rsidRPr="00BA09F1" w:rsidRDefault="009260DE" w:rsidP="004931E3">
      <w:pPr>
        <w:tabs>
          <w:tab w:val="left" w:pos="851"/>
        </w:tabs>
        <w:ind w:left="851"/>
        <w:rPr>
          <w:sz w:val="24"/>
          <w:szCs w:val="24"/>
        </w:rPr>
      </w:pPr>
    </w:p>
    <w:p w14:paraId="532D006A" w14:textId="77777777" w:rsidR="009260DE" w:rsidRPr="00C84483" w:rsidRDefault="009260DE" w:rsidP="004931E3">
      <w:pPr>
        <w:tabs>
          <w:tab w:val="left" w:pos="851"/>
        </w:tabs>
        <w:ind w:left="851" w:hanging="851"/>
        <w:rPr>
          <w:b/>
          <w:sz w:val="24"/>
          <w:szCs w:val="24"/>
        </w:rPr>
      </w:pPr>
      <w:r w:rsidRPr="00C84483">
        <w:rPr>
          <w:b/>
          <w:sz w:val="24"/>
          <w:szCs w:val="24"/>
        </w:rPr>
        <w:t>6.1</w:t>
      </w:r>
      <w:r w:rsidRPr="00C84483">
        <w:rPr>
          <w:b/>
          <w:sz w:val="24"/>
          <w:szCs w:val="24"/>
        </w:rPr>
        <w:tab/>
        <w:t>Hjælpestoffer</w:t>
      </w:r>
    </w:p>
    <w:p w14:paraId="45DB2B8A" w14:textId="77777777" w:rsidR="008E4E99" w:rsidRPr="008E4E99" w:rsidRDefault="008E4E99" w:rsidP="008E4E99">
      <w:pPr>
        <w:tabs>
          <w:tab w:val="left" w:pos="851"/>
        </w:tabs>
        <w:ind w:left="851"/>
        <w:rPr>
          <w:bCs/>
          <w:sz w:val="24"/>
          <w:szCs w:val="24"/>
        </w:rPr>
      </w:pPr>
    </w:p>
    <w:p w14:paraId="04222A59" w14:textId="77777777" w:rsidR="008E4E99" w:rsidRPr="008E4E99" w:rsidRDefault="008E4E99" w:rsidP="008E4E99">
      <w:pPr>
        <w:tabs>
          <w:tab w:val="left" w:pos="851"/>
        </w:tabs>
        <w:ind w:left="851"/>
        <w:rPr>
          <w:bCs/>
          <w:sz w:val="24"/>
          <w:szCs w:val="24"/>
          <w:u w:val="single"/>
        </w:rPr>
      </w:pPr>
      <w:r w:rsidRPr="008E4E99">
        <w:rPr>
          <w:bCs/>
          <w:sz w:val="24"/>
          <w:szCs w:val="24"/>
          <w:u w:val="single"/>
        </w:rPr>
        <w:t>Tabletkerne</w:t>
      </w:r>
    </w:p>
    <w:p w14:paraId="2DBF4A50" w14:textId="77777777" w:rsidR="008E4E99" w:rsidRPr="008E4E99" w:rsidRDefault="008E4E99" w:rsidP="008E4E99">
      <w:pPr>
        <w:tabs>
          <w:tab w:val="left" w:pos="851"/>
        </w:tabs>
        <w:ind w:left="851"/>
        <w:rPr>
          <w:sz w:val="24"/>
          <w:szCs w:val="24"/>
        </w:rPr>
      </w:pPr>
      <w:r w:rsidRPr="008E4E99">
        <w:rPr>
          <w:sz w:val="24"/>
          <w:szCs w:val="24"/>
        </w:rPr>
        <w:t>Macrogol 2.000.000</w:t>
      </w:r>
    </w:p>
    <w:p w14:paraId="1E929876" w14:textId="77777777" w:rsidR="008E4E99" w:rsidRPr="008E4E99" w:rsidRDefault="008E4E99" w:rsidP="008E4E99">
      <w:pPr>
        <w:tabs>
          <w:tab w:val="left" w:pos="851"/>
        </w:tabs>
        <w:ind w:left="851"/>
        <w:rPr>
          <w:sz w:val="24"/>
          <w:szCs w:val="24"/>
        </w:rPr>
      </w:pPr>
      <w:r w:rsidRPr="008E4E99">
        <w:rPr>
          <w:sz w:val="24"/>
          <w:szCs w:val="24"/>
        </w:rPr>
        <w:t>Mikrokrystallinsk cellulose (E460)</w:t>
      </w:r>
    </w:p>
    <w:p w14:paraId="78EF9F96" w14:textId="77777777" w:rsidR="008E4E99" w:rsidRPr="008E4E99" w:rsidRDefault="008E4E99" w:rsidP="008E4E99">
      <w:pPr>
        <w:tabs>
          <w:tab w:val="left" w:pos="851"/>
        </w:tabs>
        <w:ind w:left="851"/>
        <w:rPr>
          <w:sz w:val="24"/>
          <w:szCs w:val="24"/>
        </w:rPr>
      </w:pPr>
      <w:r w:rsidRPr="008E4E99">
        <w:rPr>
          <w:sz w:val="24"/>
          <w:szCs w:val="24"/>
        </w:rPr>
        <w:t>Hypromellose</w:t>
      </w:r>
    </w:p>
    <w:p w14:paraId="1BCA2A97" w14:textId="77777777" w:rsidR="008E4E99" w:rsidRPr="008E4E99" w:rsidRDefault="008E4E99" w:rsidP="008E4E99">
      <w:pPr>
        <w:tabs>
          <w:tab w:val="left" w:pos="851"/>
        </w:tabs>
        <w:ind w:left="851"/>
        <w:rPr>
          <w:sz w:val="24"/>
          <w:szCs w:val="24"/>
        </w:rPr>
      </w:pPr>
      <w:r w:rsidRPr="008E4E99">
        <w:rPr>
          <w:sz w:val="24"/>
          <w:szCs w:val="24"/>
        </w:rPr>
        <w:t>Hydroxypropylcellulose (E463)</w:t>
      </w:r>
    </w:p>
    <w:p w14:paraId="35D0A851" w14:textId="77777777" w:rsidR="008E4E99" w:rsidRPr="008E4E99" w:rsidRDefault="008E4E99" w:rsidP="008E4E99">
      <w:pPr>
        <w:tabs>
          <w:tab w:val="left" w:pos="851"/>
        </w:tabs>
        <w:ind w:left="851"/>
        <w:rPr>
          <w:sz w:val="24"/>
          <w:szCs w:val="24"/>
        </w:rPr>
      </w:pPr>
      <w:r w:rsidRPr="008E4E99">
        <w:rPr>
          <w:sz w:val="24"/>
          <w:szCs w:val="24"/>
        </w:rPr>
        <w:t>Butylhydroxytoluen</w:t>
      </w:r>
    </w:p>
    <w:p w14:paraId="20D5ED84" w14:textId="77777777" w:rsidR="008E4E99" w:rsidRPr="008E4E99" w:rsidRDefault="008E4E99" w:rsidP="008E4E99">
      <w:pPr>
        <w:tabs>
          <w:tab w:val="left" w:pos="851"/>
        </w:tabs>
        <w:ind w:left="851"/>
        <w:rPr>
          <w:sz w:val="24"/>
          <w:szCs w:val="24"/>
        </w:rPr>
      </w:pPr>
      <w:r w:rsidRPr="008E4E99">
        <w:rPr>
          <w:sz w:val="24"/>
          <w:szCs w:val="24"/>
        </w:rPr>
        <w:t>Magnesiumstearat (E572)</w:t>
      </w:r>
    </w:p>
    <w:p w14:paraId="4A059C5F" w14:textId="77777777" w:rsidR="008E4E99" w:rsidRPr="008E4E99" w:rsidRDefault="008E4E99" w:rsidP="008E4E99">
      <w:pPr>
        <w:tabs>
          <w:tab w:val="left" w:pos="851"/>
        </w:tabs>
        <w:ind w:left="851"/>
        <w:rPr>
          <w:sz w:val="24"/>
          <w:szCs w:val="24"/>
        </w:rPr>
      </w:pPr>
      <w:r w:rsidRPr="008E4E99">
        <w:rPr>
          <w:sz w:val="24"/>
          <w:szCs w:val="24"/>
        </w:rPr>
        <w:t>Kolloid vandfri silica</w:t>
      </w:r>
    </w:p>
    <w:p w14:paraId="544CC3EC" w14:textId="77777777" w:rsidR="008E4E99" w:rsidRPr="008E4E99" w:rsidRDefault="008E4E99" w:rsidP="008E4E99">
      <w:pPr>
        <w:tabs>
          <w:tab w:val="left" w:pos="851"/>
        </w:tabs>
        <w:ind w:left="851"/>
        <w:rPr>
          <w:sz w:val="24"/>
          <w:szCs w:val="24"/>
        </w:rPr>
      </w:pPr>
    </w:p>
    <w:p w14:paraId="200525A7" w14:textId="77777777" w:rsidR="008E4E99" w:rsidRPr="008E4E99" w:rsidRDefault="008E4E99" w:rsidP="008E4E99">
      <w:pPr>
        <w:tabs>
          <w:tab w:val="left" w:pos="851"/>
        </w:tabs>
        <w:ind w:left="851"/>
        <w:rPr>
          <w:sz w:val="24"/>
          <w:szCs w:val="24"/>
          <w:u w:val="single"/>
        </w:rPr>
      </w:pPr>
      <w:r w:rsidRPr="008E4E99">
        <w:rPr>
          <w:sz w:val="24"/>
          <w:szCs w:val="24"/>
          <w:u w:val="single"/>
        </w:rPr>
        <w:t>Filmovertræk</w:t>
      </w:r>
    </w:p>
    <w:p w14:paraId="0082473F" w14:textId="77777777" w:rsidR="008E4E99" w:rsidRPr="008E4E99" w:rsidRDefault="008E4E99" w:rsidP="008E4E99">
      <w:pPr>
        <w:tabs>
          <w:tab w:val="left" w:pos="851"/>
        </w:tabs>
        <w:ind w:left="851"/>
        <w:rPr>
          <w:sz w:val="24"/>
          <w:szCs w:val="24"/>
        </w:rPr>
      </w:pPr>
      <w:r w:rsidRPr="008E4E99">
        <w:rPr>
          <w:sz w:val="24"/>
          <w:szCs w:val="24"/>
        </w:rPr>
        <w:t>Poly(vinylalkohol) (E1209)</w:t>
      </w:r>
    </w:p>
    <w:p w14:paraId="20F3EB9E" w14:textId="77777777" w:rsidR="008E4E99" w:rsidRPr="008E4E99" w:rsidRDefault="008E4E99" w:rsidP="008E4E99">
      <w:pPr>
        <w:tabs>
          <w:tab w:val="left" w:pos="851"/>
        </w:tabs>
        <w:ind w:left="851"/>
        <w:rPr>
          <w:sz w:val="24"/>
          <w:szCs w:val="24"/>
        </w:rPr>
      </w:pPr>
      <w:r w:rsidRPr="008E4E99">
        <w:rPr>
          <w:sz w:val="24"/>
          <w:szCs w:val="24"/>
        </w:rPr>
        <w:t>Titandioxid (E171)</w:t>
      </w:r>
    </w:p>
    <w:p w14:paraId="48A2DAED" w14:textId="77777777" w:rsidR="008E4E99" w:rsidRPr="008E4E99" w:rsidRDefault="008E4E99" w:rsidP="008E4E99">
      <w:pPr>
        <w:tabs>
          <w:tab w:val="left" w:pos="851"/>
        </w:tabs>
        <w:ind w:left="851"/>
        <w:rPr>
          <w:sz w:val="24"/>
          <w:szCs w:val="24"/>
        </w:rPr>
      </w:pPr>
      <w:r w:rsidRPr="008E4E99">
        <w:rPr>
          <w:sz w:val="24"/>
          <w:szCs w:val="24"/>
        </w:rPr>
        <w:t>Macrogol 3350</w:t>
      </w:r>
    </w:p>
    <w:p w14:paraId="2AB582DD" w14:textId="77777777" w:rsidR="008E4E99" w:rsidRPr="008E4E99" w:rsidRDefault="008E4E99" w:rsidP="008E4E99">
      <w:pPr>
        <w:tabs>
          <w:tab w:val="left" w:pos="851"/>
        </w:tabs>
        <w:ind w:left="851"/>
        <w:rPr>
          <w:sz w:val="24"/>
          <w:szCs w:val="24"/>
        </w:rPr>
      </w:pPr>
      <w:r w:rsidRPr="008E4E99">
        <w:rPr>
          <w:sz w:val="24"/>
          <w:szCs w:val="24"/>
        </w:rPr>
        <w:t>Talcum (E553b)</w:t>
      </w:r>
    </w:p>
    <w:p w14:paraId="40EF86AF" w14:textId="77777777" w:rsidR="009260DE" w:rsidRPr="00C84483" w:rsidRDefault="009260DE" w:rsidP="004931E3">
      <w:pPr>
        <w:tabs>
          <w:tab w:val="left" w:pos="851"/>
        </w:tabs>
        <w:ind w:left="851"/>
        <w:rPr>
          <w:sz w:val="24"/>
          <w:szCs w:val="24"/>
        </w:rPr>
      </w:pPr>
    </w:p>
    <w:p w14:paraId="400EBE7E" w14:textId="77777777" w:rsidR="009260DE" w:rsidRPr="00C84483" w:rsidRDefault="009260DE" w:rsidP="004931E3">
      <w:pPr>
        <w:tabs>
          <w:tab w:val="left" w:pos="851"/>
        </w:tabs>
        <w:ind w:left="851" w:hanging="851"/>
        <w:rPr>
          <w:b/>
          <w:sz w:val="24"/>
          <w:szCs w:val="24"/>
        </w:rPr>
      </w:pPr>
      <w:r w:rsidRPr="00C84483">
        <w:rPr>
          <w:b/>
          <w:sz w:val="24"/>
          <w:szCs w:val="24"/>
        </w:rPr>
        <w:t>6.2</w:t>
      </w:r>
      <w:r w:rsidRPr="00C84483">
        <w:rPr>
          <w:b/>
          <w:sz w:val="24"/>
          <w:szCs w:val="24"/>
        </w:rPr>
        <w:tab/>
        <w:t>Uforligeligheder</w:t>
      </w:r>
    </w:p>
    <w:p w14:paraId="690EE327" w14:textId="77777777" w:rsidR="008E4E99" w:rsidRPr="008E4E99" w:rsidRDefault="008E4E99" w:rsidP="008E4E99">
      <w:pPr>
        <w:tabs>
          <w:tab w:val="left" w:pos="851"/>
        </w:tabs>
        <w:ind w:left="851"/>
        <w:rPr>
          <w:sz w:val="24"/>
          <w:szCs w:val="24"/>
        </w:rPr>
      </w:pPr>
      <w:r w:rsidRPr="008E4E99">
        <w:rPr>
          <w:sz w:val="24"/>
          <w:szCs w:val="24"/>
        </w:rPr>
        <w:t>Ikke relevant.</w:t>
      </w:r>
    </w:p>
    <w:p w14:paraId="1B495595" w14:textId="77777777" w:rsidR="009260DE" w:rsidRPr="00C84483" w:rsidRDefault="009260DE" w:rsidP="004931E3">
      <w:pPr>
        <w:tabs>
          <w:tab w:val="left" w:pos="851"/>
        </w:tabs>
        <w:ind w:left="851"/>
        <w:rPr>
          <w:sz w:val="24"/>
          <w:szCs w:val="24"/>
        </w:rPr>
      </w:pPr>
    </w:p>
    <w:p w14:paraId="6764E408" w14:textId="77777777" w:rsidR="009260DE" w:rsidRPr="00C84483" w:rsidRDefault="009260DE" w:rsidP="004931E3">
      <w:pPr>
        <w:tabs>
          <w:tab w:val="left" w:pos="851"/>
        </w:tabs>
        <w:ind w:left="851" w:hanging="851"/>
        <w:rPr>
          <w:b/>
          <w:sz w:val="24"/>
          <w:szCs w:val="24"/>
        </w:rPr>
      </w:pPr>
      <w:r w:rsidRPr="00C84483">
        <w:rPr>
          <w:b/>
          <w:sz w:val="24"/>
          <w:szCs w:val="24"/>
        </w:rPr>
        <w:t>6.3</w:t>
      </w:r>
      <w:r w:rsidRPr="00C84483">
        <w:rPr>
          <w:b/>
          <w:sz w:val="24"/>
          <w:szCs w:val="24"/>
        </w:rPr>
        <w:tab/>
        <w:t>Opbevaringstid</w:t>
      </w:r>
    </w:p>
    <w:p w14:paraId="02E43204" w14:textId="581D656A" w:rsidR="008E4E99" w:rsidRPr="008E4E99" w:rsidRDefault="008E4E99" w:rsidP="008E4E99">
      <w:pPr>
        <w:tabs>
          <w:tab w:val="left" w:pos="851"/>
        </w:tabs>
        <w:ind w:left="851"/>
        <w:rPr>
          <w:sz w:val="24"/>
          <w:szCs w:val="24"/>
        </w:rPr>
      </w:pPr>
      <w:r w:rsidRPr="008E4E99">
        <w:rPr>
          <w:sz w:val="24"/>
          <w:szCs w:val="24"/>
        </w:rPr>
        <w:t>3 år</w:t>
      </w:r>
      <w:r>
        <w:rPr>
          <w:sz w:val="24"/>
          <w:szCs w:val="24"/>
        </w:rPr>
        <w:t>.</w:t>
      </w:r>
    </w:p>
    <w:p w14:paraId="4FA7623E" w14:textId="77777777" w:rsidR="009260DE" w:rsidRPr="00C84483" w:rsidRDefault="009260DE" w:rsidP="004931E3">
      <w:pPr>
        <w:tabs>
          <w:tab w:val="left" w:pos="851"/>
        </w:tabs>
        <w:ind w:left="851"/>
        <w:rPr>
          <w:sz w:val="24"/>
          <w:szCs w:val="24"/>
        </w:rPr>
      </w:pPr>
    </w:p>
    <w:p w14:paraId="6370C242" w14:textId="77777777" w:rsidR="009260DE" w:rsidRPr="00C84483" w:rsidRDefault="009260DE" w:rsidP="004931E3">
      <w:pPr>
        <w:tabs>
          <w:tab w:val="left" w:pos="851"/>
        </w:tabs>
        <w:ind w:left="851" w:hanging="851"/>
        <w:rPr>
          <w:b/>
          <w:sz w:val="24"/>
          <w:szCs w:val="24"/>
        </w:rPr>
      </w:pPr>
      <w:r w:rsidRPr="00C84483">
        <w:rPr>
          <w:b/>
          <w:sz w:val="24"/>
          <w:szCs w:val="24"/>
        </w:rPr>
        <w:t>6.4</w:t>
      </w:r>
      <w:r w:rsidRPr="00C84483">
        <w:rPr>
          <w:b/>
          <w:sz w:val="24"/>
          <w:szCs w:val="24"/>
        </w:rPr>
        <w:tab/>
        <w:t>Særlige opbevaringsforhold</w:t>
      </w:r>
    </w:p>
    <w:p w14:paraId="7F539D7C" w14:textId="77777777" w:rsidR="007F2B9F" w:rsidRPr="007F2B9F" w:rsidRDefault="007F2B9F" w:rsidP="007F2B9F">
      <w:pPr>
        <w:tabs>
          <w:tab w:val="left" w:pos="851"/>
        </w:tabs>
        <w:ind w:left="851"/>
        <w:rPr>
          <w:sz w:val="24"/>
          <w:szCs w:val="24"/>
        </w:rPr>
      </w:pPr>
      <w:r w:rsidRPr="007F2B9F">
        <w:rPr>
          <w:sz w:val="24"/>
          <w:szCs w:val="24"/>
        </w:rPr>
        <w:t>Dette lægemiddel kræver ingen særlige forholdsregler vedrørende opbevaringen.</w:t>
      </w:r>
    </w:p>
    <w:p w14:paraId="64952F35" w14:textId="77777777" w:rsidR="009260DE" w:rsidRPr="00C84483" w:rsidRDefault="009260DE" w:rsidP="004931E3">
      <w:pPr>
        <w:tabs>
          <w:tab w:val="left" w:pos="851"/>
        </w:tabs>
        <w:ind w:left="851"/>
        <w:rPr>
          <w:sz w:val="24"/>
          <w:szCs w:val="24"/>
        </w:rPr>
      </w:pPr>
    </w:p>
    <w:p w14:paraId="4A40E609" w14:textId="77777777" w:rsidR="009260DE" w:rsidRPr="00C84483" w:rsidRDefault="009260DE" w:rsidP="004931E3">
      <w:pPr>
        <w:tabs>
          <w:tab w:val="left" w:pos="851"/>
        </w:tabs>
        <w:ind w:left="851" w:hanging="851"/>
        <w:rPr>
          <w:b/>
          <w:sz w:val="24"/>
          <w:szCs w:val="24"/>
        </w:rPr>
      </w:pPr>
      <w:r w:rsidRPr="00C84483">
        <w:rPr>
          <w:b/>
          <w:sz w:val="24"/>
          <w:szCs w:val="24"/>
        </w:rPr>
        <w:t>6.5</w:t>
      </w:r>
      <w:r w:rsidRPr="00C84483">
        <w:rPr>
          <w:b/>
          <w:sz w:val="24"/>
          <w:szCs w:val="24"/>
        </w:rPr>
        <w:tab/>
        <w:t>Emballagetype og pakningsstørrelser</w:t>
      </w:r>
    </w:p>
    <w:p w14:paraId="2B98E870" w14:textId="21FA721F" w:rsidR="007F2B9F" w:rsidRPr="007F2B9F" w:rsidRDefault="007F2B9F" w:rsidP="007F2B9F">
      <w:pPr>
        <w:tabs>
          <w:tab w:val="left" w:pos="851"/>
        </w:tabs>
        <w:ind w:left="851"/>
        <w:rPr>
          <w:sz w:val="24"/>
          <w:szCs w:val="24"/>
        </w:rPr>
      </w:pPr>
      <w:r w:rsidRPr="007F2B9F">
        <w:rPr>
          <w:sz w:val="24"/>
          <w:szCs w:val="24"/>
        </w:rPr>
        <w:t>Uigennemsigtig OPA/Alu/PVC//Alu-blisterpakning</w:t>
      </w:r>
      <w:r>
        <w:rPr>
          <w:sz w:val="24"/>
          <w:szCs w:val="24"/>
        </w:rPr>
        <w:t xml:space="preserve">, </w:t>
      </w:r>
      <w:r w:rsidRPr="007F2B9F">
        <w:rPr>
          <w:sz w:val="24"/>
          <w:szCs w:val="24"/>
        </w:rPr>
        <w:t>i kartonæske.</w:t>
      </w:r>
    </w:p>
    <w:p w14:paraId="2419D09A" w14:textId="77777777" w:rsidR="007F2B9F" w:rsidRPr="007F2B9F" w:rsidRDefault="007F2B9F" w:rsidP="007F2B9F">
      <w:pPr>
        <w:tabs>
          <w:tab w:val="left" w:pos="851"/>
        </w:tabs>
        <w:ind w:left="851"/>
        <w:rPr>
          <w:sz w:val="24"/>
          <w:szCs w:val="24"/>
        </w:rPr>
      </w:pPr>
    </w:p>
    <w:p w14:paraId="0D647B77" w14:textId="42B37162" w:rsidR="007F2B9F" w:rsidRPr="007F2B9F" w:rsidRDefault="007F2B9F" w:rsidP="007F2B9F">
      <w:pPr>
        <w:tabs>
          <w:tab w:val="left" w:pos="851"/>
        </w:tabs>
        <w:ind w:left="851"/>
        <w:rPr>
          <w:sz w:val="24"/>
          <w:szCs w:val="24"/>
        </w:rPr>
      </w:pPr>
      <w:r w:rsidRPr="007F2B9F">
        <w:rPr>
          <w:sz w:val="24"/>
          <w:szCs w:val="24"/>
        </w:rPr>
        <w:t xml:space="preserve">Pakningsstørrelser: 10, 20, 30, 50, 90 </w:t>
      </w:r>
      <w:r>
        <w:rPr>
          <w:sz w:val="24"/>
          <w:szCs w:val="24"/>
        </w:rPr>
        <w:t>og</w:t>
      </w:r>
      <w:r w:rsidRPr="007F2B9F">
        <w:rPr>
          <w:sz w:val="24"/>
          <w:szCs w:val="24"/>
        </w:rPr>
        <w:t xml:space="preserve"> 100 depottabletter</w:t>
      </w:r>
      <w:r>
        <w:rPr>
          <w:sz w:val="24"/>
          <w:szCs w:val="24"/>
        </w:rPr>
        <w:t>.</w:t>
      </w:r>
    </w:p>
    <w:p w14:paraId="62E13DB3" w14:textId="77777777" w:rsidR="007F2B9F" w:rsidRPr="007F2B9F" w:rsidRDefault="007F2B9F" w:rsidP="007F2B9F">
      <w:pPr>
        <w:tabs>
          <w:tab w:val="left" w:pos="851"/>
        </w:tabs>
        <w:ind w:left="851"/>
        <w:rPr>
          <w:sz w:val="24"/>
          <w:szCs w:val="24"/>
        </w:rPr>
      </w:pPr>
    </w:p>
    <w:p w14:paraId="7608E214" w14:textId="77777777" w:rsidR="007F2B9F" w:rsidRPr="007F2B9F" w:rsidRDefault="007F2B9F" w:rsidP="007F2B9F">
      <w:pPr>
        <w:tabs>
          <w:tab w:val="left" w:pos="851"/>
        </w:tabs>
        <w:ind w:left="851"/>
        <w:rPr>
          <w:sz w:val="24"/>
          <w:szCs w:val="24"/>
        </w:rPr>
      </w:pPr>
      <w:r w:rsidRPr="007F2B9F">
        <w:rPr>
          <w:sz w:val="24"/>
          <w:szCs w:val="24"/>
        </w:rPr>
        <w:t>Ikke alle pakningsstørrelser er nødvendigvis markedsført.</w:t>
      </w:r>
    </w:p>
    <w:p w14:paraId="5BCA7E20" w14:textId="77777777" w:rsidR="009260DE" w:rsidRPr="00C84483" w:rsidRDefault="009260DE" w:rsidP="004931E3">
      <w:pPr>
        <w:tabs>
          <w:tab w:val="left" w:pos="851"/>
        </w:tabs>
        <w:ind w:left="851"/>
        <w:rPr>
          <w:sz w:val="24"/>
          <w:szCs w:val="24"/>
        </w:rPr>
      </w:pPr>
    </w:p>
    <w:p w14:paraId="02558791" w14:textId="77777777" w:rsidR="009260DE" w:rsidRPr="00C84483" w:rsidRDefault="009260DE" w:rsidP="004931E3">
      <w:pPr>
        <w:tabs>
          <w:tab w:val="left" w:pos="851"/>
        </w:tabs>
        <w:ind w:left="851" w:hanging="851"/>
        <w:rPr>
          <w:b/>
          <w:sz w:val="24"/>
          <w:szCs w:val="24"/>
        </w:rPr>
      </w:pPr>
      <w:r w:rsidRPr="00C84483">
        <w:rPr>
          <w:b/>
          <w:sz w:val="24"/>
          <w:szCs w:val="24"/>
        </w:rPr>
        <w:t>6.6</w:t>
      </w:r>
      <w:r w:rsidRPr="00C84483">
        <w:rPr>
          <w:b/>
          <w:sz w:val="24"/>
          <w:szCs w:val="24"/>
        </w:rPr>
        <w:tab/>
        <w:t xml:space="preserve">Regler for </w:t>
      </w:r>
      <w:r w:rsidR="00BD7931">
        <w:rPr>
          <w:b/>
          <w:sz w:val="24"/>
          <w:szCs w:val="24"/>
        </w:rPr>
        <w:t>bortskaffelse</w:t>
      </w:r>
      <w:r w:rsidRPr="00C84483">
        <w:rPr>
          <w:b/>
          <w:sz w:val="24"/>
          <w:szCs w:val="24"/>
        </w:rPr>
        <w:t xml:space="preserve"> og anden håndtering</w:t>
      </w:r>
    </w:p>
    <w:p w14:paraId="1260FD66" w14:textId="77777777" w:rsidR="00952652" w:rsidRPr="00952652" w:rsidRDefault="00952652" w:rsidP="00952652">
      <w:pPr>
        <w:tabs>
          <w:tab w:val="left" w:pos="851"/>
        </w:tabs>
        <w:ind w:left="851"/>
        <w:rPr>
          <w:sz w:val="24"/>
          <w:szCs w:val="24"/>
        </w:rPr>
      </w:pPr>
      <w:r w:rsidRPr="00952652">
        <w:rPr>
          <w:sz w:val="24"/>
          <w:szCs w:val="24"/>
        </w:rPr>
        <w:t>Ikke anvendt lægemiddel samt affald heraf skal bortskaffes i henhold til lokale retningslinjer.</w:t>
      </w:r>
    </w:p>
    <w:p w14:paraId="452AE54F" w14:textId="77777777" w:rsidR="009260DE" w:rsidRPr="00C84483" w:rsidRDefault="009260DE" w:rsidP="004931E3">
      <w:pPr>
        <w:tabs>
          <w:tab w:val="left" w:pos="851"/>
        </w:tabs>
        <w:ind w:left="851"/>
        <w:rPr>
          <w:sz w:val="24"/>
          <w:szCs w:val="24"/>
        </w:rPr>
      </w:pPr>
    </w:p>
    <w:p w14:paraId="19ABDFF8" w14:textId="77777777" w:rsidR="009260DE" w:rsidRPr="00C84483" w:rsidRDefault="009260DE" w:rsidP="004931E3">
      <w:pPr>
        <w:tabs>
          <w:tab w:val="left" w:pos="851"/>
        </w:tabs>
        <w:ind w:left="851" w:hanging="851"/>
        <w:rPr>
          <w:b/>
          <w:sz w:val="24"/>
          <w:szCs w:val="24"/>
        </w:rPr>
      </w:pPr>
      <w:r w:rsidRPr="00C84483">
        <w:rPr>
          <w:b/>
          <w:sz w:val="24"/>
          <w:szCs w:val="24"/>
        </w:rPr>
        <w:t>7.</w:t>
      </w:r>
      <w:r w:rsidRPr="00C84483">
        <w:rPr>
          <w:b/>
          <w:sz w:val="24"/>
          <w:szCs w:val="24"/>
        </w:rPr>
        <w:tab/>
        <w:t>INDEHAVER AF MARKEDSFØRINGSTILLADELSEN</w:t>
      </w:r>
    </w:p>
    <w:p w14:paraId="27D9DF7C" w14:textId="77777777" w:rsidR="00952652" w:rsidRPr="00952652" w:rsidRDefault="00952652" w:rsidP="00952652">
      <w:pPr>
        <w:tabs>
          <w:tab w:val="left" w:pos="851"/>
        </w:tabs>
        <w:ind w:left="851"/>
        <w:rPr>
          <w:bCs/>
          <w:sz w:val="24"/>
          <w:szCs w:val="24"/>
        </w:rPr>
      </w:pPr>
      <w:r w:rsidRPr="00952652">
        <w:rPr>
          <w:bCs/>
          <w:sz w:val="24"/>
          <w:szCs w:val="24"/>
        </w:rPr>
        <w:t>Zentiva k.s.</w:t>
      </w:r>
    </w:p>
    <w:p w14:paraId="6C5F51D0" w14:textId="77777777" w:rsidR="00952652" w:rsidRPr="00952652" w:rsidRDefault="00952652" w:rsidP="00952652">
      <w:pPr>
        <w:tabs>
          <w:tab w:val="left" w:pos="851"/>
        </w:tabs>
        <w:ind w:left="851"/>
        <w:rPr>
          <w:sz w:val="24"/>
          <w:szCs w:val="24"/>
        </w:rPr>
      </w:pPr>
      <w:r w:rsidRPr="00952652">
        <w:rPr>
          <w:sz w:val="24"/>
          <w:szCs w:val="24"/>
        </w:rPr>
        <w:t>U Kabelovny 130</w:t>
      </w:r>
    </w:p>
    <w:p w14:paraId="1FD29A7E" w14:textId="77777777" w:rsidR="00952652" w:rsidRPr="00952652" w:rsidRDefault="00952652" w:rsidP="00952652">
      <w:pPr>
        <w:tabs>
          <w:tab w:val="left" w:pos="851"/>
        </w:tabs>
        <w:ind w:left="851"/>
        <w:rPr>
          <w:sz w:val="24"/>
          <w:szCs w:val="24"/>
        </w:rPr>
      </w:pPr>
      <w:r w:rsidRPr="00952652">
        <w:rPr>
          <w:sz w:val="24"/>
          <w:szCs w:val="24"/>
        </w:rPr>
        <w:t>102 37 Prag 10</w:t>
      </w:r>
    </w:p>
    <w:p w14:paraId="6D7D860C" w14:textId="77777777" w:rsidR="00952652" w:rsidRPr="00952652" w:rsidRDefault="00952652" w:rsidP="00952652">
      <w:pPr>
        <w:tabs>
          <w:tab w:val="left" w:pos="851"/>
        </w:tabs>
        <w:ind w:left="851"/>
        <w:rPr>
          <w:sz w:val="24"/>
          <w:szCs w:val="24"/>
        </w:rPr>
      </w:pPr>
      <w:r w:rsidRPr="00952652">
        <w:rPr>
          <w:sz w:val="24"/>
          <w:szCs w:val="24"/>
        </w:rPr>
        <w:t>Tjekkiet</w:t>
      </w:r>
    </w:p>
    <w:p w14:paraId="038C75FF" w14:textId="77777777" w:rsidR="00952652" w:rsidRPr="00952652" w:rsidRDefault="00952652" w:rsidP="00952652">
      <w:pPr>
        <w:tabs>
          <w:tab w:val="left" w:pos="851"/>
        </w:tabs>
        <w:ind w:left="851"/>
        <w:rPr>
          <w:b/>
          <w:sz w:val="24"/>
          <w:szCs w:val="24"/>
        </w:rPr>
      </w:pPr>
    </w:p>
    <w:p w14:paraId="3E976006" w14:textId="77777777" w:rsidR="00952652" w:rsidRPr="00952652" w:rsidRDefault="00952652" w:rsidP="00952652">
      <w:pPr>
        <w:tabs>
          <w:tab w:val="left" w:pos="851"/>
        </w:tabs>
        <w:ind w:left="851"/>
        <w:rPr>
          <w:sz w:val="24"/>
          <w:szCs w:val="24"/>
        </w:rPr>
      </w:pPr>
      <w:r w:rsidRPr="00952652">
        <w:rPr>
          <w:b/>
          <w:sz w:val="24"/>
          <w:szCs w:val="24"/>
        </w:rPr>
        <w:t>Repræsentant</w:t>
      </w:r>
    </w:p>
    <w:p w14:paraId="504B9C59" w14:textId="77777777" w:rsidR="00952652" w:rsidRPr="00952652" w:rsidRDefault="00952652" w:rsidP="00952652">
      <w:pPr>
        <w:tabs>
          <w:tab w:val="left" w:pos="851"/>
        </w:tabs>
        <w:ind w:left="851"/>
        <w:rPr>
          <w:sz w:val="24"/>
          <w:szCs w:val="24"/>
        </w:rPr>
      </w:pPr>
      <w:r w:rsidRPr="00952652">
        <w:rPr>
          <w:sz w:val="24"/>
          <w:szCs w:val="24"/>
        </w:rPr>
        <w:t>Zentiva Denmark ApS</w:t>
      </w:r>
    </w:p>
    <w:p w14:paraId="7FB9D7D2" w14:textId="77777777" w:rsidR="00952652" w:rsidRPr="00952652" w:rsidRDefault="00952652" w:rsidP="00952652">
      <w:pPr>
        <w:tabs>
          <w:tab w:val="left" w:pos="851"/>
        </w:tabs>
        <w:ind w:left="851"/>
        <w:rPr>
          <w:sz w:val="24"/>
          <w:szCs w:val="24"/>
        </w:rPr>
      </w:pPr>
      <w:r w:rsidRPr="00952652">
        <w:rPr>
          <w:sz w:val="24"/>
          <w:szCs w:val="24"/>
        </w:rPr>
        <w:t xml:space="preserve">Fuglevangsvej 11 </w:t>
      </w:r>
    </w:p>
    <w:p w14:paraId="17999D29" w14:textId="77777777" w:rsidR="00952652" w:rsidRPr="00952652" w:rsidRDefault="00952652" w:rsidP="00952652">
      <w:pPr>
        <w:tabs>
          <w:tab w:val="left" w:pos="851"/>
        </w:tabs>
        <w:ind w:left="851"/>
        <w:rPr>
          <w:sz w:val="24"/>
          <w:szCs w:val="24"/>
        </w:rPr>
      </w:pPr>
      <w:r w:rsidRPr="00952652">
        <w:rPr>
          <w:sz w:val="24"/>
          <w:szCs w:val="24"/>
        </w:rPr>
        <w:t>1962 Frederiksberg</w:t>
      </w:r>
    </w:p>
    <w:p w14:paraId="40859CBA" w14:textId="77777777" w:rsidR="00641C65" w:rsidRPr="00641C65" w:rsidRDefault="00641C65" w:rsidP="004931E3">
      <w:pPr>
        <w:tabs>
          <w:tab w:val="left" w:pos="851"/>
        </w:tabs>
        <w:ind w:left="851"/>
        <w:rPr>
          <w:sz w:val="24"/>
          <w:szCs w:val="24"/>
        </w:rPr>
      </w:pPr>
    </w:p>
    <w:p w14:paraId="60DA6B7A" w14:textId="77777777" w:rsidR="009260DE" w:rsidRPr="00C84483" w:rsidRDefault="009260DE" w:rsidP="004931E3">
      <w:pPr>
        <w:tabs>
          <w:tab w:val="left" w:pos="851"/>
        </w:tabs>
        <w:ind w:left="851" w:hanging="851"/>
        <w:rPr>
          <w:b/>
          <w:sz w:val="24"/>
          <w:szCs w:val="24"/>
        </w:rPr>
      </w:pPr>
      <w:r w:rsidRPr="00C84483">
        <w:rPr>
          <w:b/>
          <w:sz w:val="24"/>
          <w:szCs w:val="24"/>
        </w:rPr>
        <w:t>8.</w:t>
      </w:r>
      <w:r w:rsidRPr="00C84483">
        <w:rPr>
          <w:b/>
          <w:sz w:val="24"/>
          <w:szCs w:val="24"/>
        </w:rPr>
        <w:tab/>
        <w:t>MARKEDSFØRINGSTILLADELSESNUMMER (</w:t>
      </w:r>
      <w:r w:rsidR="00BF6243">
        <w:rPr>
          <w:b/>
          <w:sz w:val="24"/>
          <w:szCs w:val="24"/>
        </w:rPr>
        <w:t>-</w:t>
      </w:r>
      <w:r w:rsidRPr="00C84483">
        <w:rPr>
          <w:b/>
          <w:sz w:val="24"/>
          <w:szCs w:val="24"/>
        </w:rPr>
        <w:t>NUMRE)</w:t>
      </w:r>
    </w:p>
    <w:p w14:paraId="365A1458" w14:textId="69C86E48" w:rsidR="009260DE" w:rsidRPr="00C84483" w:rsidRDefault="00952652" w:rsidP="004931E3">
      <w:pPr>
        <w:tabs>
          <w:tab w:val="left" w:pos="851"/>
        </w:tabs>
        <w:ind w:left="851"/>
        <w:rPr>
          <w:sz w:val="24"/>
          <w:szCs w:val="24"/>
        </w:rPr>
      </w:pPr>
      <w:r>
        <w:rPr>
          <w:sz w:val="24"/>
          <w:szCs w:val="24"/>
        </w:rPr>
        <w:t>72130</w:t>
      </w:r>
    </w:p>
    <w:p w14:paraId="38CB3276" w14:textId="77777777" w:rsidR="009260DE" w:rsidRPr="00C84483" w:rsidRDefault="009260DE" w:rsidP="004931E3">
      <w:pPr>
        <w:tabs>
          <w:tab w:val="left" w:pos="851"/>
        </w:tabs>
        <w:ind w:left="851"/>
        <w:jc w:val="both"/>
        <w:rPr>
          <w:sz w:val="24"/>
          <w:szCs w:val="24"/>
        </w:rPr>
      </w:pPr>
    </w:p>
    <w:p w14:paraId="665B9F13" w14:textId="77777777" w:rsidR="009260DE" w:rsidRPr="00C84483" w:rsidRDefault="009260DE" w:rsidP="004931E3">
      <w:pPr>
        <w:tabs>
          <w:tab w:val="left" w:pos="851"/>
        </w:tabs>
        <w:ind w:left="851" w:hanging="851"/>
        <w:rPr>
          <w:b/>
          <w:sz w:val="24"/>
          <w:szCs w:val="24"/>
        </w:rPr>
      </w:pPr>
      <w:r w:rsidRPr="00C84483">
        <w:rPr>
          <w:b/>
          <w:sz w:val="24"/>
          <w:szCs w:val="24"/>
        </w:rPr>
        <w:t>9.</w:t>
      </w:r>
      <w:r w:rsidRPr="00C84483">
        <w:rPr>
          <w:b/>
          <w:sz w:val="24"/>
          <w:szCs w:val="24"/>
        </w:rPr>
        <w:tab/>
        <w:t>DATO FOR FØRSTE MARKEDSFØRINGSTILLADELSE</w:t>
      </w:r>
    </w:p>
    <w:p w14:paraId="63F27D4F" w14:textId="41D5328E" w:rsidR="009260DE" w:rsidRPr="00C84483" w:rsidRDefault="00E371D5" w:rsidP="004931E3">
      <w:pPr>
        <w:tabs>
          <w:tab w:val="left" w:pos="851"/>
        </w:tabs>
        <w:ind w:left="851"/>
        <w:rPr>
          <w:sz w:val="24"/>
          <w:szCs w:val="24"/>
        </w:rPr>
      </w:pPr>
      <w:r>
        <w:rPr>
          <w:sz w:val="24"/>
          <w:szCs w:val="24"/>
        </w:rPr>
        <w:t>6. september 2024 (depottabletter 50 mg)</w:t>
      </w:r>
    </w:p>
    <w:p w14:paraId="68BE1EA2" w14:textId="77777777" w:rsidR="009260DE" w:rsidRPr="00C84483" w:rsidRDefault="009260DE" w:rsidP="004931E3">
      <w:pPr>
        <w:tabs>
          <w:tab w:val="left" w:pos="851"/>
        </w:tabs>
        <w:ind w:left="851"/>
        <w:rPr>
          <w:sz w:val="24"/>
          <w:szCs w:val="24"/>
        </w:rPr>
      </w:pPr>
    </w:p>
    <w:p w14:paraId="60AA0C02" w14:textId="77777777" w:rsidR="009260DE" w:rsidRPr="00C84483" w:rsidRDefault="009260DE" w:rsidP="004931E3">
      <w:pPr>
        <w:tabs>
          <w:tab w:val="left" w:pos="851"/>
        </w:tabs>
        <w:ind w:left="851" w:hanging="851"/>
        <w:rPr>
          <w:b/>
          <w:sz w:val="24"/>
          <w:szCs w:val="24"/>
        </w:rPr>
      </w:pPr>
      <w:r w:rsidRPr="00C84483">
        <w:rPr>
          <w:b/>
          <w:sz w:val="24"/>
          <w:szCs w:val="24"/>
        </w:rPr>
        <w:t>10.</w:t>
      </w:r>
      <w:r w:rsidRPr="00C84483">
        <w:rPr>
          <w:b/>
          <w:sz w:val="24"/>
          <w:szCs w:val="24"/>
        </w:rPr>
        <w:tab/>
        <w:t>DATO FOR ÆNDRING AF TEKSTEN</w:t>
      </w:r>
    </w:p>
    <w:p w14:paraId="769B9CCA" w14:textId="0A9CF19F" w:rsidR="009260DE" w:rsidRPr="00C84483" w:rsidRDefault="00952652" w:rsidP="004931E3">
      <w:pPr>
        <w:tabs>
          <w:tab w:val="left" w:pos="851"/>
        </w:tabs>
        <w:ind w:left="851"/>
        <w:rPr>
          <w:sz w:val="24"/>
          <w:szCs w:val="24"/>
        </w:rPr>
      </w:pPr>
      <w:r>
        <w:rPr>
          <w:sz w:val="24"/>
          <w:szCs w:val="24"/>
        </w:rPr>
        <w:t>-</w:t>
      </w:r>
    </w:p>
    <w:sectPr w:rsidR="009260DE" w:rsidRPr="00C84483" w:rsidSect="000259B9">
      <w:footerReference w:type="default" r:id="rId8"/>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83552E" w14:textId="77777777" w:rsidR="00BE2233" w:rsidRDefault="00BE2233">
      <w:r>
        <w:separator/>
      </w:r>
    </w:p>
  </w:endnote>
  <w:endnote w:type="continuationSeparator" w:id="0">
    <w:p w14:paraId="10A07595" w14:textId="77777777" w:rsidR="00BE2233" w:rsidRDefault="00BE22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F03DBC" w14:textId="77777777" w:rsidR="000259B9" w:rsidRDefault="000259B9">
    <w:pPr>
      <w:pStyle w:val="Sidefod"/>
      <w:pBdr>
        <w:bottom w:val="single" w:sz="6" w:space="1" w:color="auto"/>
      </w:pBdr>
    </w:pPr>
  </w:p>
  <w:p w14:paraId="2E7D2386" w14:textId="77777777" w:rsidR="000259B9" w:rsidRDefault="000259B9" w:rsidP="00C42586">
    <w:pPr>
      <w:pStyle w:val="Sidefod"/>
      <w:tabs>
        <w:tab w:val="clear" w:pos="4819"/>
        <w:tab w:val="left" w:pos="8505"/>
      </w:tabs>
      <w:rPr>
        <w:i/>
        <w:sz w:val="18"/>
        <w:szCs w:val="18"/>
      </w:rPr>
    </w:pPr>
  </w:p>
  <w:p w14:paraId="11C8976F" w14:textId="6E066CC6" w:rsidR="000259B9" w:rsidRPr="00B373D7" w:rsidRDefault="00782AF4" w:rsidP="00C42586">
    <w:pPr>
      <w:pStyle w:val="Sidefod"/>
      <w:tabs>
        <w:tab w:val="clear" w:pos="4819"/>
        <w:tab w:val="left" w:pos="8505"/>
      </w:tabs>
      <w:rPr>
        <w:i/>
        <w:sz w:val="18"/>
        <w:szCs w:val="18"/>
      </w:rPr>
    </w:pPr>
    <w:r w:rsidRPr="00B373D7">
      <w:rPr>
        <w:i/>
        <w:sz w:val="18"/>
        <w:szCs w:val="18"/>
      </w:rPr>
      <w:fldChar w:fldCharType="begin"/>
    </w:r>
    <w:r w:rsidR="000259B9" w:rsidRPr="00B373D7">
      <w:rPr>
        <w:i/>
        <w:sz w:val="18"/>
        <w:szCs w:val="18"/>
      </w:rPr>
      <w:instrText xml:space="preserve"> FILENAME </w:instrText>
    </w:r>
    <w:r w:rsidRPr="00B373D7">
      <w:rPr>
        <w:i/>
        <w:sz w:val="18"/>
        <w:szCs w:val="18"/>
      </w:rPr>
      <w:fldChar w:fldCharType="separate"/>
    </w:r>
    <w:r w:rsidR="004931E3">
      <w:rPr>
        <w:i/>
        <w:noProof/>
        <w:sz w:val="18"/>
        <w:szCs w:val="18"/>
      </w:rPr>
      <w:t>Mirabegron Zentiva, depottabletter 25 mg</w:t>
    </w:r>
    <w:r w:rsidRPr="00B373D7">
      <w:rPr>
        <w:i/>
        <w:sz w:val="18"/>
        <w:szCs w:val="18"/>
      </w:rPr>
      <w:fldChar w:fldCharType="end"/>
    </w:r>
    <w:r w:rsidR="000259B9" w:rsidRPr="00B373D7">
      <w:rPr>
        <w:i/>
        <w:sz w:val="18"/>
        <w:szCs w:val="18"/>
      </w:rPr>
      <w:tab/>
      <w:t xml:space="preserve">Side </w:t>
    </w:r>
    <w:r w:rsidRPr="00B373D7">
      <w:rPr>
        <w:rStyle w:val="Sidetal"/>
        <w:i/>
        <w:sz w:val="18"/>
        <w:szCs w:val="18"/>
      </w:rPr>
      <w:fldChar w:fldCharType="begin"/>
    </w:r>
    <w:r w:rsidR="000259B9" w:rsidRPr="00B373D7">
      <w:rPr>
        <w:rStyle w:val="Sidetal"/>
        <w:i/>
        <w:sz w:val="18"/>
        <w:szCs w:val="18"/>
      </w:rPr>
      <w:instrText xml:space="preserve"> PAGE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r w:rsidR="000259B9" w:rsidRPr="00B373D7">
      <w:rPr>
        <w:rStyle w:val="Sidetal"/>
        <w:i/>
        <w:sz w:val="18"/>
        <w:szCs w:val="18"/>
      </w:rPr>
      <w:t xml:space="preserve"> af </w:t>
    </w:r>
    <w:r w:rsidRPr="00B373D7">
      <w:rPr>
        <w:rStyle w:val="Sidetal"/>
        <w:i/>
        <w:sz w:val="18"/>
        <w:szCs w:val="18"/>
      </w:rPr>
      <w:fldChar w:fldCharType="begin"/>
    </w:r>
    <w:r w:rsidR="000259B9" w:rsidRPr="00B373D7">
      <w:rPr>
        <w:rStyle w:val="Sidetal"/>
        <w:i/>
        <w:sz w:val="18"/>
        <w:szCs w:val="18"/>
      </w:rPr>
      <w:instrText xml:space="preserve"> NUMPAGES </w:instrText>
    </w:r>
    <w:r w:rsidRPr="00B373D7">
      <w:rPr>
        <w:rStyle w:val="Sidetal"/>
        <w:i/>
        <w:sz w:val="18"/>
        <w:szCs w:val="18"/>
      </w:rPr>
      <w:fldChar w:fldCharType="separate"/>
    </w:r>
    <w:r w:rsidR="00C60CCD">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5FC507" w14:textId="77777777" w:rsidR="00BE2233" w:rsidRDefault="00BE2233">
      <w:r>
        <w:separator/>
      </w:r>
    </w:p>
  </w:footnote>
  <w:footnote w:type="continuationSeparator" w:id="0">
    <w:p w14:paraId="6030D94C" w14:textId="77777777" w:rsidR="00BE2233" w:rsidRDefault="00BE223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2"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3"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4"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 w15:restartNumberingAfterBreak="0">
    <w:nsid w:val="7DE928BD"/>
    <w:multiLevelType w:val="hybridMultilevel"/>
    <w:tmpl w:val="C2524C1E"/>
    <w:lvl w:ilvl="0" w:tplc="7010AE72">
      <w:start w:val="1"/>
      <w:numFmt w:val="bullet"/>
      <w:lvlText w:val="-"/>
      <w:lvlJc w:val="left"/>
      <w:pPr>
        <w:ind w:left="720" w:hanging="360"/>
      </w:pPr>
      <w:rPr>
        <w:rFonts w:ascii="Times New Roman" w:eastAsia="Times New Roman" w:hAnsi="Times New Roman" w:cs="Times New Roman" w:hint="default"/>
      </w:rPr>
    </w:lvl>
    <w:lvl w:ilvl="1" w:tplc="10000003">
      <w:start w:val="1"/>
      <w:numFmt w:val="bullet"/>
      <w:lvlText w:val="o"/>
      <w:lvlJc w:val="left"/>
      <w:pPr>
        <w:ind w:left="1440" w:hanging="360"/>
      </w:pPr>
      <w:rPr>
        <w:rFonts w:ascii="Courier New" w:hAnsi="Courier New" w:cs="Courier New" w:hint="default"/>
      </w:rPr>
    </w:lvl>
    <w:lvl w:ilvl="2" w:tplc="10000005">
      <w:start w:val="1"/>
      <w:numFmt w:val="bullet"/>
      <w:lvlText w:val=""/>
      <w:lvlJc w:val="left"/>
      <w:pPr>
        <w:ind w:left="2160" w:hanging="360"/>
      </w:pPr>
      <w:rPr>
        <w:rFonts w:ascii="Wingdings" w:hAnsi="Wingdings" w:hint="default"/>
      </w:rPr>
    </w:lvl>
    <w:lvl w:ilvl="3" w:tplc="10000001">
      <w:start w:val="1"/>
      <w:numFmt w:val="bullet"/>
      <w:lvlText w:val=""/>
      <w:lvlJc w:val="left"/>
      <w:pPr>
        <w:ind w:left="2880" w:hanging="360"/>
      </w:pPr>
      <w:rPr>
        <w:rFonts w:ascii="Symbol" w:hAnsi="Symbol" w:hint="default"/>
      </w:rPr>
    </w:lvl>
    <w:lvl w:ilvl="4" w:tplc="10000003">
      <w:start w:val="1"/>
      <w:numFmt w:val="bullet"/>
      <w:lvlText w:val="o"/>
      <w:lvlJc w:val="left"/>
      <w:pPr>
        <w:ind w:left="3600" w:hanging="360"/>
      </w:pPr>
      <w:rPr>
        <w:rFonts w:ascii="Courier New" w:hAnsi="Courier New" w:cs="Courier New" w:hint="default"/>
      </w:rPr>
    </w:lvl>
    <w:lvl w:ilvl="5" w:tplc="10000005">
      <w:start w:val="1"/>
      <w:numFmt w:val="bullet"/>
      <w:lvlText w:val=""/>
      <w:lvlJc w:val="left"/>
      <w:pPr>
        <w:ind w:left="4320" w:hanging="360"/>
      </w:pPr>
      <w:rPr>
        <w:rFonts w:ascii="Wingdings" w:hAnsi="Wingdings" w:hint="default"/>
      </w:rPr>
    </w:lvl>
    <w:lvl w:ilvl="6" w:tplc="10000001">
      <w:start w:val="1"/>
      <w:numFmt w:val="bullet"/>
      <w:lvlText w:val=""/>
      <w:lvlJc w:val="left"/>
      <w:pPr>
        <w:ind w:left="5040" w:hanging="360"/>
      </w:pPr>
      <w:rPr>
        <w:rFonts w:ascii="Symbol" w:hAnsi="Symbol" w:hint="default"/>
      </w:rPr>
    </w:lvl>
    <w:lvl w:ilvl="7" w:tplc="10000003">
      <w:start w:val="1"/>
      <w:numFmt w:val="bullet"/>
      <w:lvlText w:val="o"/>
      <w:lvlJc w:val="left"/>
      <w:pPr>
        <w:ind w:left="5760" w:hanging="360"/>
      </w:pPr>
      <w:rPr>
        <w:rFonts w:ascii="Courier New" w:hAnsi="Courier New" w:cs="Courier New" w:hint="default"/>
      </w:rPr>
    </w:lvl>
    <w:lvl w:ilvl="8" w:tplc="10000005">
      <w:start w:val="1"/>
      <w:numFmt w:val="bullet"/>
      <w:lvlText w:val=""/>
      <w:lvlJc w:val="left"/>
      <w:pPr>
        <w:ind w:left="6480" w:hanging="360"/>
      </w:pPr>
      <w:rPr>
        <w:rFonts w:ascii="Wingdings" w:hAnsi="Wingdings" w:hint="default"/>
      </w:rPr>
    </w:lvl>
  </w:abstractNum>
  <w:num w:numId="1" w16cid:durableId="205843594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644504372">
    <w:abstractNumId w:val="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772936420">
    <w:abstractNumId w:val="4"/>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19923067">
    <w:abstractNumId w:val="1"/>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20952726">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56811253">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2443"/>
    <w:rsid w:val="000259B9"/>
    <w:rsid w:val="00041491"/>
    <w:rsid w:val="00050D16"/>
    <w:rsid w:val="000730CA"/>
    <w:rsid w:val="00074F2A"/>
    <w:rsid w:val="000A1CA8"/>
    <w:rsid w:val="000A466B"/>
    <w:rsid w:val="000B058C"/>
    <w:rsid w:val="000B7D19"/>
    <w:rsid w:val="000D68B0"/>
    <w:rsid w:val="000E4EE6"/>
    <w:rsid w:val="001454E2"/>
    <w:rsid w:val="00200B00"/>
    <w:rsid w:val="00206CE8"/>
    <w:rsid w:val="0021526C"/>
    <w:rsid w:val="00283A2B"/>
    <w:rsid w:val="002B30AD"/>
    <w:rsid w:val="002C1EC0"/>
    <w:rsid w:val="002C2C01"/>
    <w:rsid w:val="002D733C"/>
    <w:rsid w:val="0035128F"/>
    <w:rsid w:val="003A29AE"/>
    <w:rsid w:val="003A32D7"/>
    <w:rsid w:val="003B4074"/>
    <w:rsid w:val="003C769A"/>
    <w:rsid w:val="003D3A90"/>
    <w:rsid w:val="003F1838"/>
    <w:rsid w:val="004251C1"/>
    <w:rsid w:val="0045746C"/>
    <w:rsid w:val="0049104B"/>
    <w:rsid w:val="004931E3"/>
    <w:rsid w:val="004E3B12"/>
    <w:rsid w:val="00527CF5"/>
    <w:rsid w:val="00532310"/>
    <w:rsid w:val="00542443"/>
    <w:rsid w:val="00565F0F"/>
    <w:rsid w:val="00594A86"/>
    <w:rsid w:val="00596D86"/>
    <w:rsid w:val="00637F5A"/>
    <w:rsid w:val="00641C65"/>
    <w:rsid w:val="006560B1"/>
    <w:rsid w:val="006756DD"/>
    <w:rsid w:val="006A50AB"/>
    <w:rsid w:val="006A6063"/>
    <w:rsid w:val="006C28AA"/>
    <w:rsid w:val="0071241E"/>
    <w:rsid w:val="00737275"/>
    <w:rsid w:val="00740EEC"/>
    <w:rsid w:val="0078011A"/>
    <w:rsid w:val="00782AF4"/>
    <w:rsid w:val="00790EE7"/>
    <w:rsid w:val="007B6649"/>
    <w:rsid w:val="007F2B9F"/>
    <w:rsid w:val="0082576E"/>
    <w:rsid w:val="0089346F"/>
    <w:rsid w:val="008E4E99"/>
    <w:rsid w:val="00907F75"/>
    <w:rsid w:val="009260DE"/>
    <w:rsid w:val="0093258A"/>
    <w:rsid w:val="00933561"/>
    <w:rsid w:val="00952652"/>
    <w:rsid w:val="009C7BA3"/>
    <w:rsid w:val="009D1F5A"/>
    <w:rsid w:val="00A10294"/>
    <w:rsid w:val="00AC2B41"/>
    <w:rsid w:val="00B003BF"/>
    <w:rsid w:val="00B2252E"/>
    <w:rsid w:val="00B373D7"/>
    <w:rsid w:val="00B55271"/>
    <w:rsid w:val="00BD7931"/>
    <w:rsid w:val="00BE2233"/>
    <w:rsid w:val="00BF6243"/>
    <w:rsid w:val="00C36276"/>
    <w:rsid w:val="00C42586"/>
    <w:rsid w:val="00C45F6B"/>
    <w:rsid w:val="00C60CCD"/>
    <w:rsid w:val="00C84483"/>
    <w:rsid w:val="00C95551"/>
    <w:rsid w:val="00CB20D7"/>
    <w:rsid w:val="00CC0331"/>
    <w:rsid w:val="00D020B0"/>
    <w:rsid w:val="00D11748"/>
    <w:rsid w:val="00D237F6"/>
    <w:rsid w:val="00D34D98"/>
    <w:rsid w:val="00D366CF"/>
    <w:rsid w:val="00D72509"/>
    <w:rsid w:val="00D93992"/>
    <w:rsid w:val="00D96FC2"/>
    <w:rsid w:val="00E108AA"/>
    <w:rsid w:val="00E371D5"/>
    <w:rsid w:val="00E3749A"/>
    <w:rsid w:val="00E7437F"/>
    <w:rsid w:val="00E865B8"/>
    <w:rsid w:val="00EC0B9B"/>
    <w:rsid w:val="00ED5E9F"/>
    <w:rsid w:val="00F50F68"/>
    <w:rsid w:val="00F66D4F"/>
    <w:rsid w:val="00FB6D01"/>
    <w:rsid w:val="00FC5B82"/>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5C3255A"/>
  <w15:chartTrackingRefBased/>
  <w15:docId w15:val="{57307ED8-8124-4584-B5BB-6F0A5CE5B4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6D01"/>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character" w:styleId="Hyperlink">
    <w:name w:val="Hyperlink"/>
    <w:basedOn w:val="Standardskrifttypeiafsnit"/>
    <w:uiPriority w:val="99"/>
    <w:unhideWhenUsed/>
    <w:rsid w:val="000B7D19"/>
    <w:rPr>
      <w:color w:val="0563C1" w:themeColor="hyperlink"/>
      <w:u w:val="single"/>
    </w:rPr>
  </w:style>
  <w:style w:type="character" w:styleId="Ulstomtale">
    <w:name w:val="Unresolved Mention"/>
    <w:basedOn w:val="Standardskrifttypeiafsnit"/>
    <w:uiPriority w:val="99"/>
    <w:semiHidden/>
    <w:unhideWhenUsed/>
    <w:rsid w:val="000B7D19"/>
    <w:rPr>
      <w:color w:val="605E5C"/>
      <w:shd w:val="clear" w:color="auto" w:fill="E1DFDD"/>
    </w:rPr>
  </w:style>
  <w:style w:type="table" w:styleId="Tabel-Gitter">
    <w:name w:val="Table Grid"/>
    <w:basedOn w:val="Tabel-Normal"/>
    <w:uiPriority w:val="39"/>
    <w:rsid w:val="00B2252E"/>
    <w:rPr>
      <w:rFonts w:eastAsia="Calibri" w:cs="Arial"/>
      <w:sz w:val="22"/>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64117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S:\QW_Docs\GOD\docs\National\LGO-RKE-REG%20008-01-SKB%20SPC%20Hum%20skabelon.dotx" TargetMode="Externa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LGO-RKE-REG 008-01-SKB SPC Hum skabelon</Template>
  <TotalTime>3</TotalTime>
  <Pages>25</Pages>
  <Words>8481</Words>
  <Characters>51741</Characters>
  <Application>Microsoft Office Word</Application>
  <DocSecurity>0</DocSecurity>
  <Lines>431</Lines>
  <Paragraphs>120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60102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Hanne Thy Iversen</dc:creator>
  <cp:keywords/>
  <dc:description>2024070502 mt</dc:description>
  <cp:lastModifiedBy>Hanne Thy Iversen</cp:lastModifiedBy>
  <cp:revision>4</cp:revision>
  <cp:lastPrinted>2012-08-22T08:53:00Z</cp:lastPrinted>
  <dcterms:created xsi:type="dcterms:W3CDTF">2026-10-26T11:36:00Z</dcterms:created>
  <dcterms:modified xsi:type="dcterms:W3CDTF">2026-10-26T12:25:00Z</dcterms:modified>
</cp:coreProperties>
</file>