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3BDFF" w14:textId="77777777" w:rsidR="004A3BF4" w:rsidRPr="00303008" w:rsidRDefault="00056601" w:rsidP="004A3BF4">
      <w:pPr>
        <w:rPr>
          <w:sz w:val="24"/>
          <w:szCs w:val="24"/>
          <w:lang w:val="en-GB"/>
        </w:rPr>
      </w:pPr>
      <w:r w:rsidRPr="00303008">
        <w:rPr>
          <w:noProof/>
          <w:sz w:val="24"/>
          <w:szCs w:val="24"/>
          <w:lang w:val="en-GB"/>
        </w:rPr>
        <w:drawing>
          <wp:inline distT="0" distB="0" distL="0" distR="0" wp14:anchorId="44405C94" wp14:editId="742C776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D3C9510" w14:textId="77777777" w:rsidR="006B3847" w:rsidRPr="00303008" w:rsidRDefault="006B3847" w:rsidP="006B3847">
      <w:pPr>
        <w:rPr>
          <w:sz w:val="24"/>
          <w:szCs w:val="24"/>
          <w:lang w:val="en-GB"/>
        </w:rPr>
      </w:pPr>
    </w:p>
    <w:p w14:paraId="682F4DD8" w14:textId="4DBF009B" w:rsidR="006B3847" w:rsidRPr="00303008" w:rsidRDefault="006B3847" w:rsidP="006B3847">
      <w:pPr>
        <w:tabs>
          <w:tab w:val="right" w:pos="9356"/>
        </w:tabs>
        <w:rPr>
          <w:b/>
          <w:sz w:val="24"/>
          <w:szCs w:val="24"/>
          <w:lang w:val="en-GB"/>
        </w:rPr>
      </w:pPr>
      <w:r w:rsidRPr="00303008">
        <w:rPr>
          <w:b/>
          <w:sz w:val="24"/>
          <w:szCs w:val="24"/>
          <w:lang w:val="en-GB"/>
        </w:rPr>
        <w:tab/>
      </w:r>
      <w:r w:rsidR="00531029">
        <w:rPr>
          <w:b/>
          <w:sz w:val="24"/>
          <w:szCs w:val="24"/>
          <w:lang w:val="en-GB"/>
        </w:rPr>
        <w:t>6 September 2024</w:t>
      </w:r>
    </w:p>
    <w:p w14:paraId="79CA4FCA" w14:textId="77777777" w:rsidR="006B3847" w:rsidRPr="00303008" w:rsidRDefault="006B3847" w:rsidP="006B3847">
      <w:pPr>
        <w:rPr>
          <w:sz w:val="24"/>
          <w:szCs w:val="24"/>
          <w:lang w:val="en-GB"/>
        </w:rPr>
      </w:pPr>
    </w:p>
    <w:p w14:paraId="616404B9" w14:textId="77777777" w:rsidR="007C5D2A" w:rsidRPr="00303008" w:rsidRDefault="007C5D2A" w:rsidP="007C5D2A">
      <w:pPr>
        <w:rPr>
          <w:sz w:val="24"/>
          <w:szCs w:val="24"/>
          <w:lang w:val="en-GB"/>
        </w:rPr>
      </w:pPr>
    </w:p>
    <w:p w14:paraId="55160F4A" w14:textId="77777777" w:rsidR="007C5D2A" w:rsidRPr="00303008" w:rsidRDefault="007C5D2A" w:rsidP="007C5D2A">
      <w:pPr>
        <w:rPr>
          <w:sz w:val="24"/>
          <w:szCs w:val="24"/>
          <w:lang w:val="en-GB"/>
        </w:rPr>
      </w:pPr>
    </w:p>
    <w:p w14:paraId="4A555ACE" w14:textId="77777777"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14:paraId="47897145" w14:textId="77777777" w:rsidR="007C5D2A" w:rsidRPr="00303008" w:rsidRDefault="007C5D2A" w:rsidP="007C5D2A">
      <w:pPr>
        <w:jc w:val="center"/>
        <w:rPr>
          <w:sz w:val="24"/>
          <w:szCs w:val="24"/>
          <w:lang w:val="en-GB"/>
        </w:rPr>
      </w:pPr>
    </w:p>
    <w:p w14:paraId="7ECB3523" w14:textId="77777777" w:rsidR="007C5D2A" w:rsidRPr="00303008" w:rsidRDefault="007C5D2A" w:rsidP="007C5D2A">
      <w:pPr>
        <w:jc w:val="center"/>
        <w:rPr>
          <w:b/>
          <w:sz w:val="24"/>
          <w:szCs w:val="24"/>
          <w:lang w:val="en-GB"/>
        </w:rPr>
      </w:pPr>
      <w:r w:rsidRPr="00303008">
        <w:rPr>
          <w:b/>
          <w:sz w:val="24"/>
          <w:szCs w:val="24"/>
          <w:lang w:val="en-GB"/>
        </w:rPr>
        <w:t>for</w:t>
      </w:r>
    </w:p>
    <w:p w14:paraId="54C26E15" w14:textId="77777777" w:rsidR="007C5D2A" w:rsidRPr="00303008" w:rsidRDefault="007C5D2A" w:rsidP="007C5D2A">
      <w:pPr>
        <w:jc w:val="center"/>
        <w:rPr>
          <w:sz w:val="24"/>
          <w:szCs w:val="24"/>
          <w:lang w:val="en-GB"/>
        </w:rPr>
      </w:pPr>
    </w:p>
    <w:p w14:paraId="42060AE6" w14:textId="44DA3C0B" w:rsidR="007C5D2A" w:rsidRPr="00303008" w:rsidRDefault="007606FB" w:rsidP="007C5D2A">
      <w:pPr>
        <w:jc w:val="center"/>
        <w:rPr>
          <w:b/>
          <w:sz w:val="24"/>
          <w:szCs w:val="24"/>
          <w:lang w:val="en-GB"/>
        </w:rPr>
      </w:pPr>
      <w:r>
        <w:rPr>
          <w:b/>
          <w:sz w:val="24"/>
          <w:szCs w:val="24"/>
          <w:lang w:val="en-GB"/>
        </w:rPr>
        <w:t>Mirabegron "</w:t>
      </w:r>
      <w:proofErr w:type="spellStart"/>
      <w:r>
        <w:rPr>
          <w:b/>
          <w:sz w:val="24"/>
          <w:szCs w:val="24"/>
          <w:lang w:val="en-GB"/>
        </w:rPr>
        <w:t>Zentiva</w:t>
      </w:r>
      <w:proofErr w:type="spellEnd"/>
      <w:r>
        <w:rPr>
          <w:b/>
          <w:sz w:val="24"/>
          <w:szCs w:val="24"/>
          <w:lang w:val="en-GB"/>
        </w:rPr>
        <w:t>", prolonged-release tablets</w:t>
      </w:r>
    </w:p>
    <w:p w14:paraId="7CDCE946" w14:textId="77777777" w:rsidR="007C5D2A" w:rsidRPr="00303008" w:rsidRDefault="007C5D2A" w:rsidP="007C5D2A">
      <w:pPr>
        <w:jc w:val="both"/>
        <w:rPr>
          <w:sz w:val="24"/>
          <w:szCs w:val="24"/>
          <w:lang w:val="en-GB"/>
        </w:rPr>
      </w:pPr>
    </w:p>
    <w:p w14:paraId="41EE2CD3" w14:textId="77777777" w:rsidR="0042292D" w:rsidRPr="00A86B5B" w:rsidRDefault="0042292D" w:rsidP="007C5D2A">
      <w:pPr>
        <w:jc w:val="both"/>
        <w:rPr>
          <w:sz w:val="24"/>
          <w:szCs w:val="24"/>
          <w:lang w:val="en-GB"/>
        </w:rPr>
      </w:pPr>
    </w:p>
    <w:p w14:paraId="693A6102" w14:textId="77777777" w:rsidR="008F2F8C" w:rsidRPr="00A86B5B" w:rsidRDefault="008F2F8C" w:rsidP="008F2F8C">
      <w:pPr>
        <w:tabs>
          <w:tab w:val="left" w:pos="8222"/>
        </w:tabs>
        <w:ind w:left="851" w:hanging="851"/>
        <w:rPr>
          <w:b/>
          <w:sz w:val="24"/>
          <w:szCs w:val="24"/>
          <w:lang w:val="en-GB"/>
        </w:rPr>
      </w:pPr>
      <w:r w:rsidRPr="00A86B5B">
        <w:rPr>
          <w:b/>
          <w:sz w:val="24"/>
          <w:szCs w:val="24"/>
          <w:lang w:val="en-GB"/>
        </w:rPr>
        <w:t>0.</w:t>
      </w:r>
      <w:r w:rsidRPr="00A86B5B">
        <w:rPr>
          <w:b/>
          <w:sz w:val="24"/>
          <w:szCs w:val="24"/>
          <w:lang w:val="en-GB"/>
        </w:rPr>
        <w:tab/>
      </w:r>
      <w:proofErr w:type="gramStart"/>
      <w:r w:rsidRPr="00A86B5B">
        <w:rPr>
          <w:b/>
          <w:sz w:val="24"/>
          <w:szCs w:val="24"/>
          <w:lang w:val="en-GB"/>
        </w:rPr>
        <w:t>D.SP.NO</w:t>
      </w:r>
      <w:proofErr w:type="gramEnd"/>
      <w:r w:rsidRPr="00A86B5B">
        <w:rPr>
          <w:b/>
          <w:sz w:val="24"/>
          <w:szCs w:val="24"/>
          <w:lang w:val="en-GB"/>
        </w:rPr>
        <w:t>.</w:t>
      </w:r>
    </w:p>
    <w:p w14:paraId="7FA87911" w14:textId="529D7BEA" w:rsidR="008F2F8C" w:rsidRPr="00A86B5B" w:rsidRDefault="007606FB" w:rsidP="008F2F8C">
      <w:pPr>
        <w:tabs>
          <w:tab w:val="left" w:pos="8222"/>
        </w:tabs>
        <w:ind w:left="851"/>
        <w:rPr>
          <w:sz w:val="24"/>
          <w:szCs w:val="24"/>
          <w:lang w:val="en-GB"/>
        </w:rPr>
      </w:pPr>
      <w:r w:rsidRPr="00A86B5B">
        <w:rPr>
          <w:sz w:val="24"/>
          <w:szCs w:val="24"/>
          <w:lang w:val="en-GB"/>
        </w:rPr>
        <w:t>33544</w:t>
      </w:r>
    </w:p>
    <w:p w14:paraId="7D397E3A" w14:textId="77777777" w:rsidR="007C5D2A" w:rsidRPr="00A86B5B" w:rsidRDefault="007C5D2A" w:rsidP="007C5D2A">
      <w:pPr>
        <w:tabs>
          <w:tab w:val="left" w:pos="851"/>
        </w:tabs>
        <w:jc w:val="both"/>
        <w:rPr>
          <w:sz w:val="24"/>
          <w:szCs w:val="24"/>
          <w:lang w:val="en-GB"/>
        </w:rPr>
      </w:pPr>
    </w:p>
    <w:p w14:paraId="21AC7D6B" w14:textId="77777777" w:rsidR="007C5D2A" w:rsidRPr="00A86B5B" w:rsidRDefault="009925C9" w:rsidP="007C5D2A">
      <w:pPr>
        <w:tabs>
          <w:tab w:val="left" w:pos="851"/>
        </w:tabs>
        <w:ind w:left="851" w:hanging="851"/>
        <w:rPr>
          <w:sz w:val="24"/>
          <w:szCs w:val="24"/>
          <w:lang w:val="en-GB"/>
        </w:rPr>
      </w:pPr>
      <w:r w:rsidRPr="00A86B5B">
        <w:rPr>
          <w:b/>
          <w:sz w:val="24"/>
          <w:szCs w:val="24"/>
          <w:lang w:val="en-GB"/>
        </w:rPr>
        <w:t>1.</w:t>
      </w:r>
      <w:r w:rsidR="007C5D2A" w:rsidRPr="00A86B5B">
        <w:rPr>
          <w:b/>
          <w:sz w:val="24"/>
          <w:szCs w:val="24"/>
          <w:lang w:val="en-GB"/>
        </w:rPr>
        <w:tab/>
        <w:t>NAME OF THE MEDICINAL PRODUCT</w:t>
      </w:r>
    </w:p>
    <w:p w14:paraId="71543F92" w14:textId="732E0D69" w:rsidR="007C5D2A" w:rsidRPr="00A86B5B" w:rsidRDefault="007606FB" w:rsidP="004A3BF4">
      <w:pPr>
        <w:tabs>
          <w:tab w:val="left" w:pos="851"/>
        </w:tabs>
        <w:ind w:left="851"/>
        <w:rPr>
          <w:sz w:val="24"/>
          <w:szCs w:val="24"/>
          <w:lang w:val="en-US"/>
        </w:rPr>
      </w:pPr>
      <w:r w:rsidRPr="00A86B5B">
        <w:rPr>
          <w:sz w:val="24"/>
          <w:szCs w:val="24"/>
          <w:lang w:val="en-US"/>
        </w:rPr>
        <w:t>Mirabegron "</w:t>
      </w:r>
      <w:proofErr w:type="spellStart"/>
      <w:r w:rsidRPr="00A86B5B">
        <w:rPr>
          <w:sz w:val="24"/>
          <w:szCs w:val="24"/>
          <w:lang w:val="en-US"/>
        </w:rPr>
        <w:t>Zentiva</w:t>
      </w:r>
      <w:proofErr w:type="spellEnd"/>
      <w:r w:rsidRPr="00A86B5B">
        <w:rPr>
          <w:sz w:val="24"/>
          <w:szCs w:val="24"/>
          <w:lang w:val="en-US"/>
        </w:rPr>
        <w:t>"</w:t>
      </w:r>
    </w:p>
    <w:p w14:paraId="4817ABBD" w14:textId="77777777" w:rsidR="007C5D2A" w:rsidRPr="00A86B5B" w:rsidRDefault="007C5D2A" w:rsidP="004A3BF4">
      <w:pPr>
        <w:tabs>
          <w:tab w:val="left" w:pos="851"/>
        </w:tabs>
        <w:ind w:left="851"/>
        <w:rPr>
          <w:sz w:val="24"/>
          <w:szCs w:val="24"/>
          <w:lang w:val="en-GB"/>
        </w:rPr>
      </w:pPr>
    </w:p>
    <w:p w14:paraId="4F245A7C" w14:textId="77777777" w:rsidR="007C5D2A" w:rsidRPr="00A86B5B" w:rsidRDefault="009925C9" w:rsidP="007C5D2A">
      <w:pPr>
        <w:ind w:left="851" w:hanging="851"/>
        <w:rPr>
          <w:b/>
          <w:sz w:val="24"/>
          <w:szCs w:val="24"/>
          <w:lang w:val="en-GB"/>
        </w:rPr>
      </w:pPr>
      <w:r w:rsidRPr="00A86B5B">
        <w:rPr>
          <w:b/>
          <w:sz w:val="24"/>
          <w:szCs w:val="24"/>
          <w:lang w:val="en-GB"/>
        </w:rPr>
        <w:t>2.</w:t>
      </w:r>
      <w:r w:rsidR="007C5D2A" w:rsidRPr="00A86B5B">
        <w:rPr>
          <w:b/>
          <w:sz w:val="24"/>
          <w:szCs w:val="24"/>
          <w:lang w:val="en-GB"/>
        </w:rPr>
        <w:tab/>
        <w:t>QUALITATIVE AND QUANTITATIVE COMPOSITION</w:t>
      </w:r>
    </w:p>
    <w:p w14:paraId="7ACE5598" w14:textId="77777777" w:rsidR="007606FB" w:rsidRPr="00A86B5B" w:rsidRDefault="007606FB" w:rsidP="00591653">
      <w:pPr>
        <w:ind w:left="851"/>
        <w:rPr>
          <w:sz w:val="24"/>
          <w:szCs w:val="24"/>
          <w:lang w:val="en-US"/>
        </w:rPr>
      </w:pPr>
      <w:r w:rsidRPr="00A86B5B">
        <w:rPr>
          <w:sz w:val="24"/>
          <w:szCs w:val="24"/>
          <w:lang w:val="en-US"/>
        </w:rPr>
        <w:t>Each tablet contains 50 mg of mirabegron.</w:t>
      </w:r>
    </w:p>
    <w:p w14:paraId="58B69BD5" w14:textId="77777777" w:rsidR="007606FB" w:rsidRPr="00A86B5B" w:rsidRDefault="007606FB" w:rsidP="00591653">
      <w:pPr>
        <w:ind w:left="851"/>
        <w:rPr>
          <w:sz w:val="24"/>
          <w:szCs w:val="24"/>
          <w:lang w:val="en-US"/>
        </w:rPr>
      </w:pPr>
    </w:p>
    <w:p w14:paraId="70851EB5" w14:textId="77777777" w:rsidR="007606FB" w:rsidRPr="00A86B5B" w:rsidRDefault="007606FB" w:rsidP="00591653">
      <w:pPr>
        <w:ind w:left="851"/>
        <w:rPr>
          <w:sz w:val="24"/>
          <w:szCs w:val="24"/>
          <w:lang w:val="en-US"/>
        </w:rPr>
      </w:pPr>
      <w:r w:rsidRPr="00A86B5B">
        <w:rPr>
          <w:sz w:val="24"/>
          <w:szCs w:val="24"/>
          <w:lang w:val="en-US"/>
        </w:rPr>
        <w:t>For the full list of excipients, see section 6.1.</w:t>
      </w:r>
    </w:p>
    <w:p w14:paraId="40940E82" w14:textId="77777777" w:rsidR="007C5D2A" w:rsidRPr="00A86B5B" w:rsidRDefault="007C5D2A" w:rsidP="004A3BF4">
      <w:pPr>
        <w:tabs>
          <w:tab w:val="left" w:pos="851"/>
        </w:tabs>
        <w:ind w:left="851"/>
        <w:rPr>
          <w:sz w:val="24"/>
          <w:szCs w:val="24"/>
          <w:lang w:val="en-US"/>
        </w:rPr>
      </w:pPr>
    </w:p>
    <w:p w14:paraId="0AFD5DA8" w14:textId="77777777" w:rsidR="007C5D2A" w:rsidRPr="00A86B5B" w:rsidRDefault="007C5D2A" w:rsidP="007C5D2A">
      <w:pPr>
        <w:tabs>
          <w:tab w:val="left" w:pos="851"/>
        </w:tabs>
        <w:ind w:left="851" w:hanging="851"/>
        <w:rPr>
          <w:b/>
          <w:sz w:val="24"/>
          <w:szCs w:val="24"/>
          <w:lang w:val="en-GB"/>
        </w:rPr>
      </w:pPr>
      <w:r w:rsidRPr="00A86B5B">
        <w:rPr>
          <w:b/>
          <w:sz w:val="24"/>
          <w:szCs w:val="24"/>
          <w:lang w:val="en-GB"/>
        </w:rPr>
        <w:t>3.</w:t>
      </w:r>
      <w:r w:rsidRPr="00A86B5B">
        <w:rPr>
          <w:b/>
          <w:sz w:val="24"/>
          <w:szCs w:val="24"/>
          <w:lang w:val="en-GB"/>
        </w:rPr>
        <w:tab/>
        <w:t>PHARMACEUTICAL FORM</w:t>
      </w:r>
    </w:p>
    <w:p w14:paraId="68F56115" w14:textId="0091FBAD" w:rsidR="007606FB" w:rsidRPr="00A86B5B" w:rsidRDefault="007606FB" w:rsidP="00591653">
      <w:pPr>
        <w:ind w:left="851"/>
        <w:rPr>
          <w:sz w:val="24"/>
          <w:szCs w:val="24"/>
          <w:lang w:val="en-US"/>
        </w:rPr>
      </w:pPr>
      <w:r w:rsidRPr="00A86B5B">
        <w:rPr>
          <w:sz w:val="24"/>
          <w:szCs w:val="24"/>
          <w:lang w:val="en-US"/>
        </w:rPr>
        <w:t>Prolonged-release tablet</w:t>
      </w:r>
      <w:r w:rsidR="001F3F63">
        <w:rPr>
          <w:sz w:val="24"/>
          <w:szCs w:val="24"/>
          <w:lang w:val="en-US"/>
        </w:rPr>
        <w:t>s</w:t>
      </w:r>
    </w:p>
    <w:p w14:paraId="289A4F47" w14:textId="77777777" w:rsidR="007606FB" w:rsidRPr="00A86B5B" w:rsidRDefault="007606FB" w:rsidP="00591653">
      <w:pPr>
        <w:ind w:left="851"/>
        <w:rPr>
          <w:sz w:val="24"/>
          <w:szCs w:val="24"/>
          <w:lang w:val="en-US"/>
        </w:rPr>
      </w:pPr>
    </w:p>
    <w:p w14:paraId="42E018CE" w14:textId="001953F7" w:rsidR="007606FB" w:rsidRPr="00A86B5B" w:rsidRDefault="00A86B5B" w:rsidP="00591653">
      <w:pPr>
        <w:ind w:left="851"/>
        <w:rPr>
          <w:sz w:val="24"/>
          <w:szCs w:val="24"/>
          <w:u w:val="single"/>
          <w:lang w:val="en-US"/>
        </w:rPr>
      </w:pPr>
      <w:r>
        <w:rPr>
          <w:sz w:val="24"/>
          <w:szCs w:val="24"/>
          <w:u w:val="single"/>
          <w:lang w:val="en-US"/>
        </w:rPr>
        <w:t>Mirabegron "</w:t>
      </w:r>
      <w:proofErr w:type="spellStart"/>
      <w:r>
        <w:rPr>
          <w:sz w:val="24"/>
          <w:szCs w:val="24"/>
          <w:u w:val="single"/>
          <w:lang w:val="en-US"/>
        </w:rPr>
        <w:t>Zentiva</w:t>
      </w:r>
      <w:proofErr w:type="spellEnd"/>
      <w:r>
        <w:rPr>
          <w:sz w:val="24"/>
          <w:szCs w:val="24"/>
          <w:u w:val="single"/>
          <w:lang w:val="en-US"/>
        </w:rPr>
        <w:t>"</w:t>
      </w:r>
      <w:r w:rsidR="007606FB" w:rsidRPr="00A86B5B">
        <w:rPr>
          <w:sz w:val="24"/>
          <w:szCs w:val="24"/>
          <w:u w:val="single"/>
          <w:lang w:val="en-US"/>
        </w:rPr>
        <w:t xml:space="preserve"> 50 mg tablets</w:t>
      </w:r>
    </w:p>
    <w:p w14:paraId="2A2471A7" w14:textId="77777777" w:rsidR="007606FB" w:rsidRPr="00A86B5B" w:rsidRDefault="007606FB" w:rsidP="00591653">
      <w:pPr>
        <w:ind w:left="851"/>
        <w:rPr>
          <w:sz w:val="24"/>
          <w:szCs w:val="24"/>
          <w:u w:val="single"/>
          <w:lang w:val="en-US"/>
        </w:rPr>
      </w:pPr>
    </w:p>
    <w:p w14:paraId="5328CCD6" w14:textId="33E7FCA4" w:rsidR="007606FB" w:rsidRPr="00A86B5B" w:rsidRDefault="007606FB" w:rsidP="00591653">
      <w:pPr>
        <w:ind w:left="851"/>
        <w:rPr>
          <w:sz w:val="24"/>
          <w:szCs w:val="24"/>
          <w:lang w:val="en-US"/>
        </w:rPr>
      </w:pPr>
      <w:r w:rsidRPr="00A86B5B">
        <w:rPr>
          <w:sz w:val="24"/>
          <w:szCs w:val="24"/>
          <w:lang w:val="en-US"/>
        </w:rPr>
        <w:t>Light yellow approximately 6 × 13 mm oblong, biconvex film</w:t>
      </w:r>
      <w:r w:rsidR="001F3F63">
        <w:rPr>
          <w:sz w:val="24"/>
          <w:szCs w:val="24"/>
          <w:lang w:val="en-US"/>
        </w:rPr>
        <w:t>-</w:t>
      </w:r>
      <w:r w:rsidRPr="00A86B5B">
        <w:rPr>
          <w:sz w:val="24"/>
          <w:szCs w:val="24"/>
          <w:lang w:val="en-US"/>
        </w:rPr>
        <w:t>coated tablet.</w:t>
      </w:r>
    </w:p>
    <w:p w14:paraId="2A4C1FCB" w14:textId="77777777" w:rsidR="007C5D2A" w:rsidRPr="00A86B5B" w:rsidRDefault="007C5D2A" w:rsidP="004A3BF4">
      <w:pPr>
        <w:tabs>
          <w:tab w:val="left" w:pos="851"/>
        </w:tabs>
        <w:ind w:left="851"/>
        <w:rPr>
          <w:sz w:val="24"/>
          <w:szCs w:val="24"/>
          <w:lang w:val="en-GB"/>
        </w:rPr>
      </w:pPr>
    </w:p>
    <w:p w14:paraId="456C86A3" w14:textId="77777777" w:rsidR="007C5D2A" w:rsidRPr="00A86B5B" w:rsidRDefault="007C5D2A" w:rsidP="004A3BF4">
      <w:pPr>
        <w:tabs>
          <w:tab w:val="left" w:pos="851"/>
        </w:tabs>
        <w:ind w:left="851"/>
        <w:rPr>
          <w:sz w:val="24"/>
          <w:szCs w:val="24"/>
          <w:lang w:val="en-GB"/>
        </w:rPr>
      </w:pPr>
    </w:p>
    <w:p w14:paraId="6F75F786" w14:textId="77777777" w:rsidR="007C5D2A" w:rsidRPr="00A86B5B" w:rsidRDefault="007C5D2A" w:rsidP="007C5D2A">
      <w:pPr>
        <w:ind w:left="851" w:hanging="851"/>
        <w:rPr>
          <w:b/>
          <w:sz w:val="24"/>
          <w:szCs w:val="24"/>
          <w:lang w:val="en-GB"/>
        </w:rPr>
      </w:pPr>
      <w:r w:rsidRPr="00A86B5B">
        <w:rPr>
          <w:b/>
          <w:sz w:val="24"/>
          <w:szCs w:val="24"/>
          <w:lang w:val="en-GB"/>
        </w:rPr>
        <w:t>4.</w:t>
      </w:r>
      <w:r w:rsidRPr="00A86B5B">
        <w:rPr>
          <w:b/>
          <w:sz w:val="24"/>
          <w:szCs w:val="24"/>
          <w:lang w:val="en-GB"/>
        </w:rPr>
        <w:tab/>
        <w:t>CLINICAL PARTICULARS</w:t>
      </w:r>
    </w:p>
    <w:p w14:paraId="1BA5C77E" w14:textId="77777777" w:rsidR="007C5D2A" w:rsidRPr="00A86B5B" w:rsidRDefault="007C5D2A" w:rsidP="004A3BF4">
      <w:pPr>
        <w:tabs>
          <w:tab w:val="left" w:pos="851"/>
        </w:tabs>
        <w:ind w:left="851"/>
        <w:rPr>
          <w:sz w:val="24"/>
          <w:szCs w:val="24"/>
          <w:lang w:val="en-GB"/>
        </w:rPr>
      </w:pPr>
    </w:p>
    <w:p w14:paraId="41E2F155" w14:textId="77777777" w:rsidR="007C5D2A" w:rsidRPr="00A86B5B" w:rsidRDefault="007C5D2A" w:rsidP="007C5D2A">
      <w:pPr>
        <w:ind w:left="851" w:hanging="851"/>
        <w:rPr>
          <w:b/>
          <w:sz w:val="24"/>
          <w:szCs w:val="24"/>
          <w:u w:val="single"/>
          <w:lang w:val="en-GB"/>
        </w:rPr>
      </w:pPr>
      <w:r w:rsidRPr="00A86B5B">
        <w:rPr>
          <w:b/>
          <w:sz w:val="24"/>
          <w:szCs w:val="24"/>
          <w:lang w:val="en-GB"/>
        </w:rPr>
        <w:t>4.1</w:t>
      </w:r>
      <w:r w:rsidRPr="00A86B5B">
        <w:rPr>
          <w:b/>
          <w:sz w:val="24"/>
          <w:szCs w:val="24"/>
          <w:lang w:val="en-GB"/>
        </w:rPr>
        <w:tab/>
        <w:t>Therapeutic indications</w:t>
      </w:r>
    </w:p>
    <w:p w14:paraId="4BDD3DDF" w14:textId="77777777" w:rsidR="007606FB" w:rsidRPr="00A86B5B" w:rsidRDefault="007606FB" w:rsidP="00591653">
      <w:pPr>
        <w:ind w:left="851"/>
        <w:rPr>
          <w:sz w:val="24"/>
          <w:szCs w:val="24"/>
          <w:lang w:val="en-US"/>
        </w:rPr>
      </w:pPr>
      <w:r w:rsidRPr="00A86B5B">
        <w:rPr>
          <w:sz w:val="24"/>
          <w:szCs w:val="24"/>
          <w:lang w:val="en-US"/>
        </w:rPr>
        <w:t>Symptomatic treatment of urgency, increased micturition frequency and/or urgency incontinence as may occur in adult patients with overactive bladder (OAB) syndrome.</w:t>
      </w:r>
    </w:p>
    <w:p w14:paraId="56FC2E32" w14:textId="77777777" w:rsidR="007C5D2A" w:rsidRPr="00A86B5B" w:rsidRDefault="007C5D2A" w:rsidP="00A85D26">
      <w:pPr>
        <w:tabs>
          <w:tab w:val="left" w:pos="851"/>
        </w:tabs>
        <w:ind w:left="851"/>
        <w:rPr>
          <w:sz w:val="24"/>
          <w:szCs w:val="24"/>
          <w:lang w:val="en-GB"/>
        </w:rPr>
      </w:pPr>
    </w:p>
    <w:p w14:paraId="23850B15" w14:textId="77777777" w:rsidR="007C5D2A" w:rsidRPr="00A86B5B" w:rsidRDefault="009925C9" w:rsidP="007C5D2A">
      <w:pPr>
        <w:tabs>
          <w:tab w:val="left" w:pos="851"/>
        </w:tabs>
        <w:ind w:left="851" w:hanging="851"/>
        <w:rPr>
          <w:sz w:val="24"/>
          <w:szCs w:val="24"/>
          <w:lang w:val="en-GB"/>
        </w:rPr>
      </w:pPr>
      <w:r w:rsidRPr="00A86B5B">
        <w:rPr>
          <w:b/>
          <w:sz w:val="24"/>
          <w:szCs w:val="24"/>
          <w:lang w:val="en-GB"/>
        </w:rPr>
        <w:t>4.2</w:t>
      </w:r>
      <w:r w:rsidR="007C5D2A" w:rsidRPr="00A86B5B">
        <w:rPr>
          <w:b/>
          <w:sz w:val="24"/>
          <w:szCs w:val="24"/>
          <w:lang w:val="en-GB"/>
        </w:rPr>
        <w:tab/>
        <w:t>Posology and method of administration</w:t>
      </w:r>
    </w:p>
    <w:p w14:paraId="0FA475C5" w14:textId="77777777" w:rsidR="00A86B5B" w:rsidRDefault="00A86B5B" w:rsidP="00591653">
      <w:pPr>
        <w:ind w:left="851"/>
        <w:rPr>
          <w:sz w:val="24"/>
          <w:szCs w:val="24"/>
          <w:lang w:val="en-US"/>
        </w:rPr>
      </w:pPr>
    </w:p>
    <w:p w14:paraId="18A41A66" w14:textId="47D34901" w:rsidR="007606FB" w:rsidRPr="00A86B5B" w:rsidRDefault="007606FB" w:rsidP="00591653">
      <w:pPr>
        <w:ind w:left="851"/>
        <w:rPr>
          <w:sz w:val="24"/>
          <w:szCs w:val="24"/>
          <w:u w:val="single"/>
          <w:lang w:val="en-US"/>
        </w:rPr>
      </w:pPr>
      <w:r w:rsidRPr="00A86B5B">
        <w:rPr>
          <w:sz w:val="24"/>
          <w:szCs w:val="24"/>
          <w:u w:val="single"/>
          <w:lang w:val="en-US"/>
        </w:rPr>
        <w:t>Posology</w:t>
      </w:r>
    </w:p>
    <w:p w14:paraId="6A958A40" w14:textId="77777777" w:rsidR="007606FB" w:rsidRPr="00A86B5B" w:rsidRDefault="007606FB" w:rsidP="00591653">
      <w:pPr>
        <w:ind w:left="851"/>
        <w:rPr>
          <w:sz w:val="24"/>
          <w:szCs w:val="24"/>
          <w:lang w:val="en-US"/>
        </w:rPr>
      </w:pPr>
    </w:p>
    <w:p w14:paraId="05E5B93B" w14:textId="77777777" w:rsidR="007606FB" w:rsidRPr="00A86B5B" w:rsidRDefault="007606FB" w:rsidP="00591653">
      <w:pPr>
        <w:ind w:left="851"/>
        <w:rPr>
          <w:i/>
          <w:sz w:val="24"/>
          <w:szCs w:val="24"/>
          <w:lang w:val="en-US"/>
        </w:rPr>
      </w:pPr>
      <w:r w:rsidRPr="00A86B5B">
        <w:rPr>
          <w:i/>
          <w:sz w:val="24"/>
          <w:szCs w:val="24"/>
          <w:lang w:val="en-US"/>
        </w:rPr>
        <w:t>Adults (including elderly patients)</w:t>
      </w:r>
    </w:p>
    <w:p w14:paraId="58FFC933" w14:textId="77777777" w:rsidR="007606FB" w:rsidRPr="00A86B5B" w:rsidRDefault="007606FB" w:rsidP="00591653">
      <w:pPr>
        <w:ind w:left="851"/>
        <w:rPr>
          <w:sz w:val="24"/>
          <w:szCs w:val="24"/>
          <w:lang w:val="en-US"/>
        </w:rPr>
      </w:pPr>
      <w:r w:rsidRPr="00A86B5B">
        <w:rPr>
          <w:sz w:val="24"/>
          <w:szCs w:val="24"/>
          <w:lang w:val="en-US"/>
        </w:rPr>
        <w:t>The recommended dose is 50 mg once daily.</w:t>
      </w:r>
    </w:p>
    <w:p w14:paraId="67D68F47" w14:textId="65D40135" w:rsidR="001F3F63" w:rsidRDefault="001F3F63">
      <w:pPr>
        <w:rPr>
          <w:sz w:val="24"/>
          <w:szCs w:val="24"/>
          <w:lang w:val="en-US"/>
        </w:rPr>
      </w:pPr>
      <w:r>
        <w:rPr>
          <w:sz w:val="24"/>
          <w:szCs w:val="24"/>
          <w:lang w:val="en-US"/>
        </w:rPr>
        <w:br w:type="page"/>
      </w:r>
    </w:p>
    <w:p w14:paraId="113F4219" w14:textId="77777777" w:rsidR="007606FB" w:rsidRPr="00A86B5B" w:rsidRDefault="007606FB" w:rsidP="00591653">
      <w:pPr>
        <w:ind w:left="851"/>
        <w:rPr>
          <w:sz w:val="24"/>
          <w:szCs w:val="24"/>
          <w:lang w:val="en-US"/>
        </w:rPr>
      </w:pPr>
    </w:p>
    <w:p w14:paraId="2D438A42" w14:textId="77777777" w:rsidR="007606FB" w:rsidRPr="001F3F63" w:rsidRDefault="007606FB" w:rsidP="00591653">
      <w:pPr>
        <w:ind w:left="851"/>
        <w:rPr>
          <w:i/>
          <w:sz w:val="24"/>
          <w:szCs w:val="24"/>
          <w:u w:val="single"/>
          <w:lang w:val="en-US"/>
        </w:rPr>
      </w:pPr>
      <w:r w:rsidRPr="001F3F63">
        <w:rPr>
          <w:i/>
          <w:sz w:val="24"/>
          <w:szCs w:val="24"/>
          <w:u w:val="single"/>
          <w:lang w:val="en-US"/>
        </w:rPr>
        <w:t>Special populations</w:t>
      </w:r>
    </w:p>
    <w:p w14:paraId="131BDC4C" w14:textId="77777777" w:rsidR="007606FB" w:rsidRPr="00A86B5B" w:rsidRDefault="007606FB" w:rsidP="00591653">
      <w:pPr>
        <w:ind w:left="851"/>
        <w:rPr>
          <w:i/>
          <w:sz w:val="24"/>
          <w:szCs w:val="24"/>
          <w:lang w:val="en-US"/>
        </w:rPr>
      </w:pPr>
    </w:p>
    <w:p w14:paraId="2EDF0CAD" w14:textId="77777777" w:rsidR="007606FB" w:rsidRPr="00A86B5B" w:rsidRDefault="007606FB" w:rsidP="00591653">
      <w:pPr>
        <w:ind w:left="851"/>
        <w:rPr>
          <w:i/>
          <w:sz w:val="24"/>
          <w:szCs w:val="24"/>
          <w:lang w:val="en-US"/>
        </w:rPr>
      </w:pPr>
      <w:r w:rsidRPr="00A86B5B">
        <w:rPr>
          <w:i/>
          <w:sz w:val="24"/>
          <w:szCs w:val="24"/>
          <w:lang w:val="en-US"/>
        </w:rPr>
        <w:t>Renal and hepatic impairment</w:t>
      </w:r>
    </w:p>
    <w:p w14:paraId="3DF6241C" w14:textId="77777777" w:rsidR="007606FB" w:rsidRPr="00A86B5B" w:rsidRDefault="007606FB" w:rsidP="00591653">
      <w:pPr>
        <w:ind w:left="851"/>
        <w:rPr>
          <w:sz w:val="24"/>
          <w:szCs w:val="24"/>
          <w:lang w:val="en-US"/>
        </w:rPr>
      </w:pPr>
      <w:r w:rsidRPr="00A86B5B">
        <w:rPr>
          <w:sz w:val="24"/>
          <w:szCs w:val="24"/>
          <w:lang w:val="en-US"/>
        </w:rPr>
        <w:t>Mirabegron has not been studied in patients with end stage renal disease (GFR &lt;15 mL/min/1.73 m</w:t>
      </w:r>
      <w:r w:rsidRPr="00A86B5B">
        <w:rPr>
          <w:sz w:val="24"/>
          <w:szCs w:val="24"/>
          <w:vertAlign w:val="superscript"/>
          <w:lang w:val="en-US"/>
        </w:rPr>
        <w:t>2</w:t>
      </w:r>
      <w:r w:rsidRPr="00A86B5B">
        <w:rPr>
          <w:sz w:val="24"/>
          <w:szCs w:val="24"/>
          <w:lang w:val="en-US"/>
        </w:rPr>
        <w:t xml:space="preserve"> or patients requiring </w:t>
      </w:r>
      <w:proofErr w:type="spellStart"/>
      <w:r w:rsidRPr="00A86B5B">
        <w:rPr>
          <w:sz w:val="24"/>
          <w:szCs w:val="24"/>
          <w:lang w:val="en-US"/>
        </w:rPr>
        <w:t>haemodialysis</w:t>
      </w:r>
      <w:proofErr w:type="spellEnd"/>
      <w:r w:rsidRPr="00A86B5B">
        <w:rPr>
          <w:sz w:val="24"/>
          <w:szCs w:val="24"/>
          <w:lang w:val="en-US"/>
        </w:rPr>
        <w:t>) or severe hepatic impairment (Child-Pugh Class C) and it is therefore not recommended for use in these patient populations (see sections 4.4 and 5.2).</w:t>
      </w:r>
    </w:p>
    <w:p w14:paraId="26D42927" w14:textId="77777777" w:rsidR="007606FB" w:rsidRPr="00A86B5B" w:rsidRDefault="007606FB" w:rsidP="00591653">
      <w:pPr>
        <w:ind w:left="851"/>
        <w:rPr>
          <w:sz w:val="24"/>
          <w:szCs w:val="24"/>
          <w:lang w:val="en-US"/>
        </w:rPr>
      </w:pPr>
    </w:p>
    <w:p w14:paraId="343B94FC" w14:textId="77777777" w:rsidR="007606FB" w:rsidRPr="00A86B5B" w:rsidRDefault="007606FB" w:rsidP="00591653">
      <w:pPr>
        <w:ind w:left="851"/>
        <w:rPr>
          <w:sz w:val="24"/>
          <w:szCs w:val="24"/>
          <w:lang w:val="en-US"/>
        </w:rPr>
      </w:pPr>
      <w:r w:rsidRPr="00A86B5B">
        <w:rPr>
          <w:sz w:val="24"/>
          <w:szCs w:val="24"/>
          <w:lang w:val="en-US"/>
        </w:rPr>
        <w:t>The following table provides the daily dosing recommendations for mirabegron in subjects with renal or hepatic impairment in the absence and presence of strong CYP3A inhibitors (see sections 4.4, 4.5 and 5.2).</w:t>
      </w:r>
    </w:p>
    <w:p w14:paraId="6CCF5CE3" w14:textId="77777777" w:rsidR="007606FB" w:rsidRPr="00A86B5B" w:rsidRDefault="007606FB" w:rsidP="007606FB">
      <w:pPr>
        <w:tabs>
          <w:tab w:val="left" w:pos="567"/>
        </w:tabs>
        <w:ind w:left="1134" w:hanging="1134"/>
        <w:rPr>
          <w:sz w:val="24"/>
          <w:szCs w:val="24"/>
          <w:lang w:val="en-US"/>
        </w:rPr>
      </w:pPr>
    </w:p>
    <w:p w14:paraId="6A2B6C65" w14:textId="77777777" w:rsidR="007606FB" w:rsidRPr="00A86B5B" w:rsidRDefault="007606FB" w:rsidP="007606FB">
      <w:pPr>
        <w:keepNext/>
        <w:keepLines/>
        <w:tabs>
          <w:tab w:val="left" w:pos="567"/>
          <w:tab w:val="left" w:pos="1134"/>
        </w:tabs>
        <w:ind w:left="1134" w:hanging="1134"/>
        <w:rPr>
          <w:b/>
          <w:sz w:val="24"/>
          <w:szCs w:val="24"/>
          <w:lang w:val="en-US"/>
        </w:rPr>
      </w:pPr>
      <w:r w:rsidRPr="00A86B5B">
        <w:rPr>
          <w:b/>
          <w:sz w:val="24"/>
          <w:szCs w:val="24"/>
          <w:lang w:val="en-US"/>
        </w:rPr>
        <w:t>Table 1:</w:t>
      </w:r>
      <w:r w:rsidRPr="00A86B5B">
        <w:rPr>
          <w:b/>
          <w:sz w:val="24"/>
          <w:szCs w:val="24"/>
          <w:lang w:val="en-US"/>
        </w:rPr>
        <w:tab/>
        <w:t>Daily dosing recommendations for subjects with renal or hepatic impairment in the absence and presence of strong CYP3A inhibitors</w:t>
      </w:r>
    </w:p>
    <w:tbl>
      <w:tblPr>
        <w:tblStyle w:val="Tabel-Gitter"/>
        <w:tblW w:w="5000" w:type="pct"/>
        <w:tblInd w:w="0" w:type="dxa"/>
        <w:tblLook w:val="04A0" w:firstRow="1" w:lastRow="0" w:firstColumn="1" w:lastColumn="0" w:noHBand="0" w:noVBand="1"/>
      </w:tblPr>
      <w:tblGrid>
        <w:gridCol w:w="2407"/>
        <w:gridCol w:w="2407"/>
        <w:gridCol w:w="2407"/>
        <w:gridCol w:w="2407"/>
      </w:tblGrid>
      <w:tr w:rsidR="007606FB" w:rsidRPr="00A86B5B" w14:paraId="47C8C3AD" w14:textId="77777777" w:rsidTr="00A86B5B">
        <w:trPr>
          <w:tblHeader/>
        </w:trPr>
        <w:tc>
          <w:tcPr>
            <w:tcW w:w="1250" w:type="pct"/>
            <w:vMerge w:val="restart"/>
            <w:tcBorders>
              <w:top w:val="single" w:sz="4" w:space="0" w:color="auto"/>
              <w:left w:val="single" w:sz="4" w:space="0" w:color="auto"/>
              <w:bottom w:val="single" w:sz="4" w:space="0" w:color="auto"/>
              <w:right w:val="single" w:sz="4" w:space="0" w:color="auto"/>
            </w:tcBorders>
          </w:tcPr>
          <w:p w14:paraId="1EEA4951" w14:textId="77777777" w:rsidR="007606FB" w:rsidRPr="00A86B5B" w:rsidRDefault="007606FB">
            <w:pPr>
              <w:rPr>
                <w:rFonts w:cs="Times New Roman"/>
                <w:sz w:val="24"/>
                <w:szCs w:val="24"/>
              </w:rPr>
            </w:pPr>
          </w:p>
        </w:tc>
        <w:tc>
          <w:tcPr>
            <w:tcW w:w="1250" w:type="pct"/>
            <w:vMerge w:val="restart"/>
            <w:tcBorders>
              <w:top w:val="single" w:sz="4" w:space="0" w:color="auto"/>
              <w:left w:val="single" w:sz="4" w:space="0" w:color="auto"/>
              <w:bottom w:val="single" w:sz="4" w:space="0" w:color="auto"/>
              <w:right w:val="single" w:sz="4" w:space="0" w:color="auto"/>
            </w:tcBorders>
          </w:tcPr>
          <w:p w14:paraId="1D0B6E1D" w14:textId="77777777" w:rsidR="007606FB" w:rsidRPr="00A86B5B" w:rsidRDefault="007606FB">
            <w:pPr>
              <w:rPr>
                <w:rFonts w:cs="Times New Roman"/>
                <w:sz w:val="24"/>
                <w:szCs w:val="24"/>
              </w:rPr>
            </w:pPr>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14:paraId="5A8BFF2A" w14:textId="77777777" w:rsidR="007606FB" w:rsidRPr="00A86B5B" w:rsidRDefault="007606FB">
            <w:pPr>
              <w:ind w:left="-106" w:right="-119"/>
              <w:jc w:val="center"/>
              <w:rPr>
                <w:rFonts w:cs="Times New Roman"/>
                <w:sz w:val="24"/>
                <w:szCs w:val="24"/>
              </w:rPr>
            </w:pPr>
            <w:r w:rsidRPr="00A86B5B">
              <w:rPr>
                <w:rFonts w:cs="Times New Roman"/>
                <w:sz w:val="24"/>
                <w:szCs w:val="24"/>
              </w:rPr>
              <w:t xml:space="preserve">Strong CYP3A </w:t>
            </w:r>
            <w:proofErr w:type="gramStart"/>
            <w:r w:rsidRPr="00A86B5B">
              <w:rPr>
                <w:rFonts w:cs="Times New Roman"/>
                <w:sz w:val="24"/>
                <w:szCs w:val="24"/>
              </w:rPr>
              <w:t>inhibitors</w:t>
            </w:r>
            <w:r w:rsidRPr="00A86B5B">
              <w:rPr>
                <w:rFonts w:cs="Times New Roman"/>
                <w:sz w:val="24"/>
                <w:szCs w:val="24"/>
                <w:vertAlign w:val="superscript"/>
              </w:rPr>
              <w:t>(</w:t>
            </w:r>
            <w:proofErr w:type="gramEnd"/>
            <w:r w:rsidRPr="00A86B5B">
              <w:rPr>
                <w:rFonts w:cs="Times New Roman"/>
                <w:sz w:val="24"/>
                <w:szCs w:val="24"/>
                <w:vertAlign w:val="superscript"/>
              </w:rPr>
              <w:t>3)</w:t>
            </w:r>
          </w:p>
        </w:tc>
      </w:tr>
      <w:tr w:rsidR="007606FB" w:rsidRPr="00A86B5B" w14:paraId="4C28F89A" w14:textId="77777777" w:rsidTr="00A86B5B">
        <w:trPr>
          <w:tblHead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7C07A061" w14:textId="77777777" w:rsidR="007606FB" w:rsidRPr="00A86B5B" w:rsidRDefault="007606FB">
            <w:pPr>
              <w:rPr>
                <w:rFonts w:cs="Times New Roman"/>
                <w:sz w:val="24"/>
                <w:szCs w:val="24"/>
              </w:rPr>
            </w:pPr>
          </w:p>
        </w:tc>
        <w:tc>
          <w:tcPr>
            <w:tcW w:w="1250" w:type="pct"/>
            <w:vMerge/>
            <w:tcBorders>
              <w:top w:val="single" w:sz="4" w:space="0" w:color="auto"/>
              <w:left w:val="single" w:sz="4" w:space="0" w:color="auto"/>
              <w:bottom w:val="single" w:sz="4" w:space="0" w:color="auto"/>
              <w:right w:val="single" w:sz="4" w:space="0" w:color="auto"/>
            </w:tcBorders>
            <w:vAlign w:val="center"/>
            <w:hideMark/>
          </w:tcPr>
          <w:p w14:paraId="4BA0B5F4" w14:textId="77777777" w:rsidR="007606FB" w:rsidRPr="00A86B5B" w:rsidRDefault="007606FB">
            <w:pPr>
              <w:rPr>
                <w:rFonts w:cs="Times New Roman"/>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6F713046" w14:textId="77777777" w:rsidR="007606FB" w:rsidRPr="00A86B5B" w:rsidRDefault="007606FB">
            <w:pPr>
              <w:ind w:left="-106" w:right="-112"/>
              <w:jc w:val="center"/>
              <w:rPr>
                <w:rFonts w:cs="Times New Roman"/>
                <w:sz w:val="24"/>
                <w:szCs w:val="24"/>
              </w:rPr>
            </w:pPr>
            <w:r w:rsidRPr="00A86B5B">
              <w:rPr>
                <w:rFonts w:cs="Times New Roman"/>
                <w:sz w:val="24"/>
                <w:szCs w:val="24"/>
              </w:rPr>
              <w:t>Without inhibitor</w:t>
            </w:r>
          </w:p>
        </w:tc>
        <w:tc>
          <w:tcPr>
            <w:tcW w:w="1250" w:type="pct"/>
            <w:tcBorders>
              <w:top w:val="single" w:sz="4" w:space="0" w:color="auto"/>
              <w:left w:val="single" w:sz="4" w:space="0" w:color="auto"/>
              <w:bottom w:val="single" w:sz="4" w:space="0" w:color="auto"/>
              <w:right w:val="single" w:sz="4" w:space="0" w:color="auto"/>
            </w:tcBorders>
            <w:hideMark/>
          </w:tcPr>
          <w:p w14:paraId="6455D714" w14:textId="77777777" w:rsidR="007606FB" w:rsidRPr="00A86B5B" w:rsidRDefault="007606FB">
            <w:pPr>
              <w:ind w:left="-100" w:right="-119"/>
              <w:jc w:val="center"/>
              <w:rPr>
                <w:rFonts w:cs="Times New Roman"/>
                <w:sz w:val="24"/>
                <w:szCs w:val="24"/>
              </w:rPr>
            </w:pPr>
            <w:r w:rsidRPr="00A86B5B">
              <w:rPr>
                <w:rFonts w:cs="Times New Roman"/>
                <w:sz w:val="24"/>
                <w:szCs w:val="24"/>
              </w:rPr>
              <w:t>With inhibitor</w:t>
            </w:r>
          </w:p>
        </w:tc>
      </w:tr>
      <w:tr w:rsidR="007606FB" w:rsidRPr="00A86B5B" w14:paraId="2FDB7463" w14:textId="77777777" w:rsidTr="00A86B5B">
        <w:tc>
          <w:tcPr>
            <w:tcW w:w="1250" w:type="pct"/>
            <w:vMerge w:val="restart"/>
            <w:tcBorders>
              <w:top w:val="single" w:sz="4" w:space="0" w:color="auto"/>
              <w:left w:val="single" w:sz="4" w:space="0" w:color="auto"/>
              <w:bottom w:val="single" w:sz="4" w:space="0" w:color="auto"/>
              <w:right w:val="single" w:sz="4" w:space="0" w:color="auto"/>
            </w:tcBorders>
            <w:hideMark/>
          </w:tcPr>
          <w:p w14:paraId="5AD5F9B8" w14:textId="77777777" w:rsidR="007606FB" w:rsidRPr="00A86B5B" w:rsidRDefault="007606FB">
            <w:pPr>
              <w:ind w:left="-111" w:firstLine="111"/>
              <w:jc w:val="center"/>
              <w:rPr>
                <w:rFonts w:cs="Times New Roman"/>
                <w:sz w:val="24"/>
                <w:szCs w:val="24"/>
              </w:rPr>
            </w:pPr>
            <w:r w:rsidRPr="00A86B5B">
              <w:rPr>
                <w:rFonts w:cs="Times New Roman"/>
                <w:sz w:val="24"/>
                <w:szCs w:val="24"/>
              </w:rPr>
              <w:t xml:space="preserve">Renal </w:t>
            </w:r>
            <w:proofErr w:type="gramStart"/>
            <w:r w:rsidRPr="00A86B5B">
              <w:rPr>
                <w:rFonts w:cs="Times New Roman"/>
                <w:sz w:val="24"/>
                <w:szCs w:val="24"/>
              </w:rPr>
              <w:t>impairment</w:t>
            </w:r>
            <w:r w:rsidRPr="00A86B5B">
              <w:rPr>
                <w:rFonts w:cs="Times New Roman"/>
                <w:sz w:val="24"/>
                <w:szCs w:val="24"/>
                <w:vertAlign w:val="superscript"/>
              </w:rPr>
              <w:t>(</w:t>
            </w:r>
            <w:proofErr w:type="gramEnd"/>
            <w:r w:rsidRPr="00A86B5B">
              <w:rPr>
                <w:rFonts w:cs="Times New Roman"/>
                <w:sz w:val="24"/>
                <w:szCs w:val="24"/>
                <w:vertAlign w:val="superscript"/>
              </w:rPr>
              <w:t>1)</w:t>
            </w:r>
          </w:p>
        </w:tc>
        <w:tc>
          <w:tcPr>
            <w:tcW w:w="1250" w:type="pct"/>
            <w:tcBorders>
              <w:top w:val="single" w:sz="4" w:space="0" w:color="auto"/>
              <w:left w:val="single" w:sz="4" w:space="0" w:color="auto"/>
              <w:bottom w:val="single" w:sz="4" w:space="0" w:color="auto"/>
              <w:right w:val="single" w:sz="4" w:space="0" w:color="auto"/>
            </w:tcBorders>
            <w:hideMark/>
          </w:tcPr>
          <w:p w14:paraId="5DD9F683" w14:textId="77777777" w:rsidR="007606FB" w:rsidRPr="00A86B5B" w:rsidRDefault="007606FB">
            <w:pPr>
              <w:ind w:left="29" w:hanging="29"/>
              <w:jc w:val="center"/>
              <w:rPr>
                <w:rFonts w:cs="Times New Roman"/>
                <w:sz w:val="24"/>
                <w:szCs w:val="24"/>
              </w:rPr>
            </w:pPr>
            <w:r w:rsidRPr="00A86B5B">
              <w:rPr>
                <w:rFonts w:cs="Times New Roman"/>
                <w:sz w:val="24"/>
                <w:szCs w:val="24"/>
              </w:rPr>
              <w:t>Mild</w:t>
            </w:r>
          </w:p>
        </w:tc>
        <w:tc>
          <w:tcPr>
            <w:tcW w:w="1250" w:type="pct"/>
            <w:tcBorders>
              <w:top w:val="single" w:sz="4" w:space="0" w:color="auto"/>
              <w:left w:val="single" w:sz="4" w:space="0" w:color="auto"/>
              <w:bottom w:val="single" w:sz="4" w:space="0" w:color="auto"/>
              <w:right w:val="single" w:sz="4" w:space="0" w:color="auto"/>
            </w:tcBorders>
            <w:hideMark/>
          </w:tcPr>
          <w:p w14:paraId="0DD2E44C" w14:textId="77777777" w:rsidR="007606FB" w:rsidRPr="00A86B5B" w:rsidRDefault="007606FB">
            <w:pPr>
              <w:ind w:left="-106" w:right="-112"/>
              <w:jc w:val="center"/>
              <w:rPr>
                <w:rFonts w:cs="Times New Roman"/>
                <w:sz w:val="24"/>
                <w:szCs w:val="24"/>
              </w:rPr>
            </w:pPr>
            <w:r w:rsidRPr="00A86B5B">
              <w:rPr>
                <w:rFonts w:cs="Times New Roman"/>
                <w:sz w:val="24"/>
                <w:szCs w:val="24"/>
              </w:rPr>
              <w:t>50 mg</w:t>
            </w:r>
          </w:p>
        </w:tc>
        <w:tc>
          <w:tcPr>
            <w:tcW w:w="1250" w:type="pct"/>
            <w:tcBorders>
              <w:top w:val="single" w:sz="4" w:space="0" w:color="auto"/>
              <w:left w:val="single" w:sz="4" w:space="0" w:color="auto"/>
              <w:bottom w:val="single" w:sz="4" w:space="0" w:color="auto"/>
              <w:right w:val="single" w:sz="4" w:space="0" w:color="auto"/>
            </w:tcBorders>
            <w:hideMark/>
          </w:tcPr>
          <w:p w14:paraId="6E8CEFE1" w14:textId="77777777" w:rsidR="007606FB" w:rsidRPr="00A86B5B" w:rsidRDefault="007606FB">
            <w:pPr>
              <w:ind w:left="-100" w:right="-119"/>
              <w:jc w:val="center"/>
              <w:rPr>
                <w:rFonts w:cs="Times New Roman"/>
                <w:sz w:val="24"/>
                <w:szCs w:val="24"/>
              </w:rPr>
            </w:pPr>
            <w:r w:rsidRPr="00A86B5B">
              <w:rPr>
                <w:rFonts w:cs="Times New Roman"/>
                <w:sz w:val="24"/>
                <w:szCs w:val="24"/>
              </w:rPr>
              <w:t>25 mg</w:t>
            </w:r>
          </w:p>
        </w:tc>
      </w:tr>
      <w:tr w:rsidR="007606FB" w:rsidRPr="00A86B5B" w14:paraId="73779604" w14:textId="77777777" w:rsidTr="00A86B5B">
        <w:tc>
          <w:tcPr>
            <w:tcW w:w="1250" w:type="pct"/>
            <w:vMerge/>
            <w:tcBorders>
              <w:top w:val="single" w:sz="4" w:space="0" w:color="auto"/>
              <w:left w:val="single" w:sz="4" w:space="0" w:color="auto"/>
              <w:bottom w:val="single" w:sz="4" w:space="0" w:color="auto"/>
              <w:right w:val="single" w:sz="4" w:space="0" w:color="auto"/>
            </w:tcBorders>
            <w:vAlign w:val="center"/>
            <w:hideMark/>
          </w:tcPr>
          <w:p w14:paraId="110CD84E" w14:textId="77777777" w:rsidR="007606FB" w:rsidRPr="00A86B5B" w:rsidRDefault="007606FB">
            <w:pPr>
              <w:rPr>
                <w:rFonts w:cs="Times New Roman"/>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34D2CFC0" w14:textId="77777777" w:rsidR="007606FB" w:rsidRPr="00A86B5B" w:rsidRDefault="007606FB">
            <w:pPr>
              <w:ind w:left="29" w:hanging="29"/>
              <w:jc w:val="center"/>
              <w:rPr>
                <w:rFonts w:cs="Times New Roman"/>
                <w:sz w:val="24"/>
                <w:szCs w:val="24"/>
              </w:rPr>
            </w:pPr>
            <w:r w:rsidRPr="00A86B5B">
              <w:rPr>
                <w:rFonts w:cs="Times New Roman"/>
                <w:sz w:val="24"/>
                <w:szCs w:val="24"/>
              </w:rPr>
              <w:t>Moderate</w:t>
            </w:r>
          </w:p>
        </w:tc>
        <w:tc>
          <w:tcPr>
            <w:tcW w:w="1250" w:type="pct"/>
            <w:tcBorders>
              <w:top w:val="single" w:sz="4" w:space="0" w:color="auto"/>
              <w:left w:val="single" w:sz="4" w:space="0" w:color="auto"/>
              <w:bottom w:val="single" w:sz="4" w:space="0" w:color="auto"/>
              <w:right w:val="single" w:sz="4" w:space="0" w:color="auto"/>
            </w:tcBorders>
            <w:hideMark/>
          </w:tcPr>
          <w:p w14:paraId="1678C10F" w14:textId="77777777" w:rsidR="007606FB" w:rsidRPr="00A86B5B" w:rsidRDefault="007606FB">
            <w:pPr>
              <w:ind w:left="-106" w:right="-112"/>
              <w:jc w:val="center"/>
              <w:rPr>
                <w:rFonts w:cs="Times New Roman"/>
                <w:sz w:val="24"/>
                <w:szCs w:val="24"/>
              </w:rPr>
            </w:pPr>
            <w:r w:rsidRPr="00A86B5B">
              <w:rPr>
                <w:rFonts w:cs="Times New Roman"/>
                <w:sz w:val="24"/>
                <w:szCs w:val="24"/>
              </w:rPr>
              <w:t>50 mg</w:t>
            </w:r>
          </w:p>
        </w:tc>
        <w:tc>
          <w:tcPr>
            <w:tcW w:w="1250" w:type="pct"/>
            <w:tcBorders>
              <w:top w:val="single" w:sz="4" w:space="0" w:color="auto"/>
              <w:left w:val="single" w:sz="4" w:space="0" w:color="auto"/>
              <w:bottom w:val="single" w:sz="4" w:space="0" w:color="auto"/>
              <w:right w:val="single" w:sz="4" w:space="0" w:color="auto"/>
            </w:tcBorders>
            <w:hideMark/>
          </w:tcPr>
          <w:p w14:paraId="31931ACA" w14:textId="77777777" w:rsidR="007606FB" w:rsidRPr="00A86B5B" w:rsidRDefault="007606FB">
            <w:pPr>
              <w:ind w:left="-100" w:right="-119"/>
              <w:jc w:val="center"/>
              <w:rPr>
                <w:rFonts w:cs="Times New Roman"/>
                <w:sz w:val="24"/>
                <w:szCs w:val="24"/>
              </w:rPr>
            </w:pPr>
            <w:r w:rsidRPr="00A86B5B">
              <w:rPr>
                <w:rFonts w:cs="Times New Roman"/>
                <w:sz w:val="24"/>
                <w:szCs w:val="24"/>
              </w:rPr>
              <w:t>25 mg</w:t>
            </w:r>
          </w:p>
        </w:tc>
      </w:tr>
      <w:tr w:rsidR="007606FB" w:rsidRPr="00A86B5B" w14:paraId="5F9A9D31" w14:textId="77777777" w:rsidTr="00A86B5B">
        <w:tc>
          <w:tcPr>
            <w:tcW w:w="1250" w:type="pct"/>
            <w:vMerge/>
            <w:tcBorders>
              <w:top w:val="single" w:sz="4" w:space="0" w:color="auto"/>
              <w:left w:val="single" w:sz="4" w:space="0" w:color="auto"/>
              <w:bottom w:val="single" w:sz="4" w:space="0" w:color="auto"/>
              <w:right w:val="single" w:sz="4" w:space="0" w:color="auto"/>
            </w:tcBorders>
            <w:vAlign w:val="center"/>
            <w:hideMark/>
          </w:tcPr>
          <w:p w14:paraId="4DC3011A" w14:textId="77777777" w:rsidR="007606FB" w:rsidRPr="00A86B5B" w:rsidRDefault="007606FB">
            <w:pPr>
              <w:rPr>
                <w:rFonts w:cs="Times New Roman"/>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4D0E20C8" w14:textId="77777777" w:rsidR="007606FB" w:rsidRPr="00A86B5B" w:rsidRDefault="007606FB">
            <w:pPr>
              <w:ind w:left="29" w:hanging="29"/>
              <w:jc w:val="center"/>
              <w:rPr>
                <w:rFonts w:cs="Times New Roman"/>
                <w:sz w:val="24"/>
                <w:szCs w:val="24"/>
              </w:rPr>
            </w:pPr>
            <w:r w:rsidRPr="00A86B5B">
              <w:rPr>
                <w:rFonts w:cs="Times New Roman"/>
                <w:sz w:val="24"/>
                <w:szCs w:val="24"/>
              </w:rPr>
              <w:t>Severe</w:t>
            </w:r>
          </w:p>
        </w:tc>
        <w:tc>
          <w:tcPr>
            <w:tcW w:w="1250" w:type="pct"/>
            <w:tcBorders>
              <w:top w:val="single" w:sz="4" w:space="0" w:color="auto"/>
              <w:left w:val="single" w:sz="4" w:space="0" w:color="auto"/>
              <w:bottom w:val="single" w:sz="4" w:space="0" w:color="auto"/>
              <w:right w:val="single" w:sz="4" w:space="0" w:color="auto"/>
            </w:tcBorders>
            <w:hideMark/>
          </w:tcPr>
          <w:p w14:paraId="320C666F" w14:textId="77777777" w:rsidR="007606FB" w:rsidRPr="00A86B5B" w:rsidRDefault="007606FB">
            <w:pPr>
              <w:ind w:left="-106" w:right="-112"/>
              <w:jc w:val="center"/>
              <w:rPr>
                <w:rFonts w:cs="Times New Roman"/>
                <w:sz w:val="24"/>
                <w:szCs w:val="24"/>
              </w:rPr>
            </w:pPr>
            <w:r w:rsidRPr="00A86B5B">
              <w:rPr>
                <w:rFonts w:cs="Times New Roman"/>
                <w:sz w:val="24"/>
                <w:szCs w:val="24"/>
              </w:rPr>
              <w:t>25 mg</w:t>
            </w:r>
          </w:p>
        </w:tc>
        <w:tc>
          <w:tcPr>
            <w:tcW w:w="1250" w:type="pct"/>
            <w:tcBorders>
              <w:top w:val="single" w:sz="4" w:space="0" w:color="auto"/>
              <w:left w:val="single" w:sz="4" w:space="0" w:color="auto"/>
              <w:bottom w:val="single" w:sz="4" w:space="0" w:color="auto"/>
              <w:right w:val="single" w:sz="4" w:space="0" w:color="auto"/>
            </w:tcBorders>
            <w:hideMark/>
          </w:tcPr>
          <w:p w14:paraId="20C278A2" w14:textId="77777777" w:rsidR="007606FB" w:rsidRPr="00A86B5B" w:rsidRDefault="007606FB">
            <w:pPr>
              <w:ind w:left="-100" w:right="-119"/>
              <w:jc w:val="center"/>
              <w:rPr>
                <w:rFonts w:cs="Times New Roman"/>
                <w:sz w:val="24"/>
                <w:szCs w:val="24"/>
              </w:rPr>
            </w:pPr>
            <w:r w:rsidRPr="00A86B5B">
              <w:rPr>
                <w:rFonts w:cs="Times New Roman"/>
                <w:sz w:val="24"/>
                <w:szCs w:val="24"/>
              </w:rPr>
              <w:t>Not recommended</w:t>
            </w:r>
          </w:p>
        </w:tc>
      </w:tr>
      <w:tr w:rsidR="007606FB" w:rsidRPr="00A86B5B" w14:paraId="2DEF0235" w14:textId="77777777" w:rsidTr="00A86B5B">
        <w:tc>
          <w:tcPr>
            <w:tcW w:w="1250" w:type="pct"/>
            <w:vMerge w:val="restart"/>
            <w:tcBorders>
              <w:top w:val="single" w:sz="4" w:space="0" w:color="auto"/>
              <w:left w:val="single" w:sz="4" w:space="0" w:color="auto"/>
              <w:bottom w:val="single" w:sz="4" w:space="0" w:color="auto"/>
              <w:right w:val="single" w:sz="4" w:space="0" w:color="auto"/>
            </w:tcBorders>
            <w:hideMark/>
          </w:tcPr>
          <w:p w14:paraId="498D3F6F" w14:textId="77777777" w:rsidR="007606FB" w:rsidRPr="00A86B5B" w:rsidRDefault="007606FB">
            <w:pPr>
              <w:ind w:left="-111" w:firstLine="111"/>
              <w:jc w:val="center"/>
              <w:rPr>
                <w:rFonts w:cs="Times New Roman"/>
                <w:sz w:val="24"/>
                <w:szCs w:val="24"/>
              </w:rPr>
            </w:pPr>
            <w:r w:rsidRPr="00A86B5B">
              <w:rPr>
                <w:rFonts w:cs="Times New Roman"/>
                <w:sz w:val="24"/>
                <w:szCs w:val="24"/>
              </w:rPr>
              <w:t xml:space="preserve">Hepatic </w:t>
            </w:r>
            <w:proofErr w:type="gramStart"/>
            <w:r w:rsidRPr="00A86B5B">
              <w:rPr>
                <w:rFonts w:cs="Times New Roman"/>
                <w:sz w:val="24"/>
                <w:szCs w:val="24"/>
              </w:rPr>
              <w:t>impairment</w:t>
            </w:r>
            <w:r w:rsidRPr="00A86B5B">
              <w:rPr>
                <w:rFonts w:cs="Times New Roman"/>
                <w:sz w:val="24"/>
                <w:szCs w:val="24"/>
                <w:vertAlign w:val="superscript"/>
              </w:rPr>
              <w:t>(</w:t>
            </w:r>
            <w:proofErr w:type="gramEnd"/>
            <w:r w:rsidRPr="00A86B5B">
              <w:rPr>
                <w:rFonts w:cs="Times New Roman"/>
                <w:sz w:val="24"/>
                <w:szCs w:val="24"/>
                <w:vertAlign w:val="superscript"/>
              </w:rPr>
              <w:t>2)</w:t>
            </w:r>
          </w:p>
        </w:tc>
        <w:tc>
          <w:tcPr>
            <w:tcW w:w="1250" w:type="pct"/>
            <w:tcBorders>
              <w:top w:val="single" w:sz="4" w:space="0" w:color="auto"/>
              <w:left w:val="single" w:sz="4" w:space="0" w:color="auto"/>
              <w:bottom w:val="single" w:sz="4" w:space="0" w:color="auto"/>
              <w:right w:val="single" w:sz="4" w:space="0" w:color="auto"/>
            </w:tcBorders>
            <w:hideMark/>
          </w:tcPr>
          <w:p w14:paraId="4AC76EF9" w14:textId="77777777" w:rsidR="007606FB" w:rsidRPr="00A86B5B" w:rsidRDefault="007606FB">
            <w:pPr>
              <w:ind w:left="29" w:hanging="29"/>
              <w:jc w:val="center"/>
              <w:rPr>
                <w:rFonts w:cs="Times New Roman"/>
                <w:sz w:val="24"/>
                <w:szCs w:val="24"/>
              </w:rPr>
            </w:pPr>
            <w:r w:rsidRPr="00A86B5B">
              <w:rPr>
                <w:rFonts w:cs="Times New Roman"/>
                <w:sz w:val="24"/>
                <w:szCs w:val="24"/>
              </w:rPr>
              <w:t>Mild</w:t>
            </w:r>
          </w:p>
        </w:tc>
        <w:tc>
          <w:tcPr>
            <w:tcW w:w="1250" w:type="pct"/>
            <w:tcBorders>
              <w:top w:val="single" w:sz="4" w:space="0" w:color="auto"/>
              <w:left w:val="single" w:sz="4" w:space="0" w:color="auto"/>
              <w:bottom w:val="single" w:sz="4" w:space="0" w:color="auto"/>
              <w:right w:val="single" w:sz="4" w:space="0" w:color="auto"/>
            </w:tcBorders>
            <w:hideMark/>
          </w:tcPr>
          <w:p w14:paraId="5FF924A4" w14:textId="77777777" w:rsidR="007606FB" w:rsidRPr="00A86B5B" w:rsidRDefault="007606FB">
            <w:pPr>
              <w:ind w:left="-106" w:right="-112"/>
              <w:jc w:val="center"/>
              <w:rPr>
                <w:rFonts w:cs="Times New Roman"/>
                <w:sz w:val="24"/>
                <w:szCs w:val="24"/>
              </w:rPr>
            </w:pPr>
            <w:r w:rsidRPr="00A86B5B">
              <w:rPr>
                <w:rFonts w:cs="Times New Roman"/>
                <w:sz w:val="24"/>
                <w:szCs w:val="24"/>
              </w:rPr>
              <w:t>50 mg</w:t>
            </w:r>
          </w:p>
        </w:tc>
        <w:tc>
          <w:tcPr>
            <w:tcW w:w="1250" w:type="pct"/>
            <w:tcBorders>
              <w:top w:val="single" w:sz="4" w:space="0" w:color="auto"/>
              <w:left w:val="single" w:sz="4" w:space="0" w:color="auto"/>
              <w:bottom w:val="single" w:sz="4" w:space="0" w:color="auto"/>
              <w:right w:val="single" w:sz="4" w:space="0" w:color="auto"/>
            </w:tcBorders>
            <w:hideMark/>
          </w:tcPr>
          <w:p w14:paraId="73FF8DC7" w14:textId="77777777" w:rsidR="007606FB" w:rsidRPr="00A86B5B" w:rsidRDefault="007606FB">
            <w:pPr>
              <w:ind w:left="-100" w:right="-119"/>
              <w:jc w:val="center"/>
              <w:rPr>
                <w:rFonts w:cs="Times New Roman"/>
                <w:sz w:val="24"/>
                <w:szCs w:val="24"/>
              </w:rPr>
            </w:pPr>
            <w:r w:rsidRPr="00A86B5B">
              <w:rPr>
                <w:rFonts w:cs="Times New Roman"/>
                <w:sz w:val="24"/>
                <w:szCs w:val="24"/>
              </w:rPr>
              <w:t>25 mg</w:t>
            </w:r>
          </w:p>
        </w:tc>
      </w:tr>
      <w:tr w:rsidR="007606FB" w:rsidRPr="00A86B5B" w14:paraId="74854C8C" w14:textId="77777777" w:rsidTr="00A86B5B">
        <w:tc>
          <w:tcPr>
            <w:tcW w:w="1250" w:type="pct"/>
            <w:vMerge/>
            <w:tcBorders>
              <w:top w:val="single" w:sz="4" w:space="0" w:color="auto"/>
              <w:left w:val="single" w:sz="4" w:space="0" w:color="auto"/>
              <w:bottom w:val="single" w:sz="4" w:space="0" w:color="auto"/>
              <w:right w:val="single" w:sz="4" w:space="0" w:color="auto"/>
            </w:tcBorders>
            <w:vAlign w:val="center"/>
            <w:hideMark/>
          </w:tcPr>
          <w:p w14:paraId="453468EB" w14:textId="77777777" w:rsidR="007606FB" w:rsidRPr="00A86B5B" w:rsidRDefault="007606FB">
            <w:pPr>
              <w:rPr>
                <w:rFonts w:cs="Times New Roman"/>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06A9EC05" w14:textId="77777777" w:rsidR="007606FB" w:rsidRPr="00A86B5B" w:rsidRDefault="007606FB">
            <w:pPr>
              <w:ind w:left="28" w:hanging="28"/>
              <w:jc w:val="center"/>
              <w:rPr>
                <w:rFonts w:cs="Times New Roman"/>
                <w:sz w:val="24"/>
                <w:szCs w:val="24"/>
              </w:rPr>
            </w:pPr>
            <w:r w:rsidRPr="00A86B5B">
              <w:rPr>
                <w:rFonts w:cs="Times New Roman"/>
                <w:sz w:val="24"/>
                <w:szCs w:val="24"/>
              </w:rPr>
              <w:t>Moderate</w:t>
            </w:r>
          </w:p>
        </w:tc>
        <w:tc>
          <w:tcPr>
            <w:tcW w:w="1250" w:type="pct"/>
            <w:tcBorders>
              <w:top w:val="single" w:sz="4" w:space="0" w:color="auto"/>
              <w:left w:val="single" w:sz="4" w:space="0" w:color="auto"/>
              <w:bottom w:val="single" w:sz="4" w:space="0" w:color="auto"/>
              <w:right w:val="single" w:sz="4" w:space="0" w:color="auto"/>
            </w:tcBorders>
            <w:hideMark/>
          </w:tcPr>
          <w:p w14:paraId="3FD03DD4" w14:textId="77777777" w:rsidR="007606FB" w:rsidRPr="00A86B5B" w:rsidRDefault="007606FB">
            <w:pPr>
              <w:keepNext/>
              <w:ind w:left="-106" w:right="-112"/>
              <w:jc w:val="center"/>
              <w:rPr>
                <w:rFonts w:cs="Times New Roman"/>
                <w:sz w:val="24"/>
                <w:szCs w:val="24"/>
              </w:rPr>
            </w:pPr>
            <w:r w:rsidRPr="00A86B5B">
              <w:rPr>
                <w:rFonts w:cs="Times New Roman"/>
                <w:sz w:val="24"/>
                <w:szCs w:val="24"/>
              </w:rPr>
              <w:t>25 mg</w:t>
            </w:r>
          </w:p>
        </w:tc>
        <w:tc>
          <w:tcPr>
            <w:tcW w:w="1250" w:type="pct"/>
            <w:tcBorders>
              <w:top w:val="single" w:sz="4" w:space="0" w:color="auto"/>
              <w:left w:val="single" w:sz="4" w:space="0" w:color="auto"/>
              <w:bottom w:val="single" w:sz="4" w:space="0" w:color="auto"/>
              <w:right w:val="single" w:sz="4" w:space="0" w:color="auto"/>
            </w:tcBorders>
            <w:hideMark/>
          </w:tcPr>
          <w:p w14:paraId="32E0C8D4" w14:textId="77777777" w:rsidR="007606FB" w:rsidRPr="00A86B5B" w:rsidRDefault="007606FB">
            <w:pPr>
              <w:keepNext/>
              <w:ind w:left="-100" w:right="-119"/>
              <w:jc w:val="center"/>
              <w:rPr>
                <w:rFonts w:cs="Times New Roman"/>
                <w:sz w:val="24"/>
                <w:szCs w:val="24"/>
              </w:rPr>
            </w:pPr>
            <w:r w:rsidRPr="00A86B5B">
              <w:rPr>
                <w:rFonts w:cs="Times New Roman"/>
                <w:sz w:val="24"/>
                <w:szCs w:val="24"/>
              </w:rPr>
              <w:t>Not recommended</w:t>
            </w:r>
          </w:p>
        </w:tc>
      </w:tr>
    </w:tbl>
    <w:p w14:paraId="38D68767" w14:textId="77777777" w:rsidR="007606FB" w:rsidRPr="00A86B5B" w:rsidRDefault="007606FB" w:rsidP="007606FB">
      <w:pPr>
        <w:ind w:left="567" w:hanging="567"/>
        <w:rPr>
          <w:sz w:val="20"/>
          <w:lang w:val="en-US" w:eastAsia="en-US"/>
        </w:rPr>
      </w:pPr>
      <w:r w:rsidRPr="00A86B5B">
        <w:rPr>
          <w:sz w:val="20"/>
        </w:rPr>
        <w:t>(1)</w:t>
      </w:r>
      <w:r w:rsidRPr="00A86B5B">
        <w:rPr>
          <w:sz w:val="20"/>
        </w:rPr>
        <w:tab/>
        <w:t>Mild: GFR 60 to 89 </w:t>
      </w:r>
      <w:proofErr w:type="spellStart"/>
      <w:r w:rsidRPr="00A86B5B">
        <w:rPr>
          <w:sz w:val="20"/>
        </w:rPr>
        <w:t>mL</w:t>
      </w:r>
      <w:proofErr w:type="spellEnd"/>
      <w:r w:rsidRPr="00A86B5B">
        <w:rPr>
          <w:sz w:val="20"/>
        </w:rPr>
        <w:t>/min/1.73 m</w:t>
      </w:r>
      <w:r w:rsidRPr="00A86B5B">
        <w:rPr>
          <w:sz w:val="20"/>
          <w:vertAlign w:val="superscript"/>
        </w:rPr>
        <w:t>2</w:t>
      </w:r>
      <w:r w:rsidRPr="00A86B5B">
        <w:rPr>
          <w:sz w:val="20"/>
        </w:rPr>
        <w:t>; moderate: GFR 30 to 59 </w:t>
      </w:r>
      <w:proofErr w:type="spellStart"/>
      <w:r w:rsidRPr="00A86B5B">
        <w:rPr>
          <w:sz w:val="20"/>
        </w:rPr>
        <w:t>mL</w:t>
      </w:r>
      <w:proofErr w:type="spellEnd"/>
      <w:r w:rsidRPr="00A86B5B">
        <w:rPr>
          <w:sz w:val="20"/>
        </w:rPr>
        <w:t>/min/1.73 m</w:t>
      </w:r>
      <w:r w:rsidRPr="00A86B5B">
        <w:rPr>
          <w:sz w:val="20"/>
          <w:vertAlign w:val="superscript"/>
        </w:rPr>
        <w:t>2</w:t>
      </w:r>
      <w:r w:rsidRPr="00A86B5B">
        <w:rPr>
          <w:sz w:val="20"/>
        </w:rPr>
        <w:t xml:space="preserve">; </w:t>
      </w:r>
      <w:proofErr w:type="spellStart"/>
      <w:r w:rsidRPr="00A86B5B">
        <w:rPr>
          <w:sz w:val="20"/>
        </w:rPr>
        <w:t>severe</w:t>
      </w:r>
      <w:proofErr w:type="spellEnd"/>
      <w:r w:rsidRPr="00A86B5B">
        <w:rPr>
          <w:sz w:val="20"/>
        </w:rPr>
        <w:t>: GFR 15 to 29 </w:t>
      </w:r>
      <w:proofErr w:type="spellStart"/>
      <w:r w:rsidRPr="00A86B5B">
        <w:rPr>
          <w:sz w:val="20"/>
        </w:rPr>
        <w:t>mL</w:t>
      </w:r>
      <w:proofErr w:type="spellEnd"/>
      <w:r w:rsidRPr="00A86B5B">
        <w:rPr>
          <w:sz w:val="20"/>
        </w:rPr>
        <w:t>/min/1.73 m</w:t>
      </w:r>
      <w:r w:rsidRPr="00A86B5B">
        <w:rPr>
          <w:sz w:val="20"/>
          <w:vertAlign w:val="superscript"/>
        </w:rPr>
        <w:t>2</w:t>
      </w:r>
      <w:r w:rsidRPr="00A86B5B">
        <w:rPr>
          <w:sz w:val="20"/>
        </w:rPr>
        <w:t>.</w:t>
      </w:r>
    </w:p>
    <w:p w14:paraId="19154DAA" w14:textId="77777777" w:rsidR="007606FB" w:rsidRPr="00A86B5B" w:rsidRDefault="007606FB" w:rsidP="007606FB">
      <w:pPr>
        <w:ind w:left="567" w:hanging="567"/>
        <w:rPr>
          <w:sz w:val="20"/>
          <w:lang w:val="en-US"/>
        </w:rPr>
      </w:pPr>
      <w:r w:rsidRPr="00A86B5B">
        <w:rPr>
          <w:sz w:val="20"/>
          <w:lang w:val="en-US"/>
        </w:rPr>
        <w:t>(2)</w:t>
      </w:r>
      <w:r w:rsidRPr="00A86B5B">
        <w:rPr>
          <w:sz w:val="20"/>
          <w:lang w:val="en-US"/>
        </w:rPr>
        <w:tab/>
        <w:t>Mild: Child-Pugh Class A; Moderate: Child-Pugh Class B.</w:t>
      </w:r>
    </w:p>
    <w:p w14:paraId="61514507" w14:textId="77777777" w:rsidR="007606FB" w:rsidRPr="00A86B5B" w:rsidRDefault="007606FB" w:rsidP="007606FB">
      <w:pPr>
        <w:ind w:left="567" w:hanging="567"/>
        <w:rPr>
          <w:sz w:val="20"/>
          <w:lang w:val="en-US"/>
        </w:rPr>
      </w:pPr>
      <w:r w:rsidRPr="00A86B5B">
        <w:rPr>
          <w:sz w:val="20"/>
          <w:lang w:val="en-US"/>
        </w:rPr>
        <w:t>(3)</w:t>
      </w:r>
      <w:r w:rsidRPr="00A86B5B">
        <w:rPr>
          <w:sz w:val="20"/>
          <w:lang w:val="en-US"/>
        </w:rPr>
        <w:tab/>
        <w:t>Strong CYP3A inhibitors see section 4.5</w:t>
      </w:r>
    </w:p>
    <w:p w14:paraId="05D20852" w14:textId="77777777" w:rsidR="007606FB" w:rsidRPr="00A86B5B" w:rsidRDefault="007606FB" w:rsidP="007606FB">
      <w:pPr>
        <w:rPr>
          <w:sz w:val="24"/>
          <w:szCs w:val="24"/>
          <w:lang w:val="en-US"/>
        </w:rPr>
      </w:pPr>
    </w:p>
    <w:p w14:paraId="6595DF0B" w14:textId="77777777" w:rsidR="007606FB" w:rsidRPr="00A86B5B" w:rsidRDefault="007606FB" w:rsidP="00591653">
      <w:pPr>
        <w:ind w:left="851"/>
        <w:rPr>
          <w:sz w:val="24"/>
          <w:szCs w:val="24"/>
          <w:lang w:val="en-US"/>
        </w:rPr>
      </w:pPr>
      <w:r w:rsidRPr="00A86B5B">
        <w:rPr>
          <w:sz w:val="24"/>
          <w:szCs w:val="24"/>
          <w:lang w:val="en-US"/>
        </w:rPr>
        <w:t>Patients treated with the 25 mg dose should be advised to use other medicinal products containing mirabegron 25 mg available on the market. The tablet of 50 mg is not intended to be divided to obtain the 25 mg dose.</w:t>
      </w:r>
    </w:p>
    <w:p w14:paraId="419A9E1C" w14:textId="77777777" w:rsidR="007606FB" w:rsidRPr="00A86B5B" w:rsidRDefault="007606FB" w:rsidP="00591653">
      <w:pPr>
        <w:ind w:left="851"/>
        <w:rPr>
          <w:sz w:val="24"/>
          <w:szCs w:val="24"/>
          <w:lang w:val="en-US"/>
        </w:rPr>
      </w:pPr>
    </w:p>
    <w:p w14:paraId="63B06E56" w14:textId="77777777" w:rsidR="007606FB" w:rsidRPr="00A86B5B" w:rsidRDefault="007606FB" w:rsidP="00591653">
      <w:pPr>
        <w:ind w:left="851"/>
        <w:rPr>
          <w:i/>
          <w:sz w:val="24"/>
          <w:szCs w:val="24"/>
          <w:lang w:val="en-US"/>
        </w:rPr>
      </w:pPr>
      <w:r w:rsidRPr="00A86B5B">
        <w:rPr>
          <w:i/>
          <w:sz w:val="24"/>
          <w:szCs w:val="24"/>
          <w:lang w:val="en-US"/>
        </w:rPr>
        <w:t>Gender</w:t>
      </w:r>
    </w:p>
    <w:p w14:paraId="0285D51A" w14:textId="77777777" w:rsidR="007606FB" w:rsidRPr="00A86B5B" w:rsidRDefault="007606FB" w:rsidP="00591653">
      <w:pPr>
        <w:ind w:left="851"/>
        <w:rPr>
          <w:sz w:val="24"/>
          <w:szCs w:val="24"/>
          <w:lang w:val="en-US"/>
        </w:rPr>
      </w:pPr>
      <w:r w:rsidRPr="00A86B5B">
        <w:rPr>
          <w:sz w:val="24"/>
          <w:szCs w:val="24"/>
          <w:lang w:val="en-US"/>
        </w:rPr>
        <w:t>No dose adjustment is necessary according to gender.</w:t>
      </w:r>
    </w:p>
    <w:p w14:paraId="634D0396" w14:textId="77777777" w:rsidR="007606FB" w:rsidRPr="00A86B5B" w:rsidRDefault="007606FB" w:rsidP="00591653">
      <w:pPr>
        <w:ind w:left="851"/>
        <w:rPr>
          <w:sz w:val="24"/>
          <w:szCs w:val="24"/>
          <w:lang w:val="en-US"/>
        </w:rPr>
      </w:pPr>
    </w:p>
    <w:p w14:paraId="1C8F73BA" w14:textId="77777777" w:rsidR="007606FB" w:rsidRPr="00A86B5B" w:rsidRDefault="007606FB" w:rsidP="00591653">
      <w:pPr>
        <w:ind w:left="851"/>
        <w:rPr>
          <w:i/>
          <w:sz w:val="24"/>
          <w:szCs w:val="24"/>
          <w:lang w:val="en-US"/>
        </w:rPr>
      </w:pPr>
      <w:r w:rsidRPr="00A86B5B">
        <w:rPr>
          <w:i/>
          <w:sz w:val="24"/>
          <w:szCs w:val="24"/>
          <w:lang w:val="en-US"/>
        </w:rPr>
        <w:t>Paediatric population</w:t>
      </w:r>
    </w:p>
    <w:p w14:paraId="46577612" w14:textId="77777777" w:rsidR="007606FB" w:rsidRPr="00A86B5B" w:rsidRDefault="007606FB" w:rsidP="00591653">
      <w:pPr>
        <w:ind w:left="851"/>
        <w:rPr>
          <w:sz w:val="24"/>
          <w:szCs w:val="24"/>
          <w:lang w:val="en-US"/>
        </w:rPr>
      </w:pPr>
      <w:r w:rsidRPr="00A86B5B">
        <w:rPr>
          <w:sz w:val="24"/>
          <w:szCs w:val="24"/>
          <w:lang w:val="en-US"/>
        </w:rPr>
        <w:t>The safety and efficacy of mirabegron in children below 18 years of age have not yet been established. No data are available.</w:t>
      </w:r>
    </w:p>
    <w:p w14:paraId="24595FAA" w14:textId="77777777" w:rsidR="007606FB" w:rsidRPr="00A86B5B" w:rsidRDefault="007606FB" w:rsidP="00591653">
      <w:pPr>
        <w:ind w:left="851"/>
        <w:rPr>
          <w:sz w:val="24"/>
          <w:szCs w:val="24"/>
          <w:lang w:val="en-US"/>
        </w:rPr>
      </w:pPr>
    </w:p>
    <w:p w14:paraId="13B7CF68" w14:textId="77777777" w:rsidR="007606FB" w:rsidRPr="00A86B5B" w:rsidRDefault="007606FB" w:rsidP="00591653">
      <w:pPr>
        <w:ind w:left="851"/>
        <w:rPr>
          <w:sz w:val="24"/>
          <w:szCs w:val="24"/>
          <w:u w:val="single"/>
          <w:lang w:val="en-US"/>
        </w:rPr>
      </w:pPr>
      <w:r w:rsidRPr="00A86B5B">
        <w:rPr>
          <w:sz w:val="24"/>
          <w:szCs w:val="24"/>
          <w:u w:val="single"/>
          <w:lang w:val="en-US"/>
        </w:rPr>
        <w:t>Method of administration</w:t>
      </w:r>
    </w:p>
    <w:p w14:paraId="0D9C89AC" w14:textId="77777777" w:rsidR="007606FB" w:rsidRPr="00A86B5B" w:rsidRDefault="007606FB" w:rsidP="00591653">
      <w:pPr>
        <w:ind w:left="851"/>
        <w:rPr>
          <w:sz w:val="24"/>
          <w:szCs w:val="24"/>
          <w:u w:val="single"/>
          <w:lang w:val="en-US"/>
        </w:rPr>
      </w:pPr>
    </w:p>
    <w:p w14:paraId="495A4A80" w14:textId="1080088B" w:rsidR="007606FB" w:rsidRPr="00A86B5B" w:rsidRDefault="007606FB" w:rsidP="00591653">
      <w:pPr>
        <w:ind w:left="851"/>
        <w:rPr>
          <w:sz w:val="24"/>
          <w:szCs w:val="24"/>
          <w:lang w:val="en-US"/>
        </w:rPr>
      </w:pPr>
      <w:r w:rsidRPr="00A86B5B">
        <w:rPr>
          <w:sz w:val="24"/>
          <w:szCs w:val="24"/>
          <w:lang w:val="en-US"/>
        </w:rPr>
        <w:t xml:space="preserve">The tablet is to be taken with liquids, swallowed whole and is not to be chewed, divided, or crushed, as it may impact </w:t>
      </w:r>
      <w:proofErr w:type="gramStart"/>
      <w:r w:rsidRPr="00A86B5B">
        <w:rPr>
          <w:sz w:val="24"/>
          <w:szCs w:val="24"/>
          <w:lang w:val="en-US"/>
        </w:rPr>
        <w:t>it’s</w:t>
      </w:r>
      <w:proofErr w:type="gramEnd"/>
      <w:r w:rsidRPr="00A86B5B">
        <w:rPr>
          <w:sz w:val="24"/>
          <w:szCs w:val="24"/>
          <w:lang w:val="en-US"/>
        </w:rPr>
        <w:t xml:space="preserve"> characteristics. </w:t>
      </w:r>
      <w:r w:rsidR="00A86B5B">
        <w:rPr>
          <w:sz w:val="24"/>
          <w:szCs w:val="24"/>
          <w:lang w:val="en-US"/>
        </w:rPr>
        <w:t>Mirabegron "</w:t>
      </w:r>
      <w:proofErr w:type="spellStart"/>
      <w:r w:rsidR="00A86B5B">
        <w:rPr>
          <w:sz w:val="24"/>
          <w:szCs w:val="24"/>
          <w:lang w:val="en-US"/>
        </w:rPr>
        <w:t>Zentiva</w:t>
      </w:r>
      <w:proofErr w:type="spellEnd"/>
      <w:r w:rsidR="00A86B5B">
        <w:rPr>
          <w:sz w:val="24"/>
          <w:szCs w:val="24"/>
          <w:lang w:val="en-US"/>
        </w:rPr>
        <w:t>"</w:t>
      </w:r>
      <w:r w:rsidRPr="00A86B5B">
        <w:rPr>
          <w:sz w:val="24"/>
          <w:szCs w:val="24"/>
          <w:lang w:val="en-US"/>
        </w:rPr>
        <w:t xml:space="preserve"> may be taken with or without food.</w:t>
      </w:r>
    </w:p>
    <w:p w14:paraId="1FA826ED" w14:textId="77777777" w:rsidR="007C5D2A" w:rsidRPr="00A86B5B" w:rsidRDefault="007C5D2A" w:rsidP="00A85D26">
      <w:pPr>
        <w:tabs>
          <w:tab w:val="left" w:pos="851"/>
        </w:tabs>
        <w:ind w:left="851"/>
        <w:rPr>
          <w:sz w:val="24"/>
          <w:szCs w:val="24"/>
          <w:lang w:val="en-GB"/>
        </w:rPr>
      </w:pPr>
    </w:p>
    <w:p w14:paraId="10EA11B7" w14:textId="77777777" w:rsidR="007C5D2A" w:rsidRPr="00A86B5B" w:rsidRDefault="007C5D2A" w:rsidP="007C5D2A">
      <w:pPr>
        <w:tabs>
          <w:tab w:val="left" w:pos="851"/>
        </w:tabs>
        <w:ind w:left="851" w:hanging="851"/>
        <w:rPr>
          <w:b/>
          <w:sz w:val="24"/>
          <w:szCs w:val="24"/>
          <w:lang w:val="en-GB"/>
        </w:rPr>
      </w:pPr>
      <w:r w:rsidRPr="00A86B5B">
        <w:rPr>
          <w:b/>
          <w:sz w:val="24"/>
          <w:szCs w:val="24"/>
          <w:lang w:val="en-GB"/>
        </w:rPr>
        <w:t>4.3</w:t>
      </w:r>
      <w:r w:rsidRPr="00A86B5B">
        <w:rPr>
          <w:b/>
          <w:sz w:val="24"/>
          <w:szCs w:val="24"/>
          <w:lang w:val="en-GB"/>
        </w:rPr>
        <w:tab/>
        <w:t>Contraindications</w:t>
      </w:r>
    </w:p>
    <w:p w14:paraId="59E1E3BF" w14:textId="77777777" w:rsidR="007606FB" w:rsidRPr="00A86B5B" w:rsidRDefault="007606FB" w:rsidP="00591653">
      <w:pPr>
        <w:ind w:left="1276" w:hanging="425"/>
        <w:rPr>
          <w:sz w:val="24"/>
          <w:szCs w:val="24"/>
          <w:lang w:val="en-US"/>
        </w:rPr>
      </w:pPr>
      <w:r w:rsidRPr="00A86B5B">
        <w:rPr>
          <w:sz w:val="24"/>
          <w:szCs w:val="24"/>
          <w:lang w:val="en-US"/>
        </w:rPr>
        <w:t>-</w:t>
      </w:r>
      <w:r w:rsidRPr="00A86B5B">
        <w:rPr>
          <w:sz w:val="24"/>
          <w:szCs w:val="24"/>
          <w:lang w:val="en-US"/>
        </w:rPr>
        <w:tab/>
        <w:t>Hypersensitivity to the active substance or to any of the excipients listed in section 6.1.</w:t>
      </w:r>
    </w:p>
    <w:p w14:paraId="49EAFE76" w14:textId="77777777" w:rsidR="007606FB" w:rsidRPr="00A86B5B" w:rsidRDefault="007606FB" w:rsidP="00591653">
      <w:pPr>
        <w:ind w:left="1276" w:hanging="425"/>
        <w:rPr>
          <w:sz w:val="24"/>
          <w:szCs w:val="24"/>
          <w:lang w:val="en-US"/>
        </w:rPr>
      </w:pPr>
      <w:r w:rsidRPr="00A86B5B">
        <w:rPr>
          <w:sz w:val="24"/>
          <w:szCs w:val="24"/>
          <w:lang w:val="en-US"/>
        </w:rPr>
        <w:t>-</w:t>
      </w:r>
      <w:r w:rsidRPr="00A86B5B">
        <w:rPr>
          <w:sz w:val="24"/>
          <w:szCs w:val="24"/>
          <w:lang w:val="en-US"/>
        </w:rPr>
        <w:tab/>
        <w:t>Severe uncontrolled hypertension defined as systolic blood pressure ≥180 mm Hg and/or diastolic blood pressure ≥110 mm Hg.</w:t>
      </w:r>
    </w:p>
    <w:p w14:paraId="33EC7695" w14:textId="42D76584" w:rsidR="001F3F63" w:rsidRDefault="001F3F63">
      <w:pPr>
        <w:rPr>
          <w:sz w:val="24"/>
          <w:szCs w:val="24"/>
          <w:lang w:val="en-GB"/>
        </w:rPr>
      </w:pPr>
      <w:r>
        <w:rPr>
          <w:sz w:val="24"/>
          <w:szCs w:val="24"/>
          <w:lang w:val="en-GB"/>
        </w:rPr>
        <w:br w:type="page"/>
      </w:r>
    </w:p>
    <w:p w14:paraId="5C5E47C7" w14:textId="77777777" w:rsidR="007C5D2A" w:rsidRPr="00A86B5B" w:rsidRDefault="007C5D2A" w:rsidP="003E0341">
      <w:pPr>
        <w:tabs>
          <w:tab w:val="left" w:pos="851"/>
        </w:tabs>
        <w:ind w:left="851"/>
        <w:rPr>
          <w:sz w:val="24"/>
          <w:szCs w:val="24"/>
          <w:lang w:val="en-GB"/>
        </w:rPr>
      </w:pPr>
    </w:p>
    <w:p w14:paraId="118DF066" w14:textId="77777777" w:rsidR="007C5D2A" w:rsidRPr="00A86B5B" w:rsidRDefault="007C5D2A" w:rsidP="007C5D2A">
      <w:pPr>
        <w:tabs>
          <w:tab w:val="left" w:pos="851"/>
        </w:tabs>
        <w:rPr>
          <w:b/>
          <w:sz w:val="24"/>
          <w:szCs w:val="24"/>
          <w:lang w:val="en-GB"/>
        </w:rPr>
      </w:pPr>
      <w:r w:rsidRPr="00A86B5B">
        <w:rPr>
          <w:b/>
          <w:sz w:val="24"/>
          <w:szCs w:val="24"/>
          <w:lang w:val="en-GB"/>
        </w:rPr>
        <w:t>4.4</w:t>
      </w:r>
      <w:r w:rsidRPr="00A86B5B">
        <w:rPr>
          <w:b/>
          <w:sz w:val="24"/>
          <w:szCs w:val="24"/>
          <w:lang w:val="en-GB"/>
        </w:rPr>
        <w:tab/>
        <w:t>Special warnings and precautions for use</w:t>
      </w:r>
    </w:p>
    <w:p w14:paraId="786FAA81" w14:textId="77777777" w:rsidR="00A86B5B" w:rsidRDefault="00A86B5B" w:rsidP="00591653">
      <w:pPr>
        <w:ind w:left="851"/>
        <w:rPr>
          <w:sz w:val="24"/>
          <w:szCs w:val="24"/>
          <w:lang w:val="en-GB"/>
        </w:rPr>
      </w:pPr>
    </w:p>
    <w:p w14:paraId="5A6B7553" w14:textId="258B9F6C" w:rsidR="007606FB" w:rsidRPr="00A86B5B" w:rsidRDefault="007606FB" w:rsidP="00591653">
      <w:pPr>
        <w:ind w:left="851"/>
        <w:rPr>
          <w:sz w:val="24"/>
          <w:szCs w:val="24"/>
          <w:u w:val="single"/>
          <w:lang w:val="en-US"/>
        </w:rPr>
      </w:pPr>
      <w:r w:rsidRPr="00A86B5B">
        <w:rPr>
          <w:sz w:val="24"/>
          <w:szCs w:val="24"/>
          <w:u w:val="single"/>
          <w:lang w:val="en-US"/>
        </w:rPr>
        <w:t>Renal impairment</w:t>
      </w:r>
    </w:p>
    <w:p w14:paraId="6780D421" w14:textId="77777777" w:rsidR="007606FB" w:rsidRPr="00A86B5B" w:rsidRDefault="007606FB" w:rsidP="00591653">
      <w:pPr>
        <w:ind w:left="851"/>
        <w:rPr>
          <w:sz w:val="24"/>
          <w:szCs w:val="24"/>
          <w:lang w:val="en-US"/>
        </w:rPr>
      </w:pPr>
    </w:p>
    <w:p w14:paraId="5456F42B" w14:textId="77777777" w:rsidR="007606FB" w:rsidRPr="00A86B5B" w:rsidRDefault="007606FB" w:rsidP="00591653">
      <w:pPr>
        <w:ind w:left="851"/>
        <w:rPr>
          <w:sz w:val="24"/>
          <w:szCs w:val="24"/>
          <w:lang w:val="en-US"/>
        </w:rPr>
      </w:pPr>
      <w:r w:rsidRPr="00A86B5B">
        <w:rPr>
          <w:sz w:val="24"/>
          <w:szCs w:val="24"/>
          <w:lang w:val="en-US"/>
        </w:rPr>
        <w:t>Mirabegron has not been studied in patients with end stage renal disease (GFR &lt;15 mL/min/1.73 m</w:t>
      </w:r>
      <w:r w:rsidRPr="00A86B5B">
        <w:rPr>
          <w:sz w:val="24"/>
          <w:szCs w:val="24"/>
          <w:vertAlign w:val="superscript"/>
          <w:lang w:val="en-US"/>
        </w:rPr>
        <w:t>2</w:t>
      </w:r>
      <w:r w:rsidRPr="00A86B5B">
        <w:rPr>
          <w:sz w:val="24"/>
          <w:szCs w:val="24"/>
          <w:lang w:val="en-US"/>
        </w:rPr>
        <w:t xml:space="preserve"> or patients requiring </w:t>
      </w:r>
      <w:proofErr w:type="spellStart"/>
      <w:r w:rsidRPr="00A86B5B">
        <w:rPr>
          <w:sz w:val="24"/>
          <w:szCs w:val="24"/>
          <w:lang w:val="en-US"/>
        </w:rPr>
        <w:t>haemodialysis</w:t>
      </w:r>
      <w:proofErr w:type="spellEnd"/>
      <w:r w:rsidRPr="00A86B5B">
        <w:rPr>
          <w:sz w:val="24"/>
          <w:szCs w:val="24"/>
          <w:lang w:val="en-US"/>
        </w:rPr>
        <w:t>) and, therefore, it is not recommended for use in this patient population. Data are limited in patients with severe renal impairment (GFR 15 to 29 mL/min/1.73 m</w:t>
      </w:r>
      <w:r w:rsidRPr="00A86B5B">
        <w:rPr>
          <w:sz w:val="24"/>
          <w:szCs w:val="24"/>
          <w:vertAlign w:val="superscript"/>
          <w:lang w:val="en-US"/>
        </w:rPr>
        <w:t>2</w:t>
      </w:r>
      <w:r w:rsidRPr="00A86B5B">
        <w:rPr>
          <w:sz w:val="24"/>
          <w:szCs w:val="24"/>
          <w:lang w:val="en-US"/>
        </w:rPr>
        <w:t>); based on a pharmacokinetic study (see section 5.2) a dose reduction to mirabegron 25 mg is recommended in this population. This medicinal product is not recommended for use in patients with severe renal impairment (GFR 15 to 29 mL/min/1.73 m</w:t>
      </w:r>
      <w:r w:rsidRPr="00A86B5B">
        <w:rPr>
          <w:sz w:val="24"/>
          <w:szCs w:val="24"/>
          <w:vertAlign w:val="superscript"/>
          <w:lang w:val="en-US"/>
        </w:rPr>
        <w:t>2</w:t>
      </w:r>
      <w:r w:rsidRPr="00A86B5B">
        <w:rPr>
          <w:sz w:val="24"/>
          <w:szCs w:val="24"/>
          <w:lang w:val="en-US"/>
        </w:rPr>
        <w:t>) concomitantly receiving strong CYP3A inhibitors (see section 4.5).</w:t>
      </w:r>
    </w:p>
    <w:p w14:paraId="26E1EAF7" w14:textId="77777777" w:rsidR="007606FB" w:rsidRPr="00A86B5B" w:rsidRDefault="007606FB" w:rsidP="00591653">
      <w:pPr>
        <w:ind w:left="851"/>
        <w:rPr>
          <w:sz w:val="24"/>
          <w:szCs w:val="24"/>
          <w:lang w:val="en-US"/>
        </w:rPr>
      </w:pPr>
    </w:p>
    <w:p w14:paraId="43FFDB4C" w14:textId="77777777" w:rsidR="007606FB" w:rsidRPr="00A86B5B" w:rsidRDefault="007606FB" w:rsidP="00591653">
      <w:pPr>
        <w:ind w:left="851"/>
        <w:rPr>
          <w:sz w:val="24"/>
          <w:szCs w:val="24"/>
          <w:u w:val="single"/>
          <w:lang w:val="en-US"/>
        </w:rPr>
      </w:pPr>
      <w:r w:rsidRPr="00A86B5B">
        <w:rPr>
          <w:sz w:val="24"/>
          <w:szCs w:val="24"/>
          <w:u w:val="single"/>
          <w:lang w:val="en-US"/>
        </w:rPr>
        <w:t>Hepatic impairment</w:t>
      </w:r>
    </w:p>
    <w:p w14:paraId="498CDD15" w14:textId="77777777" w:rsidR="007606FB" w:rsidRPr="00A86B5B" w:rsidRDefault="007606FB" w:rsidP="00591653">
      <w:pPr>
        <w:ind w:left="851"/>
        <w:rPr>
          <w:sz w:val="24"/>
          <w:szCs w:val="24"/>
          <w:lang w:val="en-US"/>
        </w:rPr>
      </w:pPr>
    </w:p>
    <w:p w14:paraId="3C0A4CBD" w14:textId="77777777" w:rsidR="007606FB" w:rsidRPr="00A86B5B" w:rsidRDefault="007606FB" w:rsidP="00591653">
      <w:pPr>
        <w:ind w:left="851"/>
        <w:rPr>
          <w:sz w:val="24"/>
          <w:szCs w:val="24"/>
          <w:lang w:val="en-US"/>
        </w:rPr>
      </w:pPr>
      <w:r w:rsidRPr="00A86B5B">
        <w:rPr>
          <w:sz w:val="24"/>
          <w:szCs w:val="24"/>
          <w:lang w:val="en-US"/>
        </w:rPr>
        <w:t>Mirabegron has not been studied in patients with severe hepatic impairment (Child-Pugh Class C) and, therefore, it is not recommended for use in this patient population. This medicinal product is not recommended for use in patients with moderate hepatic impairment (Child-Pugh B) concomitantly receiving strong CYP3A inhibitors (see section 4.5).</w:t>
      </w:r>
    </w:p>
    <w:p w14:paraId="722ECDE4" w14:textId="77777777" w:rsidR="007606FB" w:rsidRPr="00A86B5B" w:rsidRDefault="007606FB" w:rsidP="00591653">
      <w:pPr>
        <w:ind w:left="851"/>
        <w:rPr>
          <w:sz w:val="24"/>
          <w:szCs w:val="24"/>
          <w:lang w:val="en-US"/>
        </w:rPr>
      </w:pPr>
    </w:p>
    <w:p w14:paraId="089D9EDD" w14:textId="77777777" w:rsidR="007606FB" w:rsidRPr="00A86B5B" w:rsidRDefault="007606FB" w:rsidP="00591653">
      <w:pPr>
        <w:ind w:left="851"/>
        <w:rPr>
          <w:sz w:val="24"/>
          <w:szCs w:val="24"/>
          <w:u w:val="single"/>
          <w:lang w:val="en-US"/>
        </w:rPr>
      </w:pPr>
      <w:r w:rsidRPr="00A86B5B">
        <w:rPr>
          <w:sz w:val="24"/>
          <w:szCs w:val="24"/>
          <w:u w:val="single"/>
          <w:lang w:val="en-US"/>
        </w:rPr>
        <w:t>Hypertension</w:t>
      </w:r>
    </w:p>
    <w:p w14:paraId="21E441A7" w14:textId="77777777" w:rsidR="007606FB" w:rsidRPr="00A86B5B" w:rsidRDefault="007606FB" w:rsidP="00591653">
      <w:pPr>
        <w:ind w:left="851"/>
        <w:rPr>
          <w:sz w:val="24"/>
          <w:szCs w:val="24"/>
          <w:lang w:val="en-US"/>
        </w:rPr>
      </w:pPr>
    </w:p>
    <w:p w14:paraId="4CB77471" w14:textId="77777777" w:rsidR="007606FB" w:rsidRPr="00A86B5B" w:rsidRDefault="007606FB" w:rsidP="00591653">
      <w:pPr>
        <w:ind w:left="851"/>
        <w:rPr>
          <w:sz w:val="24"/>
          <w:szCs w:val="24"/>
          <w:lang w:val="en-US"/>
        </w:rPr>
      </w:pPr>
      <w:r w:rsidRPr="00A86B5B">
        <w:rPr>
          <w:sz w:val="24"/>
          <w:szCs w:val="24"/>
          <w:lang w:val="en-US"/>
        </w:rPr>
        <w:t xml:space="preserve">Mirabegron can increase blood pressure. Blood pressure should be measured at baseline and periodically during treatment with mirabegron, especially in hypertensive patients. </w:t>
      </w:r>
    </w:p>
    <w:p w14:paraId="34FAE58C" w14:textId="77777777" w:rsidR="007606FB" w:rsidRPr="00A86B5B" w:rsidRDefault="007606FB" w:rsidP="00591653">
      <w:pPr>
        <w:ind w:left="851"/>
        <w:rPr>
          <w:sz w:val="24"/>
          <w:szCs w:val="24"/>
          <w:lang w:val="en-US"/>
        </w:rPr>
      </w:pPr>
    </w:p>
    <w:p w14:paraId="1845052D" w14:textId="77777777" w:rsidR="007606FB" w:rsidRPr="00A86B5B" w:rsidRDefault="007606FB" w:rsidP="00591653">
      <w:pPr>
        <w:ind w:left="851"/>
        <w:rPr>
          <w:sz w:val="24"/>
          <w:szCs w:val="24"/>
          <w:lang w:val="en-US"/>
        </w:rPr>
      </w:pPr>
      <w:r w:rsidRPr="00A86B5B">
        <w:rPr>
          <w:sz w:val="24"/>
          <w:szCs w:val="24"/>
          <w:lang w:val="en-US"/>
        </w:rPr>
        <w:t>Data are limited in patients with stage 2 hypertension (systolic blood pressure ≥160 mm Hg or diastolic blood pressure ≥100 mm Hg).</w:t>
      </w:r>
    </w:p>
    <w:p w14:paraId="2AE4569B" w14:textId="77777777" w:rsidR="007606FB" w:rsidRPr="00A86B5B" w:rsidRDefault="007606FB" w:rsidP="00591653">
      <w:pPr>
        <w:ind w:left="851"/>
        <w:rPr>
          <w:sz w:val="24"/>
          <w:szCs w:val="24"/>
          <w:lang w:val="en-US"/>
        </w:rPr>
      </w:pPr>
    </w:p>
    <w:p w14:paraId="14DB482F" w14:textId="77777777" w:rsidR="007606FB" w:rsidRPr="00A86B5B" w:rsidRDefault="007606FB" w:rsidP="00591653">
      <w:pPr>
        <w:ind w:left="851"/>
        <w:rPr>
          <w:sz w:val="24"/>
          <w:szCs w:val="24"/>
          <w:u w:val="single"/>
          <w:lang w:val="en-US"/>
        </w:rPr>
      </w:pPr>
      <w:r w:rsidRPr="00A86B5B">
        <w:rPr>
          <w:sz w:val="24"/>
          <w:szCs w:val="24"/>
          <w:u w:val="single"/>
          <w:lang w:val="en-US"/>
        </w:rPr>
        <w:t>Patients with congenital or acquired QT prolongation</w:t>
      </w:r>
    </w:p>
    <w:p w14:paraId="3B6CFEAD" w14:textId="77777777" w:rsidR="007606FB" w:rsidRPr="00A86B5B" w:rsidRDefault="007606FB" w:rsidP="00591653">
      <w:pPr>
        <w:ind w:left="851"/>
        <w:rPr>
          <w:sz w:val="24"/>
          <w:szCs w:val="24"/>
          <w:lang w:val="en-US"/>
        </w:rPr>
      </w:pPr>
    </w:p>
    <w:p w14:paraId="5F731740" w14:textId="77777777" w:rsidR="007606FB" w:rsidRPr="00A86B5B" w:rsidRDefault="007606FB" w:rsidP="00591653">
      <w:pPr>
        <w:ind w:left="851"/>
        <w:rPr>
          <w:sz w:val="24"/>
          <w:szCs w:val="24"/>
          <w:lang w:val="en-US"/>
        </w:rPr>
      </w:pPr>
      <w:r w:rsidRPr="00A86B5B">
        <w:rPr>
          <w:sz w:val="24"/>
          <w:szCs w:val="24"/>
          <w:lang w:val="en-US"/>
        </w:rPr>
        <w:t>Mirabegron, at therapeutic doses, has not demonstrated clinically relevant QT prolongation in clinical studies (see section 5.1). However, since patients with a known history of QT prolongation or patients who are taking medicinal products known to prolong the QT interval were not included in these studies, the effects of mirabegron in these patients is unknown. Caution should be exercised when administering mirabegron in these patients.</w:t>
      </w:r>
    </w:p>
    <w:p w14:paraId="5D4FDB5F" w14:textId="77777777" w:rsidR="007606FB" w:rsidRPr="00A86B5B" w:rsidRDefault="007606FB" w:rsidP="00591653">
      <w:pPr>
        <w:ind w:left="851"/>
        <w:rPr>
          <w:sz w:val="24"/>
          <w:szCs w:val="24"/>
          <w:lang w:val="en-US"/>
        </w:rPr>
      </w:pPr>
    </w:p>
    <w:p w14:paraId="5B9FC5A5" w14:textId="77777777" w:rsidR="007606FB" w:rsidRPr="00A86B5B" w:rsidRDefault="007606FB" w:rsidP="00591653">
      <w:pPr>
        <w:ind w:left="851"/>
        <w:rPr>
          <w:sz w:val="24"/>
          <w:szCs w:val="24"/>
          <w:u w:val="single"/>
          <w:lang w:val="en-US"/>
        </w:rPr>
      </w:pPr>
      <w:r w:rsidRPr="00A86B5B">
        <w:rPr>
          <w:sz w:val="24"/>
          <w:szCs w:val="24"/>
          <w:u w:val="single"/>
          <w:lang w:val="en-US"/>
        </w:rPr>
        <w:t>Patients with bladder outlet obstruction and patients taking antimuscarinic medicinal products for OAB</w:t>
      </w:r>
    </w:p>
    <w:p w14:paraId="1B6E27A1" w14:textId="77777777" w:rsidR="007606FB" w:rsidRPr="00A86B5B" w:rsidRDefault="007606FB" w:rsidP="00591653">
      <w:pPr>
        <w:ind w:left="851"/>
        <w:rPr>
          <w:sz w:val="24"/>
          <w:szCs w:val="24"/>
          <w:lang w:val="en-US"/>
        </w:rPr>
      </w:pPr>
    </w:p>
    <w:p w14:paraId="6BF31969" w14:textId="77777777" w:rsidR="007606FB" w:rsidRPr="00A86B5B" w:rsidRDefault="007606FB" w:rsidP="00591653">
      <w:pPr>
        <w:ind w:left="851"/>
        <w:rPr>
          <w:sz w:val="24"/>
          <w:szCs w:val="24"/>
          <w:lang w:val="en-US"/>
        </w:rPr>
      </w:pPr>
      <w:r w:rsidRPr="00A86B5B">
        <w:rPr>
          <w:sz w:val="24"/>
          <w:szCs w:val="24"/>
          <w:lang w:val="en-US"/>
        </w:rPr>
        <w:t xml:space="preserve">Urinary retention in patients with bladder outlet obstruction (BOO) and in patients taking antimuscarinic medicinal products for the treatment of OAB has been reported in </w:t>
      </w:r>
      <w:proofErr w:type="spellStart"/>
      <w:r w:rsidRPr="00A86B5B">
        <w:rPr>
          <w:sz w:val="24"/>
          <w:szCs w:val="24"/>
          <w:lang w:val="en-US"/>
        </w:rPr>
        <w:t>postmarketing</w:t>
      </w:r>
      <w:proofErr w:type="spellEnd"/>
      <w:r w:rsidRPr="00A86B5B">
        <w:rPr>
          <w:sz w:val="24"/>
          <w:szCs w:val="24"/>
          <w:lang w:val="en-US"/>
        </w:rPr>
        <w:t xml:space="preserve"> experience in patients taking mirabegron. A controlled clinical safety study in patients with BOO did not demonstrate increased urinary retention in patients treated with mirabegron; however, mirabegron should be administered with caution to patients with clinically significant BOO. This medicinal product should also be administered with caution to patients taking antimuscarinic medicinal products for the treatment of OAB.</w:t>
      </w:r>
    </w:p>
    <w:p w14:paraId="3E01D2D4" w14:textId="27F47A6E" w:rsidR="001F3F63" w:rsidRDefault="001F3F63">
      <w:pPr>
        <w:rPr>
          <w:sz w:val="24"/>
          <w:szCs w:val="24"/>
          <w:lang w:val="en-GB"/>
        </w:rPr>
      </w:pPr>
      <w:r>
        <w:rPr>
          <w:sz w:val="24"/>
          <w:szCs w:val="24"/>
          <w:lang w:val="en-GB"/>
        </w:rPr>
        <w:br w:type="page"/>
      </w:r>
    </w:p>
    <w:p w14:paraId="69099F55" w14:textId="77777777" w:rsidR="007C5D2A" w:rsidRPr="00A86B5B" w:rsidRDefault="007C5D2A" w:rsidP="003E0341">
      <w:pPr>
        <w:tabs>
          <w:tab w:val="left" w:pos="851"/>
        </w:tabs>
        <w:ind w:left="851"/>
        <w:rPr>
          <w:sz w:val="24"/>
          <w:szCs w:val="24"/>
          <w:lang w:val="en-GB"/>
        </w:rPr>
      </w:pPr>
    </w:p>
    <w:p w14:paraId="6701ECD3" w14:textId="77777777" w:rsidR="007C5D2A" w:rsidRPr="00A86B5B" w:rsidRDefault="007C5D2A" w:rsidP="007C5D2A">
      <w:pPr>
        <w:ind w:left="851" w:hanging="851"/>
        <w:rPr>
          <w:b/>
          <w:sz w:val="24"/>
          <w:szCs w:val="24"/>
          <w:lang w:val="en-GB"/>
        </w:rPr>
      </w:pPr>
      <w:r w:rsidRPr="00A86B5B">
        <w:rPr>
          <w:b/>
          <w:sz w:val="24"/>
          <w:szCs w:val="24"/>
          <w:lang w:val="en-GB"/>
        </w:rPr>
        <w:t>4.5</w:t>
      </w:r>
      <w:r w:rsidRPr="00A86B5B">
        <w:rPr>
          <w:b/>
          <w:sz w:val="24"/>
          <w:szCs w:val="24"/>
          <w:lang w:val="en-GB"/>
        </w:rPr>
        <w:tab/>
        <w:t>Interaction with other medicinal products and other forms of interaction</w:t>
      </w:r>
    </w:p>
    <w:p w14:paraId="15397FED" w14:textId="77777777" w:rsidR="00A86B5B" w:rsidRDefault="00A86B5B" w:rsidP="00591653">
      <w:pPr>
        <w:ind w:left="851"/>
        <w:rPr>
          <w:sz w:val="24"/>
          <w:szCs w:val="24"/>
          <w:lang w:val="en-GB"/>
        </w:rPr>
      </w:pPr>
    </w:p>
    <w:p w14:paraId="12174047" w14:textId="6EED0082" w:rsidR="007606FB" w:rsidRPr="00A86B5B" w:rsidRDefault="007606FB" w:rsidP="00591653">
      <w:pPr>
        <w:ind w:left="851"/>
        <w:rPr>
          <w:sz w:val="24"/>
          <w:szCs w:val="24"/>
          <w:u w:val="single"/>
          <w:lang w:val="en-US"/>
        </w:rPr>
      </w:pPr>
      <w:r w:rsidRPr="00A86B5B">
        <w:rPr>
          <w:i/>
          <w:sz w:val="24"/>
          <w:szCs w:val="24"/>
          <w:u w:val="single"/>
          <w:lang w:val="en-US"/>
        </w:rPr>
        <w:t>In vitro</w:t>
      </w:r>
      <w:r w:rsidRPr="00A86B5B">
        <w:rPr>
          <w:sz w:val="24"/>
          <w:szCs w:val="24"/>
          <w:u w:val="single"/>
          <w:lang w:val="en-US"/>
        </w:rPr>
        <w:t xml:space="preserve"> data</w:t>
      </w:r>
    </w:p>
    <w:p w14:paraId="2109A37C" w14:textId="77777777" w:rsidR="007606FB" w:rsidRPr="00A86B5B" w:rsidRDefault="007606FB" w:rsidP="00591653">
      <w:pPr>
        <w:ind w:left="851"/>
        <w:rPr>
          <w:sz w:val="24"/>
          <w:szCs w:val="24"/>
          <w:lang w:val="en-US"/>
        </w:rPr>
      </w:pPr>
    </w:p>
    <w:p w14:paraId="09D18EA9" w14:textId="77777777" w:rsidR="007606FB" w:rsidRPr="00A86B5B" w:rsidRDefault="007606FB" w:rsidP="00591653">
      <w:pPr>
        <w:ind w:left="851"/>
        <w:rPr>
          <w:sz w:val="24"/>
          <w:szCs w:val="24"/>
          <w:lang w:val="en-US"/>
        </w:rPr>
      </w:pPr>
      <w:r w:rsidRPr="00A86B5B">
        <w:rPr>
          <w:sz w:val="24"/>
          <w:szCs w:val="24"/>
          <w:lang w:val="en-US"/>
        </w:rPr>
        <w:t xml:space="preserve">Mirabegron is transported and </w:t>
      </w:r>
      <w:proofErr w:type="spellStart"/>
      <w:r w:rsidRPr="00A86B5B">
        <w:rPr>
          <w:sz w:val="24"/>
          <w:szCs w:val="24"/>
          <w:lang w:val="en-US"/>
        </w:rPr>
        <w:t>metabolised</w:t>
      </w:r>
      <w:proofErr w:type="spellEnd"/>
      <w:r w:rsidRPr="00A86B5B">
        <w:rPr>
          <w:sz w:val="24"/>
          <w:szCs w:val="24"/>
          <w:lang w:val="en-US"/>
        </w:rPr>
        <w:t xml:space="preserve"> through multiple pathways. Mirabegron is a substrate for cytochrome P450 (CYP) 3A4, CYP2D6, </w:t>
      </w:r>
      <w:proofErr w:type="spellStart"/>
      <w:r w:rsidRPr="00A86B5B">
        <w:rPr>
          <w:sz w:val="24"/>
          <w:szCs w:val="24"/>
          <w:lang w:val="en-US"/>
        </w:rPr>
        <w:t>butyrylcholinesterase</w:t>
      </w:r>
      <w:proofErr w:type="spellEnd"/>
      <w:r w:rsidRPr="00A86B5B">
        <w:rPr>
          <w:sz w:val="24"/>
          <w:szCs w:val="24"/>
          <w:lang w:val="en-US"/>
        </w:rPr>
        <w:t xml:space="preserve">, uridine </w:t>
      </w:r>
      <w:proofErr w:type="spellStart"/>
      <w:r w:rsidRPr="00A86B5B">
        <w:rPr>
          <w:sz w:val="24"/>
          <w:szCs w:val="24"/>
          <w:lang w:val="en-US"/>
        </w:rPr>
        <w:t>diphospho</w:t>
      </w:r>
      <w:proofErr w:type="spellEnd"/>
      <w:r w:rsidRPr="00A86B5B">
        <w:rPr>
          <w:sz w:val="24"/>
          <w:szCs w:val="24"/>
          <w:lang w:val="en-US"/>
        </w:rPr>
        <w:t>-glucuronosyltransferases (UGT), the efflux transporter P</w:t>
      </w:r>
      <w:r w:rsidRPr="00A86B5B">
        <w:rPr>
          <w:sz w:val="24"/>
          <w:szCs w:val="24"/>
          <w:lang w:val="en-US"/>
        </w:rPr>
        <w:noBreakHyphen/>
        <w:t>glycoprotein (P</w:t>
      </w:r>
      <w:r w:rsidRPr="00A86B5B">
        <w:rPr>
          <w:sz w:val="24"/>
          <w:szCs w:val="24"/>
          <w:lang w:val="en-US"/>
        </w:rPr>
        <w:noBreakHyphen/>
      </w:r>
      <w:proofErr w:type="spellStart"/>
      <w:r w:rsidRPr="00A86B5B">
        <w:rPr>
          <w:sz w:val="24"/>
          <w:szCs w:val="24"/>
          <w:lang w:val="en-US"/>
        </w:rPr>
        <w:t>gp</w:t>
      </w:r>
      <w:proofErr w:type="spellEnd"/>
      <w:r w:rsidRPr="00A86B5B">
        <w:rPr>
          <w:sz w:val="24"/>
          <w:szCs w:val="24"/>
          <w:lang w:val="en-US"/>
        </w:rPr>
        <w:t xml:space="preserve">) and the influx organic cation transporters (OCT) OCT1, OCT2, and OCT3. Studies of mirabegron using human liver microsomes and recombinant human CYP enzymes showed that mirabegron is a moderate and </w:t>
      </w:r>
      <w:proofErr w:type="spellStart"/>
      <w:r w:rsidRPr="00A86B5B">
        <w:rPr>
          <w:sz w:val="24"/>
          <w:szCs w:val="24"/>
          <w:lang w:val="en-US"/>
        </w:rPr>
        <w:t>timedependent</w:t>
      </w:r>
      <w:proofErr w:type="spellEnd"/>
      <w:r w:rsidRPr="00A86B5B">
        <w:rPr>
          <w:sz w:val="24"/>
          <w:szCs w:val="24"/>
          <w:lang w:val="en-US"/>
        </w:rPr>
        <w:t xml:space="preserve"> inhibitor of CYP2D6 and a weak inhibitor of CYP3A. Mirabegron inhibited P</w:t>
      </w:r>
      <w:r w:rsidRPr="00A86B5B">
        <w:rPr>
          <w:sz w:val="24"/>
          <w:szCs w:val="24"/>
          <w:lang w:val="en-US"/>
        </w:rPr>
        <w:noBreakHyphen/>
      </w:r>
      <w:proofErr w:type="spellStart"/>
      <w:r w:rsidRPr="00A86B5B">
        <w:rPr>
          <w:sz w:val="24"/>
          <w:szCs w:val="24"/>
          <w:lang w:val="en-US"/>
        </w:rPr>
        <w:t>gp</w:t>
      </w:r>
      <w:proofErr w:type="spellEnd"/>
      <w:r w:rsidRPr="00A86B5B">
        <w:rPr>
          <w:sz w:val="24"/>
          <w:szCs w:val="24"/>
          <w:lang w:val="en-US"/>
        </w:rPr>
        <w:noBreakHyphen/>
        <w:t>mediated drug transport at high concentrations.</w:t>
      </w:r>
    </w:p>
    <w:p w14:paraId="475AAF3A" w14:textId="77777777" w:rsidR="007606FB" w:rsidRPr="00A86B5B" w:rsidRDefault="007606FB" w:rsidP="00591653">
      <w:pPr>
        <w:ind w:left="851"/>
        <w:rPr>
          <w:sz w:val="24"/>
          <w:szCs w:val="24"/>
          <w:lang w:val="en-US"/>
        </w:rPr>
      </w:pPr>
    </w:p>
    <w:p w14:paraId="7D0128FF" w14:textId="77777777" w:rsidR="007606FB" w:rsidRPr="00A86B5B" w:rsidRDefault="007606FB" w:rsidP="00591653">
      <w:pPr>
        <w:ind w:left="851"/>
        <w:rPr>
          <w:i/>
          <w:sz w:val="24"/>
          <w:szCs w:val="24"/>
          <w:u w:val="single"/>
          <w:lang w:val="en-US"/>
        </w:rPr>
      </w:pPr>
      <w:r w:rsidRPr="00A86B5B">
        <w:rPr>
          <w:i/>
          <w:sz w:val="24"/>
          <w:szCs w:val="24"/>
          <w:u w:val="single"/>
          <w:lang w:val="en-US"/>
        </w:rPr>
        <w:t>In vivo</w:t>
      </w:r>
      <w:r w:rsidRPr="00A86B5B">
        <w:rPr>
          <w:sz w:val="24"/>
          <w:szCs w:val="24"/>
          <w:u w:val="single"/>
          <w:lang w:val="en-US"/>
        </w:rPr>
        <w:t xml:space="preserve"> data</w:t>
      </w:r>
    </w:p>
    <w:p w14:paraId="308EB22D" w14:textId="77777777" w:rsidR="007606FB" w:rsidRPr="00A86B5B" w:rsidRDefault="007606FB" w:rsidP="00591653">
      <w:pPr>
        <w:ind w:left="851"/>
        <w:rPr>
          <w:sz w:val="24"/>
          <w:szCs w:val="24"/>
          <w:lang w:val="en-US"/>
        </w:rPr>
      </w:pPr>
    </w:p>
    <w:p w14:paraId="6D5645C8" w14:textId="77777777" w:rsidR="007606FB" w:rsidRPr="00A86B5B" w:rsidRDefault="007606FB" w:rsidP="00591653">
      <w:pPr>
        <w:ind w:left="851"/>
        <w:rPr>
          <w:i/>
          <w:sz w:val="24"/>
          <w:szCs w:val="24"/>
          <w:lang w:val="en-US"/>
        </w:rPr>
      </w:pPr>
      <w:r w:rsidRPr="00A86B5B">
        <w:rPr>
          <w:i/>
          <w:sz w:val="24"/>
          <w:szCs w:val="24"/>
          <w:lang w:val="en-US"/>
        </w:rPr>
        <w:t>Drug-drug interactions</w:t>
      </w:r>
    </w:p>
    <w:p w14:paraId="21BFF6E7" w14:textId="77777777" w:rsidR="007606FB" w:rsidRPr="00A86B5B" w:rsidRDefault="007606FB" w:rsidP="00591653">
      <w:pPr>
        <w:ind w:left="851"/>
        <w:rPr>
          <w:sz w:val="24"/>
          <w:szCs w:val="24"/>
          <w:lang w:val="en-US"/>
        </w:rPr>
      </w:pPr>
      <w:r w:rsidRPr="00A86B5B">
        <w:rPr>
          <w:sz w:val="24"/>
          <w:szCs w:val="24"/>
          <w:lang w:val="en-US"/>
        </w:rPr>
        <w:t>The effect of co-administered medicinal products on the pharmacokinetics of mirabegron and the effect of mirabegron on the pharmacokinetics of other medicinal products was studied in single and multiple dose studies. Most drug-drug interactions were studied using a dose of 100 mg mirabegron given as oral controlled absorption system (OCAS) tablets. Interaction studies of mirabegron with metoprolol and with metformin used mirabegron immediate-release (IR) 160 mg.</w:t>
      </w:r>
    </w:p>
    <w:p w14:paraId="5C6FCF76" w14:textId="77777777" w:rsidR="007606FB" w:rsidRPr="00A86B5B" w:rsidRDefault="007606FB" w:rsidP="00591653">
      <w:pPr>
        <w:ind w:left="851"/>
        <w:rPr>
          <w:sz w:val="24"/>
          <w:szCs w:val="24"/>
          <w:lang w:val="en-US"/>
        </w:rPr>
      </w:pPr>
    </w:p>
    <w:p w14:paraId="4876D003" w14:textId="77777777" w:rsidR="007606FB" w:rsidRPr="00A86B5B" w:rsidRDefault="007606FB" w:rsidP="00591653">
      <w:pPr>
        <w:ind w:left="851"/>
        <w:rPr>
          <w:sz w:val="24"/>
          <w:szCs w:val="24"/>
          <w:lang w:val="en-US"/>
        </w:rPr>
      </w:pPr>
      <w:r w:rsidRPr="00A86B5B">
        <w:rPr>
          <w:sz w:val="24"/>
          <w:szCs w:val="24"/>
          <w:lang w:val="en-US"/>
        </w:rPr>
        <w:t>Clinically relevant drug interactions between mirabegron and medicinal products that inhibit, induce or are a substrate for one of the CYP isozymes or transporters are not expected except for the inhibitory effect of mirabegron on the metabolism of CYP2D6 substrates.</w:t>
      </w:r>
    </w:p>
    <w:p w14:paraId="1116DD62" w14:textId="77777777" w:rsidR="007606FB" w:rsidRPr="00A86B5B" w:rsidRDefault="007606FB" w:rsidP="00591653">
      <w:pPr>
        <w:ind w:left="851"/>
        <w:rPr>
          <w:sz w:val="24"/>
          <w:szCs w:val="24"/>
          <w:lang w:val="en-US"/>
        </w:rPr>
      </w:pPr>
    </w:p>
    <w:p w14:paraId="3537A75C" w14:textId="77777777" w:rsidR="007606FB" w:rsidRPr="00A86B5B" w:rsidRDefault="007606FB" w:rsidP="00591653">
      <w:pPr>
        <w:ind w:left="851"/>
        <w:rPr>
          <w:i/>
          <w:sz w:val="24"/>
          <w:szCs w:val="24"/>
          <w:lang w:val="en-US"/>
        </w:rPr>
      </w:pPr>
      <w:r w:rsidRPr="00A86B5B">
        <w:rPr>
          <w:i/>
          <w:sz w:val="24"/>
          <w:szCs w:val="24"/>
          <w:lang w:val="en-US"/>
        </w:rPr>
        <w:t>Effect of enzyme inhibitors</w:t>
      </w:r>
    </w:p>
    <w:p w14:paraId="331C3516" w14:textId="77777777" w:rsidR="007606FB" w:rsidRPr="00A86B5B" w:rsidRDefault="007606FB" w:rsidP="00591653">
      <w:pPr>
        <w:ind w:left="851"/>
        <w:rPr>
          <w:sz w:val="24"/>
          <w:szCs w:val="24"/>
          <w:lang w:val="en-US"/>
        </w:rPr>
      </w:pPr>
      <w:r w:rsidRPr="00A86B5B">
        <w:rPr>
          <w:sz w:val="24"/>
          <w:szCs w:val="24"/>
          <w:lang w:val="en-US"/>
        </w:rPr>
        <w:t>Mirabegron exposure (AUC) was increased 1.8</w:t>
      </w:r>
      <w:r w:rsidRPr="00A86B5B">
        <w:rPr>
          <w:sz w:val="24"/>
          <w:szCs w:val="24"/>
          <w:lang w:val="en-US"/>
        </w:rPr>
        <w:noBreakHyphen/>
        <w:t>fold in the presence of the strong inhibitor of CYP3A/P</w:t>
      </w:r>
      <w:r w:rsidRPr="00A86B5B">
        <w:rPr>
          <w:sz w:val="24"/>
          <w:szCs w:val="24"/>
          <w:lang w:val="en-US"/>
        </w:rPr>
        <w:noBreakHyphen/>
      </w:r>
      <w:proofErr w:type="spellStart"/>
      <w:r w:rsidRPr="00A86B5B">
        <w:rPr>
          <w:sz w:val="24"/>
          <w:szCs w:val="24"/>
          <w:lang w:val="en-US"/>
        </w:rPr>
        <w:t>gp</w:t>
      </w:r>
      <w:proofErr w:type="spellEnd"/>
      <w:r w:rsidRPr="00A86B5B">
        <w:rPr>
          <w:sz w:val="24"/>
          <w:szCs w:val="24"/>
          <w:lang w:val="en-US"/>
        </w:rPr>
        <w:t xml:space="preserve"> ketoconazole in healthy volunteers. No dose-adjustment is needed when mirabegron is combined with inhibitors of CYP3A and/or P</w:t>
      </w:r>
      <w:r w:rsidRPr="00A86B5B">
        <w:rPr>
          <w:sz w:val="24"/>
          <w:szCs w:val="24"/>
          <w:lang w:val="en-US"/>
        </w:rPr>
        <w:noBreakHyphen/>
      </w:r>
      <w:proofErr w:type="spellStart"/>
      <w:r w:rsidRPr="00A86B5B">
        <w:rPr>
          <w:sz w:val="24"/>
          <w:szCs w:val="24"/>
          <w:lang w:val="en-US"/>
        </w:rPr>
        <w:t>gp</w:t>
      </w:r>
      <w:proofErr w:type="spellEnd"/>
      <w:r w:rsidRPr="00A86B5B">
        <w:rPr>
          <w:sz w:val="24"/>
          <w:szCs w:val="24"/>
          <w:lang w:val="en-US"/>
        </w:rPr>
        <w:t>. However, in patients with mild to moderate renal impairment (GFR 30 to 89 mL/min/1.73 m</w:t>
      </w:r>
      <w:r w:rsidRPr="00A86B5B">
        <w:rPr>
          <w:sz w:val="24"/>
          <w:szCs w:val="24"/>
          <w:vertAlign w:val="superscript"/>
          <w:lang w:val="en-US"/>
        </w:rPr>
        <w:t>2</w:t>
      </w:r>
      <w:r w:rsidRPr="00A86B5B">
        <w:rPr>
          <w:sz w:val="24"/>
          <w:szCs w:val="24"/>
          <w:lang w:val="en-US"/>
        </w:rPr>
        <w:t>) or mild hepatic impairment (Child-Pugh Class A) concomitantly receiving strong CYP3A inhibitors, such as itraconazole, ketoconazole, ritonavir and clarithromycin, the recommended dose is mirabegron 25 mg once daily with or without food (see section 4.2).</w:t>
      </w:r>
    </w:p>
    <w:p w14:paraId="5C2D5D77" w14:textId="77777777" w:rsidR="007606FB" w:rsidRPr="00A86B5B" w:rsidRDefault="007606FB" w:rsidP="00591653">
      <w:pPr>
        <w:ind w:left="851"/>
        <w:rPr>
          <w:sz w:val="24"/>
          <w:szCs w:val="24"/>
          <w:lang w:val="en-US"/>
        </w:rPr>
      </w:pPr>
      <w:r w:rsidRPr="00A86B5B">
        <w:rPr>
          <w:sz w:val="24"/>
          <w:szCs w:val="24"/>
          <w:lang w:val="en-US"/>
        </w:rPr>
        <w:t>Mirabegron is not recommended in patients with severe renal impairment (GFR 15 to 29 mL/min/1.73 m</w:t>
      </w:r>
      <w:r w:rsidRPr="00A86B5B">
        <w:rPr>
          <w:sz w:val="24"/>
          <w:szCs w:val="24"/>
          <w:vertAlign w:val="superscript"/>
          <w:lang w:val="en-US"/>
        </w:rPr>
        <w:t>2</w:t>
      </w:r>
      <w:r w:rsidRPr="00A86B5B">
        <w:rPr>
          <w:sz w:val="24"/>
          <w:szCs w:val="24"/>
          <w:lang w:val="en-US"/>
        </w:rPr>
        <w:t>) or patients with moderate hepatic impairment (Child-Pugh Class B) concomitantly receiving strong CYP3A inhibitors (see sections 4.2 and 4.4).</w:t>
      </w:r>
    </w:p>
    <w:p w14:paraId="53677B37" w14:textId="77777777" w:rsidR="007606FB" w:rsidRPr="00A86B5B" w:rsidRDefault="007606FB" w:rsidP="00591653">
      <w:pPr>
        <w:ind w:left="851"/>
        <w:rPr>
          <w:sz w:val="24"/>
          <w:szCs w:val="24"/>
          <w:lang w:val="en-US"/>
        </w:rPr>
      </w:pPr>
    </w:p>
    <w:p w14:paraId="43EED6C8" w14:textId="77777777" w:rsidR="007606FB" w:rsidRPr="00A86B5B" w:rsidRDefault="007606FB" w:rsidP="00591653">
      <w:pPr>
        <w:ind w:left="851"/>
        <w:rPr>
          <w:i/>
          <w:sz w:val="24"/>
          <w:szCs w:val="24"/>
          <w:lang w:val="en-US"/>
        </w:rPr>
      </w:pPr>
      <w:r w:rsidRPr="00A86B5B">
        <w:rPr>
          <w:i/>
          <w:sz w:val="24"/>
          <w:szCs w:val="24"/>
          <w:lang w:val="en-US"/>
        </w:rPr>
        <w:t>Effect of enzyme inducers</w:t>
      </w:r>
    </w:p>
    <w:p w14:paraId="3CB27C6A" w14:textId="77777777" w:rsidR="007606FB" w:rsidRPr="00A86B5B" w:rsidRDefault="007606FB" w:rsidP="00591653">
      <w:pPr>
        <w:ind w:left="851"/>
        <w:rPr>
          <w:sz w:val="24"/>
          <w:szCs w:val="24"/>
          <w:lang w:val="en-US"/>
        </w:rPr>
      </w:pPr>
      <w:r w:rsidRPr="00A86B5B">
        <w:rPr>
          <w:sz w:val="24"/>
          <w:szCs w:val="24"/>
          <w:lang w:val="en-US"/>
        </w:rPr>
        <w:t>Substances that are inducers of CYP3A or P</w:t>
      </w:r>
      <w:r w:rsidRPr="00A86B5B">
        <w:rPr>
          <w:sz w:val="24"/>
          <w:szCs w:val="24"/>
          <w:lang w:val="en-US"/>
        </w:rPr>
        <w:noBreakHyphen/>
      </w:r>
      <w:proofErr w:type="spellStart"/>
      <w:r w:rsidRPr="00A86B5B">
        <w:rPr>
          <w:sz w:val="24"/>
          <w:szCs w:val="24"/>
          <w:lang w:val="en-US"/>
        </w:rPr>
        <w:t>gp</w:t>
      </w:r>
      <w:proofErr w:type="spellEnd"/>
      <w:r w:rsidRPr="00A86B5B">
        <w:rPr>
          <w:sz w:val="24"/>
          <w:szCs w:val="24"/>
          <w:lang w:val="en-US"/>
        </w:rPr>
        <w:t xml:space="preserve"> decrease the plasma concentrations of mirabegron. No dose adjustment is needed for mirabegron when administered with therapeutic doses of rifampicin or other CYP3A or P</w:t>
      </w:r>
      <w:r w:rsidRPr="00A86B5B">
        <w:rPr>
          <w:sz w:val="24"/>
          <w:szCs w:val="24"/>
          <w:lang w:val="en-US"/>
        </w:rPr>
        <w:noBreakHyphen/>
      </w:r>
      <w:proofErr w:type="spellStart"/>
      <w:r w:rsidRPr="00A86B5B">
        <w:rPr>
          <w:sz w:val="24"/>
          <w:szCs w:val="24"/>
          <w:lang w:val="en-US"/>
        </w:rPr>
        <w:t>gp</w:t>
      </w:r>
      <w:proofErr w:type="spellEnd"/>
      <w:r w:rsidRPr="00A86B5B">
        <w:rPr>
          <w:sz w:val="24"/>
          <w:szCs w:val="24"/>
          <w:lang w:val="en-US"/>
        </w:rPr>
        <w:t xml:space="preserve"> inducers.</w:t>
      </w:r>
    </w:p>
    <w:p w14:paraId="265BCC78" w14:textId="77777777" w:rsidR="007606FB" w:rsidRPr="00A86B5B" w:rsidRDefault="007606FB" w:rsidP="00591653">
      <w:pPr>
        <w:ind w:left="851"/>
        <w:rPr>
          <w:sz w:val="24"/>
          <w:szCs w:val="24"/>
          <w:lang w:val="en-US"/>
        </w:rPr>
      </w:pPr>
    </w:p>
    <w:p w14:paraId="2ABFE8E4" w14:textId="77777777" w:rsidR="007606FB" w:rsidRPr="00A86B5B" w:rsidRDefault="007606FB" w:rsidP="00591653">
      <w:pPr>
        <w:ind w:left="851"/>
        <w:rPr>
          <w:sz w:val="24"/>
          <w:szCs w:val="24"/>
          <w:lang w:val="en-US"/>
        </w:rPr>
      </w:pPr>
      <w:r w:rsidRPr="00A86B5B">
        <w:rPr>
          <w:sz w:val="24"/>
          <w:szCs w:val="24"/>
          <w:lang w:val="en-US"/>
        </w:rPr>
        <w:t>Effect of CYP2D6 polymorphism</w:t>
      </w:r>
    </w:p>
    <w:p w14:paraId="1F564FBE" w14:textId="77777777" w:rsidR="007606FB" w:rsidRPr="00A86B5B" w:rsidRDefault="007606FB" w:rsidP="00591653">
      <w:pPr>
        <w:ind w:left="851"/>
        <w:rPr>
          <w:sz w:val="24"/>
          <w:szCs w:val="24"/>
          <w:lang w:val="en-US"/>
        </w:rPr>
      </w:pPr>
      <w:r w:rsidRPr="00A86B5B">
        <w:rPr>
          <w:sz w:val="24"/>
          <w:szCs w:val="24"/>
          <w:lang w:val="en-US"/>
        </w:rPr>
        <w:t xml:space="preserve">CYP2D6 genetic polymorphism has minimal impact on the mean plasma exposure to mirabegron (see section 5.2). Interaction of mirabegron with a known CYP2D6 inhibitor is not expected and was not studied. No dose adjustment is needed for mirabegron when administered with CYP2D6 inhibitors or in patients who are CYP2D6 poor </w:t>
      </w:r>
      <w:proofErr w:type="spellStart"/>
      <w:r w:rsidRPr="00A86B5B">
        <w:rPr>
          <w:sz w:val="24"/>
          <w:szCs w:val="24"/>
          <w:lang w:val="en-US"/>
        </w:rPr>
        <w:t>metabolisers</w:t>
      </w:r>
      <w:proofErr w:type="spellEnd"/>
      <w:r w:rsidRPr="00A86B5B">
        <w:rPr>
          <w:sz w:val="24"/>
          <w:szCs w:val="24"/>
          <w:lang w:val="en-US"/>
        </w:rPr>
        <w:t>.</w:t>
      </w:r>
    </w:p>
    <w:p w14:paraId="4D3DE87D" w14:textId="77777777" w:rsidR="007606FB" w:rsidRPr="00A86B5B" w:rsidRDefault="007606FB" w:rsidP="00591653">
      <w:pPr>
        <w:ind w:left="851"/>
        <w:rPr>
          <w:sz w:val="24"/>
          <w:szCs w:val="24"/>
          <w:lang w:val="en-US"/>
        </w:rPr>
      </w:pPr>
    </w:p>
    <w:p w14:paraId="5B0CF3A7" w14:textId="77777777" w:rsidR="007606FB" w:rsidRPr="00A86B5B" w:rsidRDefault="007606FB" w:rsidP="00591653">
      <w:pPr>
        <w:ind w:left="851"/>
        <w:rPr>
          <w:i/>
          <w:sz w:val="24"/>
          <w:szCs w:val="24"/>
          <w:lang w:val="en-US"/>
        </w:rPr>
      </w:pPr>
      <w:r w:rsidRPr="00A86B5B">
        <w:rPr>
          <w:i/>
          <w:sz w:val="24"/>
          <w:szCs w:val="24"/>
          <w:lang w:val="en-US"/>
        </w:rPr>
        <w:t>Effect of mirabegron on CYP2D6 substrates</w:t>
      </w:r>
    </w:p>
    <w:p w14:paraId="1AEC2B42" w14:textId="77777777" w:rsidR="007606FB" w:rsidRPr="00A86B5B" w:rsidRDefault="007606FB" w:rsidP="00591653">
      <w:pPr>
        <w:ind w:left="851"/>
        <w:rPr>
          <w:sz w:val="24"/>
          <w:szCs w:val="24"/>
          <w:lang w:val="en-US"/>
        </w:rPr>
      </w:pPr>
      <w:r w:rsidRPr="00A86B5B">
        <w:rPr>
          <w:sz w:val="24"/>
          <w:szCs w:val="24"/>
          <w:lang w:val="en-US"/>
        </w:rPr>
        <w:t xml:space="preserve">In healthy volunteers, the inhibitory potency of mirabegron towards CYP2D6 is moderate and the CYP2D6 activity recovers within 15 days after discontinuation of mirabegron. Multiple once daily dosing of mirabegron IR resulted in a 90% increase in </w:t>
      </w:r>
      <w:proofErr w:type="spellStart"/>
      <w:r w:rsidRPr="00A86B5B">
        <w:rPr>
          <w:sz w:val="24"/>
          <w:szCs w:val="24"/>
          <w:lang w:val="en-US"/>
        </w:rPr>
        <w:t>C</w:t>
      </w:r>
      <w:r w:rsidRPr="00A86B5B">
        <w:rPr>
          <w:sz w:val="24"/>
          <w:szCs w:val="24"/>
          <w:vertAlign w:val="subscript"/>
          <w:lang w:val="en-US"/>
        </w:rPr>
        <w:t>max</w:t>
      </w:r>
      <w:proofErr w:type="spellEnd"/>
      <w:r w:rsidRPr="00A86B5B">
        <w:rPr>
          <w:sz w:val="24"/>
          <w:szCs w:val="24"/>
          <w:lang w:val="en-US"/>
        </w:rPr>
        <w:t xml:space="preserve"> and a 229% increase in AUC of a single dose of metoprolol. Multiple once daily dosing of mirabegron resulted in a 79% increase in </w:t>
      </w:r>
      <w:proofErr w:type="spellStart"/>
      <w:r w:rsidRPr="00A86B5B">
        <w:rPr>
          <w:sz w:val="24"/>
          <w:szCs w:val="24"/>
          <w:lang w:val="en-US"/>
        </w:rPr>
        <w:t>C</w:t>
      </w:r>
      <w:r w:rsidRPr="00A86B5B">
        <w:rPr>
          <w:sz w:val="24"/>
          <w:szCs w:val="24"/>
          <w:vertAlign w:val="subscript"/>
          <w:lang w:val="en-US"/>
        </w:rPr>
        <w:t>max</w:t>
      </w:r>
      <w:proofErr w:type="spellEnd"/>
      <w:r w:rsidRPr="00A86B5B">
        <w:rPr>
          <w:sz w:val="24"/>
          <w:szCs w:val="24"/>
          <w:lang w:val="en-US"/>
        </w:rPr>
        <w:t xml:space="preserve"> and a 241% increase in AUC of a single dose of desipramine.</w:t>
      </w:r>
    </w:p>
    <w:p w14:paraId="7144316E" w14:textId="77777777" w:rsidR="007606FB" w:rsidRPr="00A86B5B" w:rsidRDefault="007606FB" w:rsidP="00591653">
      <w:pPr>
        <w:ind w:left="851"/>
        <w:rPr>
          <w:sz w:val="24"/>
          <w:szCs w:val="24"/>
          <w:lang w:val="en-US"/>
        </w:rPr>
      </w:pPr>
    </w:p>
    <w:p w14:paraId="60293A7A" w14:textId="77777777" w:rsidR="007606FB" w:rsidRPr="00A86B5B" w:rsidRDefault="007606FB" w:rsidP="00591653">
      <w:pPr>
        <w:ind w:left="851"/>
        <w:rPr>
          <w:sz w:val="24"/>
          <w:szCs w:val="24"/>
          <w:lang w:val="en-US"/>
        </w:rPr>
      </w:pPr>
      <w:r w:rsidRPr="00A86B5B">
        <w:rPr>
          <w:sz w:val="24"/>
          <w:szCs w:val="24"/>
          <w:lang w:val="en-US"/>
        </w:rPr>
        <w:t xml:space="preserve">Caution is advised if mirabegron is co-administered with medicinal products with a narrow therapeutic index and significantly </w:t>
      </w:r>
      <w:proofErr w:type="spellStart"/>
      <w:r w:rsidRPr="00A86B5B">
        <w:rPr>
          <w:sz w:val="24"/>
          <w:szCs w:val="24"/>
          <w:lang w:val="en-US"/>
        </w:rPr>
        <w:t>metabolised</w:t>
      </w:r>
      <w:proofErr w:type="spellEnd"/>
      <w:r w:rsidRPr="00A86B5B">
        <w:rPr>
          <w:sz w:val="24"/>
          <w:szCs w:val="24"/>
          <w:lang w:val="en-US"/>
        </w:rPr>
        <w:t xml:space="preserve"> by CYP2D6, such as thioridazine, Type 1C antiarrhythmics (e.g., flecainide, propafenone) and tricyclic antidepressants (e.g., imipramine, desipramine). Caution is also advised if mirabegron is co-administered with CYP2D6 substrates that are individually dose titrated.</w:t>
      </w:r>
    </w:p>
    <w:p w14:paraId="28B53B5B" w14:textId="77777777" w:rsidR="007606FB" w:rsidRPr="00A86B5B" w:rsidRDefault="007606FB" w:rsidP="00591653">
      <w:pPr>
        <w:ind w:left="851"/>
        <w:rPr>
          <w:sz w:val="24"/>
          <w:szCs w:val="24"/>
          <w:lang w:val="en-US"/>
        </w:rPr>
      </w:pPr>
    </w:p>
    <w:p w14:paraId="4BB2CE27" w14:textId="77777777" w:rsidR="007606FB" w:rsidRPr="00A86B5B" w:rsidRDefault="007606FB" w:rsidP="00591653">
      <w:pPr>
        <w:ind w:left="851"/>
        <w:rPr>
          <w:i/>
          <w:sz w:val="24"/>
          <w:szCs w:val="24"/>
          <w:lang w:val="en-US"/>
        </w:rPr>
      </w:pPr>
      <w:r w:rsidRPr="00A86B5B">
        <w:rPr>
          <w:i/>
          <w:sz w:val="24"/>
          <w:szCs w:val="24"/>
          <w:lang w:val="en-US"/>
        </w:rPr>
        <w:t>Effect of mirabegron on transporters</w:t>
      </w:r>
    </w:p>
    <w:p w14:paraId="259B7B92" w14:textId="77777777" w:rsidR="007606FB" w:rsidRPr="00A86B5B" w:rsidRDefault="007606FB" w:rsidP="00591653">
      <w:pPr>
        <w:ind w:left="851"/>
        <w:rPr>
          <w:sz w:val="24"/>
          <w:szCs w:val="24"/>
          <w:lang w:val="en-US"/>
        </w:rPr>
      </w:pPr>
      <w:r w:rsidRPr="00A86B5B">
        <w:rPr>
          <w:sz w:val="24"/>
          <w:szCs w:val="24"/>
          <w:lang w:val="en-US"/>
        </w:rPr>
        <w:t>Mirabegron is a weak inhibitor of P</w:t>
      </w:r>
      <w:r w:rsidRPr="00A86B5B">
        <w:rPr>
          <w:sz w:val="24"/>
          <w:szCs w:val="24"/>
          <w:lang w:val="en-US"/>
        </w:rPr>
        <w:noBreakHyphen/>
      </w:r>
      <w:proofErr w:type="spellStart"/>
      <w:r w:rsidRPr="00A86B5B">
        <w:rPr>
          <w:sz w:val="24"/>
          <w:szCs w:val="24"/>
          <w:lang w:val="en-US"/>
        </w:rPr>
        <w:t>gp</w:t>
      </w:r>
      <w:proofErr w:type="spellEnd"/>
      <w:r w:rsidRPr="00A86B5B">
        <w:rPr>
          <w:sz w:val="24"/>
          <w:szCs w:val="24"/>
          <w:lang w:val="en-US"/>
        </w:rPr>
        <w:t xml:space="preserve">. Mirabegron increased </w:t>
      </w:r>
      <w:proofErr w:type="spellStart"/>
      <w:r w:rsidRPr="00A86B5B">
        <w:rPr>
          <w:sz w:val="24"/>
          <w:szCs w:val="24"/>
          <w:lang w:val="en-US"/>
        </w:rPr>
        <w:t>C</w:t>
      </w:r>
      <w:r w:rsidRPr="00A86B5B">
        <w:rPr>
          <w:sz w:val="24"/>
          <w:szCs w:val="24"/>
          <w:vertAlign w:val="subscript"/>
          <w:lang w:val="en-US"/>
        </w:rPr>
        <w:t>max</w:t>
      </w:r>
      <w:proofErr w:type="spellEnd"/>
      <w:r w:rsidRPr="00A86B5B">
        <w:rPr>
          <w:sz w:val="24"/>
          <w:szCs w:val="24"/>
          <w:lang w:val="en-US"/>
        </w:rPr>
        <w:t xml:space="preserve"> and AUC by 29% and 27%, respectively, of the P</w:t>
      </w:r>
      <w:r w:rsidRPr="00A86B5B">
        <w:rPr>
          <w:sz w:val="24"/>
          <w:szCs w:val="24"/>
          <w:lang w:val="en-US"/>
        </w:rPr>
        <w:noBreakHyphen/>
      </w:r>
      <w:proofErr w:type="spellStart"/>
      <w:r w:rsidRPr="00A86B5B">
        <w:rPr>
          <w:sz w:val="24"/>
          <w:szCs w:val="24"/>
          <w:lang w:val="en-US"/>
        </w:rPr>
        <w:t>gp</w:t>
      </w:r>
      <w:proofErr w:type="spellEnd"/>
      <w:r w:rsidRPr="00A86B5B">
        <w:rPr>
          <w:sz w:val="24"/>
          <w:szCs w:val="24"/>
          <w:lang w:val="en-US"/>
        </w:rPr>
        <w:t xml:space="preserve"> substrate digoxin in healthy volunteers. For patients who are initiating a combination of mirabegron and digoxin, the lowest dose for digoxin should be prescribed initially. Serum digoxin concentrations should be monitored and used for titration of the digoxin dose to obtain the desired clinical effect. The potential for inhibition of P</w:t>
      </w:r>
      <w:r w:rsidRPr="00A86B5B">
        <w:rPr>
          <w:sz w:val="24"/>
          <w:szCs w:val="24"/>
          <w:lang w:val="en-US"/>
        </w:rPr>
        <w:noBreakHyphen/>
      </w:r>
      <w:proofErr w:type="spellStart"/>
      <w:r w:rsidRPr="00A86B5B">
        <w:rPr>
          <w:sz w:val="24"/>
          <w:szCs w:val="24"/>
          <w:lang w:val="en-US"/>
        </w:rPr>
        <w:t>gp</w:t>
      </w:r>
      <w:proofErr w:type="spellEnd"/>
      <w:r w:rsidRPr="00A86B5B">
        <w:rPr>
          <w:sz w:val="24"/>
          <w:szCs w:val="24"/>
          <w:lang w:val="en-US"/>
        </w:rPr>
        <w:t xml:space="preserve"> by mirabegron should be considered when this medicinal product is combined with sensitive P</w:t>
      </w:r>
      <w:r w:rsidRPr="00A86B5B">
        <w:rPr>
          <w:sz w:val="24"/>
          <w:szCs w:val="24"/>
          <w:lang w:val="en-US"/>
        </w:rPr>
        <w:noBreakHyphen/>
      </w:r>
      <w:proofErr w:type="spellStart"/>
      <w:r w:rsidRPr="00A86B5B">
        <w:rPr>
          <w:sz w:val="24"/>
          <w:szCs w:val="24"/>
          <w:lang w:val="en-US"/>
        </w:rPr>
        <w:t>gp</w:t>
      </w:r>
      <w:proofErr w:type="spellEnd"/>
      <w:r w:rsidRPr="00A86B5B">
        <w:rPr>
          <w:sz w:val="24"/>
          <w:szCs w:val="24"/>
          <w:lang w:val="en-US"/>
        </w:rPr>
        <w:t xml:space="preserve"> substrates e.g. dabigatran.</w:t>
      </w:r>
    </w:p>
    <w:p w14:paraId="58E05BDE" w14:textId="77777777" w:rsidR="007606FB" w:rsidRPr="00A86B5B" w:rsidRDefault="007606FB" w:rsidP="00591653">
      <w:pPr>
        <w:ind w:left="851"/>
        <w:rPr>
          <w:sz w:val="24"/>
          <w:szCs w:val="24"/>
          <w:lang w:val="en-US"/>
        </w:rPr>
      </w:pPr>
    </w:p>
    <w:p w14:paraId="32312698" w14:textId="77777777" w:rsidR="007606FB" w:rsidRPr="00A86B5B" w:rsidRDefault="007606FB" w:rsidP="00591653">
      <w:pPr>
        <w:ind w:left="851"/>
        <w:rPr>
          <w:i/>
          <w:sz w:val="24"/>
          <w:szCs w:val="24"/>
          <w:lang w:val="en-US"/>
        </w:rPr>
      </w:pPr>
      <w:r w:rsidRPr="00A86B5B">
        <w:rPr>
          <w:i/>
          <w:sz w:val="24"/>
          <w:szCs w:val="24"/>
          <w:lang w:val="en-US"/>
        </w:rPr>
        <w:t>Other interactions</w:t>
      </w:r>
    </w:p>
    <w:p w14:paraId="22A271FB" w14:textId="77777777" w:rsidR="007606FB" w:rsidRPr="00A86B5B" w:rsidRDefault="007606FB" w:rsidP="00591653">
      <w:pPr>
        <w:ind w:left="851"/>
        <w:rPr>
          <w:sz w:val="24"/>
          <w:szCs w:val="24"/>
          <w:lang w:val="en-US"/>
        </w:rPr>
      </w:pPr>
      <w:r w:rsidRPr="00A86B5B">
        <w:rPr>
          <w:sz w:val="24"/>
          <w:szCs w:val="24"/>
          <w:lang w:val="en-US"/>
        </w:rPr>
        <w:t xml:space="preserve">No clinically relevant interactions have been observed when mirabegron was co-administered with therapeutic doses of </w:t>
      </w:r>
      <w:proofErr w:type="spellStart"/>
      <w:r w:rsidRPr="00A86B5B">
        <w:rPr>
          <w:sz w:val="24"/>
          <w:szCs w:val="24"/>
          <w:lang w:val="en-US"/>
        </w:rPr>
        <w:t>solifenacin</w:t>
      </w:r>
      <w:proofErr w:type="spellEnd"/>
      <w:r w:rsidRPr="00A86B5B">
        <w:rPr>
          <w:sz w:val="24"/>
          <w:szCs w:val="24"/>
          <w:lang w:val="en-US"/>
        </w:rPr>
        <w:t xml:space="preserve">, tamsulosin, warfarin, metformin or a combined oral contraceptive medicinal product containing </w:t>
      </w:r>
      <w:proofErr w:type="spellStart"/>
      <w:r w:rsidRPr="00A86B5B">
        <w:rPr>
          <w:sz w:val="24"/>
          <w:szCs w:val="24"/>
          <w:lang w:val="en-US"/>
        </w:rPr>
        <w:t>ethinylestradiol</w:t>
      </w:r>
      <w:proofErr w:type="spellEnd"/>
      <w:r w:rsidRPr="00A86B5B">
        <w:rPr>
          <w:sz w:val="24"/>
          <w:szCs w:val="24"/>
          <w:lang w:val="en-US"/>
        </w:rPr>
        <w:t xml:space="preserve"> and levonorgestrel. Dose-adjustment is not recommended.</w:t>
      </w:r>
    </w:p>
    <w:p w14:paraId="4CFB7F14" w14:textId="77777777" w:rsidR="007606FB" w:rsidRPr="00A86B5B" w:rsidRDefault="007606FB" w:rsidP="00591653">
      <w:pPr>
        <w:ind w:left="851"/>
        <w:rPr>
          <w:sz w:val="24"/>
          <w:szCs w:val="24"/>
          <w:lang w:val="en-US"/>
        </w:rPr>
      </w:pPr>
    </w:p>
    <w:p w14:paraId="6746F463" w14:textId="77777777" w:rsidR="007606FB" w:rsidRPr="00A86B5B" w:rsidRDefault="007606FB" w:rsidP="00591653">
      <w:pPr>
        <w:ind w:left="851"/>
        <w:rPr>
          <w:sz w:val="24"/>
          <w:szCs w:val="24"/>
          <w:lang w:val="en-US"/>
        </w:rPr>
      </w:pPr>
      <w:r w:rsidRPr="00A86B5B">
        <w:rPr>
          <w:sz w:val="24"/>
          <w:szCs w:val="24"/>
          <w:lang w:val="en-US"/>
        </w:rPr>
        <w:t>Increases in mirabegron exposure due to drug-drug interactions may be associated with increases in pulse rate.</w:t>
      </w:r>
    </w:p>
    <w:p w14:paraId="7636FC06" w14:textId="77777777" w:rsidR="007C5D2A" w:rsidRPr="00A86B5B" w:rsidRDefault="007C5D2A" w:rsidP="003E0341">
      <w:pPr>
        <w:tabs>
          <w:tab w:val="left" w:pos="851"/>
        </w:tabs>
        <w:ind w:left="851"/>
        <w:rPr>
          <w:sz w:val="24"/>
          <w:szCs w:val="24"/>
          <w:lang w:val="en-GB"/>
        </w:rPr>
      </w:pPr>
    </w:p>
    <w:p w14:paraId="366F7AA0" w14:textId="77777777" w:rsidR="007C5D2A" w:rsidRPr="00A86B5B" w:rsidRDefault="007C5D2A" w:rsidP="007C5D2A">
      <w:pPr>
        <w:tabs>
          <w:tab w:val="left" w:pos="851"/>
        </w:tabs>
        <w:ind w:left="851" w:hanging="851"/>
        <w:rPr>
          <w:b/>
          <w:sz w:val="24"/>
          <w:szCs w:val="24"/>
          <w:lang w:val="en-GB"/>
        </w:rPr>
      </w:pPr>
      <w:r w:rsidRPr="00A86B5B">
        <w:rPr>
          <w:b/>
          <w:sz w:val="24"/>
          <w:szCs w:val="24"/>
          <w:lang w:val="en-GB"/>
        </w:rPr>
        <w:t>4.6</w:t>
      </w:r>
      <w:r w:rsidRPr="00A86B5B">
        <w:rPr>
          <w:b/>
          <w:sz w:val="24"/>
          <w:szCs w:val="24"/>
          <w:lang w:val="en-GB"/>
        </w:rPr>
        <w:tab/>
      </w:r>
      <w:r w:rsidR="004860D3" w:rsidRPr="00A86B5B">
        <w:rPr>
          <w:b/>
          <w:sz w:val="24"/>
          <w:szCs w:val="24"/>
          <w:lang w:val="en-GB"/>
        </w:rPr>
        <w:t>Fertility, p</w:t>
      </w:r>
      <w:r w:rsidRPr="00A86B5B">
        <w:rPr>
          <w:b/>
          <w:sz w:val="24"/>
          <w:szCs w:val="24"/>
          <w:lang w:val="en-GB"/>
        </w:rPr>
        <w:t>regnancy and lactation</w:t>
      </w:r>
    </w:p>
    <w:p w14:paraId="05AC5D8E" w14:textId="77777777" w:rsidR="00A86B5B" w:rsidRDefault="00A86B5B" w:rsidP="00591653">
      <w:pPr>
        <w:ind w:left="851"/>
        <w:rPr>
          <w:sz w:val="24"/>
          <w:szCs w:val="24"/>
          <w:lang w:val="en-US"/>
        </w:rPr>
      </w:pPr>
    </w:p>
    <w:p w14:paraId="2A04E20E" w14:textId="59ED74F2" w:rsidR="007606FB" w:rsidRPr="00A86B5B" w:rsidRDefault="007606FB" w:rsidP="00591653">
      <w:pPr>
        <w:ind w:left="851"/>
        <w:rPr>
          <w:sz w:val="24"/>
          <w:szCs w:val="24"/>
          <w:u w:val="single"/>
          <w:lang w:val="en-US"/>
        </w:rPr>
      </w:pPr>
      <w:r w:rsidRPr="00A86B5B">
        <w:rPr>
          <w:sz w:val="24"/>
          <w:szCs w:val="24"/>
          <w:u w:val="single"/>
          <w:lang w:val="en-US"/>
        </w:rPr>
        <w:t>Woman of childbearing potential</w:t>
      </w:r>
    </w:p>
    <w:p w14:paraId="186107AF" w14:textId="77777777" w:rsidR="007606FB" w:rsidRPr="00A86B5B" w:rsidRDefault="007606FB" w:rsidP="00591653">
      <w:pPr>
        <w:ind w:left="851"/>
        <w:rPr>
          <w:sz w:val="24"/>
          <w:szCs w:val="24"/>
          <w:lang w:val="en-US"/>
        </w:rPr>
      </w:pPr>
    </w:p>
    <w:p w14:paraId="5D707AD2" w14:textId="62F813B4" w:rsidR="007606FB" w:rsidRPr="00A86B5B" w:rsidRDefault="00A86B5B" w:rsidP="00591653">
      <w:pPr>
        <w:ind w:left="851"/>
        <w:rPr>
          <w:sz w:val="24"/>
          <w:szCs w:val="24"/>
          <w:lang w:val="en-US"/>
        </w:rPr>
      </w:pPr>
      <w:r>
        <w:rPr>
          <w:sz w:val="24"/>
          <w:szCs w:val="24"/>
          <w:lang w:val="en-US"/>
        </w:rPr>
        <w:t>Mirabegron "</w:t>
      </w:r>
      <w:proofErr w:type="spellStart"/>
      <w:r>
        <w:rPr>
          <w:sz w:val="24"/>
          <w:szCs w:val="24"/>
          <w:lang w:val="en-US"/>
        </w:rPr>
        <w:t>Zentiva</w:t>
      </w:r>
      <w:proofErr w:type="spellEnd"/>
      <w:r>
        <w:rPr>
          <w:sz w:val="24"/>
          <w:szCs w:val="24"/>
          <w:lang w:val="en-US"/>
        </w:rPr>
        <w:t>"</w:t>
      </w:r>
      <w:r w:rsidR="007606FB" w:rsidRPr="00A86B5B">
        <w:rPr>
          <w:sz w:val="24"/>
          <w:szCs w:val="24"/>
          <w:lang w:val="en-US"/>
        </w:rPr>
        <w:t xml:space="preserve"> is not recommended in women of childbearing potential not using contraception.</w:t>
      </w:r>
    </w:p>
    <w:p w14:paraId="3F24B79C" w14:textId="77777777" w:rsidR="007606FB" w:rsidRPr="00A86B5B" w:rsidRDefault="007606FB" w:rsidP="00591653">
      <w:pPr>
        <w:ind w:left="851"/>
        <w:rPr>
          <w:sz w:val="24"/>
          <w:szCs w:val="24"/>
          <w:lang w:val="en-US"/>
        </w:rPr>
      </w:pPr>
    </w:p>
    <w:p w14:paraId="7EA4B608" w14:textId="77777777" w:rsidR="007606FB" w:rsidRPr="00A86B5B" w:rsidRDefault="007606FB" w:rsidP="00591653">
      <w:pPr>
        <w:ind w:left="851"/>
        <w:rPr>
          <w:sz w:val="24"/>
          <w:szCs w:val="24"/>
          <w:u w:val="single"/>
          <w:lang w:val="en-US"/>
        </w:rPr>
      </w:pPr>
      <w:r w:rsidRPr="00A86B5B">
        <w:rPr>
          <w:sz w:val="24"/>
          <w:szCs w:val="24"/>
          <w:u w:val="single"/>
          <w:lang w:val="en-US"/>
        </w:rPr>
        <w:t>Pregnancy</w:t>
      </w:r>
    </w:p>
    <w:p w14:paraId="0FE8535C" w14:textId="77777777" w:rsidR="007606FB" w:rsidRPr="00A86B5B" w:rsidRDefault="007606FB" w:rsidP="00591653">
      <w:pPr>
        <w:ind w:left="851"/>
        <w:rPr>
          <w:sz w:val="24"/>
          <w:szCs w:val="24"/>
          <w:lang w:val="en-US"/>
        </w:rPr>
      </w:pPr>
    </w:p>
    <w:p w14:paraId="5ED2AD0A" w14:textId="77777777" w:rsidR="007606FB" w:rsidRPr="00A86B5B" w:rsidRDefault="007606FB" w:rsidP="00591653">
      <w:pPr>
        <w:ind w:left="851"/>
        <w:rPr>
          <w:sz w:val="24"/>
          <w:szCs w:val="24"/>
          <w:lang w:val="en-US"/>
        </w:rPr>
      </w:pPr>
      <w:r w:rsidRPr="00A86B5B">
        <w:rPr>
          <w:sz w:val="24"/>
          <w:szCs w:val="24"/>
          <w:lang w:val="en-US"/>
        </w:rPr>
        <w:t>There is limited amount of data from the use of mirabegron in pregnant women. Studies in animals have shown reproductive toxicity (see section 5.3). This medicinal product is not recommended during pregnancy.</w:t>
      </w:r>
    </w:p>
    <w:p w14:paraId="53453073" w14:textId="77777777" w:rsidR="007606FB" w:rsidRPr="00A86B5B" w:rsidRDefault="007606FB" w:rsidP="00591653">
      <w:pPr>
        <w:ind w:left="851"/>
        <w:rPr>
          <w:sz w:val="24"/>
          <w:szCs w:val="24"/>
          <w:lang w:val="en-US"/>
        </w:rPr>
      </w:pPr>
    </w:p>
    <w:p w14:paraId="2060811F" w14:textId="77777777" w:rsidR="007606FB" w:rsidRPr="00A86B5B" w:rsidRDefault="007606FB" w:rsidP="00591653">
      <w:pPr>
        <w:ind w:left="851"/>
        <w:rPr>
          <w:sz w:val="24"/>
          <w:szCs w:val="24"/>
          <w:u w:val="single"/>
          <w:lang w:val="en-US"/>
        </w:rPr>
      </w:pPr>
      <w:r w:rsidRPr="00A86B5B">
        <w:rPr>
          <w:sz w:val="24"/>
          <w:szCs w:val="24"/>
          <w:u w:val="single"/>
          <w:lang w:val="en-US"/>
        </w:rPr>
        <w:t>Breast-feeding</w:t>
      </w:r>
    </w:p>
    <w:p w14:paraId="314657D5" w14:textId="77777777" w:rsidR="007606FB" w:rsidRPr="00A86B5B" w:rsidRDefault="007606FB" w:rsidP="00591653">
      <w:pPr>
        <w:ind w:left="851"/>
        <w:rPr>
          <w:sz w:val="24"/>
          <w:szCs w:val="24"/>
          <w:lang w:val="en-US"/>
        </w:rPr>
      </w:pPr>
    </w:p>
    <w:p w14:paraId="72A44A7C" w14:textId="77777777" w:rsidR="007606FB" w:rsidRPr="00A86B5B" w:rsidRDefault="007606FB" w:rsidP="00591653">
      <w:pPr>
        <w:ind w:left="851"/>
        <w:rPr>
          <w:sz w:val="24"/>
          <w:szCs w:val="24"/>
          <w:lang w:val="en-US"/>
        </w:rPr>
      </w:pPr>
      <w:r w:rsidRPr="00A86B5B">
        <w:rPr>
          <w:sz w:val="24"/>
          <w:szCs w:val="24"/>
          <w:lang w:val="en-US"/>
        </w:rPr>
        <w:t xml:space="preserve">Mirabegron is excreted in the milk of rodents and therefore is predicted to be present in human milk (see section 5.3). No studies have been conducted to assess the impact of </w:t>
      </w:r>
      <w:r w:rsidRPr="00A86B5B">
        <w:rPr>
          <w:sz w:val="24"/>
          <w:szCs w:val="24"/>
          <w:lang w:val="en-US"/>
        </w:rPr>
        <w:lastRenderedPageBreak/>
        <w:t>mirabegron on milk production in humans, its presence in human breast milk, or its effects on the breast-fed child.</w:t>
      </w:r>
    </w:p>
    <w:p w14:paraId="23CA7B86" w14:textId="77777777" w:rsidR="007606FB" w:rsidRPr="00A86B5B" w:rsidRDefault="007606FB" w:rsidP="00591653">
      <w:pPr>
        <w:ind w:left="851"/>
        <w:rPr>
          <w:sz w:val="24"/>
          <w:szCs w:val="24"/>
          <w:lang w:val="en-US"/>
        </w:rPr>
      </w:pPr>
    </w:p>
    <w:p w14:paraId="29F17C8D" w14:textId="6E5065B1" w:rsidR="007606FB" w:rsidRPr="00A86B5B" w:rsidRDefault="00A86B5B" w:rsidP="00591653">
      <w:pPr>
        <w:ind w:left="851"/>
        <w:rPr>
          <w:sz w:val="24"/>
          <w:szCs w:val="24"/>
          <w:lang w:val="en-US"/>
        </w:rPr>
      </w:pPr>
      <w:r>
        <w:rPr>
          <w:sz w:val="24"/>
          <w:szCs w:val="24"/>
          <w:lang w:val="en-US"/>
        </w:rPr>
        <w:t>Mirabegron "</w:t>
      </w:r>
      <w:proofErr w:type="spellStart"/>
      <w:r>
        <w:rPr>
          <w:sz w:val="24"/>
          <w:szCs w:val="24"/>
          <w:lang w:val="en-US"/>
        </w:rPr>
        <w:t>Zentiva</w:t>
      </w:r>
      <w:proofErr w:type="spellEnd"/>
      <w:r>
        <w:rPr>
          <w:sz w:val="24"/>
          <w:szCs w:val="24"/>
          <w:lang w:val="en-US"/>
        </w:rPr>
        <w:t>"</w:t>
      </w:r>
      <w:r w:rsidR="007606FB" w:rsidRPr="00A86B5B">
        <w:rPr>
          <w:sz w:val="24"/>
          <w:szCs w:val="24"/>
          <w:lang w:val="en-US"/>
        </w:rPr>
        <w:t xml:space="preserve"> should not be administered during breast-feeding.</w:t>
      </w:r>
    </w:p>
    <w:p w14:paraId="304401E5" w14:textId="77777777" w:rsidR="007606FB" w:rsidRPr="00A86B5B" w:rsidRDefault="007606FB" w:rsidP="00591653">
      <w:pPr>
        <w:ind w:left="851"/>
        <w:rPr>
          <w:sz w:val="24"/>
          <w:szCs w:val="24"/>
          <w:lang w:val="en-US"/>
        </w:rPr>
      </w:pPr>
    </w:p>
    <w:p w14:paraId="3C096B69" w14:textId="77777777" w:rsidR="007606FB" w:rsidRPr="00A86B5B" w:rsidRDefault="007606FB" w:rsidP="00591653">
      <w:pPr>
        <w:ind w:left="851"/>
        <w:rPr>
          <w:sz w:val="24"/>
          <w:szCs w:val="24"/>
          <w:u w:val="single"/>
          <w:lang w:val="en-US"/>
        </w:rPr>
      </w:pPr>
      <w:r w:rsidRPr="00A86B5B">
        <w:rPr>
          <w:sz w:val="24"/>
          <w:szCs w:val="24"/>
          <w:u w:val="single"/>
          <w:lang w:val="en-US"/>
        </w:rPr>
        <w:t>Fertility</w:t>
      </w:r>
    </w:p>
    <w:p w14:paraId="506A5DFB" w14:textId="77777777" w:rsidR="007606FB" w:rsidRPr="00A86B5B" w:rsidRDefault="007606FB" w:rsidP="00591653">
      <w:pPr>
        <w:ind w:left="851"/>
        <w:rPr>
          <w:sz w:val="24"/>
          <w:szCs w:val="24"/>
          <w:lang w:val="en-US"/>
        </w:rPr>
      </w:pPr>
    </w:p>
    <w:p w14:paraId="1BA440ED" w14:textId="77777777" w:rsidR="007606FB" w:rsidRPr="00A86B5B" w:rsidRDefault="007606FB" w:rsidP="00591653">
      <w:pPr>
        <w:ind w:left="851"/>
        <w:rPr>
          <w:sz w:val="24"/>
          <w:szCs w:val="24"/>
          <w:lang w:val="en-US"/>
        </w:rPr>
      </w:pPr>
      <w:r w:rsidRPr="00A86B5B">
        <w:rPr>
          <w:sz w:val="24"/>
          <w:szCs w:val="24"/>
          <w:lang w:val="en-US"/>
        </w:rPr>
        <w:t>There were no treatment-related effects of mirabegron on fertility in animals (see section 5.3). The effect of mirabegron on human fertility has not been established.</w:t>
      </w:r>
    </w:p>
    <w:p w14:paraId="7E2A15A9" w14:textId="77777777" w:rsidR="007C5D2A" w:rsidRPr="00A86B5B" w:rsidRDefault="007C5D2A" w:rsidP="003E0341">
      <w:pPr>
        <w:tabs>
          <w:tab w:val="left" w:pos="851"/>
        </w:tabs>
        <w:ind w:left="851"/>
        <w:rPr>
          <w:sz w:val="24"/>
          <w:szCs w:val="24"/>
          <w:lang w:val="en-GB"/>
        </w:rPr>
      </w:pPr>
    </w:p>
    <w:p w14:paraId="2F8DE7B6" w14:textId="77777777" w:rsidR="007C5D2A" w:rsidRPr="00A86B5B" w:rsidRDefault="007C5D2A" w:rsidP="007C5D2A">
      <w:pPr>
        <w:tabs>
          <w:tab w:val="left" w:pos="851"/>
        </w:tabs>
        <w:ind w:left="851" w:hanging="851"/>
        <w:rPr>
          <w:b/>
          <w:sz w:val="24"/>
          <w:szCs w:val="24"/>
          <w:lang w:val="en-GB"/>
        </w:rPr>
      </w:pPr>
      <w:r w:rsidRPr="00A86B5B">
        <w:rPr>
          <w:b/>
          <w:sz w:val="24"/>
          <w:szCs w:val="24"/>
          <w:lang w:val="en-GB"/>
        </w:rPr>
        <w:t>4.7</w:t>
      </w:r>
      <w:r w:rsidRPr="00A86B5B">
        <w:rPr>
          <w:b/>
          <w:sz w:val="24"/>
          <w:szCs w:val="24"/>
          <w:lang w:val="en-GB"/>
        </w:rPr>
        <w:tab/>
        <w:t>Effects on ability to drive and use machines</w:t>
      </w:r>
    </w:p>
    <w:p w14:paraId="0B124197" w14:textId="77777777" w:rsidR="00A86B5B" w:rsidRDefault="00A86B5B" w:rsidP="00591653">
      <w:pPr>
        <w:ind w:left="851"/>
        <w:rPr>
          <w:sz w:val="24"/>
          <w:szCs w:val="24"/>
          <w:lang w:val="en-GB"/>
        </w:rPr>
      </w:pPr>
      <w:r>
        <w:rPr>
          <w:sz w:val="24"/>
          <w:szCs w:val="24"/>
          <w:lang w:val="en-GB"/>
        </w:rPr>
        <w:t>No traffic warning.</w:t>
      </w:r>
    </w:p>
    <w:p w14:paraId="4BE762FA" w14:textId="60AA9490" w:rsidR="007606FB" w:rsidRPr="00A86B5B" w:rsidRDefault="00A86B5B" w:rsidP="00591653">
      <w:pPr>
        <w:ind w:left="851"/>
        <w:rPr>
          <w:sz w:val="24"/>
          <w:szCs w:val="24"/>
          <w:lang w:val="en-US"/>
        </w:rPr>
      </w:pPr>
      <w:r>
        <w:rPr>
          <w:sz w:val="24"/>
          <w:szCs w:val="24"/>
          <w:lang w:val="en-US"/>
        </w:rPr>
        <w:t>Mirabegron "</w:t>
      </w:r>
      <w:proofErr w:type="spellStart"/>
      <w:r>
        <w:rPr>
          <w:sz w:val="24"/>
          <w:szCs w:val="24"/>
          <w:lang w:val="en-US"/>
        </w:rPr>
        <w:t>Zentiva</w:t>
      </w:r>
      <w:proofErr w:type="spellEnd"/>
      <w:r>
        <w:rPr>
          <w:sz w:val="24"/>
          <w:szCs w:val="24"/>
          <w:lang w:val="en-US"/>
        </w:rPr>
        <w:t>"</w:t>
      </w:r>
      <w:r w:rsidR="007606FB" w:rsidRPr="00A86B5B">
        <w:rPr>
          <w:sz w:val="24"/>
          <w:szCs w:val="24"/>
          <w:lang w:val="en-US"/>
        </w:rPr>
        <w:t xml:space="preserve"> has no or negligible influence on the ability to drive and use machines.</w:t>
      </w:r>
    </w:p>
    <w:p w14:paraId="5DB948AE" w14:textId="77777777" w:rsidR="007C5D2A" w:rsidRPr="00A86B5B" w:rsidRDefault="007C5D2A" w:rsidP="003E0341">
      <w:pPr>
        <w:tabs>
          <w:tab w:val="left" w:pos="851"/>
        </w:tabs>
        <w:ind w:left="851"/>
        <w:rPr>
          <w:sz w:val="24"/>
          <w:szCs w:val="24"/>
          <w:lang w:val="en-GB"/>
        </w:rPr>
      </w:pPr>
    </w:p>
    <w:p w14:paraId="282611C1" w14:textId="77777777" w:rsidR="007C5D2A" w:rsidRPr="00A86B5B" w:rsidRDefault="007C5D2A" w:rsidP="007C5D2A">
      <w:pPr>
        <w:tabs>
          <w:tab w:val="left" w:pos="851"/>
        </w:tabs>
        <w:ind w:left="851" w:hanging="851"/>
        <w:rPr>
          <w:b/>
          <w:sz w:val="24"/>
          <w:szCs w:val="24"/>
          <w:lang w:val="en-GB"/>
        </w:rPr>
      </w:pPr>
      <w:r w:rsidRPr="00A86B5B">
        <w:rPr>
          <w:b/>
          <w:sz w:val="24"/>
          <w:szCs w:val="24"/>
          <w:lang w:val="en-GB"/>
        </w:rPr>
        <w:t>4.8</w:t>
      </w:r>
      <w:r w:rsidRPr="00A86B5B">
        <w:rPr>
          <w:b/>
          <w:sz w:val="24"/>
          <w:szCs w:val="24"/>
          <w:lang w:val="en-GB"/>
        </w:rPr>
        <w:tab/>
        <w:t>Undesirable effects</w:t>
      </w:r>
    </w:p>
    <w:p w14:paraId="60E6EDF8" w14:textId="77777777" w:rsidR="00A86B5B" w:rsidRDefault="00A86B5B" w:rsidP="00591653">
      <w:pPr>
        <w:ind w:left="851"/>
        <w:rPr>
          <w:sz w:val="24"/>
          <w:szCs w:val="24"/>
          <w:lang w:val="en-US"/>
        </w:rPr>
      </w:pPr>
    </w:p>
    <w:p w14:paraId="7E4BC5C9" w14:textId="566AF933" w:rsidR="007606FB" w:rsidRPr="00A86B5B" w:rsidRDefault="007606FB" w:rsidP="00591653">
      <w:pPr>
        <w:ind w:left="851"/>
        <w:rPr>
          <w:sz w:val="24"/>
          <w:szCs w:val="24"/>
          <w:u w:val="single"/>
          <w:lang w:val="en-US"/>
        </w:rPr>
      </w:pPr>
      <w:r w:rsidRPr="00A86B5B">
        <w:rPr>
          <w:sz w:val="24"/>
          <w:szCs w:val="24"/>
          <w:u w:val="single"/>
          <w:lang w:val="en-US"/>
        </w:rPr>
        <w:t>Summary of the safety profile</w:t>
      </w:r>
    </w:p>
    <w:p w14:paraId="3BEFB910" w14:textId="77777777" w:rsidR="007606FB" w:rsidRPr="00A86B5B" w:rsidRDefault="007606FB" w:rsidP="00591653">
      <w:pPr>
        <w:ind w:left="851"/>
        <w:rPr>
          <w:sz w:val="24"/>
          <w:szCs w:val="24"/>
          <w:lang w:val="en-US"/>
        </w:rPr>
      </w:pPr>
    </w:p>
    <w:p w14:paraId="769B7D31" w14:textId="77777777" w:rsidR="007606FB" w:rsidRPr="00A86B5B" w:rsidRDefault="007606FB" w:rsidP="00591653">
      <w:pPr>
        <w:ind w:left="851"/>
        <w:rPr>
          <w:sz w:val="24"/>
          <w:szCs w:val="24"/>
          <w:lang w:val="en-US"/>
        </w:rPr>
      </w:pPr>
      <w:r w:rsidRPr="00A86B5B">
        <w:rPr>
          <w:sz w:val="24"/>
          <w:szCs w:val="24"/>
          <w:lang w:val="en-US"/>
        </w:rPr>
        <w:t>The safety of mirabegron was evaluated in 8 433 patients with OAB, of which 5 648 received at least one dose of mirabegron in the phase 2/3 clinical program, and 622 patients received mirabegron for at least 1 year (365 days). In the three 12</w:t>
      </w:r>
      <w:r w:rsidRPr="00A86B5B">
        <w:rPr>
          <w:sz w:val="24"/>
          <w:szCs w:val="24"/>
          <w:lang w:val="en-US"/>
        </w:rPr>
        <w:noBreakHyphen/>
        <w:t xml:space="preserve">week phase 3 double blind, </w:t>
      </w:r>
      <w:proofErr w:type="gramStart"/>
      <w:r w:rsidRPr="00A86B5B">
        <w:rPr>
          <w:sz w:val="24"/>
          <w:szCs w:val="24"/>
          <w:lang w:val="en-US"/>
        </w:rPr>
        <w:t>placebo controlled</w:t>
      </w:r>
      <w:proofErr w:type="gramEnd"/>
      <w:r w:rsidRPr="00A86B5B">
        <w:rPr>
          <w:sz w:val="24"/>
          <w:szCs w:val="24"/>
          <w:lang w:val="en-US"/>
        </w:rPr>
        <w:t xml:space="preserve"> studies, 88% of the patients completed treatment with this medicinal product, and 4% of the patients discontinued due to adverse events. Most adverse reactions were mild to moderate in severity.</w:t>
      </w:r>
    </w:p>
    <w:p w14:paraId="461EAD99" w14:textId="77777777" w:rsidR="007606FB" w:rsidRPr="00A86B5B" w:rsidRDefault="007606FB" w:rsidP="00591653">
      <w:pPr>
        <w:ind w:left="851"/>
        <w:rPr>
          <w:sz w:val="24"/>
          <w:szCs w:val="24"/>
          <w:lang w:val="en-US"/>
        </w:rPr>
      </w:pPr>
    </w:p>
    <w:p w14:paraId="21F69688" w14:textId="77777777" w:rsidR="007606FB" w:rsidRPr="00A86B5B" w:rsidRDefault="007606FB" w:rsidP="00591653">
      <w:pPr>
        <w:ind w:left="851"/>
        <w:rPr>
          <w:sz w:val="24"/>
          <w:szCs w:val="24"/>
          <w:lang w:val="en-US"/>
        </w:rPr>
      </w:pPr>
      <w:r w:rsidRPr="00A86B5B">
        <w:rPr>
          <w:sz w:val="24"/>
          <w:szCs w:val="24"/>
          <w:lang w:val="en-US"/>
        </w:rPr>
        <w:t>The most common adverse reactions reported for patients treated with mirabegron 50 mg during the three 12</w:t>
      </w:r>
      <w:r w:rsidRPr="00A86B5B">
        <w:rPr>
          <w:sz w:val="24"/>
          <w:szCs w:val="24"/>
          <w:lang w:val="en-US"/>
        </w:rPr>
        <w:noBreakHyphen/>
        <w:t xml:space="preserve">week phase 3 double blind, </w:t>
      </w:r>
      <w:proofErr w:type="gramStart"/>
      <w:r w:rsidRPr="00A86B5B">
        <w:rPr>
          <w:sz w:val="24"/>
          <w:szCs w:val="24"/>
          <w:lang w:val="en-US"/>
        </w:rPr>
        <w:t>placebo controlled</w:t>
      </w:r>
      <w:proofErr w:type="gramEnd"/>
      <w:r w:rsidRPr="00A86B5B">
        <w:rPr>
          <w:sz w:val="24"/>
          <w:szCs w:val="24"/>
          <w:lang w:val="en-US"/>
        </w:rPr>
        <w:t xml:space="preserve"> studies are tachycardia and urinary tract infections. The frequency of tachycardia was 1.2% in patients receiving mirabegron 50 mg. Tachycardia led to discontinuation in 0.1% patients receiving mirabegron 50 mg. The frequency of urinary tract infections was 2.9% in patients receiving mirabegron 50 mg. Urinary tract infections led to discontinuation in none of the patients receiving mirabegron 50 mg. Serious adverse reactions included atrial fibrillation (0.2%).</w:t>
      </w:r>
    </w:p>
    <w:p w14:paraId="0BF9B1FB" w14:textId="77777777" w:rsidR="007606FB" w:rsidRPr="00A86B5B" w:rsidRDefault="007606FB" w:rsidP="00591653">
      <w:pPr>
        <w:ind w:left="851"/>
        <w:rPr>
          <w:sz w:val="24"/>
          <w:szCs w:val="24"/>
          <w:lang w:val="en-US"/>
        </w:rPr>
      </w:pPr>
    </w:p>
    <w:p w14:paraId="052DA41B" w14:textId="77777777" w:rsidR="007606FB" w:rsidRPr="00A86B5B" w:rsidRDefault="007606FB" w:rsidP="00591653">
      <w:pPr>
        <w:ind w:left="851"/>
        <w:rPr>
          <w:sz w:val="24"/>
          <w:szCs w:val="24"/>
          <w:lang w:val="en-US"/>
        </w:rPr>
      </w:pPr>
      <w:r w:rsidRPr="00A86B5B">
        <w:rPr>
          <w:sz w:val="24"/>
          <w:szCs w:val="24"/>
          <w:lang w:val="en-US"/>
        </w:rPr>
        <w:t>Adverse reactions observed during the 1</w:t>
      </w:r>
      <w:r w:rsidRPr="00A86B5B">
        <w:rPr>
          <w:sz w:val="24"/>
          <w:szCs w:val="24"/>
          <w:lang w:val="en-US"/>
        </w:rPr>
        <w:noBreakHyphen/>
        <w:t>year (long term) active controlled (muscarinic antagonist) study were similar in type and severity to those observed in the three 12</w:t>
      </w:r>
      <w:r w:rsidRPr="00A86B5B">
        <w:rPr>
          <w:sz w:val="24"/>
          <w:szCs w:val="24"/>
          <w:lang w:val="en-US"/>
        </w:rPr>
        <w:noBreakHyphen/>
        <w:t xml:space="preserve">week phase 3 double blind, </w:t>
      </w:r>
      <w:proofErr w:type="gramStart"/>
      <w:r w:rsidRPr="00A86B5B">
        <w:rPr>
          <w:sz w:val="24"/>
          <w:szCs w:val="24"/>
          <w:lang w:val="en-US"/>
        </w:rPr>
        <w:t>placebo controlled</w:t>
      </w:r>
      <w:proofErr w:type="gramEnd"/>
      <w:r w:rsidRPr="00A86B5B">
        <w:rPr>
          <w:sz w:val="24"/>
          <w:szCs w:val="24"/>
          <w:lang w:val="en-US"/>
        </w:rPr>
        <w:t xml:space="preserve"> studies.</w:t>
      </w:r>
    </w:p>
    <w:p w14:paraId="42FD62F2" w14:textId="77777777" w:rsidR="007606FB" w:rsidRPr="00A86B5B" w:rsidRDefault="007606FB" w:rsidP="00591653">
      <w:pPr>
        <w:ind w:left="851"/>
        <w:rPr>
          <w:sz w:val="24"/>
          <w:szCs w:val="24"/>
          <w:lang w:val="en-US"/>
        </w:rPr>
      </w:pPr>
    </w:p>
    <w:p w14:paraId="0DC9AE2A" w14:textId="77777777" w:rsidR="007606FB" w:rsidRPr="00A86B5B" w:rsidRDefault="007606FB" w:rsidP="00591653">
      <w:pPr>
        <w:ind w:left="851"/>
        <w:rPr>
          <w:sz w:val="24"/>
          <w:szCs w:val="24"/>
          <w:u w:val="single"/>
          <w:lang w:val="en-US"/>
        </w:rPr>
      </w:pPr>
      <w:r w:rsidRPr="00A86B5B">
        <w:rPr>
          <w:sz w:val="24"/>
          <w:szCs w:val="24"/>
          <w:u w:val="single"/>
          <w:lang w:val="en-US"/>
        </w:rPr>
        <w:t>Tabulated list of adverse reactions</w:t>
      </w:r>
    </w:p>
    <w:p w14:paraId="0D2B4958" w14:textId="77777777" w:rsidR="007606FB" w:rsidRPr="00A86B5B" w:rsidRDefault="007606FB" w:rsidP="00591653">
      <w:pPr>
        <w:ind w:left="851"/>
        <w:rPr>
          <w:sz w:val="24"/>
          <w:szCs w:val="24"/>
          <w:lang w:val="en-US"/>
        </w:rPr>
      </w:pPr>
    </w:p>
    <w:p w14:paraId="50A95E67" w14:textId="77777777" w:rsidR="007606FB" w:rsidRPr="00A86B5B" w:rsidRDefault="007606FB" w:rsidP="00591653">
      <w:pPr>
        <w:ind w:left="851"/>
        <w:rPr>
          <w:sz w:val="24"/>
          <w:szCs w:val="24"/>
          <w:lang w:val="en-US"/>
        </w:rPr>
      </w:pPr>
      <w:r w:rsidRPr="00A86B5B">
        <w:rPr>
          <w:sz w:val="24"/>
          <w:szCs w:val="24"/>
          <w:lang w:val="en-US"/>
        </w:rPr>
        <w:t>The table below reflects the adverse reactions observed with mirabegron in the three 12</w:t>
      </w:r>
      <w:r w:rsidRPr="00A86B5B">
        <w:rPr>
          <w:sz w:val="24"/>
          <w:szCs w:val="24"/>
          <w:lang w:val="en-US"/>
        </w:rPr>
        <w:noBreakHyphen/>
        <w:t xml:space="preserve">week phase 3 double blind, </w:t>
      </w:r>
      <w:proofErr w:type="gramStart"/>
      <w:r w:rsidRPr="00A86B5B">
        <w:rPr>
          <w:sz w:val="24"/>
          <w:szCs w:val="24"/>
          <w:lang w:val="en-US"/>
        </w:rPr>
        <w:t>placebo controlled</w:t>
      </w:r>
      <w:proofErr w:type="gramEnd"/>
      <w:r w:rsidRPr="00A86B5B">
        <w:rPr>
          <w:sz w:val="24"/>
          <w:szCs w:val="24"/>
          <w:lang w:val="en-US"/>
        </w:rPr>
        <w:t xml:space="preserve"> studies.</w:t>
      </w:r>
    </w:p>
    <w:p w14:paraId="0C97806B" w14:textId="77777777" w:rsidR="007606FB" w:rsidRPr="00A86B5B" w:rsidRDefault="007606FB" w:rsidP="00591653">
      <w:pPr>
        <w:ind w:left="851"/>
        <w:rPr>
          <w:sz w:val="24"/>
          <w:szCs w:val="24"/>
          <w:lang w:val="en-US"/>
        </w:rPr>
      </w:pPr>
    </w:p>
    <w:p w14:paraId="2B264B09" w14:textId="77777777" w:rsidR="007606FB" w:rsidRPr="00A86B5B" w:rsidRDefault="007606FB" w:rsidP="00591653">
      <w:pPr>
        <w:ind w:left="851"/>
        <w:rPr>
          <w:sz w:val="24"/>
          <w:szCs w:val="24"/>
          <w:lang w:val="en-US"/>
        </w:rPr>
      </w:pPr>
      <w:r w:rsidRPr="00A86B5B">
        <w:rPr>
          <w:sz w:val="24"/>
          <w:szCs w:val="24"/>
          <w:lang w:val="en-US"/>
        </w:rPr>
        <w:t>The frequency of adverse reactions is defined as follows: very common (≥ 1/10); common (≥ 1/100 to &lt;1/10); uncommon (≥ 1/1 000 to &lt;1/100); rare (≥ 1/10 000 to &lt;1/1 000); very rare (&lt; 1/10 000) and not known (cannot be established from the available data). Within each frequency grouping, adverse reactions are presented in order of decreasing seriousness.</w:t>
      </w:r>
    </w:p>
    <w:p w14:paraId="77195AA7" w14:textId="77777777" w:rsidR="007606FB" w:rsidRPr="00A86B5B" w:rsidRDefault="007606FB" w:rsidP="007606FB">
      <w:pPr>
        <w:rPr>
          <w:sz w:val="24"/>
          <w:szCs w:val="24"/>
          <w:lang w:val="en-US"/>
        </w:rPr>
      </w:pPr>
    </w:p>
    <w:tbl>
      <w:tblPr>
        <w:tblStyle w:val="Tabel-Gitter"/>
        <w:tblW w:w="5000" w:type="pct"/>
        <w:tblInd w:w="0" w:type="dxa"/>
        <w:tblLook w:val="04A0" w:firstRow="1" w:lastRow="0" w:firstColumn="1" w:lastColumn="0" w:noHBand="0" w:noVBand="1"/>
      </w:tblPr>
      <w:tblGrid>
        <w:gridCol w:w="1792"/>
        <w:gridCol w:w="1523"/>
        <w:gridCol w:w="1573"/>
        <w:gridCol w:w="1856"/>
        <w:gridCol w:w="1496"/>
        <w:gridCol w:w="1388"/>
      </w:tblGrid>
      <w:tr w:rsidR="007606FB" w:rsidRPr="00531029" w14:paraId="057903C2" w14:textId="77777777" w:rsidTr="00A86B5B">
        <w:trPr>
          <w:trHeight w:val="1330"/>
          <w:tblHeader/>
        </w:trPr>
        <w:tc>
          <w:tcPr>
            <w:tcW w:w="930" w:type="pct"/>
            <w:tcBorders>
              <w:top w:val="single" w:sz="4" w:space="0" w:color="auto"/>
              <w:left w:val="single" w:sz="4" w:space="0" w:color="auto"/>
              <w:bottom w:val="single" w:sz="4" w:space="0" w:color="auto"/>
              <w:right w:val="single" w:sz="4" w:space="0" w:color="auto"/>
            </w:tcBorders>
            <w:vAlign w:val="center"/>
            <w:hideMark/>
          </w:tcPr>
          <w:p w14:paraId="22B7B653" w14:textId="77777777" w:rsidR="007606FB" w:rsidRPr="00A86B5B" w:rsidRDefault="007606FB" w:rsidP="00591653">
            <w:pPr>
              <w:rPr>
                <w:rFonts w:cs="Times New Roman"/>
                <w:b/>
                <w:sz w:val="22"/>
              </w:rPr>
            </w:pPr>
            <w:r w:rsidRPr="00A86B5B">
              <w:rPr>
                <w:rFonts w:cs="Times New Roman"/>
                <w:b/>
                <w:sz w:val="22"/>
              </w:rPr>
              <w:lastRenderedPageBreak/>
              <w:t>MedDRA System organ class</w:t>
            </w:r>
          </w:p>
        </w:tc>
        <w:tc>
          <w:tcPr>
            <w:tcW w:w="791" w:type="pct"/>
            <w:tcBorders>
              <w:top w:val="single" w:sz="4" w:space="0" w:color="auto"/>
              <w:left w:val="single" w:sz="4" w:space="0" w:color="auto"/>
              <w:bottom w:val="single" w:sz="4" w:space="0" w:color="auto"/>
              <w:right w:val="single" w:sz="4" w:space="0" w:color="auto"/>
            </w:tcBorders>
            <w:vAlign w:val="center"/>
            <w:hideMark/>
          </w:tcPr>
          <w:p w14:paraId="7CDA5927" w14:textId="77777777" w:rsidR="007606FB" w:rsidRPr="00A86B5B" w:rsidRDefault="007606FB" w:rsidP="00591653">
            <w:pPr>
              <w:rPr>
                <w:rFonts w:cs="Times New Roman"/>
                <w:b/>
                <w:sz w:val="22"/>
              </w:rPr>
            </w:pPr>
            <w:r w:rsidRPr="00A86B5B">
              <w:rPr>
                <w:rFonts w:cs="Times New Roman"/>
                <w:b/>
                <w:sz w:val="22"/>
              </w:rPr>
              <w:t>Common</w:t>
            </w:r>
          </w:p>
        </w:tc>
        <w:tc>
          <w:tcPr>
            <w:tcW w:w="817" w:type="pct"/>
            <w:tcBorders>
              <w:top w:val="single" w:sz="4" w:space="0" w:color="auto"/>
              <w:left w:val="single" w:sz="4" w:space="0" w:color="auto"/>
              <w:bottom w:val="single" w:sz="4" w:space="0" w:color="auto"/>
              <w:right w:val="single" w:sz="4" w:space="0" w:color="auto"/>
            </w:tcBorders>
            <w:vAlign w:val="center"/>
            <w:hideMark/>
          </w:tcPr>
          <w:p w14:paraId="5F9B268D" w14:textId="77777777" w:rsidR="007606FB" w:rsidRPr="00A86B5B" w:rsidRDefault="007606FB" w:rsidP="00591653">
            <w:pPr>
              <w:rPr>
                <w:rFonts w:cs="Times New Roman"/>
                <w:b/>
                <w:sz w:val="22"/>
              </w:rPr>
            </w:pPr>
            <w:r w:rsidRPr="00A86B5B">
              <w:rPr>
                <w:rFonts w:cs="Times New Roman"/>
                <w:b/>
                <w:sz w:val="22"/>
              </w:rPr>
              <w:t>Uncommon</w:t>
            </w:r>
          </w:p>
        </w:tc>
        <w:tc>
          <w:tcPr>
            <w:tcW w:w="964" w:type="pct"/>
            <w:tcBorders>
              <w:top w:val="single" w:sz="4" w:space="0" w:color="auto"/>
              <w:left w:val="single" w:sz="4" w:space="0" w:color="auto"/>
              <w:bottom w:val="single" w:sz="4" w:space="0" w:color="auto"/>
              <w:right w:val="single" w:sz="4" w:space="0" w:color="auto"/>
            </w:tcBorders>
            <w:vAlign w:val="center"/>
            <w:hideMark/>
          </w:tcPr>
          <w:p w14:paraId="5E22D2F3" w14:textId="77777777" w:rsidR="007606FB" w:rsidRPr="00A86B5B" w:rsidRDefault="007606FB" w:rsidP="00591653">
            <w:pPr>
              <w:rPr>
                <w:rFonts w:cs="Times New Roman"/>
                <w:b/>
                <w:sz w:val="22"/>
              </w:rPr>
            </w:pPr>
            <w:r w:rsidRPr="00A86B5B">
              <w:rPr>
                <w:rFonts w:cs="Times New Roman"/>
                <w:b/>
                <w:sz w:val="22"/>
              </w:rPr>
              <w:t>Rare</w:t>
            </w:r>
          </w:p>
        </w:tc>
        <w:tc>
          <w:tcPr>
            <w:tcW w:w="777" w:type="pct"/>
            <w:tcBorders>
              <w:top w:val="single" w:sz="4" w:space="0" w:color="auto"/>
              <w:left w:val="single" w:sz="4" w:space="0" w:color="auto"/>
              <w:bottom w:val="single" w:sz="4" w:space="0" w:color="auto"/>
              <w:right w:val="single" w:sz="4" w:space="0" w:color="auto"/>
            </w:tcBorders>
            <w:vAlign w:val="center"/>
            <w:hideMark/>
          </w:tcPr>
          <w:p w14:paraId="7903AB69" w14:textId="77777777" w:rsidR="007606FB" w:rsidRPr="00A86B5B" w:rsidRDefault="007606FB" w:rsidP="00591653">
            <w:pPr>
              <w:rPr>
                <w:rFonts w:cs="Times New Roman"/>
                <w:b/>
                <w:sz w:val="22"/>
              </w:rPr>
            </w:pPr>
            <w:r w:rsidRPr="00A86B5B">
              <w:rPr>
                <w:rFonts w:cs="Times New Roman"/>
                <w:b/>
                <w:sz w:val="22"/>
              </w:rPr>
              <w:t>Very rare</w:t>
            </w:r>
          </w:p>
        </w:tc>
        <w:tc>
          <w:tcPr>
            <w:tcW w:w="722" w:type="pct"/>
            <w:tcBorders>
              <w:top w:val="single" w:sz="4" w:space="0" w:color="auto"/>
              <w:left w:val="single" w:sz="4" w:space="0" w:color="auto"/>
              <w:bottom w:val="single" w:sz="4" w:space="0" w:color="auto"/>
              <w:right w:val="single" w:sz="4" w:space="0" w:color="auto"/>
            </w:tcBorders>
            <w:vAlign w:val="center"/>
            <w:hideMark/>
          </w:tcPr>
          <w:p w14:paraId="1CD3D402" w14:textId="77777777" w:rsidR="007606FB" w:rsidRPr="00A86B5B" w:rsidRDefault="007606FB" w:rsidP="00591653">
            <w:pPr>
              <w:rPr>
                <w:rFonts w:cs="Times New Roman"/>
                <w:b/>
                <w:sz w:val="22"/>
              </w:rPr>
            </w:pPr>
            <w:r w:rsidRPr="00A86B5B">
              <w:rPr>
                <w:rFonts w:cs="Times New Roman"/>
                <w:b/>
                <w:sz w:val="22"/>
              </w:rPr>
              <w:t>Not known (cannot be estimated from the available data)</w:t>
            </w:r>
          </w:p>
        </w:tc>
      </w:tr>
      <w:tr w:rsidR="007606FB" w:rsidRPr="00A86B5B" w14:paraId="2A98E658" w14:textId="77777777" w:rsidTr="00A86B5B">
        <w:tc>
          <w:tcPr>
            <w:tcW w:w="930" w:type="pct"/>
            <w:tcBorders>
              <w:top w:val="single" w:sz="4" w:space="0" w:color="auto"/>
              <w:left w:val="single" w:sz="4" w:space="0" w:color="auto"/>
              <w:bottom w:val="single" w:sz="4" w:space="0" w:color="auto"/>
              <w:right w:val="single" w:sz="4" w:space="0" w:color="auto"/>
            </w:tcBorders>
            <w:hideMark/>
          </w:tcPr>
          <w:p w14:paraId="0E91D157" w14:textId="77777777" w:rsidR="007606FB" w:rsidRPr="00A86B5B" w:rsidRDefault="007606FB" w:rsidP="00591653">
            <w:pPr>
              <w:rPr>
                <w:rFonts w:cs="Times New Roman"/>
                <w:sz w:val="22"/>
              </w:rPr>
            </w:pPr>
            <w:r w:rsidRPr="00A86B5B">
              <w:rPr>
                <w:rFonts w:cs="Times New Roman"/>
                <w:sz w:val="22"/>
              </w:rPr>
              <w:t>Infections and infestations</w:t>
            </w:r>
          </w:p>
        </w:tc>
        <w:tc>
          <w:tcPr>
            <w:tcW w:w="791" w:type="pct"/>
            <w:tcBorders>
              <w:top w:val="single" w:sz="4" w:space="0" w:color="auto"/>
              <w:left w:val="single" w:sz="4" w:space="0" w:color="auto"/>
              <w:bottom w:val="single" w:sz="4" w:space="0" w:color="auto"/>
              <w:right w:val="single" w:sz="4" w:space="0" w:color="auto"/>
            </w:tcBorders>
            <w:hideMark/>
          </w:tcPr>
          <w:p w14:paraId="0B18C25D" w14:textId="77777777" w:rsidR="007606FB" w:rsidRPr="00A86B5B" w:rsidRDefault="007606FB" w:rsidP="00591653">
            <w:pPr>
              <w:rPr>
                <w:rFonts w:cs="Times New Roman"/>
                <w:sz w:val="22"/>
              </w:rPr>
            </w:pPr>
            <w:r w:rsidRPr="00A86B5B">
              <w:rPr>
                <w:rFonts w:cs="Times New Roman"/>
                <w:sz w:val="22"/>
              </w:rPr>
              <w:t>Urinary tract infection</w:t>
            </w:r>
          </w:p>
        </w:tc>
        <w:tc>
          <w:tcPr>
            <w:tcW w:w="817" w:type="pct"/>
            <w:tcBorders>
              <w:top w:val="single" w:sz="4" w:space="0" w:color="auto"/>
              <w:left w:val="single" w:sz="4" w:space="0" w:color="auto"/>
              <w:bottom w:val="single" w:sz="4" w:space="0" w:color="auto"/>
              <w:right w:val="single" w:sz="4" w:space="0" w:color="auto"/>
            </w:tcBorders>
            <w:hideMark/>
          </w:tcPr>
          <w:p w14:paraId="4FE50F66" w14:textId="77777777" w:rsidR="007606FB" w:rsidRPr="00A86B5B" w:rsidRDefault="007606FB" w:rsidP="00591653">
            <w:pPr>
              <w:rPr>
                <w:rFonts w:cs="Times New Roman"/>
                <w:sz w:val="22"/>
              </w:rPr>
            </w:pPr>
            <w:r w:rsidRPr="00A86B5B">
              <w:rPr>
                <w:rFonts w:cs="Times New Roman"/>
                <w:sz w:val="22"/>
              </w:rPr>
              <w:t>Vaginal infection</w:t>
            </w:r>
          </w:p>
          <w:p w14:paraId="218C9CF0" w14:textId="77777777" w:rsidR="007606FB" w:rsidRPr="00A86B5B" w:rsidRDefault="007606FB" w:rsidP="00591653">
            <w:pPr>
              <w:rPr>
                <w:rFonts w:cs="Times New Roman"/>
                <w:sz w:val="22"/>
              </w:rPr>
            </w:pPr>
            <w:r w:rsidRPr="00A86B5B">
              <w:rPr>
                <w:rFonts w:cs="Times New Roman"/>
                <w:sz w:val="22"/>
              </w:rPr>
              <w:t>Cystitis</w:t>
            </w:r>
          </w:p>
        </w:tc>
        <w:tc>
          <w:tcPr>
            <w:tcW w:w="964" w:type="pct"/>
            <w:tcBorders>
              <w:top w:val="single" w:sz="4" w:space="0" w:color="auto"/>
              <w:left w:val="single" w:sz="4" w:space="0" w:color="auto"/>
              <w:bottom w:val="single" w:sz="4" w:space="0" w:color="auto"/>
              <w:right w:val="single" w:sz="4" w:space="0" w:color="auto"/>
            </w:tcBorders>
          </w:tcPr>
          <w:p w14:paraId="2A6D77B5" w14:textId="77777777" w:rsidR="007606FB" w:rsidRPr="00A86B5B" w:rsidRDefault="007606FB" w:rsidP="00591653">
            <w:pPr>
              <w:rPr>
                <w:rFonts w:cs="Times New Roman"/>
                <w:sz w:val="22"/>
              </w:rPr>
            </w:pPr>
          </w:p>
        </w:tc>
        <w:tc>
          <w:tcPr>
            <w:tcW w:w="777" w:type="pct"/>
            <w:tcBorders>
              <w:top w:val="single" w:sz="4" w:space="0" w:color="auto"/>
              <w:left w:val="single" w:sz="4" w:space="0" w:color="auto"/>
              <w:bottom w:val="single" w:sz="4" w:space="0" w:color="auto"/>
              <w:right w:val="single" w:sz="4" w:space="0" w:color="auto"/>
            </w:tcBorders>
          </w:tcPr>
          <w:p w14:paraId="44963066" w14:textId="77777777" w:rsidR="007606FB" w:rsidRPr="00A86B5B" w:rsidRDefault="007606FB" w:rsidP="00591653">
            <w:pPr>
              <w:rPr>
                <w:rFonts w:cs="Times New Roman"/>
                <w:sz w:val="22"/>
              </w:rPr>
            </w:pPr>
          </w:p>
        </w:tc>
        <w:tc>
          <w:tcPr>
            <w:tcW w:w="722" w:type="pct"/>
            <w:tcBorders>
              <w:top w:val="single" w:sz="4" w:space="0" w:color="auto"/>
              <w:left w:val="single" w:sz="4" w:space="0" w:color="auto"/>
              <w:bottom w:val="single" w:sz="4" w:space="0" w:color="auto"/>
              <w:right w:val="single" w:sz="4" w:space="0" w:color="auto"/>
            </w:tcBorders>
          </w:tcPr>
          <w:p w14:paraId="50CB8422" w14:textId="77777777" w:rsidR="007606FB" w:rsidRPr="00A86B5B" w:rsidRDefault="007606FB" w:rsidP="00591653">
            <w:pPr>
              <w:rPr>
                <w:rFonts w:cs="Times New Roman"/>
                <w:sz w:val="22"/>
              </w:rPr>
            </w:pPr>
          </w:p>
        </w:tc>
      </w:tr>
      <w:tr w:rsidR="007606FB" w:rsidRPr="00A86B5B" w14:paraId="612FACD6" w14:textId="77777777" w:rsidTr="00A86B5B">
        <w:tc>
          <w:tcPr>
            <w:tcW w:w="930" w:type="pct"/>
            <w:tcBorders>
              <w:top w:val="single" w:sz="4" w:space="0" w:color="auto"/>
              <w:left w:val="single" w:sz="4" w:space="0" w:color="auto"/>
              <w:bottom w:val="single" w:sz="4" w:space="0" w:color="auto"/>
              <w:right w:val="single" w:sz="4" w:space="0" w:color="auto"/>
            </w:tcBorders>
            <w:hideMark/>
          </w:tcPr>
          <w:p w14:paraId="46C97737" w14:textId="77777777" w:rsidR="007606FB" w:rsidRPr="00A86B5B" w:rsidRDefault="007606FB" w:rsidP="00591653">
            <w:pPr>
              <w:rPr>
                <w:rFonts w:cs="Times New Roman"/>
                <w:sz w:val="22"/>
              </w:rPr>
            </w:pPr>
            <w:r w:rsidRPr="00A86B5B">
              <w:rPr>
                <w:rFonts w:cs="Times New Roman"/>
                <w:sz w:val="22"/>
              </w:rPr>
              <w:t>Psychiatric disorders</w:t>
            </w:r>
          </w:p>
        </w:tc>
        <w:tc>
          <w:tcPr>
            <w:tcW w:w="791" w:type="pct"/>
            <w:tcBorders>
              <w:top w:val="single" w:sz="4" w:space="0" w:color="auto"/>
              <w:left w:val="single" w:sz="4" w:space="0" w:color="auto"/>
              <w:bottom w:val="single" w:sz="4" w:space="0" w:color="auto"/>
              <w:right w:val="single" w:sz="4" w:space="0" w:color="auto"/>
            </w:tcBorders>
          </w:tcPr>
          <w:p w14:paraId="39EF4A21" w14:textId="77777777" w:rsidR="007606FB" w:rsidRPr="00A86B5B" w:rsidRDefault="007606FB" w:rsidP="00591653">
            <w:pPr>
              <w:rPr>
                <w:rFonts w:cs="Times New Roman"/>
                <w:sz w:val="22"/>
              </w:rPr>
            </w:pPr>
          </w:p>
        </w:tc>
        <w:tc>
          <w:tcPr>
            <w:tcW w:w="817" w:type="pct"/>
            <w:tcBorders>
              <w:top w:val="single" w:sz="4" w:space="0" w:color="auto"/>
              <w:left w:val="single" w:sz="4" w:space="0" w:color="auto"/>
              <w:bottom w:val="single" w:sz="4" w:space="0" w:color="auto"/>
              <w:right w:val="single" w:sz="4" w:space="0" w:color="auto"/>
            </w:tcBorders>
          </w:tcPr>
          <w:p w14:paraId="2BFBA2F7" w14:textId="77777777" w:rsidR="007606FB" w:rsidRPr="00A86B5B" w:rsidRDefault="007606FB" w:rsidP="00591653">
            <w:pPr>
              <w:rPr>
                <w:rFonts w:cs="Times New Roman"/>
                <w:sz w:val="22"/>
              </w:rPr>
            </w:pPr>
          </w:p>
        </w:tc>
        <w:tc>
          <w:tcPr>
            <w:tcW w:w="964" w:type="pct"/>
            <w:tcBorders>
              <w:top w:val="single" w:sz="4" w:space="0" w:color="auto"/>
              <w:left w:val="single" w:sz="4" w:space="0" w:color="auto"/>
              <w:bottom w:val="single" w:sz="4" w:space="0" w:color="auto"/>
              <w:right w:val="single" w:sz="4" w:space="0" w:color="auto"/>
            </w:tcBorders>
          </w:tcPr>
          <w:p w14:paraId="6FA7A270" w14:textId="77777777" w:rsidR="007606FB" w:rsidRPr="00A86B5B" w:rsidRDefault="007606FB" w:rsidP="00591653">
            <w:pPr>
              <w:rPr>
                <w:rFonts w:cs="Times New Roman"/>
                <w:sz w:val="22"/>
              </w:rPr>
            </w:pPr>
          </w:p>
        </w:tc>
        <w:tc>
          <w:tcPr>
            <w:tcW w:w="777" w:type="pct"/>
            <w:tcBorders>
              <w:top w:val="single" w:sz="4" w:space="0" w:color="auto"/>
              <w:left w:val="single" w:sz="4" w:space="0" w:color="auto"/>
              <w:bottom w:val="single" w:sz="4" w:space="0" w:color="auto"/>
              <w:right w:val="single" w:sz="4" w:space="0" w:color="auto"/>
            </w:tcBorders>
          </w:tcPr>
          <w:p w14:paraId="0D0F922F" w14:textId="77777777" w:rsidR="007606FB" w:rsidRPr="00A86B5B" w:rsidRDefault="007606FB" w:rsidP="00591653">
            <w:pPr>
              <w:rPr>
                <w:rFonts w:cs="Times New Roman"/>
                <w:sz w:val="22"/>
              </w:rPr>
            </w:pPr>
          </w:p>
        </w:tc>
        <w:tc>
          <w:tcPr>
            <w:tcW w:w="722" w:type="pct"/>
            <w:tcBorders>
              <w:top w:val="single" w:sz="4" w:space="0" w:color="auto"/>
              <w:left w:val="single" w:sz="4" w:space="0" w:color="auto"/>
              <w:bottom w:val="single" w:sz="4" w:space="0" w:color="auto"/>
              <w:right w:val="single" w:sz="4" w:space="0" w:color="auto"/>
            </w:tcBorders>
            <w:hideMark/>
          </w:tcPr>
          <w:p w14:paraId="2967D357" w14:textId="77777777" w:rsidR="007606FB" w:rsidRPr="00A86B5B" w:rsidRDefault="007606FB" w:rsidP="00591653">
            <w:pPr>
              <w:rPr>
                <w:rFonts w:cs="Times New Roman"/>
                <w:sz w:val="22"/>
              </w:rPr>
            </w:pPr>
            <w:r w:rsidRPr="00A86B5B">
              <w:rPr>
                <w:rFonts w:cs="Times New Roman"/>
                <w:sz w:val="22"/>
              </w:rPr>
              <w:t>Insomnia</w:t>
            </w:r>
            <w:r w:rsidRPr="00A86B5B">
              <w:rPr>
                <w:rFonts w:cs="Times New Roman"/>
                <w:sz w:val="22"/>
                <w:vertAlign w:val="superscript"/>
              </w:rPr>
              <w:t>*</w:t>
            </w:r>
          </w:p>
          <w:p w14:paraId="0F238846" w14:textId="77777777" w:rsidR="007606FB" w:rsidRPr="00A86B5B" w:rsidRDefault="007606FB" w:rsidP="00591653">
            <w:pPr>
              <w:rPr>
                <w:rFonts w:cs="Times New Roman"/>
                <w:sz w:val="22"/>
              </w:rPr>
            </w:pPr>
            <w:proofErr w:type="spellStart"/>
            <w:r w:rsidRPr="00A86B5B">
              <w:rPr>
                <w:rFonts w:cs="Times New Roman"/>
                <w:sz w:val="22"/>
              </w:rPr>
              <w:t>Confusional</w:t>
            </w:r>
            <w:proofErr w:type="spellEnd"/>
            <w:r w:rsidRPr="00A86B5B">
              <w:rPr>
                <w:rFonts w:cs="Times New Roman"/>
                <w:sz w:val="22"/>
              </w:rPr>
              <w:t xml:space="preserve"> state</w:t>
            </w:r>
            <w:r w:rsidRPr="00A86B5B">
              <w:rPr>
                <w:rFonts w:cs="Times New Roman"/>
                <w:sz w:val="22"/>
                <w:vertAlign w:val="superscript"/>
              </w:rPr>
              <w:t>*</w:t>
            </w:r>
          </w:p>
        </w:tc>
      </w:tr>
      <w:tr w:rsidR="007606FB" w:rsidRPr="00A86B5B" w14:paraId="16338ED5" w14:textId="77777777" w:rsidTr="00A86B5B">
        <w:tc>
          <w:tcPr>
            <w:tcW w:w="930" w:type="pct"/>
            <w:tcBorders>
              <w:top w:val="single" w:sz="4" w:space="0" w:color="auto"/>
              <w:left w:val="single" w:sz="4" w:space="0" w:color="auto"/>
              <w:bottom w:val="single" w:sz="4" w:space="0" w:color="auto"/>
              <w:right w:val="single" w:sz="4" w:space="0" w:color="auto"/>
            </w:tcBorders>
            <w:hideMark/>
          </w:tcPr>
          <w:p w14:paraId="7D066B8D" w14:textId="77777777" w:rsidR="007606FB" w:rsidRPr="00A86B5B" w:rsidRDefault="007606FB" w:rsidP="00591653">
            <w:pPr>
              <w:rPr>
                <w:rFonts w:cs="Times New Roman"/>
                <w:sz w:val="22"/>
              </w:rPr>
            </w:pPr>
            <w:r w:rsidRPr="00A86B5B">
              <w:rPr>
                <w:rFonts w:cs="Times New Roman"/>
                <w:sz w:val="22"/>
              </w:rPr>
              <w:t>Nervous system disorders</w:t>
            </w:r>
          </w:p>
        </w:tc>
        <w:tc>
          <w:tcPr>
            <w:tcW w:w="791" w:type="pct"/>
            <w:tcBorders>
              <w:top w:val="single" w:sz="4" w:space="0" w:color="auto"/>
              <w:left w:val="single" w:sz="4" w:space="0" w:color="auto"/>
              <w:bottom w:val="single" w:sz="4" w:space="0" w:color="auto"/>
              <w:right w:val="single" w:sz="4" w:space="0" w:color="auto"/>
            </w:tcBorders>
            <w:hideMark/>
          </w:tcPr>
          <w:p w14:paraId="7A58E9F1" w14:textId="77777777" w:rsidR="007606FB" w:rsidRPr="00A86B5B" w:rsidRDefault="007606FB" w:rsidP="00591653">
            <w:pPr>
              <w:rPr>
                <w:rFonts w:cs="Times New Roman"/>
                <w:sz w:val="22"/>
              </w:rPr>
            </w:pPr>
            <w:r w:rsidRPr="00A86B5B">
              <w:rPr>
                <w:rFonts w:cs="Times New Roman"/>
                <w:sz w:val="22"/>
              </w:rPr>
              <w:t>Headache</w:t>
            </w:r>
            <w:r w:rsidRPr="00A86B5B">
              <w:rPr>
                <w:rFonts w:cs="Times New Roman"/>
                <w:sz w:val="22"/>
                <w:vertAlign w:val="superscript"/>
              </w:rPr>
              <w:t>*</w:t>
            </w:r>
          </w:p>
          <w:p w14:paraId="4013CE24" w14:textId="77777777" w:rsidR="007606FB" w:rsidRPr="00A86B5B" w:rsidRDefault="007606FB" w:rsidP="00591653">
            <w:pPr>
              <w:rPr>
                <w:rFonts w:cs="Times New Roman"/>
                <w:sz w:val="22"/>
              </w:rPr>
            </w:pPr>
            <w:r w:rsidRPr="00A86B5B">
              <w:rPr>
                <w:rFonts w:cs="Times New Roman"/>
                <w:sz w:val="22"/>
              </w:rPr>
              <w:t>Dizziness</w:t>
            </w:r>
            <w:r w:rsidRPr="00A86B5B">
              <w:rPr>
                <w:rFonts w:cs="Times New Roman"/>
                <w:sz w:val="22"/>
                <w:vertAlign w:val="superscript"/>
              </w:rPr>
              <w:t>*</w:t>
            </w:r>
          </w:p>
        </w:tc>
        <w:tc>
          <w:tcPr>
            <w:tcW w:w="817" w:type="pct"/>
            <w:tcBorders>
              <w:top w:val="single" w:sz="4" w:space="0" w:color="auto"/>
              <w:left w:val="single" w:sz="4" w:space="0" w:color="auto"/>
              <w:bottom w:val="single" w:sz="4" w:space="0" w:color="auto"/>
              <w:right w:val="single" w:sz="4" w:space="0" w:color="auto"/>
            </w:tcBorders>
          </w:tcPr>
          <w:p w14:paraId="52D82434" w14:textId="77777777" w:rsidR="007606FB" w:rsidRPr="00A86B5B" w:rsidRDefault="007606FB" w:rsidP="00591653">
            <w:pPr>
              <w:rPr>
                <w:rFonts w:cs="Times New Roman"/>
                <w:sz w:val="22"/>
              </w:rPr>
            </w:pPr>
          </w:p>
        </w:tc>
        <w:tc>
          <w:tcPr>
            <w:tcW w:w="964" w:type="pct"/>
            <w:tcBorders>
              <w:top w:val="single" w:sz="4" w:space="0" w:color="auto"/>
              <w:left w:val="single" w:sz="4" w:space="0" w:color="auto"/>
              <w:bottom w:val="single" w:sz="4" w:space="0" w:color="auto"/>
              <w:right w:val="single" w:sz="4" w:space="0" w:color="auto"/>
            </w:tcBorders>
          </w:tcPr>
          <w:p w14:paraId="48F1B2A9" w14:textId="77777777" w:rsidR="007606FB" w:rsidRPr="00A86B5B" w:rsidRDefault="007606FB" w:rsidP="00591653">
            <w:pPr>
              <w:rPr>
                <w:rFonts w:cs="Times New Roman"/>
                <w:sz w:val="22"/>
              </w:rPr>
            </w:pPr>
          </w:p>
        </w:tc>
        <w:tc>
          <w:tcPr>
            <w:tcW w:w="777" w:type="pct"/>
            <w:tcBorders>
              <w:top w:val="single" w:sz="4" w:space="0" w:color="auto"/>
              <w:left w:val="single" w:sz="4" w:space="0" w:color="auto"/>
              <w:bottom w:val="single" w:sz="4" w:space="0" w:color="auto"/>
              <w:right w:val="single" w:sz="4" w:space="0" w:color="auto"/>
            </w:tcBorders>
          </w:tcPr>
          <w:p w14:paraId="7B5FDA14" w14:textId="77777777" w:rsidR="007606FB" w:rsidRPr="00A86B5B" w:rsidRDefault="007606FB" w:rsidP="00591653">
            <w:pPr>
              <w:rPr>
                <w:rFonts w:cs="Times New Roman"/>
                <w:sz w:val="22"/>
              </w:rPr>
            </w:pPr>
          </w:p>
        </w:tc>
        <w:tc>
          <w:tcPr>
            <w:tcW w:w="722" w:type="pct"/>
            <w:tcBorders>
              <w:top w:val="single" w:sz="4" w:space="0" w:color="auto"/>
              <w:left w:val="single" w:sz="4" w:space="0" w:color="auto"/>
              <w:bottom w:val="single" w:sz="4" w:space="0" w:color="auto"/>
              <w:right w:val="single" w:sz="4" w:space="0" w:color="auto"/>
            </w:tcBorders>
          </w:tcPr>
          <w:p w14:paraId="273E258E" w14:textId="77777777" w:rsidR="007606FB" w:rsidRPr="00A86B5B" w:rsidRDefault="007606FB" w:rsidP="00591653">
            <w:pPr>
              <w:rPr>
                <w:rFonts w:cs="Times New Roman"/>
                <w:sz w:val="22"/>
              </w:rPr>
            </w:pPr>
          </w:p>
        </w:tc>
      </w:tr>
      <w:tr w:rsidR="007606FB" w:rsidRPr="00A86B5B" w14:paraId="2EF026C8" w14:textId="77777777" w:rsidTr="00A86B5B">
        <w:tc>
          <w:tcPr>
            <w:tcW w:w="930" w:type="pct"/>
            <w:tcBorders>
              <w:top w:val="single" w:sz="4" w:space="0" w:color="auto"/>
              <w:left w:val="single" w:sz="4" w:space="0" w:color="auto"/>
              <w:bottom w:val="single" w:sz="4" w:space="0" w:color="auto"/>
              <w:right w:val="single" w:sz="4" w:space="0" w:color="auto"/>
            </w:tcBorders>
            <w:hideMark/>
          </w:tcPr>
          <w:p w14:paraId="52FB377A" w14:textId="77777777" w:rsidR="007606FB" w:rsidRPr="00A86B5B" w:rsidRDefault="007606FB" w:rsidP="00591653">
            <w:pPr>
              <w:rPr>
                <w:rFonts w:cs="Times New Roman"/>
                <w:sz w:val="22"/>
              </w:rPr>
            </w:pPr>
            <w:r w:rsidRPr="00A86B5B">
              <w:rPr>
                <w:rFonts w:cs="Times New Roman"/>
                <w:sz w:val="22"/>
              </w:rPr>
              <w:t>Eye disorders</w:t>
            </w:r>
          </w:p>
        </w:tc>
        <w:tc>
          <w:tcPr>
            <w:tcW w:w="791" w:type="pct"/>
            <w:tcBorders>
              <w:top w:val="single" w:sz="4" w:space="0" w:color="auto"/>
              <w:left w:val="single" w:sz="4" w:space="0" w:color="auto"/>
              <w:bottom w:val="single" w:sz="4" w:space="0" w:color="auto"/>
              <w:right w:val="single" w:sz="4" w:space="0" w:color="auto"/>
            </w:tcBorders>
          </w:tcPr>
          <w:p w14:paraId="0A8C22B5" w14:textId="77777777" w:rsidR="007606FB" w:rsidRPr="00A86B5B" w:rsidRDefault="007606FB" w:rsidP="00591653">
            <w:pPr>
              <w:rPr>
                <w:rFonts w:cs="Times New Roman"/>
                <w:sz w:val="22"/>
              </w:rPr>
            </w:pPr>
          </w:p>
        </w:tc>
        <w:tc>
          <w:tcPr>
            <w:tcW w:w="817" w:type="pct"/>
            <w:tcBorders>
              <w:top w:val="single" w:sz="4" w:space="0" w:color="auto"/>
              <w:left w:val="single" w:sz="4" w:space="0" w:color="auto"/>
              <w:bottom w:val="single" w:sz="4" w:space="0" w:color="auto"/>
              <w:right w:val="single" w:sz="4" w:space="0" w:color="auto"/>
            </w:tcBorders>
          </w:tcPr>
          <w:p w14:paraId="3D1C35FF" w14:textId="77777777" w:rsidR="007606FB" w:rsidRPr="00A86B5B" w:rsidRDefault="007606FB" w:rsidP="00591653">
            <w:pPr>
              <w:rPr>
                <w:rFonts w:cs="Times New Roman"/>
                <w:sz w:val="22"/>
              </w:rPr>
            </w:pPr>
          </w:p>
        </w:tc>
        <w:tc>
          <w:tcPr>
            <w:tcW w:w="964" w:type="pct"/>
            <w:tcBorders>
              <w:top w:val="single" w:sz="4" w:space="0" w:color="auto"/>
              <w:left w:val="single" w:sz="4" w:space="0" w:color="auto"/>
              <w:bottom w:val="single" w:sz="4" w:space="0" w:color="auto"/>
              <w:right w:val="single" w:sz="4" w:space="0" w:color="auto"/>
            </w:tcBorders>
            <w:hideMark/>
          </w:tcPr>
          <w:p w14:paraId="7E5052F9" w14:textId="77777777" w:rsidR="007606FB" w:rsidRPr="00A86B5B" w:rsidRDefault="007606FB" w:rsidP="00591653">
            <w:pPr>
              <w:rPr>
                <w:rFonts w:cs="Times New Roman"/>
                <w:sz w:val="22"/>
              </w:rPr>
            </w:pPr>
            <w:r w:rsidRPr="00A86B5B">
              <w:rPr>
                <w:rFonts w:cs="Times New Roman"/>
                <w:sz w:val="22"/>
              </w:rPr>
              <w:t xml:space="preserve">Eyelid </w:t>
            </w:r>
            <w:proofErr w:type="spellStart"/>
            <w:r w:rsidRPr="00A86B5B">
              <w:rPr>
                <w:rFonts w:cs="Times New Roman"/>
                <w:sz w:val="22"/>
              </w:rPr>
              <w:t>oedema</w:t>
            </w:r>
            <w:proofErr w:type="spellEnd"/>
          </w:p>
        </w:tc>
        <w:tc>
          <w:tcPr>
            <w:tcW w:w="777" w:type="pct"/>
            <w:tcBorders>
              <w:top w:val="single" w:sz="4" w:space="0" w:color="auto"/>
              <w:left w:val="single" w:sz="4" w:space="0" w:color="auto"/>
              <w:bottom w:val="single" w:sz="4" w:space="0" w:color="auto"/>
              <w:right w:val="single" w:sz="4" w:space="0" w:color="auto"/>
            </w:tcBorders>
          </w:tcPr>
          <w:p w14:paraId="6A8C0467" w14:textId="77777777" w:rsidR="007606FB" w:rsidRPr="00A86B5B" w:rsidRDefault="007606FB" w:rsidP="00591653">
            <w:pPr>
              <w:rPr>
                <w:rFonts w:cs="Times New Roman"/>
                <w:sz w:val="22"/>
              </w:rPr>
            </w:pPr>
          </w:p>
        </w:tc>
        <w:tc>
          <w:tcPr>
            <w:tcW w:w="722" w:type="pct"/>
            <w:tcBorders>
              <w:top w:val="single" w:sz="4" w:space="0" w:color="auto"/>
              <w:left w:val="single" w:sz="4" w:space="0" w:color="auto"/>
              <w:bottom w:val="single" w:sz="4" w:space="0" w:color="auto"/>
              <w:right w:val="single" w:sz="4" w:space="0" w:color="auto"/>
            </w:tcBorders>
          </w:tcPr>
          <w:p w14:paraId="1891DDA1" w14:textId="77777777" w:rsidR="007606FB" w:rsidRPr="00A86B5B" w:rsidRDefault="007606FB" w:rsidP="00591653">
            <w:pPr>
              <w:rPr>
                <w:rFonts w:cs="Times New Roman"/>
                <w:sz w:val="22"/>
              </w:rPr>
            </w:pPr>
          </w:p>
        </w:tc>
      </w:tr>
      <w:tr w:rsidR="007606FB" w:rsidRPr="00A86B5B" w14:paraId="047E9BB0" w14:textId="77777777" w:rsidTr="00A86B5B">
        <w:tc>
          <w:tcPr>
            <w:tcW w:w="930" w:type="pct"/>
            <w:tcBorders>
              <w:top w:val="single" w:sz="4" w:space="0" w:color="auto"/>
              <w:left w:val="single" w:sz="4" w:space="0" w:color="auto"/>
              <w:bottom w:val="single" w:sz="4" w:space="0" w:color="auto"/>
              <w:right w:val="single" w:sz="4" w:space="0" w:color="auto"/>
            </w:tcBorders>
            <w:hideMark/>
          </w:tcPr>
          <w:p w14:paraId="4E0C9076" w14:textId="77777777" w:rsidR="007606FB" w:rsidRPr="00A86B5B" w:rsidRDefault="007606FB" w:rsidP="00591653">
            <w:pPr>
              <w:rPr>
                <w:rFonts w:cs="Times New Roman"/>
                <w:sz w:val="22"/>
              </w:rPr>
            </w:pPr>
            <w:r w:rsidRPr="00A86B5B">
              <w:rPr>
                <w:rFonts w:cs="Times New Roman"/>
                <w:sz w:val="22"/>
              </w:rPr>
              <w:t>Cardiac disorders</w:t>
            </w:r>
          </w:p>
        </w:tc>
        <w:tc>
          <w:tcPr>
            <w:tcW w:w="791" w:type="pct"/>
            <w:tcBorders>
              <w:top w:val="single" w:sz="4" w:space="0" w:color="auto"/>
              <w:left w:val="single" w:sz="4" w:space="0" w:color="auto"/>
              <w:bottom w:val="single" w:sz="4" w:space="0" w:color="auto"/>
              <w:right w:val="single" w:sz="4" w:space="0" w:color="auto"/>
            </w:tcBorders>
            <w:hideMark/>
          </w:tcPr>
          <w:p w14:paraId="530ED57C" w14:textId="77777777" w:rsidR="007606FB" w:rsidRPr="00A86B5B" w:rsidRDefault="007606FB" w:rsidP="00591653">
            <w:pPr>
              <w:rPr>
                <w:rFonts w:cs="Times New Roman"/>
                <w:sz w:val="22"/>
              </w:rPr>
            </w:pPr>
            <w:r w:rsidRPr="00A86B5B">
              <w:rPr>
                <w:rFonts w:cs="Times New Roman"/>
                <w:sz w:val="22"/>
              </w:rPr>
              <w:t>Tachycardia</w:t>
            </w:r>
          </w:p>
        </w:tc>
        <w:tc>
          <w:tcPr>
            <w:tcW w:w="817" w:type="pct"/>
            <w:tcBorders>
              <w:top w:val="single" w:sz="4" w:space="0" w:color="auto"/>
              <w:left w:val="single" w:sz="4" w:space="0" w:color="auto"/>
              <w:bottom w:val="single" w:sz="4" w:space="0" w:color="auto"/>
              <w:right w:val="single" w:sz="4" w:space="0" w:color="auto"/>
            </w:tcBorders>
            <w:hideMark/>
          </w:tcPr>
          <w:p w14:paraId="7B20CEFC" w14:textId="77777777" w:rsidR="007606FB" w:rsidRPr="00A86B5B" w:rsidRDefault="007606FB" w:rsidP="00591653">
            <w:pPr>
              <w:rPr>
                <w:rFonts w:cs="Times New Roman"/>
                <w:sz w:val="22"/>
              </w:rPr>
            </w:pPr>
            <w:r w:rsidRPr="00A86B5B">
              <w:rPr>
                <w:rFonts w:cs="Times New Roman"/>
                <w:sz w:val="22"/>
              </w:rPr>
              <w:t>Palpitation</w:t>
            </w:r>
          </w:p>
          <w:p w14:paraId="34B18AB1" w14:textId="77777777" w:rsidR="007606FB" w:rsidRPr="00A86B5B" w:rsidRDefault="007606FB" w:rsidP="00591653">
            <w:pPr>
              <w:rPr>
                <w:rFonts w:cs="Times New Roman"/>
                <w:sz w:val="22"/>
              </w:rPr>
            </w:pPr>
            <w:r w:rsidRPr="00A86B5B">
              <w:rPr>
                <w:rFonts w:cs="Times New Roman"/>
                <w:sz w:val="22"/>
              </w:rPr>
              <w:t>Atrial fibrillation</w:t>
            </w:r>
          </w:p>
        </w:tc>
        <w:tc>
          <w:tcPr>
            <w:tcW w:w="964" w:type="pct"/>
            <w:tcBorders>
              <w:top w:val="single" w:sz="4" w:space="0" w:color="auto"/>
              <w:left w:val="single" w:sz="4" w:space="0" w:color="auto"/>
              <w:bottom w:val="single" w:sz="4" w:space="0" w:color="auto"/>
              <w:right w:val="single" w:sz="4" w:space="0" w:color="auto"/>
            </w:tcBorders>
          </w:tcPr>
          <w:p w14:paraId="1A226692" w14:textId="77777777" w:rsidR="007606FB" w:rsidRPr="00A86B5B" w:rsidRDefault="007606FB" w:rsidP="00591653">
            <w:pPr>
              <w:rPr>
                <w:rFonts w:cs="Times New Roman"/>
                <w:sz w:val="22"/>
              </w:rPr>
            </w:pPr>
          </w:p>
        </w:tc>
        <w:tc>
          <w:tcPr>
            <w:tcW w:w="777" w:type="pct"/>
            <w:tcBorders>
              <w:top w:val="single" w:sz="4" w:space="0" w:color="auto"/>
              <w:left w:val="single" w:sz="4" w:space="0" w:color="auto"/>
              <w:bottom w:val="single" w:sz="4" w:space="0" w:color="auto"/>
              <w:right w:val="single" w:sz="4" w:space="0" w:color="auto"/>
            </w:tcBorders>
          </w:tcPr>
          <w:p w14:paraId="34C5A058" w14:textId="77777777" w:rsidR="007606FB" w:rsidRPr="00A86B5B" w:rsidRDefault="007606FB" w:rsidP="00591653">
            <w:pPr>
              <w:rPr>
                <w:rFonts w:cs="Times New Roman"/>
                <w:sz w:val="22"/>
              </w:rPr>
            </w:pPr>
          </w:p>
        </w:tc>
        <w:tc>
          <w:tcPr>
            <w:tcW w:w="722" w:type="pct"/>
            <w:tcBorders>
              <w:top w:val="single" w:sz="4" w:space="0" w:color="auto"/>
              <w:left w:val="single" w:sz="4" w:space="0" w:color="auto"/>
              <w:bottom w:val="single" w:sz="4" w:space="0" w:color="auto"/>
              <w:right w:val="single" w:sz="4" w:space="0" w:color="auto"/>
            </w:tcBorders>
          </w:tcPr>
          <w:p w14:paraId="1CA51761" w14:textId="77777777" w:rsidR="007606FB" w:rsidRPr="00A86B5B" w:rsidRDefault="007606FB" w:rsidP="00591653">
            <w:pPr>
              <w:rPr>
                <w:rFonts w:cs="Times New Roman"/>
                <w:sz w:val="22"/>
              </w:rPr>
            </w:pPr>
          </w:p>
        </w:tc>
      </w:tr>
      <w:tr w:rsidR="007606FB" w:rsidRPr="00A86B5B" w14:paraId="012F358D" w14:textId="77777777" w:rsidTr="00A86B5B">
        <w:tc>
          <w:tcPr>
            <w:tcW w:w="930" w:type="pct"/>
            <w:tcBorders>
              <w:top w:val="single" w:sz="4" w:space="0" w:color="auto"/>
              <w:left w:val="single" w:sz="4" w:space="0" w:color="auto"/>
              <w:bottom w:val="single" w:sz="4" w:space="0" w:color="auto"/>
              <w:right w:val="single" w:sz="4" w:space="0" w:color="auto"/>
            </w:tcBorders>
            <w:hideMark/>
          </w:tcPr>
          <w:p w14:paraId="0827724D" w14:textId="77777777" w:rsidR="007606FB" w:rsidRPr="00A86B5B" w:rsidRDefault="007606FB" w:rsidP="00591653">
            <w:pPr>
              <w:rPr>
                <w:rFonts w:cs="Times New Roman"/>
                <w:sz w:val="22"/>
              </w:rPr>
            </w:pPr>
            <w:r w:rsidRPr="00A86B5B">
              <w:rPr>
                <w:rFonts w:cs="Times New Roman"/>
                <w:sz w:val="22"/>
              </w:rPr>
              <w:t>Vascular disorders</w:t>
            </w:r>
          </w:p>
        </w:tc>
        <w:tc>
          <w:tcPr>
            <w:tcW w:w="791" w:type="pct"/>
            <w:tcBorders>
              <w:top w:val="single" w:sz="4" w:space="0" w:color="auto"/>
              <w:left w:val="single" w:sz="4" w:space="0" w:color="auto"/>
              <w:bottom w:val="single" w:sz="4" w:space="0" w:color="auto"/>
              <w:right w:val="single" w:sz="4" w:space="0" w:color="auto"/>
            </w:tcBorders>
          </w:tcPr>
          <w:p w14:paraId="6C58B2C3" w14:textId="77777777" w:rsidR="007606FB" w:rsidRPr="00A86B5B" w:rsidRDefault="007606FB" w:rsidP="00591653">
            <w:pPr>
              <w:rPr>
                <w:rFonts w:cs="Times New Roman"/>
                <w:sz w:val="22"/>
              </w:rPr>
            </w:pPr>
          </w:p>
        </w:tc>
        <w:tc>
          <w:tcPr>
            <w:tcW w:w="817" w:type="pct"/>
            <w:tcBorders>
              <w:top w:val="single" w:sz="4" w:space="0" w:color="auto"/>
              <w:left w:val="single" w:sz="4" w:space="0" w:color="auto"/>
              <w:bottom w:val="single" w:sz="4" w:space="0" w:color="auto"/>
              <w:right w:val="single" w:sz="4" w:space="0" w:color="auto"/>
            </w:tcBorders>
          </w:tcPr>
          <w:p w14:paraId="21CEC4EC" w14:textId="77777777" w:rsidR="007606FB" w:rsidRPr="00A86B5B" w:rsidRDefault="007606FB" w:rsidP="00591653">
            <w:pPr>
              <w:rPr>
                <w:rFonts w:cs="Times New Roman"/>
                <w:sz w:val="22"/>
              </w:rPr>
            </w:pPr>
          </w:p>
        </w:tc>
        <w:tc>
          <w:tcPr>
            <w:tcW w:w="964" w:type="pct"/>
            <w:tcBorders>
              <w:top w:val="single" w:sz="4" w:space="0" w:color="auto"/>
              <w:left w:val="single" w:sz="4" w:space="0" w:color="auto"/>
              <w:bottom w:val="single" w:sz="4" w:space="0" w:color="auto"/>
              <w:right w:val="single" w:sz="4" w:space="0" w:color="auto"/>
            </w:tcBorders>
          </w:tcPr>
          <w:p w14:paraId="146562BC" w14:textId="77777777" w:rsidR="007606FB" w:rsidRPr="00A86B5B" w:rsidRDefault="007606FB" w:rsidP="00591653">
            <w:pPr>
              <w:rPr>
                <w:rFonts w:cs="Times New Roman"/>
                <w:sz w:val="22"/>
              </w:rPr>
            </w:pPr>
          </w:p>
        </w:tc>
        <w:tc>
          <w:tcPr>
            <w:tcW w:w="777" w:type="pct"/>
            <w:tcBorders>
              <w:top w:val="single" w:sz="4" w:space="0" w:color="auto"/>
              <w:left w:val="single" w:sz="4" w:space="0" w:color="auto"/>
              <w:bottom w:val="single" w:sz="4" w:space="0" w:color="auto"/>
              <w:right w:val="single" w:sz="4" w:space="0" w:color="auto"/>
            </w:tcBorders>
            <w:hideMark/>
          </w:tcPr>
          <w:p w14:paraId="10898756" w14:textId="77777777" w:rsidR="007606FB" w:rsidRPr="00A86B5B" w:rsidRDefault="007606FB" w:rsidP="00591653">
            <w:pPr>
              <w:rPr>
                <w:rFonts w:cs="Times New Roman"/>
                <w:sz w:val="22"/>
              </w:rPr>
            </w:pPr>
            <w:r w:rsidRPr="00A86B5B">
              <w:rPr>
                <w:rFonts w:cs="Times New Roman"/>
                <w:sz w:val="22"/>
              </w:rPr>
              <w:t>Hypertensive crisis</w:t>
            </w:r>
            <w:r w:rsidRPr="00A86B5B">
              <w:rPr>
                <w:rFonts w:cs="Times New Roman"/>
                <w:sz w:val="22"/>
                <w:vertAlign w:val="superscript"/>
              </w:rPr>
              <w:t>*</w:t>
            </w:r>
          </w:p>
        </w:tc>
        <w:tc>
          <w:tcPr>
            <w:tcW w:w="722" w:type="pct"/>
            <w:tcBorders>
              <w:top w:val="single" w:sz="4" w:space="0" w:color="auto"/>
              <w:left w:val="single" w:sz="4" w:space="0" w:color="auto"/>
              <w:bottom w:val="single" w:sz="4" w:space="0" w:color="auto"/>
              <w:right w:val="single" w:sz="4" w:space="0" w:color="auto"/>
            </w:tcBorders>
          </w:tcPr>
          <w:p w14:paraId="0719BB33" w14:textId="77777777" w:rsidR="007606FB" w:rsidRPr="00A86B5B" w:rsidRDefault="007606FB" w:rsidP="00591653">
            <w:pPr>
              <w:rPr>
                <w:rFonts w:cs="Times New Roman"/>
                <w:sz w:val="22"/>
              </w:rPr>
            </w:pPr>
          </w:p>
        </w:tc>
      </w:tr>
      <w:tr w:rsidR="007606FB" w:rsidRPr="00A86B5B" w14:paraId="6AB9EA96" w14:textId="77777777" w:rsidTr="00A86B5B">
        <w:tc>
          <w:tcPr>
            <w:tcW w:w="930" w:type="pct"/>
            <w:tcBorders>
              <w:top w:val="single" w:sz="4" w:space="0" w:color="auto"/>
              <w:left w:val="single" w:sz="4" w:space="0" w:color="auto"/>
              <w:bottom w:val="single" w:sz="4" w:space="0" w:color="auto"/>
              <w:right w:val="single" w:sz="4" w:space="0" w:color="auto"/>
            </w:tcBorders>
            <w:hideMark/>
          </w:tcPr>
          <w:p w14:paraId="0B26012C" w14:textId="77777777" w:rsidR="007606FB" w:rsidRPr="00A86B5B" w:rsidRDefault="007606FB" w:rsidP="00591653">
            <w:pPr>
              <w:rPr>
                <w:rFonts w:cs="Times New Roman"/>
                <w:sz w:val="22"/>
              </w:rPr>
            </w:pPr>
            <w:r w:rsidRPr="00A86B5B">
              <w:rPr>
                <w:rFonts w:cs="Times New Roman"/>
                <w:sz w:val="22"/>
              </w:rPr>
              <w:t>Gastrointestinal disorders</w:t>
            </w:r>
          </w:p>
        </w:tc>
        <w:tc>
          <w:tcPr>
            <w:tcW w:w="791" w:type="pct"/>
            <w:tcBorders>
              <w:top w:val="single" w:sz="4" w:space="0" w:color="auto"/>
              <w:left w:val="single" w:sz="4" w:space="0" w:color="auto"/>
              <w:bottom w:val="single" w:sz="4" w:space="0" w:color="auto"/>
              <w:right w:val="single" w:sz="4" w:space="0" w:color="auto"/>
            </w:tcBorders>
            <w:hideMark/>
          </w:tcPr>
          <w:p w14:paraId="4C07A923" w14:textId="77777777" w:rsidR="007606FB" w:rsidRPr="00A86B5B" w:rsidRDefault="007606FB" w:rsidP="00591653">
            <w:pPr>
              <w:rPr>
                <w:rFonts w:cs="Times New Roman"/>
                <w:sz w:val="22"/>
              </w:rPr>
            </w:pPr>
            <w:r w:rsidRPr="00A86B5B">
              <w:rPr>
                <w:rFonts w:cs="Times New Roman"/>
                <w:sz w:val="22"/>
              </w:rPr>
              <w:t>Nausea</w:t>
            </w:r>
            <w:r w:rsidRPr="00A86B5B">
              <w:rPr>
                <w:rFonts w:cs="Times New Roman"/>
                <w:sz w:val="22"/>
                <w:vertAlign w:val="superscript"/>
              </w:rPr>
              <w:t>*</w:t>
            </w:r>
          </w:p>
          <w:p w14:paraId="5CF072E0" w14:textId="77777777" w:rsidR="007606FB" w:rsidRPr="00A86B5B" w:rsidRDefault="007606FB" w:rsidP="00591653">
            <w:pPr>
              <w:rPr>
                <w:rFonts w:cs="Times New Roman"/>
                <w:sz w:val="22"/>
              </w:rPr>
            </w:pPr>
            <w:r w:rsidRPr="00A86B5B">
              <w:rPr>
                <w:rFonts w:cs="Times New Roman"/>
                <w:sz w:val="22"/>
              </w:rPr>
              <w:t>Constipation</w:t>
            </w:r>
            <w:r w:rsidRPr="00A86B5B">
              <w:rPr>
                <w:rFonts w:cs="Times New Roman"/>
                <w:sz w:val="22"/>
                <w:vertAlign w:val="superscript"/>
              </w:rPr>
              <w:t>*</w:t>
            </w:r>
          </w:p>
          <w:p w14:paraId="0F73E4BA" w14:textId="77777777" w:rsidR="007606FB" w:rsidRPr="00A86B5B" w:rsidRDefault="007606FB" w:rsidP="00591653">
            <w:pPr>
              <w:rPr>
                <w:rFonts w:cs="Times New Roman"/>
                <w:sz w:val="22"/>
              </w:rPr>
            </w:pPr>
            <w:proofErr w:type="spellStart"/>
            <w:r w:rsidRPr="00A86B5B">
              <w:rPr>
                <w:rFonts w:cs="Times New Roman"/>
                <w:sz w:val="22"/>
              </w:rPr>
              <w:t>Diarrhoea</w:t>
            </w:r>
            <w:proofErr w:type="spellEnd"/>
            <w:r w:rsidRPr="00A86B5B">
              <w:rPr>
                <w:rFonts w:cs="Times New Roman"/>
                <w:sz w:val="22"/>
                <w:vertAlign w:val="superscript"/>
              </w:rPr>
              <w:t>*</w:t>
            </w:r>
          </w:p>
        </w:tc>
        <w:tc>
          <w:tcPr>
            <w:tcW w:w="817" w:type="pct"/>
            <w:tcBorders>
              <w:top w:val="single" w:sz="4" w:space="0" w:color="auto"/>
              <w:left w:val="single" w:sz="4" w:space="0" w:color="auto"/>
              <w:bottom w:val="single" w:sz="4" w:space="0" w:color="auto"/>
              <w:right w:val="single" w:sz="4" w:space="0" w:color="auto"/>
            </w:tcBorders>
            <w:hideMark/>
          </w:tcPr>
          <w:p w14:paraId="6C1A75E1" w14:textId="77777777" w:rsidR="007606FB" w:rsidRPr="00A86B5B" w:rsidRDefault="007606FB" w:rsidP="00591653">
            <w:pPr>
              <w:rPr>
                <w:rFonts w:cs="Times New Roman"/>
                <w:sz w:val="22"/>
              </w:rPr>
            </w:pPr>
            <w:r w:rsidRPr="00A86B5B">
              <w:rPr>
                <w:rFonts w:cs="Times New Roman"/>
                <w:sz w:val="22"/>
              </w:rPr>
              <w:t>Dyspepsia</w:t>
            </w:r>
          </w:p>
          <w:p w14:paraId="4E292F6D" w14:textId="77777777" w:rsidR="007606FB" w:rsidRPr="00A86B5B" w:rsidRDefault="007606FB" w:rsidP="00591653">
            <w:pPr>
              <w:rPr>
                <w:rFonts w:cs="Times New Roman"/>
                <w:sz w:val="22"/>
              </w:rPr>
            </w:pPr>
            <w:r w:rsidRPr="00A86B5B">
              <w:rPr>
                <w:rFonts w:cs="Times New Roman"/>
                <w:sz w:val="22"/>
              </w:rPr>
              <w:t>Gastritis</w:t>
            </w:r>
          </w:p>
        </w:tc>
        <w:tc>
          <w:tcPr>
            <w:tcW w:w="964" w:type="pct"/>
            <w:tcBorders>
              <w:top w:val="single" w:sz="4" w:space="0" w:color="auto"/>
              <w:left w:val="single" w:sz="4" w:space="0" w:color="auto"/>
              <w:bottom w:val="single" w:sz="4" w:space="0" w:color="auto"/>
              <w:right w:val="single" w:sz="4" w:space="0" w:color="auto"/>
            </w:tcBorders>
            <w:hideMark/>
          </w:tcPr>
          <w:p w14:paraId="1D0D37A6" w14:textId="77777777" w:rsidR="007606FB" w:rsidRPr="00A86B5B" w:rsidRDefault="007606FB" w:rsidP="00591653">
            <w:pPr>
              <w:rPr>
                <w:rFonts w:cs="Times New Roman"/>
                <w:sz w:val="22"/>
              </w:rPr>
            </w:pPr>
            <w:r w:rsidRPr="00A86B5B">
              <w:rPr>
                <w:rFonts w:cs="Times New Roman"/>
                <w:sz w:val="22"/>
              </w:rPr>
              <w:t xml:space="preserve">Lip </w:t>
            </w:r>
            <w:proofErr w:type="spellStart"/>
            <w:r w:rsidRPr="00A86B5B">
              <w:rPr>
                <w:rFonts w:cs="Times New Roman"/>
                <w:sz w:val="22"/>
              </w:rPr>
              <w:t>oedema</w:t>
            </w:r>
            <w:proofErr w:type="spellEnd"/>
          </w:p>
        </w:tc>
        <w:tc>
          <w:tcPr>
            <w:tcW w:w="777" w:type="pct"/>
            <w:tcBorders>
              <w:top w:val="single" w:sz="4" w:space="0" w:color="auto"/>
              <w:left w:val="single" w:sz="4" w:space="0" w:color="auto"/>
              <w:bottom w:val="single" w:sz="4" w:space="0" w:color="auto"/>
              <w:right w:val="single" w:sz="4" w:space="0" w:color="auto"/>
            </w:tcBorders>
          </w:tcPr>
          <w:p w14:paraId="1F1CA6FC" w14:textId="77777777" w:rsidR="007606FB" w:rsidRPr="00A86B5B" w:rsidRDefault="007606FB" w:rsidP="00591653">
            <w:pPr>
              <w:rPr>
                <w:rFonts w:cs="Times New Roman"/>
                <w:sz w:val="22"/>
              </w:rPr>
            </w:pPr>
          </w:p>
        </w:tc>
        <w:tc>
          <w:tcPr>
            <w:tcW w:w="722" w:type="pct"/>
            <w:tcBorders>
              <w:top w:val="single" w:sz="4" w:space="0" w:color="auto"/>
              <w:left w:val="single" w:sz="4" w:space="0" w:color="auto"/>
              <w:bottom w:val="single" w:sz="4" w:space="0" w:color="auto"/>
              <w:right w:val="single" w:sz="4" w:space="0" w:color="auto"/>
            </w:tcBorders>
          </w:tcPr>
          <w:p w14:paraId="293ED68F" w14:textId="77777777" w:rsidR="007606FB" w:rsidRPr="00A86B5B" w:rsidRDefault="007606FB" w:rsidP="00591653">
            <w:pPr>
              <w:rPr>
                <w:rFonts w:cs="Times New Roman"/>
                <w:sz w:val="22"/>
              </w:rPr>
            </w:pPr>
          </w:p>
        </w:tc>
      </w:tr>
      <w:tr w:rsidR="007606FB" w:rsidRPr="00A86B5B" w14:paraId="12A95C98" w14:textId="77777777" w:rsidTr="00A86B5B">
        <w:tc>
          <w:tcPr>
            <w:tcW w:w="930" w:type="pct"/>
            <w:tcBorders>
              <w:top w:val="single" w:sz="4" w:space="0" w:color="auto"/>
              <w:left w:val="single" w:sz="4" w:space="0" w:color="auto"/>
              <w:bottom w:val="single" w:sz="4" w:space="0" w:color="auto"/>
              <w:right w:val="single" w:sz="4" w:space="0" w:color="auto"/>
            </w:tcBorders>
            <w:hideMark/>
          </w:tcPr>
          <w:p w14:paraId="796976FF" w14:textId="77777777" w:rsidR="007606FB" w:rsidRPr="00A86B5B" w:rsidRDefault="007606FB" w:rsidP="00591653">
            <w:pPr>
              <w:rPr>
                <w:rFonts w:cs="Times New Roman"/>
                <w:sz w:val="22"/>
              </w:rPr>
            </w:pPr>
            <w:r w:rsidRPr="00A86B5B">
              <w:rPr>
                <w:rFonts w:cs="Times New Roman"/>
                <w:sz w:val="22"/>
              </w:rPr>
              <w:t>Skin and subcutaneous tissue disorders</w:t>
            </w:r>
          </w:p>
        </w:tc>
        <w:tc>
          <w:tcPr>
            <w:tcW w:w="791" w:type="pct"/>
            <w:tcBorders>
              <w:top w:val="single" w:sz="4" w:space="0" w:color="auto"/>
              <w:left w:val="single" w:sz="4" w:space="0" w:color="auto"/>
              <w:bottom w:val="single" w:sz="4" w:space="0" w:color="auto"/>
              <w:right w:val="single" w:sz="4" w:space="0" w:color="auto"/>
            </w:tcBorders>
          </w:tcPr>
          <w:p w14:paraId="5E07142A" w14:textId="77777777" w:rsidR="007606FB" w:rsidRPr="00A86B5B" w:rsidRDefault="007606FB" w:rsidP="00591653">
            <w:pPr>
              <w:rPr>
                <w:rFonts w:cs="Times New Roman"/>
                <w:sz w:val="22"/>
              </w:rPr>
            </w:pPr>
          </w:p>
        </w:tc>
        <w:tc>
          <w:tcPr>
            <w:tcW w:w="817" w:type="pct"/>
            <w:tcBorders>
              <w:top w:val="single" w:sz="4" w:space="0" w:color="auto"/>
              <w:left w:val="single" w:sz="4" w:space="0" w:color="auto"/>
              <w:bottom w:val="single" w:sz="4" w:space="0" w:color="auto"/>
              <w:right w:val="single" w:sz="4" w:space="0" w:color="auto"/>
            </w:tcBorders>
            <w:hideMark/>
          </w:tcPr>
          <w:p w14:paraId="509D6F17" w14:textId="77777777" w:rsidR="007606FB" w:rsidRPr="00A86B5B" w:rsidRDefault="007606FB" w:rsidP="00591653">
            <w:pPr>
              <w:rPr>
                <w:rFonts w:cs="Times New Roman"/>
                <w:sz w:val="22"/>
              </w:rPr>
            </w:pPr>
            <w:r w:rsidRPr="00A86B5B">
              <w:rPr>
                <w:rFonts w:cs="Times New Roman"/>
                <w:sz w:val="22"/>
              </w:rPr>
              <w:t>Urticaria</w:t>
            </w:r>
          </w:p>
          <w:p w14:paraId="42BBAB68" w14:textId="77777777" w:rsidR="007606FB" w:rsidRPr="00A86B5B" w:rsidRDefault="007606FB" w:rsidP="00591653">
            <w:pPr>
              <w:rPr>
                <w:rFonts w:cs="Times New Roman"/>
                <w:sz w:val="22"/>
              </w:rPr>
            </w:pPr>
            <w:r w:rsidRPr="00A86B5B">
              <w:rPr>
                <w:rFonts w:cs="Times New Roman"/>
                <w:sz w:val="22"/>
              </w:rPr>
              <w:t>Rash</w:t>
            </w:r>
          </w:p>
          <w:p w14:paraId="34AB9DC2" w14:textId="77777777" w:rsidR="007606FB" w:rsidRPr="00A86B5B" w:rsidRDefault="007606FB" w:rsidP="00591653">
            <w:pPr>
              <w:rPr>
                <w:rFonts w:cs="Times New Roman"/>
                <w:sz w:val="22"/>
              </w:rPr>
            </w:pPr>
            <w:r w:rsidRPr="00A86B5B">
              <w:rPr>
                <w:rFonts w:cs="Times New Roman"/>
                <w:sz w:val="22"/>
              </w:rPr>
              <w:t>Rash macular</w:t>
            </w:r>
          </w:p>
          <w:p w14:paraId="36CFE150" w14:textId="77777777" w:rsidR="007606FB" w:rsidRPr="00A86B5B" w:rsidRDefault="007606FB" w:rsidP="00591653">
            <w:pPr>
              <w:rPr>
                <w:rFonts w:cs="Times New Roman"/>
                <w:sz w:val="22"/>
              </w:rPr>
            </w:pPr>
            <w:r w:rsidRPr="00A86B5B">
              <w:rPr>
                <w:rFonts w:cs="Times New Roman"/>
                <w:sz w:val="22"/>
              </w:rPr>
              <w:t xml:space="preserve">Rash </w:t>
            </w:r>
            <w:proofErr w:type="spellStart"/>
            <w:r w:rsidRPr="00A86B5B">
              <w:rPr>
                <w:rFonts w:cs="Times New Roman"/>
                <w:sz w:val="22"/>
              </w:rPr>
              <w:t>papular</w:t>
            </w:r>
            <w:proofErr w:type="spellEnd"/>
          </w:p>
          <w:p w14:paraId="600378A0" w14:textId="77777777" w:rsidR="007606FB" w:rsidRPr="00A86B5B" w:rsidRDefault="007606FB" w:rsidP="00591653">
            <w:pPr>
              <w:rPr>
                <w:rFonts w:cs="Times New Roman"/>
                <w:sz w:val="22"/>
              </w:rPr>
            </w:pPr>
            <w:r w:rsidRPr="00A86B5B">
              <w:rPr>
                <w:rFonts w:cs="Times New Roman"/>
                <w:sz w:val="22"/>
              </w:rPr>
              <w:t>Pruritus</w:t>
            </w:r>
          </w:p>
        </w:tc>
        <w:tc>
          <w:tcPr>
            <w:tcW w:w="964" w:type="pct"/>
            <w:tcBorders>
              <w:top w:val="single" w:sz="4" w:space="0" w:color="auto"/>
              <w:left w:val="single" w:sz="4" w:space="0" w:color="auto"/>
              <w:bottom w:val="single" w:sz="4" w:space="0" w:color="auto"/>
              <w:right w:val="single" w:sz="4" w:space="0" w:color="auto"/>
            </w:tcBorders>
            <w:hideMark/>
          </w:tcPr>
          <w:p w14:paraId="003785AB" w14:textId="77777777" w:rsidR="007606FB" w:rsidRPr="00A86B5B" w:rsidRDefault="007606FB" w:rsidP="00591653">
            <w:pPr>
              <w:rPr>
                <w:rFonts w:cs="Times New Roman"/>
                <w:sz w:val="22"/>
              </w:rPr>
            </w:pPr>
            <w:proofErr w:type="spellStart"/>
            <w:r w:rsidRPr="00A86B5B">
              <w:rPr>
                <w:rFonts w:cs="Times New Roman"/>
                <w:sz w:val="22"/>
              </w:rPr>
              <w:t>Leukocytoclastic</w:t>
            </w:r>
            <w:proofErr w:type="spellEnd"/>
            <w:r w:rsidRPr="00A86B5B">
              <w:rPr>
                <w:rFonts w:cs="Times New Roman"/>
                <w:sz w:val="22"/>
              </w:rPr>
              <w:t xml:space="preserve"> vasculitis</w:t>
            </w:r>
          </w:p>
          <w:p w14:paraId="6D0FA80B" w14:textId="77777777" w:rsidR="007606FB" w:rsidRPr="00A86B5B" w:rsidRDefault="007606FB" w:rsidP="00591653">
            <w:pPr>
              <w:rPr>
                <w:rFonts w:cs="Times New Roman"/>
                <w:sz w:val="22"/>
              </w:rPr>
            </w:pPr>
            <w:r w:rsidRPr="00A86B5B">
              <w:rPr>
                <w:rFonts w:cs="Times New Roman"/>
                <w:sz w:val="22"/>
              </w:rPr>
              <w:t>Purpura</w:t>
            </w:r>
          </w:p>
          <w:p w14:paraId="0CAE8D4F" w14:textId="77777777" w:rsidR="007606FB" w:rsidRPr="00A86B5B" w:rsidRDefault="007606FB" w:rsidP="00591653">
            <w:pPr>
              <w:rPr>
                <w:rFonts w:cs="Times New Roman"/>
                <w:sz w:val="22"/>
              </w:rPr>
            </w:pPr>
            <w:r w:rsidRPr="00A86B5B">
              <w:rPr>
                <w:rFonts w:cs="Times New Roman"/>
                <w:sz w:val="22"/>
              </w:rPr>
              <w:t>Angioedema</w:t>
            </w:r>
            <w:r w:rsidRPr="00A86B5B">
              <w:rPr>
                <w:rFonts w:cs="Times New Roman"/>
                <w:sz w:val="22"/>
                <w:vertAlign w:val="superscript"/>
              </w:rPr>
              <w:t>*</w:t>
            </w:r>
          </w:p>
        </w:tc>
        <w:tc>
          <w:tcPr>
            <w:tcW w:w="777" w:type="pct"/>
            <w:tcBorders>
              <w:top w:val="single" w:sz="4" w:space="0" w:color="auto"/>
              <w:left w:val="single" w:sz="4" w:space="0" w:color="auto"/>
              <w:bottom w:val="single" w:sz="4" w:space="0" w:color="auto"/>
              <w:right w:val="single" w:sz="4" w:space="0" w:color="auto"/>
            </w:tcBorders>
          </w:tcPr>
          <w:p w14:paraId="1F6FD35D" w14:textId="77777777" w:rsidR="007606FB" w:rsidRPr="00A86B5B" w:rsidRDefault="007606FB" w:rsidP="00591653">
            <w:pPr>
              <w:rPr>
                <w:rFonts w:cs="Times New Roman"/>
                <w:sz w:val="22"/>
              </w:rPr>
            </w:pPr>
          </w:p>
        </w:tc>
        <w:tc>
          <w:tcPr>
            <w:tcW w:w="722" w:type="pct"/>
            <w:tcBorders>
              <w:top w:val="single" w:sz="4" w:space="0" w:color="auto"/>
              <w:left w:val="single" w:sz="4" w:space="0" w:color="auto"/>
              <w:bottom w:val="single" w:sz="4" w:space="0" w:color="auto"/>
              <w:right w:val="single" w:sz="4" w:space="0" w:color="auto"/>
            </w:tcBorders>
          </w:tcPr>
          <w:p w14:paraId="200C4B16" w14:textId="77777777" w:rsidR="007606FB" w:rsidRPr="00A86B5B" w:rsidRDefault="007606FB" w:rsidP="00591653">
            <w:pPr>
              <w:rPr>
                <w:rFonts w:cs="Times New Roman"/>
                <w:sz w:val="22"/>
              </w:rPr>
            </w:pPr>
          </w:p>
        </w:tc>
      </w:tr>
      <w:tr w:rsidR="007606FB" w:rsidRPr="00A86B5B" w14:paraId="6EB6E056" w14:textId="77777777" w:rsidTr="00A86B5B">
        <w:tc>
          <w:tcPr>
            <w:tcW w:w="930" w:type="pct"/>
            <w:tcBorders>
              <w:top w:val="single" w:sz="4" w:space="0" w:color="auto"/>
              <w:left w:val="single" w:sz="4" w:space="0" w:color="auto"/>
              <w:bottom w:val="single" w:sz="4" w:space="0" w:color="auto"/>
              <w:right w:val="single" w:sz="4" w:space="0" w:color="auto"/>
            </w:tcBorders>
            <w:hideMark/>
          </w:tcPr>
          <w:p w14:paraId="0651DF48" w14:textId="77777777" w:rsidR="007606FB" w:rsidRPr="00A86B5B" w:rsidRDefault="007606FB" w:rsidP="00591653">
            <w:pPr>
              <w:rPr>
                <w:rFonts w:cs="Times New Roman"/>
                <w:sz w:val="22"/>
              </w:rPr>
            </w:pPr>
            <w:r w:rsidRPr="00A86B5B">
              <w:rPr>
                <w:rFonts w:cs="Times New Roman"/>
                <w:sz w:val="22"/>
              </w:rPr>
              <w:t>Musculoskeletal and connective tissue disorders</w:t>
            </w:r>
          </w:p>
        </w:tc>
        <w:tc>
          <w:tcPr>
            <w:tcW w:w="791" w:type="pct"/>
            <w:tcBorders>
              <w:top w:val="single" w:sz="4" w:space="0" w:color="auto"/>
              <w:left w:val="single" w:sz="4" w:space="0" w:color="auto"/>
              <w:bottom w:val="single" w:sz="4" w:space="0" w:color="auto"/>
              <w:right w:val="single" w:sz="4" w:space="0" w:color="auto"/>
            </w:tcBorders>
          </w:tcPr>
          <w:p w14:paraId="0DEF7924" w14:textId="77777777" w:rsidR="007606FB" w:rsidRPr="00A86B5B" w:rsidRDefault="007606FB" w:rsidP="00591653">
            <w:pPr>
              <w:rPr>
                <w:rFonts w:cs="Times New Roman"/>
                <w:sz w:val="22"/>
              </w:rPr>
            </w:pPr>
          </w:p>
        </w:tc>
        <w:tc>
          <w:tcPr>
            <w:tcW w:w="817" w:type="pct"/>
            <w:tcBorders>
              <w:top w:val="single" w:sz="4" w:space="0" w:color="auto"/>
              <w:left w:val="single" w:sz="4" w:space="0" w:color="auto"/>
              <w:bottom w:val="single" w:sz="4" w:space="0" w:color="auto"/>
              <w:right w:val="single" w:sz="4" w:space="0" w:color="auto"/>
            </w:tcBorders>
            <w:hideMark/>
          </w:tcPr>
          <w:p w14:paraId="37072575" w14:textId="77777777" w:rsidR="007606FB" w:rsidRPr="00A86B5B" w:rsidRDefault="007606FB" w:rsidP="00591653">
            <w:pPr>
              <w:rPr>
                <w:rFonts w:cs="Times New Roman"/>
                <w:sz w:val="22"/>
              </w:rPr>
            </w:pPr>
            <w:r w:rsidRPr="00A86B5B">
              <w:rPr>
                <w:rFonts w:cs="Times New Roman"/>
                <w:sz w:val="22"/>
              </w:rPr>
              <w:t>Joint swelling</w:t>
            </w:r>
          </w:p>
        </w:tc>
        <w:tc>
          <w:tcPr>
            <w:tcW w:w="964" w:type="pct"/>
            <w:tcBorders>
              <w:top w:val="single" w:sz="4" w:space="0" w:color="auto"/>
              <w:left w:val="single" w:sz="4" w:space="0" w:color="auto"/>
              <w:bottom w:val="single" w:sz="4" w:space="0" w:color="auto"/>
              <w:right w:val="single" w:sz="4" w:space="0" w:color="auto"/>
            </w:tcBorders>
          </w:tcPr>
          <w:p w14:paraId="2834C901" w14:textId="77777777" w:rsidR="007606FB" w:rsidRPr="00A86B5B" w:rsidRDefault="007606FB" w:rsidP="00591653">
            <w:pPr>
              <w:rPr>
                <w:rFonts w:cs="Times New Roman"/>
                <w:sz w:val="22"/>
              </w:rPr>
            </w:pPr>
          </w:p>
        </w:tc>
        <w:tc>
          <w:tcPr>
            <w:tcW w:w="777" w:type="pct"/>
            <w:tcBorders>
              <w:top w:val="single" w:sz="4" w:space="0" w:color="auto"/>
              <w:left w:val="single" w:sz="4" w:space="0" w:color="auto"/>
              <w:bottom w:val="single" w:sz="4" w:space="0" w:color="auto"/>
              <w:right w:val="single" w:sz="4" w:space="0" w:color="auto"/>
            </w:tcBorders>
          </w:tcPr>
          <w:p w14:paraId="0C0FFA7E" w14:textId="77777777" w:rsidR="007606FB" w:rsidRPr="00A86B5B" w:rsidRDefault="007606FB" w:rsidP="00591653">
            <w:pPr>
              <w:rPr>
                <w:rFonts w:cs="Times New Roman"/>
                <w:sz w:val="22"/>
              </w:rPr>
            </w:pPr>
          </w:p>
        </w:tc>
        <w:tc>
          <w:tcPr>
            <w:tcW w:w="722" w:type="pct"/>
            <w:tcBorders>
              <w:top w:val="single" w:sz="4" w:space="0" w:color="auto"/>
              <w:left w:val="single" w:sz="4" w:space="0" w:color="auto"/>
              <w:bottom w:val="single" w:sz="4" w:space="0" w:color="auto"/>
              <w:right w:val="single" w:sz="4" w:space="0" w:color="auto"/>
            </w:tcBorders>
          </w:tcPr>
          <w:p w14:paraId="5C09600E" w14:textId="77777777" w:rsidR="007606FB" w:rsidRPr="00A86B5B" w:rsidRDefault="007606FB" w:rsidP="00591653">
            <w:pPr>
              <w:rPr>
                <w:rFonts w:cs="Times New Roman"/>
                <w:sz w:val="22"/>
              </w:rPr>
            </w:pPr>
          </w:p>
        </w:tc>
      </w:tr>
      <w:tr w:rsidR="007606FB" w:rsidRPr="00A86B5B" w14:paraId="1083A15D" w14:textId="77777777" w:rsidTr="00A86B5B">
        <w:tc>
          <w:tcPr>
            <w:tcW w:w="930" w:type="pct"/>
            <w:tcBorders>
              <w:top w:val="single" w:sz="4" w:space="0" w:color="auto"/>
              <w:left w:val="single" w:sz="4" w:space="0" w:color="auto"/>
              <w:bottom w:val="single" w:sz="4" w:space="0" w:color="auto"/>
              <w:right w:val="single" w:sz="4" w:space="0" w:color="auto"/>
            </w:tcBorders>
            <w:hideMark/>
          </w:tcPr>
          <w:p w14:paraId="78C9289E" w14:textId="77777777" w:rsidR="007606FB" w:rsidRPr="00A86B5B" w:rsidRDefault="007606FB" w:rsidP="00591653">
            <w:pPr>
              <w:rPr>
                <w:rFonts w:cs="Times New Roman"/>
                <w:sz w:val="22"/>
              </w:rPr>
            </w:pPr>
            <w:r w:rsidRPr="00A86B5B">
              <w:rPr>
                <w:rFonts w:cs="Times New Roman"/>
                <w:sz w:val="22"/>
              </w:rPr>
              <w:t>Renal and urinary disorders</w:t>
            </w:r>
          </w:p>
        </w:tc>
        <w:tc>
          <w:tcPr>
            <w:tcW w:w="791" w:type="pct"/>
            <w:tcBorders>
              <w:top w:val="single" w:sz="4" w:space="0" w:color="auto"/>
              <w:left w:val="single" w:sz="4" w:space="0" w:color="auto"/>
              <w:bottom w:val="single" w:sz="4" w:space="0" w:color="auto"/>
              <w:right w:val="single" w:sz="4" w:space="0" w:color="auto"/>
            </w:tcBorders>
          </w:tcPr>
          <w:p w14:paraId="58282C75" w14:textId="77777777" w:rsidR="007606FB" w:rsidRPr="00A86B5B" w:rsidRDefault="007606FB" w:rsidP="00591653">
            <w:pPr>
              <w:rPr>
                <w:rFonts w:cs="Times New Roman"/>
                <w:sz w:val="22"/>
              </w:rPr>
            </w:pPr>
          </w:p>
        </w:tc>
        <w:tc>
          <w:tcPr>
            <w:tcW w:w="817" w:type="pct"/>
            <w:tcBorders>
              <w:top w:val="single" w:sz="4" w:space="0" w:color="auto"/>
              <w:left w:val="single" w:sz="4" w:space="0" w:color="auto"/>
              <w:bottom w:val="single" w:sz="4" w:space="0" w:color="auto"/>
              <w:right w:val="single" w:sz="4" w:space="0" w:color="auto"/>
            </w:tcBorders>
          </w:tcPr>
          <w:p w14:paraId="183E7679" w14:textId="77777777" w:rsidR="007606FB" w:rsidRPr="00A86B5B" w:rsidRDefault="007606FB" w:rsidP="00591653">
            <w:pPr>
              <w:rPr>
                <w:rFonts w:cs="Times New Roman"/>
                <w:sz w:val="22"/>
              </w:rPr>
            </w:pPr>
          </w:p>
        </w:tc>
        <w:tc>
          <w:tcPr>
            <w:tcW w:w="964" w:type="pct"/>
            <w:tcBorders>
              <w:top w:val="single" w:sz="4" w:space="0" w:color="auto"/>
              <w:left w:val="single" w:sz="4" w:space="0" w:color="auto"/>
              <w:bottom w:val="single" w:sz="4" w:space="0" w:color="auto"/>
              <w:right w:val="single" w:sz="4" w:space="0" w:color="auto"/>
            </w:tcBorders>
            <w:hideMark/>
          </w:tcPr>
          <w:p w14:paraId="2F53BE00" w14:textId="77777777" w:rsidR="007606FB" w:rsidRPr="00A86B5B" w:rsidRDefault="007606FB" w:rsidP="00591653">
            <w:pPr>
              <w:rPr>
                <w:rFonts w:cs="Times New Roman"/>
                <w:sz w:val="22"/>
              </w:rPr>
            </w:pPr>
            <w:r w:rsidRPr="00A86B5B">
              <w:rPr>
                <w:rFonts w:cs="Times New Roman"/>
                <w:sz w:val="22"/>
              </w:rPr>
              <w:t>Urinary retention</w:t>
            </w:r>
            <w:r w:rsidRPr="00A86B5B">
              <w:rPr>
                <w:rFonts w:cs="Times New Roman"/>
                <w:sz w:val="22"/>
                <w:vertAlign w:val="superscript"/>
              </w:rPr>
              <w:t>*</w:t>
            </w:r>
          </w:p>
        </w:tc>
        <w:tc>
          <w:tcPr>
            <w:tcW w:w="777" w:type="pct"/>
            <w:tcBorders>
              <w:top w:val="single" w:sz="4" w:space="0" w:color="auto"/>
              <w:left w:val="single" w:sz="4" w:space="0" w:color="auto"/>
              <w:bottom w:val="single" w:sz="4" w:space="0" w:color="auto"/>
              <w:right w:val="single" w:sz="4" w:space="0" w:color="auto"/>
            </w:tcBorders>
          </w:tcPr>
          <w:p w14:paraId="3AACC8C3" w14:textId="77777777" w:rsidR="007606FB" w:rsidRPr="00A86B5B" w:rsidRDefault="007606FB" w:rsidP="00591653">
            <w:pPr>
              <w:rPr>
                <w:rFonts w:cs="Times New Roman"/>
                <w:sz w:val="22"/>
              </w:rPr>
            </w:pPr>
          </w:p>
        </w:tc>
        <w:tc>
          <w:tcPr>
            <w:tcW w:w="722" w:type="pct"/>
            <w:tcBorders>
              <w:top w:val="single" w:sz="4" w:space="0" w:color="auto"/>
              <w:left w:val="single" w:sz="4" w:space="0" w:color="auto"/>
              <w:bottom w:val="single" w:sz="4" w:space="0" w:color="auto"/>
              <w:right w:val="single" w:sz="4" w:space="0" w:color="auto"/>
            </w:tcBorders>
          </w:tcPr>
          <w:p w14:paraId="119EB49D" w14:textId="77777777" w:rsidR="007606FB" w:rsidRPr="00A86B5B" w:rsidRDefault="007606FB" w:rsidP="00591653">
            <w:pPr>
              <w:rPr>
                <w:rFonts w:cs="Times New Roman"/>
                <w:sz w:val="22"/>
              </w:rPr>
            </w:pPr>
          </w:p>
        </w:tc>
      </w:tr>
      <w:tr w:rsidR="007606FB" w:rsidRPr="00A86B5B" w14:paraId="337A463B" w14:textId="77777777" w:rsidTr="00A86B5B">
        <w:tc>
          <w:tcPr>
            <w:tcW w:w="930" w:type="pct"/>
            <w:tcBorders>
              <w:top w:val="single" w:sz="4" w:space="0" w:color="auto"/>
              <w:left w:val="single" w:sz="4" w:space="0" w:color="auto"/>
              <w:bottom w:val="single" w:sz="4" w:space="0" w:color="auto"/>
              <w:right w:val="single" w:sz="4" w:space="0" w:color="auto"/>
            </w:tcBorders>
            <w:hideMark/>
          </w:tcPr>
          <w:p w14:paraId="24D21459" w14:textId="77777777" w:rsidR="007606FB" w:rsidRPr="00A86B5B" w:rsidRDefault="007606FB" w:rsidP="00591653">
            <w:pPr>
              <w:rPr>
                <w:rFonts w:cs="Times New Roman"/>
                <w:sz w:val="22"/>
              </w:rPr>
            </w:pPr>
            <w:r w:rsidRPr="00A86B5B">
              <w:rPr>
                <w:rFonts w:cs="Times New Roman"/>
                <w:sz w:val="22"/>
              </w:rPr>
              <w:t>Reproductive system and breast disorders</w:t>
            </w:r>
          </w:p>
        </w:tc>
        <w:tc>
          <w:tcPr>
            <w:tcW w:w="791" w:type="pct"/>
            <w:tcBorders>
              <w:top w:val="single" w:sz="4" w:space="0" w:color="auto"/>
              <w:left w:val="single" w:sz="4" w:space="0" w:color="auto"/>
              <w:bottom w:val="single" w:sz="4" w:space="0" w:color="auto"/>
              <w:right w:val="single" w:sz="4" w:space="0" w:color="auto"/>
            </w:tcBorders>
          </w:tcPr>
          <w:p w14:paraId="2A637093" w14:textId="77777777" w:rsidR="007606FB" w:rsidRPr="00A86B5B" w:rsidRDefault="007606FB" w:rsidP="00591653">
            <w:pPr>
              <w:rPr>
                <w:rFonts w:cs="Times New Roman"/>
                <w:sz w:val="22"/>
              </w:rPr>
            </w:pPr>
          </w:p>
        </w:tc>
        <w:tc>
          <w:tcPr>
            <w:tcW w:w="817" w:type="pct"/>
            <w:tcBorders>
              <w:top w:val="single" w:sz="4" w:space="0" w:color="auto"/>
              <w:left w:val="single" w:sz="4" w:space="0" w:color="auto"/>
              <w:bottom w:val="single" w:sz="4" w:space="0" w:color="auto"/>
              <w:right w:val="single" w:sz="4" w:space="0" w:color="auto"/>
            </w:tcBorders>
            <w:hideMark/>
          </w:tcPr>
          <w:p w14:paraId="43E293DD" w14:textId="77777777" w:rsidR="007606FB" w:rsidRPr="00A86B5B" w:rsidRDefault="007606FB" w:rsidP="00591653">
            <w:pPr>
              <w:rPr>
                <w:rFonts w:cs="Times New Roman"/>
                <w:sz w:val="22"/>
              </w:rPr>
            </w:pPr>
            <w:r w:rsidRPr="00A86B5B">
              <w:rPr>
                <w:rFonts w:cs="Times New Roman"/>
                <w:sz w:val="22"/>
              </w:rPr>
              <w:t>Vulvovaginal pruritus</w:t>
            </w:r>
          </w:p>
        </w:tc>
        <w:tc>
          <w:tcPr>
            <w:tcW w:w="964" w:type="pct"/>
            <w:tcBorders>
              <w:top w:val="single" w:sz="4" w:space="0" w:color="auto"/>
              <w:left w:val="single" w:sz="4" w:space="0" w:color="auto"/>
              <w:bottom w:val="single" w:sz="4" w:space="0" w:color="auto"/>
              <w:right w:val="single" w:sz="4" w:space="0" w:color="auto"/>
            </w:tcBorders>
          </w:tcPr>
          <w:p w14:paraId="664F64AB" w14:textId="77777777" w:rsidR="007606FB" w:rsidRPr="00A86B5B" w:rsidRDefault="007606FB" w:rsidP="00591653">
            <w:pPr>
              <w:rPr>
                <w:rFonts w:cs="Times New Roman"/>
                <w:sz w:val="22"/>
              </w:rPr>
            </w:pPr>
          </w:p>
        </w:tc>
        <w:tc>
          <w:tcPr>
            <w:tcW w:w="777" w:type="pct"/>
            <w:tcBorders>
              <w:top w:val="single" w:sz="4" w:space="0" w:color="auto"/>
              <w:left w:val="single" w:sz="4" w:space="0" w:color="auto"/>
              <w:bottom w:val="single" w:sz="4" w:space="0" w:color="auto"/>
              <w:right w:val="single" w:sz="4" w:space="0" w:color="auto"/>
            </w:tcBorders>
          </w:tcPr>
          <w:p w14:paraId="0ED5D6BB" w14:textId="77777777" w:rsidR="007606FB" w:rsidRPr="00A86B5B" w:rsidRDefault="007606FB" w:rsidP="00591653">
            <w:pPr>
              <w:rPr>
                <w:rFonts w:cs="Times New Roman"/>
                <w:sz w:val="22"/>
              </w:rPr>
            </w:pPr>
          </w:p>
        </w:tc>
        <w:tc>
          <w:tcPr>
            <w:tcW w:w="722" w:type="pct"/>
            <w:tcBorders>
              <w:top w:val="single" w:sz="4" w:space="0" w:color="auto"/>
              <w:left w:val="single" w:sz="4" w:space="0" w:color="auto"/>
              <w:bottom w:val="single" w:sz="4" w:space="0" w:color="auto"/>
              <w:right w:val="single" w:sz="4" w:space="0" w:color="auto"/>
            </w:tcBorders>
          </w:tcPr>
          <w:p w14:paraId="3C9B78E9" w14:textId="77777777" w:rsidR="007606FB" w:rsidRPr="00A86B5B" w:rsidRDefault="007606FB" w:rsidP="00591653">
            <w:pPr>
              <w:rPr>
                <w:rFonts w:cs="Times New Roman"/>
                <w:sz w:val="22"/>
              </w:rPr>
            </w:pPr>
          </w:p>
        </w:tc>
      </w:tr>
      <w:tr w:rsidR="007606FB" w:rsidRPr="00A86B5B" w14:paraId="32AAAAF3" w14:textId="77777777" w:rsidTr="00A86B5B">
        <w:tc>
          <w:tcPr>
            <w:tcW w:w="930" w:type="pct"/>
            <w:tcBorders>
              <w:top w:val="single" w:sz="4" w:space="0" w:color="auto"/>
              <w:left w:val="single" w:sz="4" w:space="0" w:color="auto"/>
              <w:bottom w:val="single" w:sz="4" w:space="0" w:color="auto"/>
              <w:right w:val="single" w:sz="4" w:space="0" w:color="auto"/>
            </w:tcBorders>
            <w:hideMark/>
          </w:tcPr>
          <w:p w14:paraId="74E51920" w14:textId="77777777" w:rsidR="007606FB" w:rsidRPr="00A86B5B" w:rsidRDefault="007606FB" w:rsidP="00591653">
            <w:pPr>
              <w:rPr>
                <w:rFonts w:cs="Times New Roman"/>
                <w:sz w:val="22"/>
              </w:rPr>
            </w:pPr>
            <w:r w:rsidRPr="00A86B5B">
              <w:rPr>
                <w:rFonts w:cs="Times New Roman"/>
                <w:sz w:val="22"/>
              </w:rPr>
              <w:t>Investigations</w:t>
            </w:r>
          </w:p>
        </w:tc>
        <w:tc>
          <w:tcPr>
            <w:tcW w:w="791" w:type="pct"/>
            <w:tcBorders>
              <w:top w:val="single" w:sz="4" w:space="0" w:color="auto"/>
              <w:left w:val="single" w:sz="4" w:space="0" w:color="auto"/>
              <w:bottom w:val="single" w:sz="4" w:space="0" w:color="auto"/>
              <w:right w:val="single" w:sz="4" w:space="0" w:color="auto"/>
            </w:tcBorders>
          </w:tcPr>
          <w:p w14:paraId="1401DCB6" w14:textId="77777777" w:rsidR="007606FB" w:rsidRPr="00A86B5B" w:rsidRDefault="007606FB" w:rsidP="00591653">
            <w:pPr>
              <w:rPr>
                <w:rFonts w:cs="Times New Roman"/>
                <w:sz w:val="22"/>
              </w:rPr>
            </w:pPr>
          </w:p>
        </w:tc>
        <w:tc>
          <w:tcPr>
            <w:tcW w:w="817" w:type="pct"/>
            <w:tcBorders>
              <w:top w:val="single" w:sz="4" w:space="0" w:color="auto"/>
              <w:left w:val="single" w:sz="4" w:space="0" w:color="auto"/>
              <w:bottom w:val="single" w:sz="4" w:space="0" w:color="auto"/>
              <w:right w:val="single" w:sz="4" w:space="0" w:color="auto"/>
            </w:tcBorders>
            <w:hideMark/>
          </w:tcPr>
          <w:p w14:paraId="267CDDCD" w14:textId="77777777" w:rsidR="007606FB" w:rsidRPr="00A86B5B" w:rsidRDefault="007606FB" w:rsidP="00591653">
            <w:pPr>
              <w:rPr>
                <w:rFonts w:cs="Times New Roman"/>
                <w:sz w:val="22"/>
              </w:rPr>
            </w:pPr>
            <w:r w:rsidRPr="00A86B5B">
              <w:rPr>
                <w:rFonts w:cs="Times New Roman"/>
                <w:sz w:val="22"/>
              </w:rPr>
              <w:t>Blood pressure increased</w:t>
            </w:r>
          </w:p>
          <w:p w14:paraId="1F55D758" w14:textId="77777777" w:rsidR="007606FB" w:rsidRPr="00A86B5B" w:rsidRDefault="007606FB" w:rsidP="00591653">
            <w:pPr>
              <w:rPr>
                <w:rFonts w:cs="Times New Roman"/>
                <w:sz w:val="22"/>
              </w:rPr>
            </w:pPr>
            <w:r w:rsidRPr="00A86B5B">
              <w:rPr>
                <w:rFonts w:cs="Times New Roman"/>
                <w:sz w:val="22"/>
              </w:rPr>
              <w:t>GGT increased</w:t>
            </w:r>
          </w:p>
          <w:p w14:paraId="3B330497" w14:textId="77777777" w:rsidR="007606FB" w:rsidRPr="00A86B5B" w:rsidRDefault="007606FB" w:rsidP="00591653">
            <w:pPr>
              <w:rPr>
                <w:rFonts w:cs="Times New Roman"/>
                <w:sz w:val="22"/>
              </w:rPr>
            </w:pPr>
            <w:r w:rsidRPr="00A86B5B">
              <w:rPr>
                <w:rFonts w:cs="Times New Roman"/>
                <w:sz w:val="22"/>
              </w:rPr>
              <w:t>AST increased</w:t>
            </w:r>
          </w:p>
          <w:p w14:paraId="2F43E27C" w14:textId="77777777" w:rsidR="007606FB" w:rsidRPr="00A86B5B" w:rsidRDefault="007606FB" w:rsidP="00591653">
            <w:pPr>
              <w:rPr>
                <w:rFonts w:cs="Times New Roman"/>
                <w:sz w:val="22"/>
              </w:rPr>
            </w:pPr>
            <w:r w:rsidRPr="00A86B5B">
              <w:rPr>
                <w:rFonts w:cs="Times New Roman"/>
                <w:sz w:val="22"/>
              </w:rPr>
              <w:t>ALT increased</w:t>
            </w:r>
          </w:p>
        </w:tc>
        <w:tc>
          <w:tcPr>
            <w:tcW w:w="964" w:type="pct"/>
            <w:tcBorders>
              <w:top w:val="single" w:sz="4" w:space="0" w:color="auto"/>
              <w:left w:val="single" w:sz="4" w:space="0" w:color="auto"/>
              <w:bottom w:val="single" w:sz="4" w:space="0" w:color="auto"/>
              <w:right w:val="single" w:sz="4" w:space="0" w:color="auto"/>
            </w:tcBorders>
          </w:tcPr>
          <w:p w14:paraId="5A54696A" w14:textId="77777777" w:rsidR="007606FB" w:rsidRPr="00A86B5B" w:rsidRDefault="007606FB" w:rsidP="00591653">
            <w:pPr>
              <w:rPr>
                <w:rFonts w:cs="Times New Roman"/>
                <w:sz w:val="22"/>
              </w:rPr>
            </w:pPr>
          </w:p>
        </w:tc>
        <w:tc>
          <w:tcPr>
            <w:tcW w:w="777" w:type="pct"/>
            <w:tcBorders>
              <w:top w:val="single" w:sz="4" w:space="0" w:color="auto"/>
              <w:left w:val="single" w:sz="4" w:space="0" w:color="auto"/>
              <w:bottom w:val="single" w:sz="4" w:space="0" w:color="auto"/>
              <w:right w:val="single" w:sz="4" w:space="0" w:color="auto"/>
            </w:tcBorders>
          </w:tcPr>
          <w:p w14:paraId="735CF473" w14:textId="77777777" w:rsidR="007606FB" w:rsidRPr="00A86B5B" w:rsidRDefault="007606FB" w:rsidP="00591653">
            <w:pPr>
              <w:rPr>
                <w:rFonts w:cs="Times New Roman"/>
                <w:sz w:val="22"/>
              </w:rPr>
            </w:pPr>
          </w:p>
        </w:tc>
        <w:tc>
          <w:tcPr>
            <w:tcW w:w="722" w:type="pct"/>
            <w:tcBorders>
              <w:top w:val="single" w:sz="4" w:space="0" w:color="auto"/>
              <w:left w:val="single" w:sz="4" w:space="0" w:color="auto"/>
              <w:bottom w:val="single" w:sz="4" w:space="0" w:color="auto"/>
              <w:right w:val="single" w:sz="4" w:space="0" w:color="auto"/>
            </w:tcBorders>
          </w:tcPr>
          <w:p w14:paraId="501AE406" w14:textId="77777777" w:rsidR="007606FB" w:rsidRPr="00A86B5B" w:rsidRDefault="007606FB" w:rsidP="00591653">
            <w:pPr>
              <w:rPr>
                <w:rFonts w:cs="Times New Roman"/>
                <w:sz w:val="22"/>
              </w:rPr>
            </w:pPr>
          </w:p>
        </w:tc>
      </w:tr>
    </w:tbl>
    <w:p w14:paraId="586CEDEA" w14:textId="77777777" w:rsidR="007606FB" w:rsidRPr="00A86B5B" w:rsidRDefault="007606FB" w:rsidP="007606FB">
      <w:pPr>
        <w:rPr>
          <w:sz w:val="20"/>
          <w:lang w:val="en-US" w:eastAsia="en-US"/>
        </w:rPr>
      </w:pPr>
      <w:r w:rsidRPr="00A86B5B">
        <w:rPr>
          <w:sz w:val="20"/>
          <w:vertAlign w:val="superscript"/>
        </w:rPr>
        <w:t>*</w:t>
      </w:r>
      <w:proofErr w:type="spellStart"/>
      <w:r w:rsidRPr="00A86B5B">
        <w:rPr>
          <w:sz w:val="20"/>
        </w:rPr>
        <w:t>observed</w:t>
      </w:r>
      <w:proofErr w:type="spellEnd"/>
      <w:r w:rsidRPr="00A86B5B">
        <w:rPr>
          <w:sz w:val="20"/>
        </w:rPr>
        <w:t xml:space="preserve"> </w:t>
      </w:r>
      <w:proofErr w:type="spellStart"/>
      <w:r w:rsidRPr="00A86B5B">
        <w:rPr>
          <w:sz w:val="20"/>
        </w:rPr>
        <w:t>during</w:t>
      </w:r>
      <w:proofErr w:type="spellEnd"/>
      <w:r w:rsidRPr="00A86B5B">
        <w:rPr>
          <w:sz w:val="20"/>
        </w:rPr>
        <w:t xml:space="preserve"> post-marketing </w:t>
      </w:r>
      <w:proofErr w:type="spellStart"/>
      <w:r w:rsidRPr="00A86B5B">
        <w:rPr>
          <w:sz w:val="20"/>
        </w:rPr>
        <w:t>experience</w:t>
      </w:r>
      <w:proofErr w:type="spellEnd"/>
    </w:p>
    <w:p w14:paraId="65F00857" w14:textId="77777777" w:rsidR="007606FB" w:rsidRPr="00A86B5B" w:rsidRDefault="007606FB" w:rsidP="007606FB">
      <w:pPr>
        <w:rPr>
          <w:sz w:val="24"/>
          <w:szCs w:val="24"/>
        </w:rPr>
      </w:pPr>
    </w:p>
    <w:p w14:paraId="73ABCCB5" w14:textId="77777777" w:rsidR="00D018B2" w:rsidRPr="00A86B5B" w:rsidRDefault="00D018B2" w:rsidP="00D018B2">
      <w:pPr>
        <w:ind w:left="851"/>
        <w:rPr>
          <w:sz w:val="24"/>
          <w:szCs w:val="24"/>
          <w:u w:val="single"/>
          <w:lang w:val="en-GB"/>
        </w:rPr>
      </w:pPr>
      <w:r w:rsidRPr="00A86B5B">
        <w:rPr>
          <w:sz w:val="24"/>
          <w:szCs w:val="24"/>
          <w:u w:val="single"/>
          <w:lang w:val="en-GB"/>
        </w:rPr>
        <w:t>Reporting of suspected adverse reactions</w:t>
      </w:r>
    </w:p>
    <w:p w14:paraId="20D92AA6" w14:textId="77777777" w:rsidR="00D018B2" w:rsidRPr="00A86B5B" w:rsidRDefault="00D018B2" w:rsidP="00D018B2">
      <w:pPr>
        <w:ind w:left="851"/>
        <w:rPr>
          <w:sz w:val="24"/>
          <w:szCs w:val="24"/>
          <w:lang w:val="en-GB"/>
        </w:rPr>
      </w:pPr>
      <w:r w:rsidRPr="00A86B5B">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4645F58D" w14:textId="77777777" w:rsidR="00D018B2" w:rsidRPr="00A86B5B" w:rsidRDefault="00D018B2" w:rsidP="00D018B2">
      <w:pPr>
        <w:ind w:left="851"/>
        <w:rPr>
          <w:sz w:val="24"/>
          <w:szCs w:val="24"/>
          <w:lang w:val="en-GB"/>
        </w:rPr>
      </w:pPr>
    </w:p>
    <w:p w14:paraId="04E9F47F" w14:textId="77777777" w:rsidR="00D018B2" w:rsidRPr="00A86B5B" w:rsidRDefault="00D018B2" w:rsidP="00D018B2">
      <w:pPr>
        <w:ind w:left="851"/>
        <w:rPr>
          <w:sz w:val="24"/>
          <w:szCs w:val="24"/>
        </w:rPr>
      </w:pPr>
      <w:r w:rsidRPr="00A86B5B">
        <w:rPr>
          <w:sz w:val="24"/>
          <w:szCs w:val="24"/>
        </w:rPr>
        <w:t>Lægemiddelstyrelsen</w:t>
      </w:r>
    </w:p>
    <w:p w14:paraId="1E55708C" w14:textId="77777777" w:rsidR="00D018B2" w:rsidRPr="00A86B5B" w:rsidRDefault="00D018B2" w:rsidP="00D018B2">
      <w:pPr>
        <w:ind w:left="851"/>
        <w:rPr>
          <w:sz w:val="24"/>
          <w:szCs w:val="24"/>
        </w:rPr>
      </w:pPr>
      <w:r w:rsidRPr="00A86B5B">
        <w:rPr>
          <w:sz w:val="24"/>
          <w:szCs w:val="24"/>
        </w:rPr>
        <w:t>Axel Heides Gade 1</w:t>
      </w:r>
    </w:p>
    <w:p w14:paraId="4ECB7E7B" w14:textId="77777777" w:rsidR="00D018B2" w:rsidRPr="00A86B5B" w:rsidRDefault="00D018B2" w:rsidP="00D018B2">
      <w:pPr>
        <w:ind w:left="851"/>
        <w:rPr>
          <w:sz w:val="24"/>
          <w:szCs w:val="24"/>
        </w:rPr>
      </w:pPr>
      <w:r w:rsidRPr="00A86B5B">
        <w:rPr>
          <w:sz w:val="24"/>
          <w:szCs w:val="24"/>
        </w:rPr>
        <w:t>DK-2300 København S</w:t>
      </w:r>
    </w:p>
    <w:p w14:paraId="6FC0036E" w14:textId="77777777" w:rsidR="00D018B2" w:rsidRPr="00531029" w:rsidRDefault="00D018B2" w:rsidP="00D018B2">
      <w:pPr>
        <w:ind w:left="851"/>
        <w:rPr>
          <w:sz w:val="24"/>
          <w:szCs w:val="24"/>
          <w:lang w:val="en-US"/>
        </w:rPr>
      </w:pPr>
      <w:r w:rsidRPr="00531029">
        <w:rPr>
          <w:sz w:val="24"/>
          <w:szCs w:val="24"/>
          <w:lang w:val="en-US"/>
        </w:rPr>
        <w:t>Website: www.meldenbivirkning.dk</w:t>
      </w:r>
    </w:p>
    <w:p w14:paraId="7ADE79E3" w14:textId="313263C2" w:rsidR="001F3F63" w:rsidRDefault="001F3F63">
      <w:pPr>
        <w:rPr>
          <w:sz w:val="24"/>
          <w:szCs w:val="24"/>
          <w:lang w:val="en-GB"/>
        </w:rPr>
      </w:pPr>
      <w:r>
        <w:rPr>
          <w:sz w:val="24"/>
          <w:szCs w:val="24"/>
          <w:lang w:val="en-GB"/>
        </w:rPr>
        <w:br w:type="page"/>
      </w:r>
    </w:p>
    <w:p w14:paraId="7529E82F" w14:textId="77777777" w:rsidR="007C5D2A" w:rsidRPr="00A86B5B" w:rsidRDefault="007C5D2A" w:rsidP="007A4CC6">
      <w:pPr>
        <w:tabs>
          <w:tab w:val="left" w:pos="851"/>
        </w:tabs>
        <w:ind w:left="851"/>
        <w:rPr>
          <w:sz w:val="24"/>
          <w:szCs w:val="24"/>
          <w:lang w:val="en-GB"/>
        </w:rPr>
      </w:pPr>
    </w:p>
    <w:p w14:paraId="43F703EF" w14:textId="77777777" w:rsidR="007C5D2A" w:rsidRPr="00A86B5B" w:rsidRDefault="007C5D2A" w:rsidP="007C5D2A">
      <w:pPr>
        <w:tabs>
          <w:tab w:val="left" w:pos="851"/>
        </w:tabs>
        <w:ind w:left="851" w:hanging="851"/>
        <w:rPr>
          <w:b/>
          <w:sz w:val="24"/>
          <w:szCs w:val="24"/>
          <w:lang w:val="en-GB"/>
        </w:rPr>
      </w:pPr>
      <w:r w:rsidRPr="00A86B5B">
        <w:rPr>
          <w:b/>
          <w:sz w:val="24"/>
          <w:szCs w:val="24"/>
          <w:lang w:val="en-GB"/>
        </w:rPr>
        <w:t>4.9</w:t>
      </w:r>
      <w:r w:rsidRPr="00A86B5B">
        <w:rPr>
          <w:b/>
          <w:sz w:val="24"/>
          <w:szCs w:val="24"/>
          <w:lang w:val="en-GB"/>
        </w:rPr>
        <w:tab/>
        <w:t>Overdose</w:t>
      </w:r>
    </w:p>
    <w:p w14:paraId="0866172E" w14:textId="77777777" w:rsidR="007606FB" w:rsidRPr="00A86B5B" w:rsidRDefault="007606FB" w:rsidP="00591653">
      <w:pPr>
        <w:ind w:left="851"/>
        <w:rPr>
          <w:sz w:val="24"/>
          <w:szCs w:val="24"/>
          <w:lang w:val="en-US"/>
        </w:rPr>
      </w:pPr>
      <w:r w:rsidRPr="00A86B5B">
        <w:rPr>
          <w:sz w:val="24"/>
          <w:szCs w:val="24"/>
          <w:lang w:val="en-US"/>
        </w:rPr>
        <w:t>Mirabegron has been administered to healthy volunteers at single doses up to 400 mg. At this dose, adverse events reported included palpitations (1 of 6 subjects) and increased pulse rate exceeding 100 beats per minute (bpm) (3 of 6 subjects). Multiple doses of mirabegron up to 300 mg daily for 10 days showed increases in pulse rate and systolic blood pressure when administered to healthy volunteers.</w:t>
      </w:r>
    </w:p>
    <w:p w14:paraId="4F94053E" w14:textId="77777777" w:rsidR="007606FB" w:rsidRPr="00A86B5B" w:rsidRDefault="007606FB" w:rsidP="00591653">
      <w:pPr>
        <w:ind w:left="851"/>
        <w:rPr>
          <w:sz w:val="24"/>
          <w:szCs w:val="24"/>
          <w:lang w:val="en-US"/>
        </w:rPr>
      </w:pPr>
    </w:p>
    <w:p w14:paraId="7C9A0AF0" w14:textId="77777777" w:rsidR="007606FB" w:rsidRPr="00A86B5B" w:rsidRDefault="007606FB" w:rsidP="00591653">
      <w:pPr>
        <w:ind w:left="851"/>
        <w:rPr>
          <w:sz w:val="24"/>
          <w:szCs w:val="24"/>
          <w:lang w:val="en-US"/>
        </w:rPr>
      </w:pPr>
      <w:r w:rsidRPr="00A86B5B">
        <w:rPr>
          <w:sz w:val="24"/>
          <w:szCs w:val="24"/>
          <w:lang w:val="en-US"/>
        </w:rPr>
        <w:t xml:space="preserve">Treatment for overdose should be symptomatic and supportive. In the event of overdose, pulse rate, blood pressure, and ECG monitoring </w:t>
      </w:r>
      <w:proofErr w:type="gramStart"/>
      <w:r w:rsidRPr="00A86B5B">
        <w:rPr>
          <w:sz w:val="24"/>
          <w:szCs w:val="24"/>
          <w:lang w:val="en-US"/>
        </w:rPr>
        <w:t>is</w:t>
      </w:r>
      <w:proofErr w:type="gramEnd"/>
      <w:r w:rsidRPr="00A86B5B">
        <w:rPr>
          <w:sz w:val="24"/>
          <w:szCs w:val="24"/>
          <w:lang w:val="en-US"/>
        </w:rPr>
        <w:t xml:space="preserve"> recommended.</w:t>
      </w:r>
    </w:p>
    <w:p w14:paraId="2A557E28" w14:textId="77777777" w:rsidR="007C5D2A" w:rsidRPr="00A86B5B" w:rsidRDefault="007C5D2A" w:rsidP="003E0341">
      <w:pPr>
        <w:tabs>
          <w:tab w:val="left" w:pos="851"/>
        </w:tabs>
        <w:ind w:left="851"/>
        <w:rPr>
          <w:sz w:val="24"/>
          <w:szCs w:val="24"/>
          <w:lang w:val="en-GB"/>
        </w:rPr>
      </w:pPr>
    </w:p>
    <w:p w14:paraId="2CD59FDF" w14:textId="77777777" w:rsidR="008F2F8C" w:rsidRPr="00A86B5B" w:rsidRDefault="0042292D" w:rsidP="0042292D">
      <w:pPr>
        <w:tabs>
          <w:tab w:val="left" w:pos="851"/>
        </w:tabs>
        <w:rPr>
          <w:b/>
          <w:sz w:val="24"/>
          <w:szCs w:val="24"/>
          <w:lang w:val="en-GB"/>
        </w:rPr>
      </w:pPr>
      <w:r w:rsidRPr="00A86B5B">
        <w:rPr>
          <w:b/>
          <w:sz w:val="24"/>
          <w:szCs w:val="24"/>
          <w:lang w:val="en-GB"/>
        </w:rPr>
        <w:t>4.10</w:t>
      </w:r>
      <w:r w:rsidRPr="00A86B5B">
        <w:rPr>
          <w:b/>
          <w:sz w:val="24"/>
          <w:szCs w:val="24"/>
          <w:lang w:val="en-GB"/>
        </w:rPr>
        <w:tab/>
        <w:t>Legal status</w:t>
      </w:r>
    </w:p>
    <w:p w14:paraId="1A62F19A" w14:textId="620D190B" w:rsidR="00AD2E36" w:rsidRPr="00A86B5B" w:rsidRDefault="00D018B2" w:rsidP="00AD2E36">
      <w:pPr>
        <w:tabs>
          <w:tab w:val="left" w:pos="851"/>
        </w:tabs>
        <w:ind w:left="851"/>
        <w:rPr>
          <w:sz w:val="24"/>
          <w:szCs w:val="24"/>
          <w:lang w:val="en-GB"/>
        </w:rPr>
      </w:pPr>
      <w:r w:rsidRPr="00A86B5B">
        <w:rPr>
          <w:sz w:val="24"/>
          <w:szCs w:val="24"/>
          <w:lang w:val="en-GB"/>
        </w:rPr>
        <w:t>B</w:t>
      </w:r>
    </w:p>
    <w:p w14:paraId="60DB4E46" w14:textId="77777777" w:rsidR="007C5D2A" w:rsidRPr="00A86B5B" w:rsidRDefault="007C5D2A" w:rsidP="003E0341">
      <w:pPr>
        <w:tabs>
          <w:tab w:val="left" w:pos="851"/>
        </w:tabs>
        <w:ind w:left="851"/>
        <w:rPr>
          <w:sz w:val="24"/>
          <w:szCs w:val="24"/>
          <w:lang w:val="en-GB"/>
        </w:rPr>
      </w:pPr>
    </w:p>
    <w:p w14:paraId="5856CF83" w14:textId="77777777" w:rsidR="00AD2E36" w:rsidRPr="00A86B5B" w:rsidRDefault="00AD2E36" w:rsidP="003E0341">
      <w:pPr>
        <w:tabs>
          <w:tab w:val="left" w:pos="851"/>
        </w:tabs>
        <w:ind w:left="851"/>
        <w:rPr>
          <w:sz w:val="24"/>
          <w:szCs w:val="24"/>
          <w:lang w:val="en-GB"/>
        </w:rPr>
      </w:pPr>
    </w:p>
    <w:p w14:paraId="1563A6A4" w14:textId="77777777" w:rsidR="007C5D2A" w:rsidRPr="00A86B5B" w:rsidRDefault="007C5D2A" w:rsidP="007C5D2A">
      <w:pPr>
        <w:tabs>
          <w:tab w:val="left" w:pos="851"/>
        </w:tabs>
        <w:rPr>
          <w:b/>
          <w:sz w:val="24"/>
          <w:szCs w:val="24"/>
          <w:lang w:val="en-GB"/>
        </w:rPr>
      </w:pPr>
      <w:r w:rsidRPr="00A86B5B">
        <w:rPr>
          <w:b/>
          <w:sz w:val="24"/>
          <w:szCs w:val="24"/>
          <w:lang w:val="en-GB"/>
        </w:rPr>
        <w:t>5.</w:t>
      </w:r>
      <w:r w:rsidRPr="00A86B5B">
        <w:rPr>
          <w:b/>
          <w:sz w:val="24"/>
          <w:szCs w:val="24"/>
          <w:lang w:val="en-GB"/>
        </w:rPr>
        <w:tab/>
        <w:t>PHARMACOLOGICAL PROPERTIES</w:t>
      </w:r>
    </w:p>
    <w:p w14:paraId="2AFC9116" w14:textId="77777777" w:rsidR="007C5D2A" w:rsidRPr="00A86B5B" w:rsidRDefault="007C5D2A" w:rsidP="003E0341">
      <w:pPr>
        <w:tabs>
          <w:tab w:val="left" w:pos="851"/>
        </w:tabs>
        <w:ind w:left="851"/>
        <w:rPr>
          <w:sz w:val="24"/>
          <w:szCs w:val="24"/>
          <w:lang w:val="en-GB"/>
        </w:rPr>
      </w:pPr>
    </w:p>
    <w:p w14:paraId="3656B29D" w14:textId="77777777" w:rsidR="007C5D2A" w:rsidRPr="00A86B5B" w:rsidRDefault="007C5D2A" w:rsidP="007C5D2A">
      <w:pPr>
        <w:tabs>
          <w:tab w:val="left" w:pos="851"/>
        </w:tabs>
        <w:ind w:left="851" w:hanging="851"/>
        <w:rPr>
          <w:b/>
          <w:sz w:val="24"/>
          <w:szCs w:val="24"/>
          <w:lang w:val="en-GB"/>
        </w:rPr>
      </w:pPr>
      <w:r w:rsidRPr="00A86B5B">
        <w:rPr>
          <w:b/>
          <w:sz w:val="24"/>
          <w:szCs w:val="24"/>
          <w:lang w:val="en-GB"/>
        </w:rPr>
        <w:t>5.1</w:t>
      </w:r>
      <w:r w:rsidRPr="00A86B5B">
        <w:rPr>
          <w:b/>
          <w:sz w:val="24"/>
          <w:szCs w:val="24"/>
          <w:lang w:val="en-GB"/>
        </w:rPr>
        <w:tab/>
        <w:t>Pharmacodynamic properties</w:t>
      </w:r>
      <w:r w:rsidRPr="00A86B5B">
        <w:rPr>
          <w:b/>
          <w:sz w:val="24"/>
          <w:szCs w:val="24"/>
          <w:lang w:val="en-GB"/>
        </w:rPr>
        <w:tab/>
      </w:r>
    </w:p>
    <w:p w14:paraId="7324BE13" w14:textId="77777777" w:rsidR="007606FB" w:rsidRPr="00A86B5B" w:rsidRDefault="007606FB" w:rsidP="00591653">
      <w:pPr>
        <w:ind w:left="851"/>
        <w:rPr>
          <w:sz w:val="24"/>
          <w:szCs w:val="24"/>
          <w:lang w:val="en-US"/>
        </w:rPr>
      </w:pPr>
      <w:r w:rsidRPr="00A86B5B">
        <w:rPr>
          <w:sz w:val="24"/>
          <w:szCs w:val="24"/>
          <w:lang w:val="en-US"/>
        </w:rPr>
        <w:t xml:space="preserve">Pharmacotherapeutic group: </w:t>
      </w:r>
      <w:proofErr w:type="spellStart"/>
      <w:r w:rsidRPr="00A86B5B">
        <w:rPr>
          <w:sz w:val="24"/>
          <w:szCs w:val="24"/>
          <w:lang w:val="en-US"/>
        </w:rPr>
        <w:t>Urologicals</w:t>
      </w:r>
      <w:proofErr w:type="spellEnd"/>
      <w:r w:rsidRPr="00A86B5B">
        <w:rPr>
          <w:sz w:val="24"/>
          <w:szCs w:val="24"/>
          <w:lang w:val="en-US"/>
        </w:rPr>
        <w:t>, drugs for urinary frequency and incontinence, ATC code: G04BD12.</w:t>
      </w:r>
    </w:p>
    <w:p w14:paraId="639CE4CC" w14:textId="77777777" w:rsidR="007606FB" w:rsidRPr="00A86B5B" w:rsidRDefault="007606FB" w:rsidP="00591653">
      <w:pPr>
        <w:ind w:left="851"/>
        <w:rPr>
          <w:sz w:val="24"/>
          <w:szCs w:val="24"/>
          <w:lang w:val="en-US"/>
        </w:rPr>
      </w:pPr>
    </w:p>
    <w:p w14:paraId="150256BB" w14:textId="77777777" w:rsidR="007606FB" w:rsidRPr="00A86B5B" w:rsidRDefault="007606FB" w:rsidP="00591653">
      <w:pPr>
        <w:ind w:left="851"/>
        <w:rPr>
          <w:sz w:val="24"/>
          <w:szCs w:val="24"/>
          <w:u w:val="single"/>
          <w:lang w:val="en-US"/>
        </w:rPr>
      </w:pPr>
      <w:r w:rsidRPr="00A86B5B">
        <w:rPr>
          <w:sz w:val="24"/>
          <w:szCs w:val="24"/>
          <w:u w:val="single"/>
          <w:lang w:val="en-US"/>
        </w:rPr>
        <w:t>Mechanism of action</w:t>
      </w:r>
    </w:p>
    <w:p w14:paraId="15C5F7A3" w14:textId="77777777" w:rsidR="007606FB" w:rsidRPr="00A86B5B" w:rsidRDefault="007606FB" w:rsidP="00591653">
      <w:pPr>
        <w:ind w:left="851"/>
        <w:rPr>
          <w:sz w:val="24"/>
          <w:szCs w:val="24"/>
          <w:u w:val="single"/>
          <w:lang w:val="en-US"/>
        </w:rPr>
      </w:pPr>
    </w:p>
    <w:p w14:paraId="66B9E86D" w14:textId="77777777" w:rsidR="007606FB" w:rsidRPr="00A86B5B" w:rsidRDefault="007606FB" w:rsidP="00591653">
      <w:pPr>
        <w:ind w:left="851"/>
        <w:rPr>
          <w:sz w:val="24"/>
          <w:szCs w:val="24"/>
          <w:lang w:val="en-US"/>
        </w:rPr>
      </w:pPr>
      <w:r w:rsidRPr="00A86B5B">
        <w:rPr>
          <w:sz w:val="24"/>
          <w:szCs w:val="24"/>
          <w:lang w:val="en-US"/>
        </w:rPr>
        <w:t>Mirabegron is a potent and selective beta 3-adrenoceptor agonist. Mirabegron showed relaxation of bladder smooth muscle in rat and human isolated tissue, increased cyclic adenosine monophosphate (cAMP) concentrations in rat bladder tissue and showed a bladder relaxant effect in rat urinary bladder function models. Mirabegron increased mean voided volume per micturition and decreased the frequency of non-voiding contractions, without affecting voiding pressure, or residual urine in rat models of bladder overactivity. In a monkey model, mirabegron showed decreased voiding frequency. These results indicate that mirabegron enhances urine storage function by stimulating beta 3</w:t>
      </w:r>
      <w:r w:rsidRPr="00A86B5B">
        <w:rPr>
          <w:sz w:val="24"/>
          <w:szCs w:val="24"/>
          <w:lang w:val="en-US"/>
        </w:rPr>
        <w:noBreakHyphen/>
        <w:t>adrenoceptors in the bladder.</w:t>
      </w:r>
    </w:p>
    <w:p w14:paraId="051690FE" w14:textId="77777777" w:rsidR="007606FB" w:rsidRPr="00A86B5B" w:rsidRDefault="007606FB" w:rsidP="00591653">
      <w:pPr>
        <w:ind w:left="851"/>
        <w:rPr>
          <w:sz w:val="24"/>
          <w:szCs w:val="24"/>
          <w:lang w:val="en-US"/>
        </w:rPr>
      </w:pPr>
    </w:p>
    <w:p w14:paraId="4DC50942" w14:textId="77777777" w:rsidR="007606FB" w:rsidRPr="00A86B5B" w:rsidRDefault="007606FB" w:rsidP="00591653">
      <w:pPr>
        <w:ind w:left="851"/>
        <w:rPr>
          <w:sz w:val="24"/>
          <w:szCs w:val="24"/>
          <w:lang w:val="en-US"/>
        </w:rPr>
      </w:pPr>
      <w:r w:rsidRPr="00A86B5B">
        <w:rPr>
          <w:sz w:val="24"/>
          <w:szCs w:val="24"/>
          <w:lang w:val="en-US"/>
        </w:rPr>
        <w:t>During the urine storage phase, when urine accumulates in the bladder, sympathetic nerve stimulation predominates. Noradrenaline is released from nerve terminals, leading predominantly to beta adrenoceptor activation in the bladder musculature, and hence bladder smooth muscle relaxation. During the urine voiding phase, the bladder is predominantly under parasympathetic nervous system control. Acetylcholine, released from pelvic nerve terminals, stimulates cholinergic M2 and M3 receptors, inducing bladder contraction. The activation of the M2 pathway also inhibits beta 3</w:t>
      </w:r>
      <w:r w:rsidRPr="00A86B5B">
        <w:rPr>
          <w:sz w:val="24"/>
          <w:szCs w:val="24"/>
          <w:lang w:val="en-US"/>
        </w:rPr>
        <w:noBreakHyphen/>
        <w:t>adrenoceptor induced increases in cAMP. Therefore beta 3-adrenoceptor stimulation should not interfere with the voiding process. This was confirmed in rats with partial urethral obstruction, where mirabegron decreased the frequency of non-voiding contractions without affecting the voided volume per micturition, voiding pressure, or residual urine volume.</w:t>
      </w:r>
    </w:p>
    <w:p w14:paraId="1B011088" w14:textId="77777777" w:rsidR="007606FB" w:rsidRPr="00A86B5B" w:rsidRDefault="007606FB" w:rsidP="00591653">
      <w:pPr>
        <w:ind w:left="851"/>
        <w:rPr>
          <w:sz w:val="24"/>
          <w:szCs w:val="24"/>
          <w:lang w:val="en-US"/>
        </w:rPr>
      </w:pPr>
    </w:p>
    <w:p w14:paraId="12E3E5EF" w14:textId="77777777" w:rsidR="007606FB" w:rsidRPr="00A86B5B" w:rsidRDefault="007606FB" w:rsidP="00591653">
      <w:pPr>
        <w:ind w:left="851"/>
        <w:rPr>
          <w:sz w:val="24"/>
          <w:szCs w:val="24"/>
          <w:u w:val="single"/>
          <w:lang w:val="en-US"/>
        </w:rPr>
      </w:pPr>
      <w:r w:rsidRPr="00A86B5B">
        <w:rPr>
          <w:sz w:val="24"/>
          <w:szCs w:val="24"/>
          <w:u w:val="single"/>
          <w:lang w:val="en-US"/>
        </w:rPr>
        <w:t>Pharmacodynamic effects</w:t>
      </w:r>
    </w:p>
    <w:p w14:paraId="4BF8C1F6" w14:textId="77777777" w:rsidR="007606FB" w:rsidRPr="00A86B5B" w:rsidRDefault="007606FB" w:rsidP="00591653">
      <w:pPr>
        <w:ind w:left="851"/>
        <w:rPr>
          <w:sz w:val="24"/>
          <w:szCs w:val="24"/>
          <w:u w:val="single"/>
          <w:lang w:val="en-US"/>
        </w:rPr>
      </w:pPr>
    </w:p>
    <w:p w14:paraId="2135E6CA" w14:textId="77777777" w:rsidR="007606FB" w:rsidRPr="00A86B5B" w:rsidRDefault="007606FB" w:rsidP="00591653">
      <w:pPr>
        <w:ind w:left="851"/>
        <w:rPr>
          <w:i/>
          <w:sz w:val="24"/>
          <w:szCs w:val="24"/>
          <w:lang w:val="en-US"/>
        </w:rPr>
      </w:pPr>
      <w:r w:rsidRPr="00A86B5B">
        <w:rPr>
          <w:i/>
          <w:sz w:val="24"/>
          <w:szCs w:val="24"/>
          <w:lang w:val="en-US"/>
        </w:rPr>
        <w:t>Urodynamics</w:t>
      </w:r>
    </w:p>
    <w:p w14:paraId="2BE3A6DB" w14:textId="77777777" w:rsidR="007606FB" w:rsidRPr="00A86B5B" w:rsidRDefault="007606FB" w:rsidP="00591653">
      <w:pPr>
        <w:ind w:left="851"/>
        <w:rPr>
          <w:sz w:val="24"/>
          <w:szCs w:val="24"/>
          <w:lang w:val="en-US"/>
        </w:rPr>
      </w:pPr>
      <w:r w:rsidRPr="00A86B5B">
        <w:rPr>
          <w:sz w:val="24"/>
          <w:szCs w:val="24"/>
          <w:lang w:val="en-US"/>
        </w:rPr>
        <w:t xml:space="preserve">Mirabegron at doses of 50 mg and 100 mg once daily for 12 weeks in men with lower urinary tract symptoms (LUTS) and bladder outlet obstruction (BOO) showed no effect on </w:t>
      </w:r>
      <w:proofErr w:type="spellStart"/>
      <w:r w:rsidRPr="00A86B5B">
        <w:rPr>
          <w:sz w:val="24"/>
          <w:szCs w:val="24"/>
          <w:lang w:val="en-US"/>
        </w:rPr>
        <w:t>cystometry</w:t>
      </w:r>
      <w:proofErr w:type="spellEnd"/>
      <w:r w:rsidRPr="00A86B5B">
        <w:rPr>
          <w:sz w:val="24"/>
          <w:szCs w:val="24"/>
          <w:lang w:val="en-US"/>
        </w:rPr>
        <w:t xml:space="preserve"> parameters and was safe and well tolerated. The effects of mirabegron on </w:t>
      </w:r>
      <w:r w:rsidRPr="00A86B5B">
        <w:rPr>
          <w:sz w:val="24"/>
          <w:szCs w:val="24"/>
          <w:lang w:val="en-US"/>
        </w:rPr>
        <w:lastRenderedPageBreak/>
        <w:t>maximum flow rate and detrusor pressure at maximum flow rate were assessed in this urodynamic study consisting of 200 male patients with LUTS and BOO. Administration of mirabegron at doses of 50 mg and 100 mg once daily for 12 weeks did not adversely affect the maximum flow rate or detrusor pressure at maximum flow rate. In this study in male patients with LUTS/BOO, the adjusted mean (SE) change from baseline to end of treatment in post void residual volume (mL) was 0.55 (10.702), 17.89 (10.190), 30.77 (10.598) for the placebo, mirabegron 50 mg and mirabegron 100 mg treatment groups.</w:t>
      </w:r>
    </w:p>
    <w:p w14:paraId="5784E05F" w14:textId="77777777" w:rsidR="007606FB" w:rsidRPr="00A86B5B" w:rsidRDefault="007606FB" w:rsidP="00591653">
      <w:pPr>
        <w:ind w:left="851"/>
        <w:rPr>
          <w:sz w:val="24"/>
          <w:szCs w:val="24"/>
          <w:lang w:val="en-US"/>
        </w:rPr>
      </w:pPr>
    </w:p>
    <w:p w14:paraId="1FA07AEC" w14:textId="77777777" w:rsidR="007606FB" w:rsidRPr="00A86B5B" w:rsidRDefault="007606FB" w:rsidP="00591653">
      <w:pPr>
        <w:ind w:left="851"/>
        <w:rPr>
          <w:i/>
          <w:sz w:val="24"/>
          <w:szCs w:val="24"/>
          <w:lang w:val="en-US"/>
        </w:rPr>
      </w:pPr>
      <w:r w:rsidRPr="00A86B5B">
        <w:rPr>
          <w:i/>
          <w:sz w:val="24"/>
          <w:szCs w:val="24"/>
          <w:lang w:val="en-US"/>
        </w:rPr>
        <w:t>Effect on QT interval</w:t>
      </w:r>
    </w:p>
    <w:p w14:paraId="6A98847A" w14:textId="77777777" w:rsidR="007606FB" w:rsidRPr="00A86B5B" w:rsidRDefault="007606FB" w:rsidP="00591653">
      <w:pPr>
        <w:ind w:left="851"/>
        <w:rPr>
          <w:sz w:val="24"/>
          <w:szCs w:val="24"/>
          <w:lang w:val="en-US"/>
        </w:rPr>
      </w:pPr>
      <w:r w:rsidRPr="00A86B5B">
        <w:rPr>
          <w:sz w:val="24"/>
          <w:szCs w:val="24"/>
          <w:lang w:val="en-US"/>
        </w:rPr>
        <w:t>Mirabegron at doses of 50 mg or 100 mg had no effect on the QT interval individually corrected for heart rate (</w:t>
      </w:r>
      <w:proofErr w:type="spellStart"/>
      <w:r w:rsidRPr="00A86B5B">
        <w:rPr>
          <w:sz w:val="24"/>
          <w:szCs w:val="24"/>
          <w:lang w:val="en-US"/>
        </w:rPr>
        <w:t>QTcI</w:t>
      </w:r>
      <w:proofErr w:type="spellEnd"/>
      <w:r w:rsidRPr="00A86B5B">
        <w:rPr>
          <w:sz w:val="24"/>
          <w:szCs w:val="24"/>
          <w:lang w:val="en-US"/>
        </w:rPr>
        <w:t xml:space="preserve"> interval) when evaluated either by sex or by the overall group.</w:t>
      </w:r>
    </w:p>
    <w:p w14:paraId="781F26DE" w14:textId="77777777" w:rsidR="007606FB" w:rsidRPr="00A86B5B" w:rsidRDefault="007606FB" w:rsidP="00591653">
      <w:pPr>
        <w:ind w:left="851"/>
        <w:rPr>
          <w:sz w:val="24"/>
          <w:szCs w:val="24"/>
          <w:lang w:val="en-US"/>
        </w:rPr>
      </w:pPr>
    </w:p>
    <w:p w14:paraId="5E22F7BA" w14:textId="77777777" w:rsidR="007606FB" w:rsidRPr="00A86B5B" w:rsidRDefault="007606FB" w:rsidP="00591653">
      <w:pPr>
        <w:ind w:left="851"/>
        <w:rPr>
          <w:sz w:val="24"/>
          <w:szCs w:val="24"/>
          <w:lang w:val="en-US"/>
        </w:rPr>
      </w:pPr>
      <w:r w:rsidRPr="00A86B5B">
        <w:rPr>
          <w:sz w:val="24"/>
          <w:szCs w:val="24"/>
          <w:lang w:val="en-US"/>
        </w:rPr>
        <w:t xml:space="preserve">A thorough QT (TQT) study (n=164 healthy male and n=153 healthy female volunteers with a mean age of 33 years) evaluated the effect of repeat oral dosing of mirabegron at the indicated dose (50 mg once daily) and two supra-therapeutic doses (100 and 200 mg once daily) on the </w:t>
      </w:r>
      <w:proofErr w:type="spellStart"/>
      <w:r w:rsidRPr="00A86B5B">
        <w:rPr>
          <w:sz w:val="24"/>
          <w:szCs w:val="24"/>
          <w:lang w:val="en-US"/>
        </w:rPr>
        <w:t>QTcI</w:t>
      </w:r>
      <w:proofErr w:type="spellEnd"/>
      <w:r w:rsidRPr="00A86B5B">
        <w:rPr>
          <w:sz w:val="24"/>
          <w:szCs w:val="24"/>
          <w:lang w:val="en-US"/>
        </w:rPr>
        <w:t xml:space="preserve"> interval. The supra-therapeutic doses represent approximately 2.6</w:t>
      </w:r>
      <w:r w:rsidRPr="00A86B5B">
        <w:rPr>
          <w:sz w:val="24"/>
          <w:szCs w:val="24"/>
          <w:lang w:val="en-US"/>
        </w:rPr>
        <w:noBreakHyphen/>
        <w:t xml:space="preserve"> and 6.5</w:t>
      </w:r>
      <w:r w:rsidRPr="00A86B5B">
        <w:rPr>
          <w:sz w:val="24"/>
          <w:szCs w:val="24"/>
          <w:lang w:val="en-US"/>
        </w:rPr>
        <w:noBreakHyphen/>
        <w:t>fold the exposure of the therapeutic dose, respectively. A single 400 mg dose of moxifloxacin was used as a positive control. Each dose level of mirabegron and moxifloxacin was evaluated in separate treatment arms each including placebo-control (parallel cross-over design). For both males and females administered mirabegron at 50 mg and 100 mg, the upper bound of the one-sided 95% confidence interval did not exceed 10 </w:t>
      </w:r>
      <w:proofErr w:type="spellStart"/>
      <w:r w:rsidRPr="00A86B5B">
        <w:rPr>
          <w:sz w:val="24"/>
          <w:szCs w:val="24"/>
          <w:lang w:val="en-US"/>
        </w:rPr>
        <w:t>msec</w:t>
      </w:r>
      <w:proofErr w:type="spellEnd"/>
      <w:r w:rsidRPr="00A86B5B">
        <w:rPr>
          <w:sz w:val="24"/>
          <w:szCs w:val="24"/>
          <w:lang w:val="en-US"/>
        </w:rPr>
        <w:t xml:space="preserve"> at any time point for the largest time-matched mean difference from placebo in the </w:t>
      </w:r>
      <w:proofErr w:type="spellStart"/>
      <w:r w:rsidRPr="00A86B5B">
        <w:rPr>
          <w:sz w:val="24"/>
          <w:szCs w:val="24"/>
          <w:lang w:val="en-US"/>
        </w:rPr>
        <w:t>QTcI</w:t>
      </w:r>
      <w:proofErr w:type="spellEnd"/>
      <w:r w:rsidRPr="00A86B5B">
        <w:rPr>
          <w:sz w:val="24"/>
          <w:szCs w:val="24"/>
          <w:lang w:val="en-US"/>
        </w:rPr>
        <w:t xml:space="preserve"> interval. In females administered mirabegron at the 50 mg dose, the mean difference from placebo on </w:t>
      </w:r>
      <w:proofErr w:type="spellStart"/>
      <w:r w:rsidRPr="00A86B5B">
        <w:rPr>
          <w:sz w:val="24"/>
          <w:szCs w:val="24"/>
          <w:lang w:val="en-US"/>
        </w:rPr>
        <w:t>QTcI</w:t>
      </w:r>
      <w:proofErr w:type="spellEnd"/>
      <w:r w:rsidRPr="00A86B5B">
        <w:rPr>
          <w:sz w:val="24"/>
          <w:szCs w:val="24"/>
          <w:lang w:val="en-US"/>
        </w:rPr>
        <w:t xml:space="preserve"> interval at 5 hours post dose was 3.67 </w:t>
      </w:r>
      <w:proofErr w:type="spellStart"/>
      <w:r w:rsidRPr="00A86B5B">
        <w:rPr>
          <w:sz w:val="24"/>
          <w:szCs w:val="24"/>
          <w:lang w:val="en-US"/>
        </w:rPr>
        <w:t>msec</w:t>
      </w:r>
      <w:proofErr w:type="spellEnd"/>
      <w:r w:rsidRPr="00A86B5B">
        <w:rPr>
          <w:sz w:val="24"/>
          <w:szCs w:val="24"/>
          <w:lang w:val="en-US"/>
        </w:rPr>
        <w:t xml:space="preserve"> (upper bound of the one-sided 95% CI 5.72 </w:t>
      </w:r>
      <w:proofErr w:type="spellStart"/>
      <w:r w:rsidRPr="00A86B5B">
        <w:rPr>
          <w:sz w:val="24"/>
          <w:szCs w:val="24"/>
          <w:lang w:val="en-US"/>
        </w:rPr>
        <w:t>msec</w:t>
      </w:r>
      <w:proofErr w:type="spellEnd"/>
      <w:r w:rsidRPr="00A86B5B">
        <w:rPr>
          <w:sz w:val="24"/>
          <w:szCs w:val="24"/>
          <w:lang w:val="en-US"/>
        </w:rPr>
        <w:t>). In males, the difference was 2.89 </w:t>
      </w:r>
      <w:proofErr w:type="spellStart"/>
      <w:r w:rsidRPr="00A86B5B">
        <w:rPr>
          <w:sz w:val="24"/>
          <w:szCs w:val="24"/>
          <w:lang w:val="en-US"/>
        </w:rPr>
        <w:t>msec</w:t>
      </w:r>
      <w:proofErr w:type="spellEnd"/>
      <w:r w:rsidRPr="00A86B5B">
        <w:rPr>
          <w:sz w:val="24"/>
          <w:szCs w:val="24"/>
          <w:lang w:val="en-US"/>
        </w:rPr>
        <w:t xml:space="preserve"> (upper bound of the one-sided 95% CI 4.90 </w:t>
      </w:r>
      <w:proofErr w:type="spellStart"/>
      <w:r w:rsidRPr="00A86B5B">
        <w:rPr>
          <w:sz w:val="24"/>
          <w:szCs w:val="24"/>
          <w:lang w:val="en-US"/>
        </w:rPr>
        <w:t>msec</w:t>
      </w:r>
      <w:proofErr w:type="spellEnd"/>
      <w:r w:rsidRPr="00A86B5B">
        <w:rPr>
          <w:sz w:val="24"/>
          <w:szCs w:val="24"/>
          <w:lang w:val="en-US"/>
        </w:rPr>
        <w:t xml:space="preserve">). At a mirabegron dose of 200 mg, the </w:t>
      </w:r>
      <w:proofErr w:type="spellStart"/>
      <w:r w:rsidRPr="00A86B5B">
        <w:rPr>
          <w:sz w:val="24"/>
          <w:szCs w:val="24"/>
          <w:lang w:val="en-US"/>
        </w:rPr>
        <w:t>QTcI</w:t>
      </w:r>
      <w:proofErr w:type="spellEnd"/>
      <w:r w:rsidRPr="00A86B5B">
        <w:rPr>
          <w:sz w:val="24"/>
          <w:szCs w:val="24"/>
          <w:lang w:val="en-US"/>
        </w:rPr>
        <w:t xml:space="preserve"> interval did not exceed 10 </w:t>
      </w:r>
      <w:proofErr w:type="spellStart"/>
      <w:r w:rsidRPr="00A86B5B">
        <w:rPr>
          <w:sz w:val="24"/>
          <w:szCs w:val="24"/>
          <w:lang w:val="en-US"/>
        </w:rPr>
        <w:t>msec</w:t>
      </w:r>
      <w:proofErr w:type="spellEnd"/>
      <w:r w:rsidRPr="00A86B5B">
        <w:rPr>
          <w:sz w:val="24"/>
          <w:szCs w:val="24"/>
          <w:lang w:val="en-US"/>
        </w:rPr>
        <w:t xml:space="preserve"> at any time point in males, while in females the upper bound of the one-sided 95% confidence interval did exceed 10 </w:t>
      </w:r>
      <w:proofErr w:type="spellStart"/>
      <w:r w:rsidRPr="00A86B5B">
        <w:rPr>
          <w:sz w:val="24"/>
          <w:szCs w:val="24"/>
          <w:lang w:val="en-US"/>
        </w:rPr>
        <w:t>msec</w:t>
      </w:r>
      <w:proofErr w:type="spellEnd"/>
      <w:r w:rsidRPr="00A86B5B">
        <w:rPr>
          <w:sz w:val="24"/>
          <w:szCs w:val="24"/>
          <w:lang w:val="en-US"/>
        </w:rPr>
        <w:t xml:space="preserve"> between 0.5</w:t>
      </w:r>
      <w:r w:rsidRPr="00A86B5B">
        <w:rPr>
          <w:sz w:val="24"/>
          <w:szCs w:val="24"/>
          <w:lang w:val="en-US"/>
        </w:rPr>
        <w:noBreakHyphen/>
        <w:t>6 hours, with a maximum difference from placebo at 5 hours where the mean effect was 10.42 </w:t>
      </w:r>
      <w:proofErr w:type="spellStart"/>
      <w:r w:rsidRPr="00A86B5B">
        <w:rPr>
          <w:sz w:val="24"/>
          <w:szCs w:val="24"/>
          <w:lang w:val="en-US"/>
        </w:rPr>
        <w:t>msec</w:t>
      </w:r>
      <w:proofErr w:type="spellEnd"/>
      <w:r w:rsidRPr="00A86B5B">
        <w:rPr>
          <w:sz w:val="24"/>
          <w:szCs w:val="24"/>
          <w:lang w:val="en-US"/>
        </w:rPr>
        <w:t xml:space="preserve"> (upper bound of the one-sided 95% CI 13.44 </w:t>
      </w:r>
      <w:proofErr w:type="spellStart"/>
      <w:r w:rsidRPr="00A86B5B">
        <w:rPr>
          <w:sz w:val="24"/>
          <w:szCs w:val="24"/>
          <w:lang w:val="en-US"/>
        </w:rPr>
        <w:t>msec</w:t>
      </w:r>
      <w:proofErr w:type="spellEnd"/>
      <w:r w:rsidRPr="00A86B5B">
        <w:rPr>
          <w:sz w:val="24"/>
          <w:szCs w:val="24"/>
          <w:lang w:val="en-US"/>
        </w:rPr>
        <w:t xml:space="preserve">). Results for </w:t>
      </w:r>
      <w:proofErr w:type="spellStart"/>
      <w:r w:rsidRPr="00A86B5B">
        <w:rPr>
          <w:sz w:val="24"/>
          <w:szCs w:val="24"/>
          <w:lang w:val="en-US"/>
        </w:rPr>
        <w:t>QTcF</w:t>
      </w:r>
      <w:proofErr w:type="spellEnd"/>
      <w:r w:rsidRPr="00A86B5B">
        <w:rPr>
          <w:sz w:val="24"/>
          <w:szCs w:val="24"/>
          <w:lang w:val="en-US"/>
        </w:rPr>
        <w:t xml:space="preserve"> and </w:t>
      </w:r>
      <w:proofErr w:type="spellStart"/>
      <w:r w:rsidRPr="00A86B5B">
        <w:rPr>
          <w:sz w:val="24"/>
          <w:szCs w:val="24"/>
          <w:lang w:val="en-US"/>
        </w:rPr>
        <w:t>QTcIf</w:t>
      </w:r>
      <w:proofErr w:type="spellEnd"/>
      <w:r w:rsidRPr="00A86B5B">
        <w:rPr>
          <w:sz w:val="24"/>
          <w:szCs w:val="24"/>
          <w:lang w:val="en-US"/>
        </w:rPr>
        <w:t xml:space="preserve"> were consistent with </w:t>
      </w:r>
      <w:proofErr w:type="spellStart"/>
      <w:r w:rsidRPr="00A86B5B">
        <w:rPr>
          <w:sz w:val="24"/>
          <w:szCs w:val="24"/>
          <w:lang w:val="en-US"/>
        </w:rPr>
        <w:t>QTcI</w:t>
      </w:r>
      <w:proofErr w:type="spellEnd"/>
      <w:r w:rsidRPr="00A86B5B">
        <w:rPr>
          <w:sz w:val="24"/>
          <w:szCs w:val="24"/>
          <w:lang w:val="en-US"/>
        </w:rPr>
        <w:t>.</w:t>
      </w:r>
    </w:p>
    <w:p w14:paraId="7E8675C1" w14:textId="77777777" w:rsidR="007606FB" w:rsidRPr="00A86B5B" w:rsidRDefault="007606FB" w:rsidP="00591653">
      <w:pPr>
        <w:ind w:left="851"/>
        <w:rPr>
          <w:sz w:val="24"/>
          <w:szCs w:val="24"/>
          <w:lang w:val="en-US"/>
        </w:rPr>
      </w:pPr>
    </w:p>
    <w:p w14:paraId="07606F7E" w14:textId="77777777" w:rsidR="007606FB" w:rsidRPr="00A86B5B" w:rsidRDefault="007606FB" w:rsidP="00591653">
      <w:pPr>
        <w:ind w:left="851"/>
        <w:rPr>
          <w:sz w:val="24"/>
          <w:szCs w:val="24"/>
          <w:lang w:val="en-US"/>
        </w:rPr>
      </w:pPr>
      <w:r w:rsidRPr="00A86B5B">
        <w:rPr>
          <w:sz w:val="24"/>
          <w:szCs w:val="24"/>
          <w:lang w:val="en-US"/>
        </w:rPr>
        <w:t>In this TQT study, mirabegron increased heart rate on ECG in a dose dependent manner across the 50 mg to 200 mg dose range examined. The maximum mean difference from placebo in heart rate ranged from 6.7 bpm with mirabegron 50 mg up to 17.3 bpm with mirabegron 200 mg in healthy subjects.</w:t>
      </w:r>
    </w:p>
    <w:p w14:paraId="19A1EA5A" w14:textId="77777777" w:rsidR="007606FB" w:rsidRPr="00A86B5B" w:rsidRDefault="007606FB" w:rsidP="00591653">
      <w:pPr>
        <w:ind w:left="851"/>
        <w:rPr>
          <w:sz w:val="24"/>
          <w:szCs w:val="24"/>
          <w:lang w:val="en-US"/>
        </w:rPr>
      </w:pPr>
    </w:p>
    <w:p w14:paraId="73A82D4C" w14:textId="77777777" w:rsidR="007606FB" w:rsidRPr="00A86B5B" w:rsidRDefault="007606FB" w:rsidP="00591653">
      <w:pPr>
        <w:ind w:left="851"/>
        <w:rPr>
          <w:i/>
          <w:sz w:val="24"/>
          <w:szCs w:val="24"/>
          <w:lang w:val="en-US"/>
        </w:rPr>
      </w:pPr>
      <w:r w:rsidRPr="00A86B5B">
        <w:rPr>
          <w:i/>
          <w:sz w:val="24"/>
          <w:szCs w:val="24"/>
          <w:lang w:val="en-US"/>
        </w:rPr>
        <w:t>Effects on pulse rate and blood pressure in patients with OAB</w:t>
      </w:r>
    </w:p>
    <w:p w14:paraId="15DEBC11" w14:textId="77777777" w:rsidR="007606FB" w:rsidRPr="00A86B5B" w:rsidRDefault="007606FB" w:rsidP="00591653">
      <w:pPr>
        <w:ind w:left="851"/>
        <w:rPr>
          <w:sz w:val="24"/>
          <w:szCs w:val="24"/>
          <w:lang w:val="en-US"/>
        </w:rPr>
      </w:pPr>
      <w:r w:rsidRPr="00A86B5B">
        <w:rPr>
          <w:sz w:val="24"/>
          <w:szCs w:val="24"/>
          <w:lang w:val="en-US"/>
        </w:rPr>
        <w:t>In OAB patients (mean age of 59 years) across three 12</w:t>
      </w:r>
      <w:r w:rsidRPr="00A86B5B">
        <w:rPr>
          <w:sz w:val="24"/>
          <w:szCs w:val="24"/>
          <w:lang w:val="en-US"/>
        </w:rPr>
        <w:noBreakHyphen/>
        <w:t xml:space="preserve">week phase 3 double blind, </w:t>
      </w:r>
      <w:proofErr w:type="gramStart"/>
      <w:r w:rsidRPr="00A86B5B">
        <w:rPr>
          <w:sz w:val="24"/>
          <w:szCs w:val="24"/>
          <w:lang w:val="en-US"/>
        </w:rPr>
        <w:t>placebo controlled</w:t>
      </w:r>
      <w:proofErr w:type="gramEnd"/>
      <w:r w:rsidRPr="00A86B5B">
        <w:rPr>
          <w:sz w:val="24"/>
          <w:szCs w:val="24"/>
          <w:lang w:val="en-US"/>
        </w:rPr>
        <w:t xml:space="preserve"> studies receiving mirabegron 50 mg once daily, an increase in mean difference from placebo of approximately 1 bpm for pulse rate and approximately 1 mm Hg or less in systolic blood pressure/diastolic blood pressure (SBP/DBP) was observed. Changes in pulse rate and blood pressure are reversible upon discontinuation of treatment. </w:t>
      </w:r>
    </w:p>
    <w:p w14:paraId="1CE18A9B" w14:textId="77777777" w:rsidR="007606FB" w:rsidRPr="00A86B5B" w:rsidRDefault="007606FB" w:rsidP="00591653">
      <w:pPr>
        <w:ind w:left="851"/>
        <w:rPr>
          <w:sz w:val="24"/>
          <w:szCs w:val="24"/>
          <w:lang w:val="en-US"/>
        </w:rPr>
      </w:pPr>
    </w:p>
    <w:p w14:paraId="138F1927" w14:textId="77777777" w:rsidR="007606FB" w:rsidRPr="00A86B5B" w:rsidRDefault="007606FB" w:rsidP="00591653">
      <w:pPr>
        <w:ind w:left="851"/>
        <w:rPr>
          <w:i/>
          <w:sz w:val="24"/>
          <w:szCs w:val="24"/>
          <w:lang w:val="en-US"/>
        </w:rPr>
      </w:pPr>
      <w:r w:rsidRPr="00A86B5B">
        <w:rPr>
          <w:i/>
          <w:sz w:val="24"/>
          <w:szCs w:val="24"/>
          <w:lang w:val="en-US"/>
        </w:rPr>
        <w:t>Effect on intraocular pressure (IOP)</w:t>
      </w:r>
    </w:p>
    <w:p w14:paraId="73C4B386" w14:textId="77777777" w:rsidR="007606FB" w:rsidRPr="00A86B5B" w:rsidRDefault="007606FB" w:rsidP="00591653">
      <w:pPr>
        <w:ind w:left="851"/>
        <w:rPr>
          <w:sz w:val="24"/>
          <w:szCs w:val="24"/>
          <w:lang w:val="en-US"/>
        </w:rPr>
      </w:pPr>
      <w:r w:rsidRPr="00A86B5B">
        <w:rPr>
          <w:sz w:val="24"/>
          <w:szCs w:val="24"/>
          <w:lang w:val="en-US"/>
        </w:rPr>
        <w:t xml:space="preserve">Mirabegron 100 mg once daily did not increase IOP in healthy subjects after 56 days of treatment. In a phase 1 study assessing the effect of mirabegron on IOP using </w:t>
      </w:r>
      <w:proofErr w:type="spellStart"/>
      <w:r w:rsidRPr="00A86B5B">
        <w:rPr>
          <w:sz w:val="24"/>
          <w:szCs w:val="24"/>
          <w:lang w:val="en-US"/>
        </w:rPr>
        <w:t>Goldmann</w:t>
      </w:r>
      <w:proofErr w:type="spellEnd"/>
      <w:r w:rsidRPr="00A86B5B">
        <w:rPr>
          <w:sz w:val="24"/>
          <w:szCs w:val="24"/>
          <w:lang w:val="en-US"/>
        </w:rPr>
        <w:t xml:space="preserve"> applanation tonometry in 310 healthy subjects, a dose of mirabegron 100 mg was non-</w:t>
      </w:r>
      <w:r w:rsidRPr="00A86B5B">
        <w:rPr>
          <w:sz w:val="24"/>
          <w:szCs w:val="24"/>
          <w:lang w:val="en-US"/>
        </w:rPr>
        <w:lastRenderedPageBreak/>
        <w:t>inferior to placebo for the primary endpoint of the treatment difference in mean change from baseline to day 56 in subject-average IOP; the upper bound of the two-sided 95% CI of the treatment difference between mirabegron 100 mg and placebo was 0.3 mm Hg.</w:t>
      </w:r>
    </w:p>
    <w:p w14:paraId="5C280B06" w14:textId="77777777" w:rsidR="007606FB" w:rsidRPr="00A86B5B" w:rsidRDefault="007606FB" w:rsidP="00591653">
      <w:pPr>
        <w:ind w:left="851"/>
        <w:rPr>
          <w:sz w:val="24"/>
          <w:szCs w:val="24"/>
          <w:lang w:val="en-US"/>
        </w:rPr>
      </w:pPr>
    </w:p>
    <w:p w14:paraId="073BBC06" w14:textId="77777777" w:rsidR="007606FB" w:rsidRPr="00A86B5B" w:rsidRDefault="007606FB" w:rsidP="00591653">
      <w:pPr>
        <w:ind w:left="851"/>
        <w:rPr>
          <w:sz w:val="24"/>
          <w:szCs w:val="24"/>
          <w:u w:val="single"/>
          <w:lang w:val="en-US"/>
        </w:rPr>
      </w:pPr>
      <w:r w:rsidRPr="00A86B5B">
        <w:rPr>
          <w:sz w:val="24"/>
          <w:szCs w:val="24"/>
          <w:u w:val="single"/>
          <w:lang w:val="en-US"/>
        </w:rPr>
        <w:t>Clinical efficacy and safety</w:t>
      </w:r>
    </w:p>
    <w:p w14:paraId="19A8F9AA" w14:textId="77777777" w:rsidR="007606FB" w:rsidRPr="00A86B5B" w:rsidRDefault="007606FB" w:rsidP="00591653">
      <w:pPr>
        <w:ind w:left="851"/>
        <w:rPr>
          <w:sz w:val="24"/>
          <w:szCs w:val="24"/>
          <w:u w:val="single"/>
          <w:lang w:val="en-US"/>
        </w:rPr>
      </w:pPr>
    </w:p>
    <w:p w14:paraId="027EAD2D" w14:textId="77777777" w:rsidR="007606FB" w:rsidRPr="00A86B5B" w:rsidRDefault="007606FB" w:rsidP="00591653">
      <w:pPr>
        <w:ind w:left="851"/>
        <w:rPr>
          <w:sz w:val="24"/>
          <w:szCs w:val="24"/>
          <w:lang w:val="en-US"/>
        </w:rPr>
      </w:pPr>
      <w:r w:rsidRPr="00A86B5B">
        <w:rPr>
          <w:sz w:val="24"/>
          <w:szCs w:val="24"/>
          <w:lang w:val="en-US"/>
        </w:rPr>
        <w:t>Efficacy of mirabegron was evaluated in three phase 3 randomized, double blind, placebo controlled, 12</w:t>
      </w:r>
      <w:r w:rsidRPr="00A86B5B">
        <w:rPr>
          <w:sz w:val="24"/>
          <w:szCs w:val="24"/>
          <w:lang w:val="en-US"/>
        </w:rPr>
        <w:noBreakHyphen/>
        <w:t>week studies for the treatment of overactive bladder with symptoms of urgency and frequency with or without incontinence. Female (72%) and male (28%) patients with a mean age of 59 years (range 18 - 95 years) were included. The study population consisted of approximately 48% antimuscarinic treatment naïve patients as well as approximately 52% patients previously treated with antimuscarinic medicinal products. In one study, 495 patients received an active control (tolterodine prolonged release formulation).</w:t>
      </w:r>
    </w:p>
    <w:p w14:paraId="50C65696" w14:textId="77777777" w:rsidR="007606FB" w:rsidRPr="00A86B5B" w:rsidRDefault="007606FB" w:rsidP="00591653">
      <w:pPr>
        <w:ind w:left="851"/>
        <w:rPr>
          <w:sz w:val="24"/>
          <w:szCs w:val="24"/>
          <w:lang w:val="en-US"/>
        </w:rPr>
      </w:pPr>
    </w:p>
    <w:p w14:paraId="63F49E05" w14:textId="77777777" w:rsidR="007606FB" w:rsidRPr="00A86B5B" w:rsidRDefault="007606FB" w:rsidP="00591653">
      <w:pPr>
        <w:ind w:left="851"/>
        <w:rPr>
          <w:sz w:val="24"/>
          <w:szCs w:val="24"/>
          <w:lang w:val="en-US"/>
        </w:rPr>
      </w:pPr>
      <w:r w:rsidRPr="00A86B5B">
        <w:rPr>
          <w:sz w:val="24"/>
          <w:szCs w:val="24"/>
          <w:lang w:val="en-US"/>
        </w:rPr>
        <w:t xml:space="preserve">The co-primary efficacy endpoints were (1) change from baseline to end of treatment in mean number of incontinence episodes per 24 hours and (2) change from baseline to end of treatment in mean number of </w:t>
      </w:r>
      <w:proofErr w:type="spellStart"/>
      <w:r w:rsidRPr="00A86B5B">
        <w:rPr>
          <w:sz w:val="24"/>
          <w:szCs w:val="24"/>
          <w:lang w:val="en-US"/>
        </w:rPr>
        <w:t>micturitions</w:t>
      </w:r>
      <w:proofErr w:type="spellEnd"/>
      <w:r w:rsidRPr="00A86B5B">
        <w:rPr>
          <w:sz w:val="24"/>
          <w:szCs w:val="24"/>
          <w:lang w:val="en-US"/>
        </w:rPr>
        <w:t xml:space="preserve"> per 24 hours based on a 3</w:t>
      </w:r>
      <w:r w:rsidRPr="00A86B5B">
        <w:rPr>
          <w:sz w:val="24"/>
          <w:szCs w:val="24"/>
          <w:lang w:val="en-US"/>
        </w:rPr>
        <w:noBreakHyphen/>
        <w:t>day micturition diary. Mirabegron demonstrated statistically significant larger improvements compared to placebo for both co-primary endpoints as well as secondary endpoints (see Tables 2 and 3).</w:t>
      </w:r>
    </w:p>
    <w:p w14:paraId="3A5F1B61" w14:textId="77777777" w:rsidR="007606FB" w:rsidRPr="00A86B5B" w:rsidRDefault="007606FB" w:rsidP="007606FB">
      <w:pPr>
        <w:rPr>
          <w:sz w:val="24"/>
          <w:szCs w:val="24"/>
          <w:lang w:val="en-US"/>
        </w:rPr>
      </w:pPr>
    </w:p>
    <w:p w14:paraId="6DAA31DA" w14:textId="77777777" w:rsidR="007606FB" w:rsidRPr="00A86B5B" w:rsidRDefault="007606FB" w:rsidP="007606FB">
      <w:pPr>
        <w:tabs>
          <w:tab w:val="left" w:pos="567"/>
        </w:tabs>
        <w:ind w:left="1134" w:hanging="1134"/>
        <w:rPr>
          <w:b/>
          <w:sz w:val="24"/>
          <w:szCs w:val="24"/>
          <w:lang w:val="en-US"/>
        </w:rPr>
      </w:pPr>
      <w:r w:rsidRPr="00A86B5B">
        <w:rPr>
          <w:b/>
          <w:sz w:val="24"/>
          <w:szCs w:val="24"/>
          <w:lang w:val="en-US"/>
        </w:rPr>
        <w:t>Table 2:</w:t>
      </w:r>
      <w:r w:rsidRPr="00A86B5B">
        <w:rPr>
          <w:b/>
          <w:sz w:val="24"/>
          <w:szCs w:val="24"/>
          <w:lang w:val="en-US"/>
        </w:rPr>
        <w:tab/>
        <w:t>Co-primary and selected secondary efficacy endpoints at end of treatment for pooled studies</w:t>
      </w:r>
    </w:p>
    <w:tbl>
      <w:tblPr>
        <w:tblStyle w:val="Tabel-Gitter"/>
        <w:tblW w:w="5000" w:type="pct"/>
        <w:tblInd w:w="0" w:type="dxa"/>
        <w:tblLook w:val="04A0" w:firstRow="1" w:lastRow="0" w:firstColumn="1" w:lastColumn="0" w:noHBand="0" w:noVBand="1"/>
      </w:tblPr>
      <w:tblGrid>
        <w:gridCol w:w="4514"/>
        <w:gridCol w:w="2563"/>
        <w:gridCol w:w="2551"/>
      </w:tblGrid>
      <w:tr w:rsidR="007606FB" w:rsidRPr="00A86B5B" w14:paraId="295120D0" w14:textId="77777777" w:rsidTr="00A86B5B">
        <w:trPr>
          <w:tblHeader/>
        </w:trPr>
        <w:tc>
          <w:tcPr>
            <w:tcW w:w="2344" w:type="pct"/>
            <w:vMerge w:val="restart"/>
            <w:tcBorders>
              <w:top w:val="single" w:sz="4" w:space="0" w:color="auto"/>
              <w:left w:val="single" w:sz="4" w:space="0" w:color="auto"/>
              <w:bottom w:val="single" w:sz="4" w:space="0" w:color="auto"/>
              <w:right w:val="single" w:sz="4" w:space="0" w:color="auto"/>
            </w:tcBorders>
            <w:vAlign w:val="bottom"/>
            <w:hideMark/>
          </w:tcPr>
          <w:p w14:paraId="35475B54" w14:textId="77777777" w:rsidR="007606FB" w:rsidRPr="00A86B5B" w:rsidRDefault="007606FB">
            <w:pPr>
              <w:jc w:val="center"/>
              <w:rPr>
                <w:rFonts w:cs="Times New Roman"/>
                <w:b/>
                <w:sz w:val="22"/>
              </w:rPr>
            </w:pPr>
            <w:r w:rsidRPr="00A86B5B">
              <w:rPr>
                <w:rFonts w:cs="Times New Roman"/>
                <w:b/>
                <w:sz w:val="22"/>
              </w:rPr>
              <w:t>Parameter</w:t>
            </w:r>
          </w:p>
        </w:tc>
        <w:tc>
          <w:tcPr>
            <w:tcW w:w="2656" w:type="pct"/>
            <w:gridSpan w:val="2"/>
            <w:tcBorders>
              <w:top w:val="single" w:sz="4" w:space="0" w:color="auto"/>
              <w:left w:val="single" w:sz="4" w:space="0" w:color="auto"/>
              <w:bottom w:val="single" w:sz="4" w:space="0" w:color="auto"/>
              <w:right w:val="single" w:sz="4" w:space="0" w:color="auto"/>
            </w:tcBorders>
            <w:vAlign w:val="center"/>
            <w:hideMark/>
          </w:tcPr>
          <w:p w14:paraId="0D8764FC" w14:textId="77777777" w:rsidR="007606FB" w:rsidRPr="00A86B5B" w:rsidRDefault="007606FB">
            <w:pPr>
              <w:jc w:val="center"/>
              <w:rPr>
                <w:rFonts w:cs="Times New Roman"/>
                <w:b/>
                <w:sz w:val="22"/>
              </w:rPr>
            </w:pPr>
            <w:r w:rsidRPr="00A86B5B">
              <w:rPr>
                <w:rFonts w:cs="Times New Roman"/>
                <w:b/>
                <w:sz w:val="22"/>
              </w:rPr>
              <w:t>Pooled studies</w:t>
            </w:r>
          </w:p>
          <w:p w14:paraId="1E39C541" w14:textId="77777777" w:rsidR="007606FB" w:rsidRPr="00A86B5B" w:rsidRDefault="007606FB">
            <w:pPr>
              <w:jc w:val="center"/>
              <w:rPr>
                <w:rFonts w:cs="Times New Roman"/>
                <w:sz w:val="22"/>
              </w:rPr>
            </w:pPr>
            <w:r w:rsidRPr="00A86B5B">
              <w:rPr>
                <w:rFonts w:cs="Times New Roman"/>
                <w:b/>
                <w:sz w:val="22"/>
              </w:rPr>
              <w:t>(046, 047, 074</w:t>
            </w:r>
            <w:r w:rsidRPr="00A86B5B">
              <w:rPr>
                <w:rFonts w:cs="Times New Roman"/>
                <w:sz w:val="22"/>
              </w:rPr>
              <w:t>)</w:t>
            </w:r>
          </w:p>
        </w:tc>
      </w:tr>
      <w:tr w:rsidR="007606FB" w:rsidRPr="00A86B5B" w14:paraId="514CEFF0" w14:textId="77777777" w:rsidTr="00A86B5B">
        <w:trPr>
          <w:tblHeader/>
        </w:trPr>
        <w:tc>
          <w:tcPr>
            <w:tcW w:w="2344" w:type="pct"/>
            <w:vMerge/>
            <w:tcBorders>
              <w:top w:val="single" w:sz="4" w:space="0" w:color="auto"/>
              <w:left w:val="single" w:sz="4" w:space="0" w:color="auto"/>
              <w:bottom w:val="single" w:sz="4" w:space="0" w:color="auto"/>
              <w:right w:val="single" w:sz="4" w:space="0" w:color="auto"/>
            </w:tcBorders>
            <w:vAlign w:val="center"/>
            <w:hideMark/>
          </w:tcPr>
          <w:p w14:paraId="28648901" w14:textId="77777777" w:rsidR="007606FB" w:rsidRPr="00A86B5B" w:rsidRDefault="007606FB">
            <w:pPr>
              <w:rPr>
                <w:rFonts w:cs="Times New Roman"/>
                <w:b/>
                <w:sz w:val="22"/>
              </w:rPr>
            </w:pPr>
          </w:p>
        </w:tc>
        <w:tc>
          <w:tcPr>
            <w:tcW w:w="1331" w:type="pct"/>
            <w:tcBorders>
              <w:top w:val="single" w:sz="4" w:space="0" w:color="auto"/>
              <w:left w:val="single" w:sz="4" w:space="0" w:color="auto"/>
              <w:bottom w:val="single" w:sz="4" w:space="0" w:color="auto"/>
              <w:right w:val="single" w:sz="4" w:space="0" w:color="auto"/>
            </w:tcBorders>
            <w:hideMark/>
          </w:tcPr>
          <w:p w14:paraId="33E8C31B" w14:textId="77777777" w:rsidR="007606FB" w:rsidRPr="00A86B5B" w:rsidRDefault="007606FB">
            <w:pPr>
              <w:ind w:left="-107" w:right="-103"/>
              <w:jc w:val="center"/>
              <w:rPr>
                <w:rFonts w:cs="Times New Roman"/>
                <w:b/>
                <w:sz w:val="22"/>
              </w:rPr>
            </w:pPr>
            <w:r w:rsidRPr="00A86B5B">
              <w:rPr>
                <w:rFonts w:cs="Times New Roman"/>
                <w:b/>
                <w:sz w:val="22"/>
              </w:rPr>
              <w:t>Placebo</w:t>
            </w:r>
          </w:p>
        </w:tc>
        <w:tc>
          <w:tcPr>
            <w:tcW w:w="1325" w:type="pct"/>
            <w:tcBorders>
              <w:top w:val="single" w:sz="4" w:space="0" w:color="auto"/>
              <w:left w:val="single" w:sz="4" w:space="0" w:color="auto"/>
              <w:bottom w:val="single" w:sz="4" w:space="0" w:color="auto"/>
              <w:right w:val="single" w:sz="4" w:space="0" w:color="auto"/>
            </w:tcBorders>
            <w:hideMark/>
          </w:tcPr>
          <w:p w14:paraId="0391B130" w14:textId="77777777" w:rsidR="007606FB" w:rsidRPr="00A86B5B" w:rsidRDefault="007606FB">
            <w:pPr>
              <w:ind w:left="-107" w:right="-103"/>
              <w:jc w:val="center"/>
              <w:rPr>
                <w:rFonts w:cs="Times New Roman"/>
                <w:b/>
                <w:sz w:val="22"/>
              </w:rPr>
            </w:pPr>
            <w:r w:rsidRPr="00A86B5B">
              <w:rPr>
                <w:rFonts w:cs="Times New Roman"/>
                <w:b/>
                <w:sz w:val="22"/>
              </w:rPr>
              <w:t>Mirabegron</w:t>
            </w:r>
          </w:p>
          <w:p w14:paraId="074731C4" w14:textId="77777777" w:rsidR="007606FB" w:rsidRPr="00A86B5B" w:rsidRDefault="007606FB">
            <w:pPr>
              <w:ind w:left="-107" w:right="-103"/>
              <w:jc w:val="center"/>
              <w:rPr>
                <w:rFonts w:cs="Times New Roman"/>
                <w:b/>
                <w:sz w:val="22"/>
              </w:rPr>
            </w:pPr>
            <w:r w:rsidRPr="00A86B5B">
              <w:rPr>
                <w:rFonts w:cs="Times New Roman"/>
                <w:b/>
                <w:sz w:val="22"/>
              </w:rPr>
              <w:t>50 mg</w:t>
            </w:r>
          </w:p>
        </w:tc>
      </w:tr>
      <w:tr w:rsidR="007606FB" w:rsidRPr="00531029" w14:paraId="2ED564C4" w14:textId="77777777" w:rsidTr="00A86B5B">
        <w:tc>
          <w:tcPr>
            <w:tcW w:w="5000" w:type="pct"/>
            <w:gridSpan w:val="3"/>
            <w:tcBorders>
              <w:top w:val="single" w:sz="4" w:space="0" w:color="auto"/>
              <w:left w:val="single" w:sz="4" w:space="0" w:color="auto"/>
              <w:bottom w:val="single" w:sz="4" w:space="0" w:color="auto"/>
              <w:right w:val="single" w:sz="4" w:space="0" w:color="auto"/>
            </w:tcBorders>
            <w:hideMark/>
          </w:tcPr>
          <w:p w14:paraId="0F9DABD3" w14:textId="77777777" w:rsidR="007606FB" w:rsidRPr="00A86B5B" w:rsidRDefault="007606FB">
            <w:pPr>
              <w:rPr>
                <w:rFonts w:cs="Times New Roman"/>
                <w:sz w:val="22"/>
              </w:rPr>
            </w:pPr>
            <w:r w:rsidRPr="00A86B5B">
              <w:rPr>
                <w:rFonts w:cs="Times New Roman"/>
                <w:b/>
                <w:sz w:val="22"/>
              </w:rPr>
              <w:t>Mean number of incontinence episodes per 24 hours (FAS</w:t>
            </w:r>
            <w:r w:rsidRPr="00A86B5B">
              <w:rPr>
                <w:rFonts w:cs="Times New Roman"/>
                <w:b/>
                <w:sz w:val="22"/>
              </w:rPr>
              <w:noBreakHyphen/>
              <w:t>I) (Co-primary)</w:t>
            </w:r>
          </w:p>
        </w:tc>
      </w:tr>
      <w:tr w:rsidR="007606FB" w:rsidRPr="00A86B5B" w14:paraId="440F21C1"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4B878600" w14:textId="77777777" w:rsidR="007606FB" w:rsidRPr="00A86B5B" w:rsidRDefault="007606FB">
            <w:pPr>
              <w:rPr>
                <w:rFonts w:cs="Times New Roman"/>
                <w:sz w:val="22"/>
              </w:rPr>
            </w:pPr>
            <w:r w:rsidRPr="00A86B5B">
              <w:rPr>
                <w:rFonts w:cs="Times New Roman"/>
                <w:sz w:val="22"/>
              </w:rPr>
              <w:t>n</w:t>
            </w:r>
          </w:p>
        </w:tc>
        <w:tc>
          <w:tcPr>
            <w:tcW w:w="1331" w:type="pct"/>
            <w:tcBorders>
              <w:top w:val="single" w:sz="4" w:space="0" w:color="auto"/>
              <w:left w:val="single" w:sz="4" w:space="0" w:color="auto"/>
              <w:bottom w:val="single" w:sz="4" w:space="0" w:color="auto"/>
              <w:right w:val="single" w:sz="4" w:space="0" w:color="auto"/>
            </w:tcBorders>
            <w:hideMark/>
          </w:tcPr>
          <w:p w14:paraId="292C7CD4" w14:textId="77777777" w:rsidR="007606FB" w:rsidRPr="00A86B5B" w:rsidRDefault="007606FB">
            <w:pPr>
              <w:spacing w:line="256" w:lineRule="auto"/>
              <w:ind w:left="-107" w:right="-103"/>
              <w:jc w:val="center"/>
              <w:rPr>
                <w:rFonts w:cs="Times New Roman"/>
                <w:sz w:val="22"/>
              </w:rPr>
            </w:pPr>
            <w:r w:rsidRPr="00A86B5B">
              <w:rPr>
                <w:rFonts w:cs="Times New Roman"/>
                <w:sz w:val="22"/>
              </w:rPr>
              <w:t>878</w:t>
            </w:r>
          </w:p>
        </w:tc>
        <w:tc>
          <w:tcPr>
            <w:tcW w:w="1325" w:type="pct"/>
            <w:tcBorders>
              <w:top w:val="single" w:sz="4" w:space="0" w:color="auto"/>
              <w:left w:val="single" w:sz="4" w:space="0" w:color="auto"/>
              <w:bottom w:val="single" w:sz="4" w:space="0" w:color="auto"/>
              <w:right w:val="single" w:sz="4" w:space="0" w:color="auto"/>
            </w:tcBorders>
            <w:hideMark/>
          </w:tcPr>
          <w:p w14:paraId="2ABD87CA" w14:textId="77777777" w:rsidR="007606FB" w:rsidRPr="00A86B5B" w:rsidRDefault="007606FB">
            <w:pPr>
              <w:spacing w:line="256" w:lineRule="auto"/>
              <w:ind w:left="-113" w:right="-112"/>
              <w:jc w:val="center"/>
              <w:rPr>
                <w:rFonts w:cs="Times New Roman"/>
                <w:sz w:val="22"/>
              </w:rPr>
            </w:pPr>
            <w:r w:rsidRPr="00A86B5B">
              <w:rPr>
                <w:rFonts w:cs="Times New Roman"/>
                <w:sz w:val="22"/>
              </w:rPr>
              <w:t>862</w:t>
            </w:r>
          </w:p>
        </w:tc>
      </w:tr>
      <w:tr w:rsidR="007606FB" w:rsidRPr="00A86B5B" w14:paraId="1953A58A"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138ECCFF" w14:textId="77777777" w:rsidR="007606FB" w:rsidRPr="00A86B5B" w:rsidRDefault="007606FB">
            <w:pPr>
              <w:rPr>
                <w:rFonts w:cs="Times New Roman"/>
                <w:sz w:val="22"/>
              </w:rPr>
            </w:pPr>
            <w:r w:rsidRPr="00A86B5B">
              <w:rPr>
                <w:rFonts w:cs="Times New Roman"/>
                <w:sz w:val="22"/>
              </w:rPr>
              <w:t>Mean baseline</w:t>
            </w:r>
          </w:p>
        </w:tc>
        <w:tc>
          <w:tcPr>
            <w:tcW w:w="1331" w:type="pct"/>
            <w:tcBorders>
              <w:top w:val="single" w:sz="4" w:space="0" w:color="auto"/>
              <w:left w:val="single" w:sz="4" w:space="0" w:color="auto"/>
              <w:bottom w:val="single" w:sz="4" w:space="0" w:color="auto"/>
              <w:right w:val="single" w:sz="4" w:space="0" w:color="auto"/>
            </w:tcBorders>
            <w:hideMark/>
          </w:tcPr>
          <w:p w14:paraId="685B0AFB" w14:textId="77777777" w:rsidR="007606FB" w:rsidRPr="00A86B5B" w:rsidRDefault="007606FB">
            <w:pPr>
              <w:spacing w:line="256" w:lineRule="auto"/>
              <w:ind w:left="-107" w:right="-103"/>
              <w:jc w:val="center"/>
              <w:rPr>
                <w:rFonts w:cs="Times New Roman"/>
                <w:sz w:val="22"/>
              </w:rPr>
            </w:pPr>
            <w:r w:rsidRPr="00A86B5B">
              <w:rPr>
                <w:rFonts w:cs="Times New Roman"/>
                <w:sz w:val="22"/>
              </w:rPr>
              <w:t>2.73</w:t>
            </w:r>
          </w:p>
        </w:tc>
        <w:tc>
          <w:tcPr>
            <w:tcW w:w="1325" w:type="pct"/>
            <w:tcBorders>
              <w:top w:val="single" w:sz="4" w:space="0" w:color="auto"/>
              <w:left w:val="single" w:sz="4" w:space="0" w:color="auto"/>
              <w:bottom w:val="single" w:sz="4" w:space="0" w:color="auto"/>
              <w:right w:val="single" w:sz="4" w:space="0" w:color="auto"/>
            </w:tcBorders>
            <w:hideMark/>
          </w:tcPr>
          <w:p w14:paraId="07C12FCE" w14:textId="77777777" w:rsidR="007606FB" w:rsidRPr="00A86B5B" w:rsidRDefault="007606FB">
            <w:pPr>
              <w:spacing w:line="256" w:lineRule="auto"/>
              <w:ind w:left="-113" w:right="-112"/>
              <w:jc w:val="center"/>
              <w:rPr>
                <w:rFonts w:cs="Times New Roman"/>
                <w:sz w:val="22"/>
              </w:rPr>
            </w:pPr>
            <w:r w:rsidRPr="00A86B5B">
              <w:rPr>
                <w:rFonts w:cs="Times New Roman"/>
                <w:sz w:val="22"/>
              </w:rPr>
              <w:t>2.71</w:t>
            </w:r>
          </w:p>
        </w:tc>
      </w:tr>
      <w:tr w:rsidR="007606FB" w:rsidRPr="00A86B5B" w14:paraId="5B03FB1E"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39025F59" w14:textId="77777777" w:rsidR="007606FB" w:rsidRPr="00A86B5B" w:rsidRDefault="007606FB">
            <w:pPr>
              <w:rPr>
                <w:rFonts w:cs="Times New Roman"/>
                <w:sz w:val="22"/>
              </w:rPr>
            </w:pPr>
            <w:r w:rsidRPr="00A86B5B">
              <w:rPr>
                <w:rFonts w:cs="Times New Roman"/>
                <w:sz w:val="22"/>
              </w:rPr>
              <w:t>Mean change from baseline†</w:t>
            </w:r>
          </w:p>
        </w:tc>
        <w:tc>
          <w:tcPr>
            <w:tcW w:w="1331" w:type="pct"/>
            <w:tcBorders>
              <w:top w:val="single" w:sz="4" w:space="0" w:color="auto"/>
              <w:left w:val="single" w:sz="4" w:space="0" w:color="auto"/>
              <w:bottom w:val="single" w:sz="4" w:space="0" w:color="auto"/>
              <w:right w:val="single" w:sz="4" w:space="0" w:color="auto"/>
            </w:tcBorders>
            <w:hideMark/>
          </w:tcPr>
          <w:p w14:paraId="2B10A65C" w14:textId="77777777" w:rsidR="007606FB" w:rsidRPr="00A86B5B" w:rsidRDefault="007606FB">
            <w:pPr>
              <w:spacing w:line="256" w:lineRule="auto"/>
              <w:ind w:left="-107" w:right="-103"/>
              <w:jc w:val="center"/>
              <w:rPr>
                <w:rFonts w:cs="Times New Roman"/>
                <w:sz w:val="22"/>
              </w:rPr>
            </w:pPr>
            <w:r w:rsidRPr="00A86B5B">
              <w:rPr>
                <w:rFonts w:cs="Times New Roman"/>
                <w:sz w:val="22"/>
              </w:rPr>
              <w:t>-1.10</w:t>
            </w:r>
          </w:p>
        </w:tc>
        <w:tc>
          <w:tcPr>
            <w:tcW w:w="1325" w:type="pct"/>
            <w:tcBorders>
              <w:top w:val="single" w:sz="4" w:space="0" w:color="auto"/>
              <w:left w:val="single" w:sz="4" w:space="0" w:color="auto"/>
              <w:bottom w:val="single" w:sz="4" w:space="0" w:color="auto"/>
              <w:right w:val="single" w:sz="4" w:space="0" w:color="auto"/>
            </w:tcBorders>
            <w:hideMark/>
          </w:tcPr>
          <w:p w14:paraId="38CAE6C6" w14:textId="77777777" w:rsidR="007606FB" w:rsidRPr="00A86B5B" w:rsidRDefault="007606FB">
            <w:pPr>
              <w:spacing w:line="256" w:lineRule="auto"/>
              <w:ind w:left="-113" w:right="-112"/>
              <w:jc w:val="center"/>
              <w:rPr>
                <w:rFonts w:cs="Times New Roman"/>
                <w:sz w:val="22"/>
              </w:rPr>
            </w:pPr>
            <w:r w:rsidRPr="00A86B5B">
              <w:rPr>
                <w:rFonts w:cs="Times New Roman"/>
                <w:sz w:val="22"/>
              </w:rPr>
              <w:t>-1.49</w:t>
            </w:r>
          </w:p>
        </w:tc>
      </w:tr>
      <w:tr w:rsidR="007606FB" w:rsidRPr="00A86B5B" w14:paraId="6107ED21"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42C588C9" w14:textId="77777777" w:rsidR="007606FB" w:rsidRPr="00A86B5B" w:rsidRDefault="007606FB">
            <w:pPr>
              <w:rPr>
                <w:rFonts w:cs="Times New Roman"/>
                <w:sz w:val="22"/>
              </w:rPr>
            </w:pPr>
            <w:r w:rsidRPr="00A86B5B">
              <w:rPr>
                <w:rFonts w:cs="Times New Roman"/>
                <w:sz w:val="22"/>
              </w:rPr>
              <w:t>Mean difference from placebo† (95% CI)</w:t>
            </w:r>
          </w:p>
        </w:tc>
        <w:tc>
          <w:tcPr>
            <w:tcW w:w="1331" w:type="pct"/>
            <w:tcBorders>
              <w:top w:val="single" w:sz="4" w:space="0" w:color="auto"/>
              <w:left w:val="single" w:sz="4" w:space="0" w:color="auto"/>
              <w:bottom w:val="single" w:sz="4" w:space="0" w:color="auto"/>
              <w:right w:val="single" w:sz="4" w:space="0" w:color="auto"/>
            </w:tcBorders>
            <w:hideMark/>
          </w:tcPr>
          <w:p w14:paraId="2F1D6D86" w14:textId="77777777" w:rsidR="007606FB" w:rsidRPr="00A86B5B" w:rsidRDefault="007606FB">
            <w:pPr>
              <w:spacing w:line="256" w:lineRule="auto"/>
              <w:ind w:left="-107" w:right="-103"/>
              <w:jc w:val="center"/>
              <w:rPr>
                <w:rFonts w:cs="Times New Roman"/>
                <w:sz w:val="22"/>
              </w:rPr>
            </w:pPr>
            <w:r w:rsidRPr="00A86B5B">
              <w:rPr>
                <w:rFonts w:cs="Times New Roman"/>
                <w:sz w:val="22"/>
              </w:rPr>
              <w:t>--</w:t>
            </w:r>
          </w:p>
        </w:tc>
        <w:tc>
          <w:tcPr>
            <w:tcW w:w="1325" w:type="pct"/>
            <w:tcBorders>
              <w:top w:val="single" w:sz="4" w:space="0" w:color="auto"/>
              <w:left w:val="single" w:sz="4" w:space="0" w:color="auto"/>
              <w:bottom w:val="single" w:sz="4" w:space="0" w:color="auto"/>
              <w:right w:val="single" w:sz="4" w:space="0" w:color="auto"/>
            </w:tcBorders>
            <w:hideMark/>
          </w:tcPr>
          <w:p w14:paraId="16FF73BE" w14:textId="77777777" w:rsidR="007606FB" w:rsidRPr="00A86B5B" w:rsidRDefault="007606FB">
            <w:pPr>
              <w:spacing w:line="256" w:lineRule="auto"/>
              <w:ind w:left="-113" w:right="-112"/>
              <w:jc w:val="center"/>
              <w:rPr>
                <w:rFonts w:cs="Times New Roman"/>
                <w:sz w:val="22"/>
              </w:rPr>
            </w:pPr>
            <w:r w:rsidRPr="00A86B5B">
              <w:rPr>
                <w:rFonts w:cs="Times New Roman"/>
                <w:sz w:val="22"/>
              </w:rPr>
              <w:t>-0.40 (-0.58, -0.21)</w:t>
            </w:r>
          </w:p>
        </w:tc>
      </w:tr>
      <w:tr w:rsidR="007606FB" w:rsidRPr="00A86B5B" w14:paraId="076317E9"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0820F22B" w14:textId="77777777" w:rsidR="007606FB" w:rsidRPr="00A86B5B" w:rsidRDefault="007606FB">
            <w:pPr>
              <w:rPr>
                <w:rFonts w:cs="Times New Roman"/>
                <w:sz w:val="22"/>
              </w:rPr>
            </w:pPr>
            <w:r w:rsidRPr="00A86B5B">
              <w:rPr>
                <w:rFonts w:cs="Times New Roman"/>
                <w:sz w:val="22"/>
              </w:rPr>
              <w:t>p-value</w:t>
            </w:r>
          </w:p>
        </w:tc>
        <w:tc>
          <w:tcPr>
            <w:tcW w:w="1331" w:type="pct"/>
            <w:tcBorders>
              <w:top w:val="single" w:sz="4" w:space="0" w:color="auto"/>
              <w:left w:val="single" w:sz="4" w:space="0" w:color="auto"/>
              <w:bottom w:val="single" w:sz="4" w:space="0" w:color="auto"/>
              <w:right w:val="single" w:sz="4" w:space="0" w:color="auto"/>
            </w:tcBorders>
            <w:hideMark/>
          </w:tcPr>
          <w:p w14:paraId="72F713AA" w14:textId="77777777" w:rsidR="007606FB" w:rsidRPr="00A86B5B" w:rsidRDefault="007606FB">
            <w:pPr>
              <w:spacing w:line="256" w:lineRule="auto"/>
              <w:ind w:left="-107" w:right="-103"/>
              <w:jc w:val="center"/>
              <w:rPr>
                <w:rFonts w:cs="Times New Roman"/>
                <w:sz w:val="22"/>
              </w:rPr>
            </w:pPr>
            <w:r w:rsidRPr="00A86B5B">
              <w:rPr>
                <w:rFonts w:cs="Times New Roman"/>
                <w:sz w:val="22"/>
              </w:rPr>
              <w:t>--</w:t>
            </w:r>
          </w:p>
        </w:tc>
        <w:tc>
          <w:tcPr>
            <w:tcW w:w="1325" w:type="pct"/>
            <w:tcBorders>
              <w:top w:val="single" w:sz="4" w:space="0" w:color="auto"/>
              <w:left w:val="single" w:sz="4" w:space="0" w:color="auto"/>
              <w:bottom w:val="single" w:sz="4" w:space="0" w:color="auto"/>
              <w:right w:val="single" w:sz="4" w:space="0" w:color="auto"/>
            </w:tcBorders>
            <w:hideMark/>
          </w:tcPr>
          <w:p w14:paraId="0BBA5BDE" w14:textId="77777777" w:rsidR="007606FB" w:rsidRPr="00A86B5B" w:rsidRDefault="007606FB">
            <w:pPr>
              <w:spacing w:line="256" w:lineRule="auto"/>
              <w:ind w:left="-113" w:right="-112"/>
              <w:jc w:val="center"/>
              <w:rPr>
                <w:rFonts w:cs="Times New Roman"/>
                <w:sz w:val="22"/>
              </w:rPr>
            </w:pPr>
            <w:r w:rsidRPr="00A86B5B">
              <w:rPr>
                <w:rFonts w:cs="Times New Roman"/>
                <w:sz w:val="22"/>
              </w:rPr>
              <w:t>&lt;0.001#</w:t>
            </w:r>
          </w:p>
        </w:tc>
      </w:tr>
      <w:tr w:rsidR="007606FB" w:rsidRPr="00531029" w14:paraId="2D546C82" w14:textId="77777777" w:rsidTr="00A86B5B">
        <w:tc>
          <w:tcPr>
            <w:tcW w:w="5000" w:type="pct"/>
            <w:gridSpan w:val="3"/>
            <w:tcBorders>
              <w:top w:val="single" w:sz="4" w:space="0" w:color="auto"/>
              <w:left w:val="single" w:sz="4" w:space="0" w:color="auto"/>
              <w:bottom w:val="single" w:sz="4" w:space="0" w:color="auto"/>
              <w:right w:val="single" w:sz="4" w:space="0" w:color="auto"/>
            </w:tcBorders>
            <w:hideMark/>
          </w:tcPr>
          <w:p w14:paraId="7F990B53" w14:textId="77777777" w:rsidR="007606FB" w:rsidRPr="00A86B5B" w:rsidRDefault="007606FB">
            <w:pPr>
              <w:keepNext/>
              <w:rPr>
                <w:rFonts w:cs="Times New Roman"/>
                <w:sz w:val="22"/>
              </w:rPr>
            </w:pPr>
            <w:r w:rsidRPr="00A86B5B">
              <w:rPr>
                <w:rFonts w:cs="Times New Roman"/>
                <w:b/>
                <w:sz w:val="22"/>
              </w:rPr>
              <w:t xml:space="preserve">Mean number of </w:t>
            </w:r>
            <w:proofErr w:type="spellStart"/>
            <w:r w:rsidRPr="00A86B5B">
              <w:rPr>
                <w:rFonts w:cs="Times New Roman"/>
                <w:b/>
                <w:sz w:val="22"/>
              </w:rPr>
              <w:t>micturitions</w:t>
            </w:r>
            <w:proofErr w:type="spellEnd"/>
            <w:r w:rsidRPr="00A86B5B">
              <w:rPr>
                <w:rFonts w:cs="Times New Roman"/>
                <w:b/>
                <w:sz w:val="22"/>
              </w:rPr>
              <w:t xml:space="preserve"> per 24 hours (FAS) (Co-primary)</w:t>
            </w:r>
          </w:p>
        </w:tc>
      </w:tr>
      <w:tr w:rsidR="007606FB" w:rsidRPr="00A86B5B" w14:paraId="435D2D2C"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1AD38CB9" w14:textId="77777777" w:rsidR="007606FB" w:rsidRPr="00A86B5B" w:rsidRDefault="007606FB">
            <w:pPr>
              <w:keepNext/>
              <w:rPr>
                <w:rFonts w:cs="Times New Roman"/>
                <w:sz w:val="22"/>
              </w:rPr>
            </w:pPr>
            <w:r w:rsidRPr="00A86B5B">
              <w:rPr>
                <w:rFonts w:cs="Times New Roman"/>
                <w:sz w:val="22"/>
              </w:rPr>
              <w:t>n</w:t>
            </w:r>
          </w:p>
        </w:tc>
        <w:tc>
          <w:tcPr>
            <w:tcW w:w="1331" w:type="pct"/>
            <w:tcBorders>
              <w:top w:val="single" w:sz="4" w:space="0" w:color="auto"/>
              <w:left w:val="single" w:sz="4" w:space="0" w:color="auto"/>
              <w:bottom w:val="single" w:sz="4" w:space="0" w:color="auto"/>
              <w:right w:val="single" w:sz="4" w:space="0" w:color="auto"/>
            </w:tcBorders>
            <w:hideMark/>
          </w:tcPr>
          <w:p w14:paraId="40CA5259" w14:textId="77777777" w:rsidR="007606FB" w:rsidRPr="00A86B5B" w:rsidRDefault="007606FB">
            <w:pPr>
              <w:keepNext/>
              <w:spacing w:line="256" w:lineRule="auto"/>
              <w:ind w:left="-107" w:right="-103"/>
              <w:jc w:val="center"/>
              <w:rPr>
                <w:rFonts w:cs="Times New Roman"/>
                <w:sz w:val="22"/>
              </w:rPr>
            </w:pPr>
            <w:r w:rsidRPr="00A86B5B">
              <w:rPr>
                <w:rFonts w:cs="Times New Roman"/>
                <w:sz w:val="22"/>
              </w:rPr>
              <w:t>1328</w:t>
            </w:r>
          </w:p>
        </w:tc>
        <w:tc>
          <w:tcPr>
            <w:tcW w:w="1325" w:type="pct"/>
            <w:tcBorders>
              <w:top w:val="single" w:sz="4" w:space="0" w:color="auto"/>
              <w:left w:val="single" w:sz="4" w:space="0" w:color="auto"/>
              <w:bottom w:val="single" w:sz="4" w:space="0" w:color="auto"/>
              <w:right w:val="single" w:sz="4" w:space="0" w:color="auto"/>
            </w:tcBorders>
            <w:hideMark/>
          </w:tcPr>
          <w:p w14:paraId="2CC60291" w14:textId="77777777" w:rsidR="007606FB" w:rsidRPr="00A86B5B" w:rsidRDefault="007606FB">
            <w:pPr>
              <w:keepNext/>
              <w:spacing w:line="256" w:lineRule="auto"/>
              <w:ind w:left="-113" w:right="-112"/>
              <w:jc w:val="center"/>
              <w:rPr>
                <w:rFonts w:cs="Times New Roman"/>
                <w:sz w:val="22"/>
              </w:rPr>
            </w:pPr>
            <w:r w:rsidRPr="00A86B5B">
              <w:rPr>
                <w:rFonts w:cs="Times New Roman"/>
                <w:sz w:val="22"/>
              </w:rPr>
              <w:t>1324</w:t>
            </w:r>
          </w:p>
        </w:tc>
      </w:tr>
      <w:tr w:rsidR="007606FB" w:rsidRPr="00A86B5B" w14:paraId="17022543"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689AC92C" w14:textId="77777777" w:rsidR="007606FB" w:rsidRPr="00A86B5B" w:rsidRDefault="007606FB">
            <w:pPr>
              <w:keepNext/>
              <w:rPr>
                <w:rFonts w:cs="Times New Roman"/>
                <w:sz w:val="22"/>
              </w:rPr>
            </w:pPr>
            <w:r w:rsidRPr="00A86B5B">
              <w:rPr>
                <w:rFonts w:cs="Times New Roman"/>
                <w:sz w:val="22"/>
              </w:rPr>
              <w:t>Mean baseline</w:t>
            </w:r>
          </w:p>
        </w:tc>
        <w:tc>
          <w:tcPr>
            <w:tcW w:w="1331" w:type="pct"/>
            <w:tcBorders>
              <w:top w:val="single" w:sz="4" w:space="0" w:color="auto"/>
              <w:left w:val="single" w:sz="4" w:space="0" w:color="auto"/>
              <w:bottom w:val="single" w:sz="4" w:space="0" w:color="auto"/>
              <w:right w:val="single" w:sz="4" w:space="0" w:color="auto"/>
            </w:tcBorders>
            <w:hideMark/>
          </w:tcPr>
          <w:p w14:paraId="1524952C" w14:textId="77777777" w:rsidR="007606FB" w:rsidRPr="00A86B5B" w:rsidRDefault="007606FB">
            <w:pPr>
              <w:keepNext/>
              <w:spacing w:line="256" w:lineRule="auto"/>
              <w:ind w:left="-107" w:right="-103"/>
              <w:jc w:val="center"/>
              <w:rPr>
                <w:rFonts w:cs="Times New Roman"/>
                <w:sz w:val="22"/>
              </w:rPr>
            </w:pPr>
            <w:r w:rsidRPr="00A86B5B">
              <w:rPr>
                <w:rFonts w:cs="Times New Roman"/>
                <w:sz w:val="22"/>
              </w:rPr>
              <w:t>11.58</w:t>
            </w:r>
          </w:p>
        </w:tc>
        <w:tc>
          <w:tcPr>
            <w:tcW w:w="1325" w:type="pct"/>
            <w:tcBorders>
              <w:top w:val="single" w:sz="4" w:space="0" w:color="auto"/>
              <w:left w:val="single" w:sz="4" w:space="0" w:color="auto"/>
              <w:bottom w:val="single" w:sz="4" w:space="0" w:color="auto"/>
              <w:right w:val="single" w:sz="4" w:space="0" w:color="auto"/>
            </w:tcBorders>
            <w:hideMark/>
          </w:tcPr>
          <w:p w14:paraId="377B79F3" w14:textId="77777777" w:rsidR="007606FB" w:rsidRPr="00A86B5B" w:rsidRDefault="007606FB">
            <w:pPr>
              <w:keepNext/>
              <w:spacing w:line="256" w:lineRule="auto"/>
              <w:ind w:left="-113" w:right="-112"/>
              <w:jc w:val="center"/>
              <w:rPr>
                <w:rFonts w:cs="Times New Roman"/>
                <w:sz w:val="22"/>
              </w:rPr>
            </w:pPr>
            <w:r w:rsidRPr="00A86B5B">
              <w:rPr>
                <w:rFonts w:cs="Times New Roman"/>
                <w:sz w:val="22"/>
              </w:rPr>
              <w:t>11.70</w:t>
            </w:r>
          </w:p>
        </w:tc>
      </w:tr>
      <w:tr w:rsidR="007606FB" w:rsidRPr="00A86B5B" w14:paraId="74611167"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485C47D7" w14:textId="77777777" w:rsidR="007606FB" w:rsidRPr="00A86B5B" w:rsidRDefault="007606FB">
            <w:pPr>
              <w:keepNext/>
              <w:rPr>
                <w:rFonts w:cs="Times New Roman"/>
                <w:sz w:val="22"/>
              </w:rPr>
            </w:pPr>
            <w:r w:rsidRPr="00A86B5B">
              <w:rPr>
                <w:rFonts w:cs="Times New Roman"/>
                <w:sz w:val="22"/>
              </w:rPr>
              <w:t>Mean change from baseline†</w:t>
            </w:r>
          </w:p>
        </w:tc>
        <w:tc>
          <w:tcPr>
            <w:tcW w:w="1331" w:type="pct"/>
            <w:tcBorders>
              <w:top w:val="single" w:sz="4" w:space="0" w:color="auto"/>
              <w:left w:val="single" w:sz="4" w:space="0" w:color="auto"/>
              <w:bottom w:val="single" w:sz="4" w:space="0" w:color="auto"/>
              <w:right w:val="single" w:sz="4" w:space="0" w:color="auto"/>
            </w:tcBorders>
            <w:hideMark/>
          </w:tcPr>
          <w:p w14:paraId="173CEE68" w14:textId="77777777" w:rsidR="007606FB" w:rsidRPr="00A86B5B" w:rsidRDefault="007606FB">
            <w:pPr>
              <w:keepNext/>
              <w:spacing w:line="256" w:lineRule="auto"/>
              <w:ind w:left="-107" w:right="-103"/>
              <w:jc w:val="center"/>
              <w:rPr>
                <w:rFonts w:cs="Times New Roman"/>
                <w:sz w:val="22"/>
              </w:rPr>
            </w:pPr>
            <w:r w:rsidRPr="00A86B5B">
              <w:rPr>
                <w:rFonts w:cs="Times New Roman"/>
                <w:sz w:val="22"/>
              </w:rPr>
              <w:t>-1.20</w:t>
            </w:r>
          </w:p>
        </w:tc>
        <w:tc>
          <w:tcPr>
            <w:tcW w:w="1325" w:type="pct"/>
            <w:tcBorders>
              <w:top w:val="single" w:sz="4" w:space="0" w:color="auto"/>
              <w:left w:val="single" w:sz="4" w:space="0" w:color="auto"/>
              <w:bottom w:val="single" w:sz="4" w:space="0" w:color="auto"/>
              <w:right w:val="single" w:sz="4" w:space="0" w:color="auto"/>
            </w:tcBorders>
            <w:hideMark/>
          </w:tcPr>
          <w:p w14:paraId="1792C375" w14:textId="77777777" w:rsidR="007606FB" w:rsidRPr="00A86B5B" w:rsidRDefault="007606FB">
            <w:pPr>
              <w:keepNext/>
              <w:spacing w:line="256" w:lineRule="auto"/>
              <w:ind w:left="-113" w:right="-112"/>
              <w:jc w:val="center"/>
              <w:rPr>
                <w:rFonts w:cs="Times New Roman"/>
                <w:sz w:val="22"/>
              </w:rPr>
            </w:pPr>
            <w:r w:rsidRPr="00A86B5B">
              <w:rPr>
                <w:rFonts w:cs="Times New Roman"/>
                <w:sz w:val="22"/>
              </w:rPr>
              <w:t>-1.75</w:t>
            </w:r>
          </w:p>
        </w:tc>
      </w:tr>
      <w:tr w:rsidR="007606FB" w:rsidRPr="00A86B5B" w14:paraId="7A2C89C1"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4AE59B92" w14:textId="77777777" w:rsidR="007606FB" w:rsidRPr="00A86B5B" w:rsidRDefault="007606FB">
            <w:pPr>
              <w:keepNext/>
              <w:rPr>
                <w:rFonts w:cs="Times New Roman"/>
                <w:sz w:val="22"/>
              </w:rPr>
            </w:pPr>
            <w:r w:rsidRPr="00A86B5B">
              <w:rPr>
                <w:rFonts w:cs="Times New Roman"/>
                <w:sz w:val="22"/>
              </w:rPr>
              <w:t>Mean difference from placebo† (95% CI)</w:t>
            </w:r>
          </w:p>
        </w:tc>
        <w:tc>
          <w:tcPr>
            <w:tcW w:w="1331" w:type="pct"/>
            <w:tcBorders>
              <w:top w:val="single" w:sz="4" w:space="0" w:color="auto"/>
              <w:left w:val="single" w:sz="4" w:space="0" w:color="auto"/>
              <w:bottom w:val="single" w:sz="4" w:space="0" w:color="auto"/>
              <w:right w:val="single" w:sz="4" w:space="0" w:color="auto"/>
            </w:tcBorders>
            <w:hideMark/>
          </w:tcPr>
          <w:p w14:paraId="658E1351" w14:textId="77777777" w:rsidR="007606FB" w:rsidRPr="00A86B5B" w:rsidRDefault="007606FB">
            <w:pPr>
              <w:keepNext/>
              <w:spacing w:line="256" w:lineRule="auto"/>
              <w:ind w:left="-107" w:right="-103"/>
              <w:jc w:val="center"/>
              <w:rPr>
                <w:rFonts w:cs="Times New Roman"/>
                <w:sz w:val="22"/>
              </w:rPr>
            </w:pPr>
            <w:r w:rsidRPr="00A86B5B">
              <w:rPr>
                <w:rFonts w:cs="Times New Roman"/>
                <w:sz w:val="22"/>
              </w:rPr>
              <w:t>--</w:t>
            </w:r>
          </w:p>
        </w:tc>
        <w:tc>
          <w:tcPr>
            <w:tcW w:w="1325" w:type="pct"/>
            <w:tcBorders>
              <w:top w:val="single" w:sz="4" w:space="0" w:color="auto"/>
              <w:left w:val="single" w:sz="4" w:space="0" w:color="auto"/>
              <w:bottom w:val="single" w:sz="4" w:space="0" w:color="auto"/>
              <w:right w:val="single" w:sz="4" w:space="0" w:color="auto"/>
            </w:tcBorders>
            <w:hideMark/>
          </w:tcPr>
          <w:p w14:paraId="1687FE1E" w14:textId="77777777" w:rsidR="007606FB" w:rsidRPr="00A86B5B" w:rsidRDefault="007606FB">
            <w:pPr>
              <w:keepNext/>
              <w:spacing w:line="256" w:lineRule="auto"/>
              <w:ind w:left="-113" w:right="-112"/>
              <w:jc w:val="center"/>
              <w:rPr>
                <w:rFonts w:cs="Times New Roman"/>
                <w:sz w:val="22"/>
              </w:rPr>
            </w:pPr>
            <w:r w:rsidRPr="00A86B5B">
              <w:rPr>
                <w:rFonts w:cs="Times New Roman"/>
                <w:sz w:val="22"/>
              </w:rPr>
              <w:t>-0.55 (-0.75, -0.36)</w:t>
            </w:r>
          </w:p>
        </w:tc>
      </w:tr>
      <w:tr w:rsidR="007606FB" w:rsidRPr="00A86B5B" w14:paraId="5D613676"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19ADAE8C" w14:textId="77777777" w:rsidR="007606FB" w:rsidRPr="00A86B5B" w:rsidRDefault="007606FB">
            <w:pPr>
              <w:keepNext/>
              <w:rPr>
                <w:rFonts w:cs="Times New Roman"/>
                <w:sz w:val="22"/>
              </w:rPr>
            </w:pPr>
            <w:r w:rsidRPr="00A86B5B">
              <w:rPr>
                <w:rFonts w:cs="Times New Roman"/>
                <w:sz w:val="22"/>
              </w:rPr>
              <w:t>p-value</w:t>
            </w:r>
          </w:p>
        </w:tc>
        <w:tc>
          <w:tcPr>
            <w:tcW w:w="1331" w:type="pct"/>
            <w:tcBorders>
              <w:top w:val="single" w:sz="4" w:space="0" w:color="auto"/>
              <w:left w:val="single" w:sz="4" w:space="0" w:color="auto"/>
              <w:bottom w:val="single" w:sz="4" w:space="0" w:color="auto"/>
              <w:right w:val="single" w:sz="4" w:space="0" w:color="auto"/>
            </w:tcBorders>
            <w:hideMark/>
          </w:tcPr>
          <w:p w14:paraId="370DE709" w14:textId="77777777" w:rsidR="007606FB" w:rsidRPr="00A86B5B" w:rsidRDefault="007606FB">
            <w:pPr>
              <w:keepNext/>
              <w:spacing w:line="256" w:lineRule="auto"/>
              <w:ind w:left="-107" w:right="-103"/>
              <w:jc w:val="center"/>
              <w:rPr>
                <w:rFonts w:cs="Times New Roman"/>
                <w:sz w:val="22"/>
              </w:rPr>
            </w:pPr>
            <w:r w:rsidRPr="00A86B5B">
              <w:rPr>
                <w:rFonts w:cs="Times New Roman"/>
                <w:sz w:val="22"/>
              </w:rPr>
              <w:t>--</w:t>
            </w:r>
          </w:p>
        </w:tc>
        <w:tc>
          <w:tcPr>
            <w:tcW w:w="1325" w:type="pct"/>
            <w:tcBorders>
              <w:top w:val="single" w:sz="4" w:space="0" w:color="auto"/>
              <w:left w:val="single" w:sz="4" w:space="0" w:color="auto"/>
              <w:bottom w:val="single" w:sz="4" w:space="0" w:color="auto"/>
              <w:right w:val="single" w:sz="4" w:space="0" w:color="auto"/>
            </w:tcBorders>
            <w:hideMark/>
          </w:tcPr>
          <w:p w14:paraId="2B650443" w14:textId="77777777" w:rsidR="007606FB" w:rsidRPr="00A86B5B" w:rsidRDefault="007606FB">
            <w:pPr>
              <w:keepNext/>
              <w:spacing w:line="256" w:lineRule="auto"/>
              <w:ind w:left="-113" w:right="-112"/>
              <w:jc w:val="center"/>
              <w:rPr>
                <w:rFonts w:cs="Times New Roman"/>
                <w:sz w:val="22"/>
              </w:rPr>
            </w:pPr>
            <w:r w:rsidRPr="00A86B5B">
              <w:rPr>
                <w:rFonts w:cs="Times New Roman"/>
                <w:sz w:val="22"/>
              </w:rPr>
              <w:t>&lt;0.001#</w:t>
            </w:r>
          </w:p>
        </w:tc>
      </w:tr>
      <w:tr w:rsidR="007606FB" w:rsidRPr="00531029" w14:paraId="5DE89C31" w14:textId="77777777" w:rsidTr="00A86B5B">
        <w:tc>
          <w:tcPr>
            <w:tcW w:w="5000" w:type="pct"/>
            <w:gridSpan w:val="3"/>
            <w:tcBorders>
              <w:top w:val="single" w:sz="4" w:space="0" w:color="auto"/>
              <w:left w:val="single" w:sz="4" w:space="0" w:color="auto"/>
              <w:bottom w:val="single" w:sz="4" w:space="0" w:color="auto"/>
              <w:right w:val="single" w:sz="4" w:space="0" w:color="auto"/>
            </w:tcBorders>
            <w:hideMark/>
          </w:tcPr>
          <w:p w14:paraId="75732894" w14:textId="77777777" w:rsidR="007606FB" w:rsidRPr="00A86B5B" w:rsidRDefault="007606FB">
            <w:pPr>
              <w:rPr>
                <w:rFonts w:cs="Times New Roman"/>
                <w:sz w:val="22"/>
              </w:rPr>
            </w:pPr>
            <w:r w:rsidRPr="00A86B5B">
              <w:rPr>
                <w:rFonts w:cs="Times New Roman"/>
                <w:b/>
                <w:sz w:val="22"/>
              </w:rPr>
              <w:t>Mean volume voided (mL) per micturition (FAS) (Secondary)</w:t>
            </w:r>
          </w:p>
        </w:tc>
      </w:tr>
      <w:tr w:rsidR="007606FB" w:rsidRPr="00A86B5B" w14:paraId="02B28F70"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3FBCE954" w14:textId="77777777" w:rsidR="007606FB" w:rsidRPr="00A86B5B" w:rsidRDefault="007606FB">
            <w:pPr>
              <w:rPr>
                <w:rFonts w:cs="Times New Roman"/>
                <w:sz w:val="22"/>
              </w:rPr>
            </w:pPr>
            <w:r w:rsidRPr="00A86B5B">
              <w:rPr>
                <w:rFonts w:cs="Times New Roman"/>
                <w:sz w:val="22"/>
              </w:rPr>
              <w:t>n</w:t>
            </w:r>
          </w:p>
        </w:tc>
        <w:tc>
          <w:tcPr>
            <w:tcW w:w="1331" w:type="pct"/>
            <w:tcBorders>
              <w:top w:val="single" w:sz="4" w:space="0" w:color="auto"/>
              <w:left w:val="single" w:sz="4" w:space="0" w:color="auto"/>
              <w:bottom w:val="single" w:sz="4" w:space="0" w:color="auto"/>
              <w:right w:val="single" w:sz="4" w:space="0" w:color="auto"/>
            </w:tcBorders>
            <w:hideMark/>
          </w:tcPr>
          <w:p w14:paraId="4D501A13" w14:textId="77777777" w:rsidR="007606FB" w:rsidRPr="00A86B5B" w:rsidRDefault="007606FB">
            <w:pPr>
              <w:spacing w:line="256" w:lineRule="auto"/>
              <w:ind w:left="-107" w:right="-103"/>
              <w:jc w:val="center"/>
              <w:rPr>
                <w:rFonts w:cs="Times New Roman"/>
                <w:sz w:val="22"/>
              </w:rPr>
            </w:pPr>
            <w:r w:rsidRPr="00A86B5B">
              <w:rPr>
                <w:rFonts w:cs="Times New Roman"/>
                <w:sz w:val="22"/>
              </w:rPr>
              <w:t>1328</w:t>
            </w:r>
          </w:p>
        </w:tc>
        <w:tc>
          <w:tcPr>
            <w:tcW w:w="1325" w:type="pct"/>
            <w:tcBorders>
              <w:top w:val="single" w:sz="4" w:space="0" w:color="auto"/>
              <w:left w:val="single" w:sz="4" w:space="0" w:color="auto"/>
              <w:bottom w:val="single" w:sz="4" w:space="0" w:color="auto"/>
              <w:right w:val="single" w:sz="4" w:space="0" w:color="auto"/>
            </w:tcBorders>
            <w:hideMark/>
          </w:tcPr>
          <w:p w14:paraId="15052D96" w14:textId="77777777" w:rsidR="007606FB" w:rsidRPr="00A86B5B" w:rsidRDefault="007606FB">
            <w:pPr>
              <w:spacing w:line="256" w:lineRule="auto"/>
              <w:ind w:left="-113" w:right="-112"/>
              <w:jc w:val="center"/>
              <w:rPr>
                <w:rFonts w:cs="Times New Roman"/>
                <w:sz w:val="22"/>
              </w:rPr>
            </w:pPr>
            <w:r w:rsidRPr="00A86B5B">
              <w:rPr>
                <w:rFonts w:cs="Times New Roman"/>
                <w:sz w:val="22"/>
              </w:rPr>
              <w:t>1322</w:t>
            </w:r>
          </w:p>
        </w:tc>
      </w:tr>
      <w:tr w:rsidR="007606FB" w:rsidRPr="00A86B5B" w14:paraId="33D3D029"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17357B28" w14:textId="77777777" w:rsidR="007606FB" w:rsidRPr="00A86B5B" w:rsidRDefault="007606FB">
            <w:pPr>
              <w:rPr>
                <w:rFonts w:cs="Times New Roman"/>
                <w:sz w:val="22"/>
              </w:rPr>
            </w:pPr>
            <w:r w:rsidRPr="00A86B5B">
              <w:rPr>
                <w:rFonts w:cs="Times New Roman"/>
                <w:sz w:val="22"/>
              </w:rPr>
              <w:t>Mean baseline</w:t>
            </w:r>
          </w:p>
        </w:tc>
        <w:tc>
          <w:tcPr>
            <w:tcW w:w="1331" w:type="pct"/>
            <w:tcBorders>
              <w:top w:val="single" w:sz="4" w:space="0" w:color="auto"/>
              <w:left w:val="single" w:sz="4" w:space="0" w:color="auto"/>
              <w:bottom w:val="single" w:sz="4" w:space="0" w:color="auto"/>
              <w:right w:val="single" w:sz="4" w:space="0" w:color="auto"/>
            </w:tcBorders>
            <w:hideMark/>
          </w:tcPr>
          <w:p w14:paraId="79C25B3D" w14:textId="77777777" w:rsidR="007606FB" w:rsidRPr="00A86B5B" w:rsidRDefault="007606FB">
            <w:pPr>
              <w:spacing w:line="256" w:lineRule="auto"/>
              <w:ind w:left="-107" w:right="-103"/>
              <w:jc w:val="center"/>
              <w:rPr>
                <w:rFonts w:cs="Times New Roman"/>
                <w:sz w:val="22"/>
              </w:rPr>
            </w:pPr>
            <w:r w:rsidRPr="00A86B5B">
              <w:rPr>
                <w:rFonts w:cs="Times New Roman"/>
                <w:sz w:val="22"/>
              </w:rPr>
              <w:t>159.2</w:t>
            </w:r>
          </w:p>
        </w:tc>
        <w:tc>
          <w:tcPr>
            <w:tcW w:w="1325" w:type="pct"/>
            <w:tcBorders>
              <w:top w:val="single" w:sz="4" w:space="0" w:color="auto"/>
              <w:left w:val="single" w:sz="4" w:space="0" w:color="auto"/>
              <w:bottom w:val="single" w:sz="4" w:space="0" w:color="auto"/>
              <w:right w:val="single" w:sz="4" w:space="0" w:color="auto"/>
            </w:tcBorders>
            <w:hideMark/>
          </w:tcPr>
          <w:p w14:paraId="30331C5C" w14:textId="77777777" w:rsidR="007606FB" w:rsidRPr="00A86B5B" w:rsidRDefault="007606FB">
            <w:pPr>
              <w:spacing w:line="256" w:lineRule="auto"/>
              <w:ind w:left="-113" w:right="-112"/>
              <w:jc w:val="center"/>
              <w:rPr>
                <w:rFonts w:cs="Times New Roman"/>
                <w:sz w:val="22"/>
              </w:rPr>
            </w:pPr>
            <w:r w:rsidRPr="00A86B5B">
              <w:rPr>
                <w:rFonts w:cs="Times New Roman"/>
                <w:sz w:val="22"/>
              </w:rPr>
              <w:t>159.0</w:t>
            </w:r>
          </w:p>
        </w:tc>
      </w:tr>
      <w:tr w:rsidR="007606FB" w:rsidRPr="00A86B5B" w14:paraId="4A0E91D3"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5FE58D75" w14:textId="77777777" w:rsidR="007606FB" w:rsidRPr="00A86B5B" w:rsidRDefault="007606FB">
            <w:pPr>
              <w:rPr>
                <w:rFonts w:cs="Times New Roman"/>
                <w:sz w:val="22"/>
              </w:rPr>
            </w:pPr>
            <w:r w:rsidRPr="00A86B5B">
              <w:rPr>
                <w:rFonts w:cs="Times New Roman"/>
                <w:sz w:val="22"/>
              </w:rPr>
              <w:t>Mean change from baseline†</w:t>
            </w:r>
          </w:p>
        </w:tc>
        <w:tc>
          <w:tcPr>
            <w:tcW w:w="1331" w:type="pct"/>
            <w:tcBorders>
              <w:top w:val="single" w:sz="4" w:space="0" w:color="auto"/>
              <w:left w:val="single" w:sz="4" w:space="0" w:color="auto"/>
              <w:bottom w:val="single" w:sz="4" w:space="0" w:color="auto"/>
              <w:right w:val="single" w:sz="4" w:space="0" w:color="auto"/>
            </w:tcBorders>
            <w:hideMark/>
          </w:tcPr>
          <w:p w14:paraId="0470B62C" w14:textId="77777777" w:rsidR="007606FB" w:rsidRPr="00A86B5B" w:rsidRDefault="007606FB">
            <w:pPr>
              <w:spacing w:line="256" w:lineRule="auto"/>
              <w:ind w:left="-107" w:right="-103"/>
              <w:jc w:val="center"/>
              <w:rPr>
                <w:rFonts w:cs="Times New Roman"/>
                <w:sz w:val="22"/>
              </w:rPr>
            </w:pPr>
            <w:r w:rsidRPr="00A86B5B">
              <w:rPr>
                <w:rFonts w:cs="Times New Roman"/>
                <w:sz w:val="22"/>
              </w:rPr>
              <w:t>9.4</w:t>
            </w:r>
          </w:p>
        </w:tc>
        <w:tc>
          <w:tcPr>
            <w:tcW w:w="1325" w:type="pct"/>
            <w:tcBorders>
              <w:top w:val="single" w:sz="4" w:space="0" w:color="auto"/>
              <w:left w:val="single" w:sz="4" w:space="0" w:color="auto"/>
              <w:bottom w:val="single" w:sz="4" w:space="0" w:color="auto"/>
              <w:right w:val="single" w:sz="4" w:space="0" w:color="auto"/>
            </w:tcBorders>
            <w:hideMark/>
          </w:tcPr>
          <w:p w14:paraId="73096257" w14:textId="77777777" w:rsidR="007606FB" w:rsidRPr="00A86B5B" w:rsidRDefault="007606FB">
            <w:pPr>
              <w:spacing w:line="256" w:lineRule="auto"/>
              <w:ind w:left="-113" w:right="-112"/>
              <w:jc w:val="center"/>
              <w:rPr>
                <w:rFonts w:cs="Times New Roman"/>
                <w:sz w:val="22"/>
              </w:rPr>
            </w:pPr>
            <w:r w:rsidRPr="00A86B5B">
              <w:rPr>
                <w:rFonts w:cs="Times New Roman"/>
                <w:sz w:val="22"/>
              </w:rPr>
              <w:t>21.4</w:t>
            </w:r>
          </w:p>
        </w:tc>
      </w:tr>
      <w:tr w:rsidR="007606FB" w:rsidRPr="00A86B5B" w14:paraId="1012BB57"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2BFD2CFC" w14:textId="77777777" w:rsidR="007606FB" w:rsidRPr="00A86B5B" w:rsidRDefault="007606FB">
            <w:pPr>
              <w:rPr>
                <w:rFonts w:cs="Times New Roman"/>
                <w:sz w:val="22"/>
              </w:rPr>
            </w:pPr>
            <w:r w:rsidRPr="00A86B5B">
              <w:rPr>
                <w:rFonts w:cs="Times New Roman"/>
                <w:sz w:val="22"/>
              </w:rPr>
              <w:t>Mean difference from placebo† (95% CI)</w:t>
            </w:r>
          </w:p>
        </w:tc>
        <w:tc>
          <w:tcPr>
            <w:tcW w:w="1331" w:type="pct"/>
            <w:tcBorders>
              <w:top w:val="single" w:sz="4" w:space="0" w:color="auto"/>
              <w:left w:val="single" w:sz="4" w:space="0" w:color="auto"/>
              <w:bottom w:val="single" w:sz="4" w:space="0" w:color="auto"/>
              <w:right w:val="single" w:sz="4" w:space="0" w:color="auto"/>
            </w:tcBorders>
            <w:hideMark/>
          </w:tcPr>
          <w:p w14:paraId="2AB39784" w14:textId="77777777" w:rsidR="007606FB" w:rsidRPr="00A86B5B" w:rsidRDefault="007606FB">
            <w:pPr>
              <w:spacing w:line="256" w:lineRule="auto"/>
              <w:ind w:left="-107" w:right="-103"/>
              <w:jc w:val="center"/>
              <w:rPr>
                <w:rFonts w:cs="Times New Roman"/>
                <w:sz w:val="22"/>
              </w:rPr>
            </w:pPr>
            <w:r w:rsidRPr="00A86B5B">
              <w:rPr>
                <w:rFonts w:cs="Times New Roman"/>
                <w:sz w:val="22"/>
              </w:rPr>
              <w:t>--</w:t>
            </w:r>
          </w:p>
        </w:tc>
        <w:tc>
          <w:tcPr>
            <w:tcW w:w="1325" w:type="pct"/>
            <w:tcBorders>
              <w:top w:val="single" w:sz="4" w:space="0" w:color="auto"/>
              <w:left w:val="single" w:sz="4" w:space="0" w:color="auto"/>
              <w:bottom w:val="single" w:sz="4" w:space="0" w:color="auto"/>
              <w:right w:val="single" w:sz="4" w:space="0" w:color="auto"/>
            </w:tcBorders>
            <w:hideMark/>
          </w:tcPr>
          <w:p w14:paraId="46C85FDF" w14:textId="77777777" w:rsidR="007606FB" w:rsidRPr="00A86B5B" w:rsidRDefault="007606FB">
            <w:pPr>
              <w:spacing w:line="256" w:lineRule="auto"/>
              <w:ind w:left="-113" w:right="-112"/>
              <w:jc w:val="center"/>
              <w:rPr>
                <w:rFonts w:cs="Times New Roman"/>
                <w:sz w:val="22"/>
              </w:rPr>
            </w:pPr>
            <w:r w:rsidRPr="00A86B5B">
              <w:rPr>
                <w:rFonts w:cs="Times New Roman"/>
                <w:sz w:val="22"/>
              </w:rPr>
              <w:t>11.9 (8.3, 15.5)</w:t>
            </w:r>
          </w:p>
        </w:tc>
      </w:tr>
      <w:tr w:rsidR="007606FB" w:rsidRPr="00A86B5B" w14:paraId="5365AF0D"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39A9BD77" w14:textId="77777777" w:rsidR="007606FB" w:rsidRPr="00A86B5B" w:rsidRDefault="007606FB">
            <w:pPr>
              <w:rPr>
                <w:rFonts w:cs="Times New Roman"/>
                <w:sz w:val="22"/>
              </w:rPr>
            </w:pPr>
            <w:r w:rsidRPr="00A86B5B">
              <w:rPr>
                <w:rFonts w:cs="Times New Roman"/>
                <w:sz w:val="22"/>
              </w:rPr>
              <w:t>p-value</w:t>
            </w:r>
          </w:p>
        </w:tc>
        <w:tc>
          <w:tcPr>
            <w:tcW w:w="1331" w:type="pct"/>
            <w:tcBorders>
              <w:top w:val="single" w:sz="4" w:space="0" w:color="auto"/>
              <w:left w:val="single" w:sz="4" w:space="0" w:color="auto"/>
              <w:bottom w:val="single" w:sz="4" w:space="0" w:color="auto"/>
              <w:right w:val="single" w:sz="4" w:space="0" w:color="auto"/>
            </w:tcBorders>
            <w:hideMark/>
          </w:tcPr>
          <w:p w14:paraId="3FD6554C" w14:textId="77777777" w:rsidR="007606FB" w:rsidRPr="00A86B5B" w:rsidRDefault="007606FB">
            <w:pPr>
              <w:spacing w:line="256" w:lineRule="auto"/>
              <w:ind w:left="-107" w:right="-103"/>
              <w:jc w:val="center"/>
              <w:rPr>
                <w:rFonts w:cs="Times New Roman"/>
                <w:sz w:val="22"/>
              </w:rPr>
            </w:pPr>
            <w:r w:rsidRPr="00A86B5B">
              <w:rPr>
                <w:rFonts w:cs="Times New Roman"/>
                <w:sz w:val="22"/>
              </w:rPr>
              <w:t>--</w:t>
            </w:r>
          </w:p>
        </w:tc>
        <w:tc>
          <w:tcPr>
            <w:tcW w:w="1325" w:type="pct"/>
            <w:tcBorders>
              <w:top w:val="single" w:sz="4" w:space="0" w:color="auto"/>
              <w:left w:val="single" w:sz="4" w:space="0" w:color="auto"/>
              <w:bottom w:val="single" w:sz="4" w:space="0" w:color="auto"/>
              <w:right w:val="single" w:sz="4" w:space="0" w:color="auto"/>
            </w:tcBorders>
            <w:hideMark/>
          </w:tcPr>
          <w:p w14:paraId="1C932100" w14:textId="77777777" w:rsidR="007606FB" w:rsidRPr="00A86B5B" w:rsidRDefault="007606FB">
            <w:pPr>
              <w:spacing w:line="256" w:lineRule="auto"/>
              <w:ind w:left="-113" w:right="-112"/>
              <w:jc w:val="center"/>
              <w:rPr>
                <w:rFonts w:cs="Times New Roman"/>
                <w:sz w:val="22"/>
              </w:rPr>
            </w:pPr>
            <w:r w:rsidRPr="00A86B5B">
              <w:rPr>
                <w:rFonts w:cs="Times New Roman"/>
                <w:sz w:val="22"/>
              </w:rPr>
              <w:t>&lt;0.001#</w:t>
            </w:r>
          </w:p>
        </w:tc>
      </w:tr>
      <w:tr w:rsidR="007606FB" w:rsidRPr="00531029" w14:paraId="41C252BE" w14:textId="77777777" w:rsidTr="00A86B5B">
        <w:tc>
          <w:tcPr>
            <w:tcW w:w="5000" w:type="pct"/>
            <w:gridSpan w:val="3"/>
            <w:tcBorders>
              <w:top w:val="single" w:sz="4" w:space="0" w:color="auto"/>
              <w:left w:val="single" w:sz="4" w:space="0" w:color="auto"/>
              <w:bottom w:val="single" w:sz="4" w:space="0" w:color="auto"/>
              <w:right w:val="single" w:sz="4" w:space="0" w:color="auto"/>
            </w:tcBorders>
            <w:hideMark/>
          </w:tcPr>
          <w:p w14:paraId="7EF96C72" w14:textId="77777777" w:rsidR="007606FB" w:rsidRPr="00A86B5B" w:rsidRDefault="007606FB">
            <w:pPr>
              <w:rPr>
                <w:rFonts w:cs="Times New Roman"/>
                <w:sz w:val="22"/>
              </w:rPr>
            </w:pPr>
            <w:r w:rsidRPr="00A86B5B">
              <w:rPr>
                <w:rFonts w:cs="Times New Roman"/>
                <w:b/>
                <w:sz w:val="22"/>
              </w:rPr>
              <w:t>Mean level of urgency (FAS) (Secondary)</w:t>
            </w:r>
          </w:p>
        </w:tc>
      </w:tr>
      <w:tr w:rsidR="007606FB" w:rsidRPr="00A86B5B" w14:paraId="3B94C1A2"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56ED0A47" w14:textId="77777777" w:rsidR="007606FB" w:rsidRPr="00A86B5B" w:rsidRDefault="007606FB">
            <w:pPr>
              <w:rPr>
                <w:rFonts w:cs="Times New Roman"/>
                <w:sz w:val="22"/>
              </w:rPr>
            </w:pPr>
            <w:r w:rsidRPr="00A86B5B">
              <w:rPr>
                <w:rFonts w:cs="Times New Roman"/>
                <w:sz w:val="22"/>
              </w:rPr>
              <w:t>n</w:t>
            </w:r>
          </w:p>
        </w:tc>
        <w:tc>
          <w:tcPr>
            <w:tcW w:w="1331" w:type="pct"/>
            <w:tcBorders>
              <w:top w:val="single" w:sz="4" w:space="0" w:color="auto"/>
              <w:left w:val="single" w:sz="4" w:space="0" w:color="auto"/>
              <w:bottom w:val="single" w:sz="4" w:space="0" w:color="auto"/>
              <w:right w:val="single" w:sz="4" w:space="0" w:color="auto"/>
            </w:tcBorders>
            <w:hideMark/>
          </w:tcPr>
          <w:p w14:paraId="5EB03C07" w14:textId="77777777" w:rsidR="007606FB" w:rsidRPr="00A86B5B" w:rsidRDefault="007606FB">
            <w:pPr>
              <w:spacing w:line="256" w:lineRule="auto"/>
              <w:ind w:left="-107" w:right="-103"/>
              <w:jc w:val="center"/>
              <w:rPr>
                <w:rFonts w:cs="Times New Roman"/>
                <w:sz w:val="22"/>
              </w:rPr>
            </w:pPr>
            <w:r w:rsidRPr="00A86B5B">
              <w:rPr>
                <w:rFonts w:cs="Times New Roman"/>
                <w:sz w:val="22"/>
              </w:rPr>
              <w:t>1325</w:t>
            </w:r>
          </w:p>
        </w:tc>
        <w:tc>
          <w:tcPr>
            <w:tcW w:w="1325" w:type="pct"/>
            <w:tcBorders>
              <w:top w:val="single" w:sz="4" w:space="0" w:color="auto"/>
              <w:left w:val="single" w:sz="4" w:space="0" w:color="auto"/>
              <w:bottom w:val="single" w:sz="4" w:space="0" w:color="auto"/>
              <w:right w:val="single" w:sz="4" w:space="0" w:color="auto"/>
            </w:tcBorders>
            <w:hideMark/>
          </w:tcPr>
          <w:p w14:paraId="29FBCA83" w14:textId="77777777" w:rsidR="007606FB" w:rsidRPr="00A86B5B" w:rsidRDefault="007606FB">
            <w:pPr>
              <w:spacing w:line="256" w:lineRule="auto"/>
              <w:ind w:left="-113" w:right="-112"/>
              <w:jc w:val="center"/>
              <w:rPr>
                <w:rFonts w:cs="Times New Roman"/>
                <w:sz w:val="22"/>
              </w:rPr>
            </w:pPr>
            <w:r w:rsidRPr="00A86B5B">
              <w:rPr>
                <w:rFonts w:cs="Times New Roman"/>
                <w:sz w:val="22"/>
              </w:rPr>
              <w:t>1323</w:t>
            </w:r>
          </w:p>
        </w:tc>
      </w:tr>
      <w:tr w:rsidR="007606FB" w:rsidRPr="00A86B5B" w14:paraId="439C399B"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54D5269D" w14:textId="77777777" w:rsidR="007606FB" w:rsidRPr="00A86B5B" w:rsidRDefault="007606FB">
            <w:pPr>
              <w:rPr>
                <w:rFonts w:cs="Times New Roman"/>
                <w:sz w:val="22"/>
              </w:rPr>
            </w:pPr>
            <w:r w:rsidRPr="00A86B5B">
              <w:rPr>
                <w:rFonts w:cs="Times New Roman"/>
                <w:sz w:val="22"/>
              </w:rPr>
              <w:t>Mean baseline</w:t>
            </w:r>
          </w:p>
        </w:tc>
        <w:tc>
          <w:tcPr>
            <w:tcW w:w="1331" w:type="pct"/>
            <w:tcBorders>
              <w:top w:val="single" w:sz="4" w:space="0" w:color="auto"/>
              <w:left w:val="single" w:sz="4" w:space="0" w:color="auto"/>
              <w:bottom w:val="single" w:sz="4" w:space="0" w:color="auto"/>
              <w:right w:val="single" w:sz="4" w:space="0" w:color="auto"/>
            </w:tcBorders>
            <w:hideMark/>
          </w:tcPr>
          <w:p w14:paraId="103728CF" w14:textId="77777777" w:rsidR="007606FB" w:rsidRPr="00A86B5B" w:rsidRDefault="007606FB">
            <w:pPr>
              <w:spacing w:line="256" w:lineRule="auto"/>
              <w:ind w:left="-107" w:right="-103"/>
              <w:jc w:val="center"/>
              <w:rPr>
                <w:rFonts w:cs="Times New Roman"/>
                <w:sz w:val="22"/>
              </w:rPr>
            </w:pPr>
            <w:r w:rsidRPr="00A86B5B">
              <w:rPr>
                <w:rFonts w:cs="Times New Roman"/>
                <w:sz w:val="22"/>
              </w:rPr>
              <w:t>2.39</w:t>
            </w:r>
          </w:p>
        </w:tc>
        <w:tc>
          <w:tcPr>
            <w:tcW w:w="1325" w:type="pct"/>
            <w:tcBorders>
              <w:top w:val="single" w:sz="4" w:space="0" w:color="auto"/>
              <w:left w:val="single" w:sz="4" w:space="0" w:color="auto"/>
              <w:bottom w:val="single" w:sz="4" w:space="0" w:color="auto"/>
              <w:right w:val="single" w:sz="4" w:space="0" w:color="auto"/>
            </w:tcBorders>
            <w:hideMark/>
          </w:tcPr>
          <w:p w14:paraId="2F254386" w14:textId="77777777" w:rsidR="007606FB" w:rsidRPr="00A86B5B" w:rsidRDefault="007606FB">
            <w:pPr>
              <w:spacing w:line="256" w:lineRule="auto"/>
              <w:ind w:left="-113" w:right="-112"/>
              <w:jc w:val="center"/>
              <w:rPr>
                <w:rFonts w:cs="Times New Roman"/>
                <w:sz w:val="22"/>
              </w:rPr>
            </w:pPr>
            <w:r w:rsidRPr="00A86B5B">
              <w:rPr>
                <w:rFonts w:cs="Times New Roman"/>
                <w:sz w:val="22"/>
              </w:rPr>
              <w:t>2.42</w:t>
            </w:r>
          </w:p>
        </w:tc>
      </w:tr>
      <w:tr w:rsidR="007606FB" w:rsidRPr="00A86B5B" w14:paraId="001BCF9D"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5B5AC58D" w14:textId="77777777" w:rsidR="007606FB" w:rsidRPr="00A86B5B" w:rsidRDefault="007606FB">
            <w:pPr>
              <w:rPr>
                <w:rFonts w:cs="Times New Roman"/>
                <w:sz w:val="22"/>
              </w:rPr>
            </w:pPr>
            <w:r w:rsidRPr="00A86B5B">
              <w:rPr>
                <w:rFonts w:cs="Times New Roman"/>
                <w:sz w:val="22"/>
              </w:rPr>
              <w:t>Mean change from baseline†</w:t>
            </w:r>
          </w:p>
        </w:tc>
        <w:tc>
          <w:tcPr>
            <w:tcW w:w="1331" w:type="pct"/>
            <w:tcBorders>
              <w:top w:val="single" w:sz="4" w:space="0" w:color="auto"/>
              <w:left w:val="single" w:sz="4" w:space="0" w:color="auto"/>
              <w:bottom w:val="single" w:sz="4" w:space="0" w:color="auto"/>
              <w:right w:val="single" w:sz="4" w:space="0" w:color="auto"/>
            </w:tcBorders>
            <w:hideMark/>
          </w:tcPr>
          <w:p w14:paraId="44598EAF" w14:textId="77777777" w:rsidR="007606FB" w:rsidRPr="00A86B5B" w:rsidRDefault="007606FB">
            <w:pPr>
              <w:spacing w:line="256" w:lineRule="auto"/>
              <w:ind w:left="-107" w:right="-103"/>
              <w:jc w:val="center"/>
              <w:rPr>
                <w:rFonts w:cs="Times New Roman"/>
                <w:sz w:val="22"/>
              </w:rPr>
            </w:pPr>
            <w:r w:rsidRPr="00A86B5B">
              <w:rPr>
                <w:rFonts w:cs="Times New Roman"/>
                <w:sz w:val="22"/>
              </w:rPr>
              <w:t>-0.15</w:t>
            </w:r>
          </w:p>
        </w:tc>
        <w:tc>
          <w:tcPr>
            <w:tcW w:w="1325" w:type="pct"/>
            <w:tcBorders>
              <w:top w:val="single" w:sz="4" w:space="0" w:color="auto"/>
              <w:left w:val="single" w:sz="4" w:space="0" w:color="auto"/>
              <w:bottom w:val="single" w:sz="4" w:space="0" w:color="auto"/>
              <w:right w:val="single" w:sz="4" w:space="0" w:color="auto"/>
            </w:tcBorders>
            <w:hideMark/>
          </w:tcPr>
          <w:p w14:paraId="3AC3AEF5" w14:textId="77777777" w:rsidR="007606FB" w:rsidRPr="00A86B5B" w:rsidRDefault="007606FB">
            <w:pPr>
              <w:spacing w:line="256" w:lineRule="auto"/>
              <w:ind w:left="-113" w:right="-112"/>
              <w:jc w:val="center"/>
              <w:rPr>
                <w:rFonts w:cs="Times New Roman"/>
                <w:sz w:val="22"/>
              </w:rPr>
            </w:pPr>
            <w:r w:rsidRPr="00A86B5B">
              <w:rPr>
                <w:rFonts w:cs="Times New Roman"/>
                <w:sz w:val="22"/>
              </w:rPr>
              <w:t>-0.26</w:t>
            </w:r>
          </w:p>
        </w:tc>
      </w:tr>
      <w:tr w:rsidR="007606FB" w:rsidRPr="00A86B5B" w14:paraId="74ACE261"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45F86F02" w14:textId="77777777" w:rsidR="007606FB" w:rsidRPr="00A86B5B" w:rsidRDefault="007606FB">
            <w:pPr>
              <w:rPr>
                <w:rFonts w:cs="Times New Roman"/>
                <w:sz w:val="22"/>
              </w:rPr>
            </w:pPr>
            <w:r w:rsidRPr="00A86B5B">
              <w:rPr>
                <w:rFonts w:cs="Times New Roman"/>
                <w:sz w:val="22"/>
              </w:rPr>
              <w:t>Mean difference from placebo† (95% CI)</w:t>
            </w:r>
          </w:p>
        </w:tc>
        <w:tc>
          <w:tcPr>
            <w:tcW w:w="1331" w:type="pct"/>
            <w:tcBorders>
              <w:top w:val="single" w:sz="4" w:space="0" w:color="auto"/>
              <w:left w:val="single" w:sz="4" w:space="0" w:color="auto"/>
              <w:bottom w:val="single" w:sz="4" w:space="0" w:color="auto"/>
              <w:right w:val="single" w:sz="4" w:space="0" w:color="auto"/>
            </w:tcBorders>
            <w:hideMark/>
          </w:tcPr>
          <w:p w14:paraId="66C789AD" w14:textId="77777777" w:rsidR="007606FB" w:rsidRPr="00A86B5B" w:rsidRDefault="007606FB">
            <w:pPr>
              <w:spacing w:line="256" w:lineRule="auto"/>
              <w:ind w:left="-107" w:right="-103"/>
              <w:jc w:val="center"/>
              <w:rPr>
                <w:rFonts w:cs="Times New Roman"/>
                <w:sz w:val="22"/>
              </w:rPr>
            </w:pPr>
            <w:r w:rsidRPr="00A86B5B">
              <w:rPr>
                <w:rFonts w:cs="Times New Roman"/>
                <w:sz w:val="22"/>
              </w:rPr>
              <w:t>--</w:t>
            </w:r>
          </w:p>
        </w:tc>
        <w:tc>
          <w:tcPr>
            <w:tcW w:w="1325" w:type="pct"/>
            <w:tcBorders>
              <w:top w:val="single" w:sz="4" w:space="0" w:color="auto"/>
              <w:left w:val="single" w:sz="4" w:space="0" w:color="auto"/>
              <w:bottom w:val="single" w:sz="4" w:space="0" w:color="auto"/>
              <w:right w:val="single" w:sz="4" w:space="0" w:color="auto"/>
            </w:tcBorders>
            <w:hideMark/>
          </w:tcPr>
          <w:p w14:paraId="0FF993EF" w14:textId="77777777" w:rsidR="007606FB" w:rsidRPr="00A86B5B" w:rsidRDefault="007606FB">
            <w:pPr>
              <w:spacing w:line="256" w:lineRule="auto"/>
              <w:ind w:left="-113" w:right="-112"/>
              <w:jc w:val="center"/>
              <w:rPr>
                <w:rFonts w:cs="Times New Roman"/>
                <w:sz w:val="22"/>
              </w:rPr>
            </w:pPr>
            <w:r w:rsidRPr="00A86B5B">
              <w:rPr>
                <w:rFonts w:cs="Times New Roman"/>
                <w:sz w:val="22"/>
              </w:rPr>
              <w:t>-0.11 (-0.16, -0.07)</w:t>
            </w:r>
          </w:p>
        </w:tc>
      </w:tr>
      <w:tr w:rsidR="007606FB" w:rsidRPr="00A86B5B" w14:paraId="15CEB08B"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2775AA09" w14:textId="77777777" w:rsidR="007606FB" w:rsidRPr="00A86B5B" w:rsidRDefault="007606FB">
            <w:pPr>
              <w:rPr>
                <w:rFonts w:cs="Times New Roman"/>
                <w:sz w:val="22"/>
              </w:rPr>
            </w:pPr>
            <w:r w:rsidRPr="00A86B5B">
              <w:rPr>
                <w:rFonts w:cs="Times New Roman"/>
                <w:sz w:val="22"/>
              </w:rPr>
              <w:t>p-value</w:t>
            </w:r>
          </w:p>
        </w:tc>
        <w:tc>
          <w:tcPr>
            <w:tcW w:w="1331" w:type="pct"/>
            <w:tcBorders>
              <w:top w:val="single" w:sz="4" w:space="0" w:color="auto"/>
              <w:left w:val="single" w:sz="4" w:space="0" w:color="auto"/>
              <w:bottom w:val="single" w:sz="4" w:space="0" w:color="auto"/>
              <w:right w:val="single" w:sz="4" w:space="0" w:color="auto"/>
            </w:tcBorders>
            <w:hideMark/>
          </w:tcPr>
          <w:p w14:paraId="6808EC6A" w14:textId="77777777" w:rsidR="007606FB" w:rsidRPr="00A86B5B" w:rsidRDefault="007606FB">
            <w:pPr>
              <w:spacing w:line="256" w:lineRule="auto"/>
              <w:ind w:left="-107" w:right="-103"/>
              <w:jc w:val="center"/>
              <w:rPr>
                <w:rFonts w:cs="Times New Roman"/>
                <w:sz w:val="22"/>
              </w:rPr>
            </w:pPr>
            <w:r w:rsidRPr="00A86B5B">
              <w:rPr>
                <w:rFonts w:cs="Times New Roman"/>
                <w:sz w:val="22"/>
              </w:rPr>
              <w:t>--</w:t>
            </w:r>
          </w:p>
        </w:tc>
        <w:tc>
          <w:tcPr>
            <w:tcW w:w="1325" w:type="pct"/>
            <w:tcBorders>
              <w:top w:val="single" w:sz="4" w:space="0" w:color="auto"/>
              <w:left w:val="single" w:sz="4" w:space="0" w:color="auto"/>
              <w:bottom w:val="single" w:sz="4" w:space="0" w:color="auto"/>
              <w:right w:val="single" w:sz="4" w:space="0" w:color="auto"/>
            </w:tcBorders>
            <w:hideMark/>
          </w:tcPr>
          <w:p w14:paraId="396293D9" w14:textId="77777777" w:rsidR="007606FB" w:rsidRPr="00A86B5B" w:rsidRDefault="007606FB">
            <w:pPr>
              <w:spacing w:line="256" w:lineRule="auto"/>
              <w:ind w:left="-113" w:right="-112"/>
              <w:jc w:val="center"/>
              <w:rPr>
                <w:rFonts w:cs="Times New Roman"/>
                <w:sz w:val="22"/>
              </w:rPr>
            </w:pPr>
            <w:r w:rsidRPr="00A86B5B">
              <w:rPr>
                <w:rFonts w:cs="Times New Roman"/>
                <w:sz w:val="22"/>
              </w:rPr>
              <w:t>&lt;0.001#</w:t>
            </w:r>
          </w:p>
        </w:tc>
      </w:tr>
      <w:tr w:rsidR="007606FB" w:rsidRPr="00531029" w14:paraId="7AE117C0" w14:textId="77777777" w:rsidTr="00A86B5B">
        <w:tc>
          <w:tcPr>
            <w:tcW w:w="5000" w:type="pct"/>
            <w:gridSpan w:val="3"/>
            <w:tcBorders>
              <w:top w:val="single" w:sz="4" w:space="0" w:color="auto"/>
              <w:left w:val="single" w:sz="4" w:space="0" w:color="auto"/>
              <w:bottom w:val="single" w:sz="4" w:space="0" w:color="auto"/>
              <w:right w:val="single" w:sz="4" w:space="0" w:color="auto"/>
            </w:tcBorders>
            <w:hideMark/>
          </w:tcPr>
          <w:p w14:paraId="35578DA1" w14:textId="77777777" w:rsidR="007606FB" w:rsidRPr="00A86B5B" w:rsidRDefault="007606FB">
            <w:pPr>
              <w:rPr>
                <w:rFonts w:cs="Times New Roman"/>
                <w:sz w:val="22"/>
              </w:rPr>
            </w:pPr>
            <w:r w:rsidRPr="00A86B5B">
              <w:rPr>
                <w:rFonts w:cs="Times New Roman"/>
                <w:b/>
                <w:sz w:val="22"/>
              </w:rPr>
              <w:lastRenderedPageBreak/>
              <w:t>Mean number of urgency incontinence episodes per 24 hours (FAS</w:t>
            </w:r>
            <w:r w:rsidRPr="00A86B5B">
              <w:rPr>
                <w:rFonts w:cs="Times New Roman"/>
                <w:b/>
                <w:sz w:val="22"/>
              </w:rPr>
              <w:noBreakHyphen/>
              <w:t>I) (Secondary)</w:t>
            </w:r>
          </w:p>
        </w:tc>
      </w:tr>
      <w:tr w:rsidR="007606FB" w:rsidRPr="00A86B5B" w14:paraId="57AD3E6A"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28591EC8" w14:textId="77777777" w:rsidR="007606FB" w:rsidRPr="00A86B5B" w:rsidRDefault="007606FB">
            <w:pPr>
              <w:rPr>
                <w:rFonts w:cs="Times New Roman"/>
                <w:sz w:val="22"/>
              </w:rPr>
            </w:pPr>
            <w:r w:rsidRPr="00A86B5B">
              <w:rPr>
                <w:rFonts w:cs="Times New Roman"/>
                <w:sz w:val="22"/>
              </w:rPr>
              <w:t>n</w:t>
            </w:r>
          </w:p>
        </w:tc>
        <w:tc>
          <w:tcPr>
            <w:tcW w:w="1331" w:type="pct"/>
            <w:tcBorders>
              <w:top w:val="single" w:sz="4" w:space="0" w:color="auto"/>
              <w:left w:val="single" w:sz="4" w:space="0" w:color="auto"/>
              <w:bottom w:val="single" w:sz="4" w:space="0" w:color="auto"/>
              <w:right w:val="single" w:sz="4" w:space="0" w:color="auto"/>
            </w:tcBorders>
            <w:hideMark/>
          </w:tcPr>
          <w:p w14:paraId="7DFEA636" w14:textId="77777777" w:rsidR="007606FB" w:rsidRPr="00A86B5B" w:rsidRDefault="007606FB">
            <w:pPr>
              <w:spacing w:line="256" w:lineRule="auto"/>
              <w:ind w:left="-107" w:right="-103"/>
              <w:jc w:val="center"/>
              <w:rPr>
                <w:rFonts w:cs="Times New Roman"/>
                <w:sz w:val="22"/>
              </w:rPr>
            </w:pPr>
            <w:r w:rsidRPr="00A86B5B">
              <w:rPr>
                <w:rFonts w:cs="Times New Roman"/>
                <w:sz w:val="22"/>
              </w:rPr>
              <w:t>858</w:t>
            </w:r>
          </w:p>
        </w:tc>
        <w:tc>
          <w:tcPr>
            <w:tcW w:w="1325" w:type="pct"/>
            <w:tcBorders>
              <w:top w:val="single" w:sz="4" w:space="0" w:color="auto"/>
              <w:left w:val="single" w:sz="4" w:space="0" w:color="auto"/>
              <w:bottom w:val="single" w:sz="4" w:space="0" w:color="auto"/>
              <w:right w:val="single" w:sz="4" w:space="0" w:color="auto"/>
            </w:tcBorders>
            <w:hideMark/>
          </w:tcPr>
          <w:p w14:paraId="2D3B515E" w14:textId="77777777" w:rsidR="007606FB" w:rsidRPr="00A86B5B" w:rsidRDefault="007606FB">
            <w:pPr>
              <w:spacing w:line="256" w:lineRule="auto"/>
              <w:ind w:left="-113" w:right="-112"/>
              <w:jc w:val="center"/>
              <w:rPr>
                <w:rFonts w:cs="Times New Roman"/>
                <w:sz w:val="22"/>
              </w:rPr>
            </w:pPr>
            <w:r w:rsidRPr="00A86B5B">
              <w:rPr>
                <w:rFonts w:cs="Times New Roman"/>
                <w:sz w:val="22"/>
              </w:rPr>
              <w:t>834</w:t>
            </w:r>
          </w:p>
        </w:tc>
      </w:tr>
      <w:tr w:rsidR="007606FB" w:rsidRPr="00A86B5B" w14:paraId="3B0FC5B3"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2C405C59" w14:textId="77777777" w:rsidR="007606FB" w:rsidRPr="00A86B5B" w:rsidRDefault="007606FB">
            <w:pPr>
              <w:rPr>
                <w:rFonts w:cs="Times New Roman"/>
                <w:sz w:val="22"/>
              </w:rPr>
            </w:pPr>
            <w:r w:rsidRPr="00A86B5B">
              <w:rPr>
                <w:rFonts w:cs="Times New Roman"/>
                <w:sz w:val="22"/>
              </w:rPr>
              <w:t>Mean baseline</w:t>
            </w:r>
          </w:p>
        </w:tc>
        <w:tc>
          <w:tcPr>
            <w:tcW w:w="1331" w:type="pct"/>
            <w:tcBorders>
              <w:top w:val="single" w:sz="4" w:space="0" w:color="auto"/>
              <w:left w:val="single" w:sz="4" w:space="0" w:color="auto"/>
              <w:bottom w:val="single" w:sz="4" w:space="0" w:color="auto"/>
              <w:right w:val="single" w:sz="4" w:space="0" w:color="auto"/>
            </w:tcBorders>
            <w:hideMark/>
          </w:tcPr>
          <w:p w14:paraId="3C239521" w14:textId="77777777" w:rsidR="007606FB" w:rsidRPr="00A86B5B" w:rsidRDefault="007606FB">
            <w:pPr>
              <w:spacing w:line="256" w:lineRule="auto"/>
              <w:ind w:left="-107" w:right="-103"/>
              <w:jc w:val="center"/>
              <w:rPr>
                <w:rFonts w:cs="Times New Roman"/>
                <w:sz w:val="22"/>
              </w:rPr>
            </w:pPr>
            <w:r w:rsidRPr="00A86B5B">
              <w:rPr>
                <w:rFonts w:cs="Times New Roman"/>
                <w:sz w:val="22"/>
              </w:rPr>
              <w:t>2.42</w:t>
            </w:r>
          </w:p>
        </w:tc>
        <w:tc>
          <w:tcPr>
            <w:tcW w:w="1325" w:type="pct"/>
            <w:tcBorders>
              <w:top w:val="single" w:sz="4" w:space="0" w:color="auto"/>
              <w:left w:val="single" w:sz="4" w:space="0" w:color="auto"/>
              <w:bottom w:val="single" w:sz="4" w:space="0" w:color="auto"/>
              <w:right w:val="single" w:sz="4" w:space="0" w:color="auto"/>
            </w:tcBorders>
            <w:hideMark/>
          </w:tcPr>
          <w:p w14:paraId="3C1CE1D0" w14:textId="77777777" w:rsidR="007606FB" w:rsidRPr="00A86B5B" w:rsidRDefault="007606FB">
            <w:pPr>
              <w:spacing w:line="256" w:lineRule="auto"/>
              <w:ind w:left="-113" w:right="-112"/>
              <w:jc w:val="center"/>
              <w:rPr>
                <w:rFonts w:cs="Times New Roman"/>
                <w:sz w:val="22"/>
              </w:rPr>
            </w:pPr>
            <w:r w:rsidRPr="00A86B5B">
              <w:rPr>
                <w:rFonts w:cs="Times New Roman"/>
                <w:sz w:val="22"/>
              </w:rPr>
              <w:t>2.42</w:t>
            </w:r>
          </w:p>
        </w:tc>
      </w:tr>
      <w:tr w:rsidR="007606FB" w:rsidRPr="00A86B5B" w14:paraId="7B6E7A05"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67203566" w14:textId="77777777" w:rsidR="007606FB" w:rsidRPr="00A86B5B" w:rsidRDefault="007606FB">
            <w:pPr>
              <w:rPr>
                <w:rFonts w:cs="Times New Roman"/>
                <w:sz w:val="22"/>
              </w:rPr>
            </w:pPr>
            <w:r w:rsidRPr="00A86B5B">
              <w:rPr>
                <w:rFonts w:cs="Times New Roman"/>
                <w:sz w:val="22"/>
              </w:rPr>
              <w:t>Mean change from baseline†</w:t>
            </w:r>
          </w:p>
        </w:tc>
        <w:tc>
          <w:tcPr>
            <w:tcW w:w="1331" w:type="pct"/>
            <w:tcBorders>
              <w:top w:val="single" w:sz="4" w:space="0" w:color="auto"/>
              <w:left w:val="single" w:sz="4" w:space="0" w:color="auto"/>
              <w:bottom w:val="single" w:sz="4" w:space="0" w:color="auto"/>
              <w:right w:val="single" w:sz="4" w:space="0" w:color="auto"/>
            </w:tcBorders>
            <w:hideMark/>
          </w:tcPr>
          <w:p w14:paraId="59AD6DEF" w14:textId="77777777" w:rsidR="007606FB" w:rsidRPr="00A86B5B" w:rsidRDefault="007606FB">
            <w:pPr>
              <w:spacing w:line="256" w:lineRule="auto"/>
              <w:ind w:left="-107" w:right="-103"/>
              <w:jc w:val="center"/>
              <w:rPr>
                <w:rFonts w:cs="Times New Roman"/>
                <w:sz w:val="22"/>
              </w:rPr>
            </w:pPr>
            <w:r w:rsidRPr="00A86B5B">
              <w:rPr>
                <w:rFonts w:cs="Times New Roman"/>
                <w:sz w:val="22"/>
              </w:rPr>
              <w:t>-0.98</w:t>
            </w:r>
          </w:p>
        </w:tc>
        <w:tc>
          <w:tcPr>
            <w:tcW w:w="1325" w:type="pct"/>
            <w:tcBorders>
              <w:top w:val="single" w:sz="4" w:space="0" w:color="auto"/>
              <w:left w:val="single" w:sz="4" w:space="0" w:color="auto"/>
              <w:bottom w:val="single" w:sz="4" w:space="0" w:color="auto"/>
              <w:right w:val="single" w:sz="4" w:space="0" w:color="auto"/>
            </w:tcBorders>
            <w:hideMark/>
          </w:tcPr>
          <w:p w14:paraId="6D5F4888" w14:textId="77777777" w:rsidR="007606FB" w:rsidRPr="00A86B5B" w:rsidRDefault="007606FB">
            <w:pPr>
              <w:spacing w:line="256" w:lineRule="auto"/>
              <w:ind w:left="-113" w:right="-112"/>
              <w:jc w:val="center"/>
              <w:rPr>
                <w:rFonts w:cs="Times New Roman"/>
                <w:sz w:val="22"/>
              </w:rPr>
            </w:pPr>
            <w:r w:rsidRPr="00A86B5B">
              <w:rPr>
                <w:rFonts w:cs="Times New Roman"/>
                <w:sz w:val="22"/>
              </w:rPr>
              <w:t>-1.38</w:t>
            </w:r>
          </w:p>
        </w:tc>
      </w:tr>
      <w:tr w:rsidR="007606FB" w:rsidRPr="00A86B5B" w14:paraId="0F54288D"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584C1251" w14:textId="77777777" w:rsidR="007606FB" w:rsidRPr="00A86B5B" w:rsidRDefault="007606FB">
            <w:pPr>
              <w:rPr>
                <w:rFonts w:cs="Times New Roman"/>
                <w:sz w:val="22"/>
              </w:rPr>
            </w:pPr>
            <w:r w:rsidRPr="00A86B5B">
              <w:rPr>
                <w:rFonts w:cs="Times New Roman"/>
                <w:sz w:val="22"/>
              </w:rPr>
              <w:t>Mean difference from placebo† (95% CI)</w:t>
            </w:r>
          </w:p>
        </w:tc>
        <w:tc>
          <w:tcPr>
            <w:tcW w:w="1331" w:type="pct"/>
            <w:tcBorders>
              <w:top w:val="single" w:sz="4" w:space="0" w:color="auto"/>
              <w:left w:val="single" w:sz="4" w:space="0" w:color="auto"/>
              <w:bottom w:val="single" w:sz="4" w:space="0" w:color="auto"/>
              <w:right w:val="single" w:sz="4" w:space="0" w:color="auto"/>
            </w:tcBorders>
            <w:hideMark/>
          </w:tcPr>
          <w:p w14:paraId="79679B0B" w14:textId="77777777" w:rsidR="007606FB" w:rsidRPr="00A86B5B" w:rsidRDefault="007606FB">
            <w:pPr>
              <w:spacing w:line="256" w:lineRule="auto"/>
              <w:ind w:left="-107" w:right="-103"/>
              <w:jc w:val="center"/>
              <w:rPr>
                <w:rFonts w:cs="Times New Roman"/>
                <w:sz w:val="22"/>
              </w:rPr>
            </w:pPr>
            <w:r w:rsidRPr="00A86B5B">
              <w:rPr>
                <w:rFonts w:cs="Times New Roman"/>
                <w:sz w:val="22"/>
              </w:rPr>
              <w:t>--</w:t>
            </w:r>
          </w:p>
        </w:tc>
        <w:tc>
          <w:tcPr>
            <w:tcW w:w="1325" w:type="pct"/>
            <w:tcBorders>
              <w:top w:val="single" w:sz="4" w:space="0" w:color="auto"/>
              <w:left w:val="single" w:sz="4" w:space="0" w:color="auto"/>
              <w:bottom w:val="single" w:sz="4" w:space="0" w:color="auto"/>
              <w:right w:val="single" w:sz="4" w:space="0" w:color="auto"/>
            </w:tcBorders>
            <w:hideMark/>
          </w:tcPr>
          <w:p w14:paraId="16B3EB3C" w14:textId="77777777" w:rsidR="007606FB" w:rsidRPr="00A86B5B" w:rsidRDefault="007606FB">
            <w:pPr>
              <w:spacing w:line="256" w:lineRule="auto"/>
              <w:ind w:left="-113" w:right="-112"/>
              <w:jc w:val="center"/>
              <w:rPr>
                <w:rFonts w:cs="Times New Roman"/>
                <w:sz w:val="22"/>
              </w:rPr>
            </w:pPr>
            <w:r w:rsidRPr="00A86B5B">
              <w:rPr>
                <w:rFonts w:cs="Times New Roman"/>
                <w:sz w:val="22"/>
              </w:rPr>
              <w:t>-0.40 (-0.57, -0.23)</w:t>
            </w:r>
          </w:p>
        </w:tc>
      </w:tr>
      <w:tr w:rsidR="007606FB" w:rsidRPr="00A86B5B" w14:paraId="15D25568"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2AA47534" w14:textId="77777777" w:rsidR="007606FB" w:rsidRPr="00A86B5B" w:rsidRDefault="007606FB">
            <w:pPr>
              <w:rPr>
                <w:rFonts w:cs="Times New Roman"/>
                <w:sz w:val="22"/>
              </w:rPr>
            </w:pPr>
            <w:r w:rsidRPr="00A86B5B">
              <w:rPr>
                <w:rFonts w:cs="Times New Roman"/>
                <w:sz w:val="22"/>
              </w:rPr>
              <w:t>p-value</w:t>
            </w:r>
          </w:p>
        </w:tc>
        <w:tc>
          <w:tcPr>
            <w:tcW w:w="1331" w:type="pct"/>
            <w:tcBorders>
              <w:top w:val="single" w:sz="4" w:space="0" w:color="auto"/>
              <w:left w:val="single" w:sz="4" w:space="0" w:color="auto"/>
              <w:bottom w:val="single" w:sz="4" w:space="0" w:color="auto"/>
              <w:right w:val="single" w:sz="4" w:space="0" w:color="auto"/>
            </w:tcBorders>
            <w:hideMark/>
          </w:tcPr>
          <w:p w14:paraId="0231066A" w14:textId="77777777" w:rsidR="007606FB" w:rsidRPr="00A86B5B" w:rsidRDefault="007606FB">
            <w:pPr>
              <w:spacing w:line="256" w:lineRule="auto"/>
              <w:ind w:left="-107" w:right="-103"/>
              <w:jc w:val="center"/>
              <w:rPr>
                <w:rFonts w:cs="Times New Roman"/>
                <w:sz w:val="22"/>
              </w:rPr>
            </w:pPr>
            <w:r w:rsidRPr="00A86B5B">
              <w:rPr>
                <w:rFonts w:cs="Times New Roman"/>
                <w:sz w:val="22"/>
              </w:rPr>
              <w:t>--</w:t>
            </w:r>
          </w:p>
        </w:tc>
        <w:tc>
          <w:tcPr>
            <w:tcW w:w="1325" w:type="pct"/>
            <w:tcBorders>
              <w:top w:val="single" w:sz="4" w:space="0" w:color="auto"/>
              <w:left w:val="single" w:sz="4" w:space="0" w:color="auto"/>
              <w:bottom w:val="single" w:sz="4" w:space="0" w:color="auto"/>
              <w:right w:val="single" w:sz="4" w:space="0" w:color="auto"/>
            </w:tcBorders>
            <w:hideMark/>
          </w:tcPr>
          <w:p w14:paraId="2DCFBEAA" w14:textId="77777777" w:rsidR="007606FB" w:rsidRPr="00A86B5B" w:rsidRDefault="007606FB">
            <w:pPr>
              <w:spacing w:line="256" w:lineRule="auto"/>
              <w:ind w:left="-113" w:right="-112"/>
              <w:jc w:val="center"/>
              <w:rPr>
                <w:rFonts w:cs="Times New Roman"/>
                <w:sz w:val="22"/>
              </w:rPr>
            </w:pPr>
            <w:r w:rsidRPr="00A86B5B">
              <w:rPr>
                <w:rFonts w:cs="Times New Roman"/>
                <w:sz w:val="22"/>
              </w:rPr>
              <w:t>&lt;0.001#</w:t>
            </w:r>
          </w:p>
        </w:tc>
      </w:tr>
      <w:tr w:rsidR="007606FB" w:rsidRPr="00531029" w14:paraId="7E55296B" w14:textId="77777777" w:rsidTr="00A86B5B">
        <w:tc>
          <w:tcPr>
            <w:tcW w:w="5000" w:type="pct"/>
            <w:gridSpan w:val="3"/>
            <w:tcBorders>
              <w:top w:val="single" w:sz="4" w:space="0" w:color="auto"/>
              <w:left w:val="single" w:sz="4" w:space="0" w:color="auto"/>
              <w:bottom w:val="single" w:sz="4" w:space="0" w:color="auto"/>
              <w:right w:val="single" w:sz="4" w:space="0" w:color="auto"/>
            </w:tcBorders>
            <w:hideMark/>
          </w:tcPr>
          <w:p w14:paraId="41233280" w14:textId="77777777" w:rsidR="007606FB" w:rsidRPr="00A86B5B" w:rsidRDefault="007606FB">
            <w:pPr>
              <w:rPr>
                <w:rFonts w:cs="Times New Roman"/>
                <w:sz w:val="22"/>
              </w:rPr>
            </w:pPr>
            <w:r w:rsidRPr="00A86B5B">
              <w:rPr>
                <w:rFonts w:cs="Times New Roman"/>
                <w:b/>
                <w:sz w:val="22"/>
              </w:rPr>
              <w:t>Mean number of episodes with urgency grades 3 or 4 per 24 hours (FAS) (Secondary)</w:t>
            </w:r>
          </w:p>
        </w:tc>
      </w:tr>
      <w:tr w:rsidR="007606FB" w:rsidRPr="00A86B5B" w14:paraId="0305B5DC"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2422F4AB" w14:textId="77777777" w:rsidR="007606FB" w:rsidRPr="00A86B5B" w:rsidRDefault="007606FB">
            <w:pPr>
              <w:rPr>
                <w:rFonts w:cs="Times New Roman"/>
                <w:sz w:val="22"/>
              </w:rPr>
            </w:pPr>
            <w:r w:rsidRPr="00A86B5B">
              <w:rPr>
                <w:rFonts w:cs="Times New Roman"/>
                <w:sz w:val="22"/>
              </w:rPr>
              <w:t>n</w:t>
            </w:r>
          </w:p>
        </w:tc>
        <w:tc>
          <w:tcPr>
            <w:tcW w:w="1331" w:type="pct"/>
            <w:tcBorders>
              <w:top w:val="single" w:sz="4" w:space="0" w:color="auto"/>
              <w:left w:val="single" w:sz="4" w:space="0" w:color="auto"/>
              <w:bottom w:val="single" w:sz="4" w:space="0" w:color="auto"/>
              <w:right w:val="single" w:sz="4" w:space="0" w:color="auto"/>
            </w:tcBorders>
            <w:hideMark/>
          </w:tcPr>
          <w:p w14:paraId="6C111544" w14:textId="77777777" w:rsidR="007606FB" w:rsidRPr="00A86B5B" w:rsidRDefault="007606FB">
            <w:pPr>
              <w:spacing w:line="256" w:lineRule="auto"/>
              <w:ind w:left="-107" w:right="-103"/>
              <w:jc w:val="center"/>
              <w:rPr>
                <w:rFonts w:cs="Times New Roman"/>
                <w:sz w:val="22"/>
              </w:rPr>
            </w:pPr>
            <w:r w:rsidRPr="00A86B5B">
              <w:rPr>
                <w:rFonts w:cs="Times New Roman"/>
                <w:sz w:val="22"/>
              </w:rPr>
              <w:t>1324</w:t>
            </w:r>
          </w:p>
        </w:tc>
        <w:tc>
          <w:tcPr>
            <w:tcW w:w="1325" w:type="pct"/>
            <w:tcBorders>
              <w:top w:val="single" w:sz="4" w:space="0" w:color="auto"/>
              <w:left w:val="single" w:sz="4" w:space="0" w:color="auto"/>
              <w:bottom w:val="single" w:sz="4" w:space="0" w:color="auto"/>
              <w:right w:val="single" w:sz="4" w:space="0" w:color="auto"/>
            </w:tcBorders>
            <w:hideMark/>
          </w:tcPr>
          <w:p w14:paraId="6669C70A" w14:textId="77777777" w:rsidR="007606FB" w:rsidRPr="00A86B5B" w:rsidRDefault="007606FB">
            <w:pPr>
              <w:spacing w:line="256" w:lineRule="auto"/>
              <w:ind w:left="-113" w:right="-112"/>
              <w:jc w:val="center"/>
              <w:rPr>
                <w:rFonts w:cs="Times New Roman"/>
                <w:sz w:val="22"/>
              </w:rPr>
            </w:pPr>
            <w:r w:rsidRPr="00A86B5B">
              <w:rPr>
                <w:rFonts w:cs="Times New Roman"/>
                <w:sz w:val="22"/>
              </w:rPr>
              <w:t>1320</w:t>
            </w:r>
          </w:p>
        </w:tc>
      </w:tr>
      <w:tr w:rsidR="007606FB" w:rsidRPr="00A86B5B" w14:paraId="05F18E61"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0D1E69A1" w14:textId="77777777" w:rsidR="007606FB" w:rsidRPr="00A86B5B" w:rsidRDefault="007606FB">
            <w:pPr>
              <w:rPr>
                <w:rFonts w:cs="Times New Roman"/>
                <w:sz w:val="22"/>
              </w:rPr>
            </w:pPr>
            <w:r w:rsidRPr="00A86B5B">
              <w:rPr>
                <w:rFonts w:cs="Times New Roman"/>
                <w:sz w:val="22"/>
              </w:rPr>
              <w:t>Mean baseline</w:t>
            </w:r>
          </w:p>
        </w:tc>
        <w:tc>
          <w:tcPr>
            <w:tcW w:w="1331" w:type="pct"/>
            <w:tcBorders>
              <w:top w:val="single" w:sz="4" w:space="0" w:color="auto"/>
              <w:left w:val="single" w:sz="4" w:space="0" w:color="auto"/>
              <w:bottom w:val="single" w:sz="4" w:space="0" w:color="auto"/>
              <w:right w:val="single" w:sz="4" w:space="0" w:color="auto"/>
            </w:tcBorders>
            <w:hideMark/>
          </w:tcPr>
          <w:p w14:paraId="62C6FB83" w14:textId="77777777" w:rsidR="007606FB" w:rsidRPr="00A86B5B" w:rsidRDefault="007606FB">
            <w:pPr>
              <w:spacing w:line="256" w:lineRule="auto"/>
              <w:ind w:left="-107" w:right="-103"/>
              <w:jc w:val="center"/>
              <w:rPr>
                <w:rFonts w:cs="Times New Roman"/>
                <w:sz w:val="22"/>
              </w:rPr>
            </w:pPr>
            <w:r w:rsidRPr="00A86B5B">
              <w:rPr>
                <w:rFonts w:cs="Times New Roman"/>
                <w:sz w:val="22"/>
              </w:rPr>
              <w:t>5.61</w:t>
            </w:r>
          </w:p>
        </w:tc>
        <w:tc>
          <w:tcPr>
            <w:tcW w:w="1325" w:type="pct"/>
            <w:tcBorders>
              <w:top w:val="single" w:sz="4" w:space="0" w:color="auto"/>
              <w:left w:val="single" w:sz="4" w:space="0" w:color="auto"/>
              <w:bottom w:val="single" w:sz="4" w:space="0" w:color="auto"/>
              <w:right w:val="single" w:sz="4" w:space="0" w:color="auto"/>
            </w:tcBorders>
            <w:hideMark/>
          </w:tcPr>
          <w:p w14:paraId="06ABC001" w14:textId="77777777" w:rsidR="007606FB" w:rsidRPr="00A86B5B" w:rsidRDefault="007606FB">
            <w:pPr>
              <w:spacing w:line="256" w:lineRule="auto"/>
              <w:ind w:left="-113" w:right="-112"/>
              <w:jc w:val="center"/>
              <w:rPr>
                <w:rFonts w:cs="Times New Roman"/>
                <w:sz w:val="22"/>
              </w:rPr>
            </w:pPr>
            <w:r w:rsidRPr="00A86B5B">
              <w:rPr>
                <w:rFonts w:cs="Times New Roman"/>
                <w:sz w:val="22"/>
              </w:rPr>
              <w:t>5.80</w:t>
            </w:r>
          </w:p>
        </w:tc>
      </w:tr>
      <w:tr w:rsidR="007606FB" w:rsidRPr="00A86B5B" w14:paraId="07B7B0D9"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1EEFD291" w14:textId="77777777" w:rsidR="007606FB" w:rsidRPr="00A86B5B" w:rsidRDefault="007606FB">
            <w:pPr>
              <w:rPr>
                <w:rFonts w:cs="Times New Roman"/>
                <w:sz w:val="22"/>
              </w:rPr>
            </w:pPr>
            <w:r w:rsidRPr="00A86B5B">
              <w:rPr>
                <w:rFonts w:cs="Times New Roman"/>
                <w:sz w:val="22"/>
              </w:rPr>
              <w:t>Mean change from baseline†</w:t>
            </w:r>
          </w:p>
        </w:tc>
        <w:tc>
          <w:tcPr>
            <w:tcW w:w="1331" w:type="pct"/>
            <w:tcBorders>
              <w:top w:val="single" w:sz="4" w:space="0" w:color="auto"/>
              <w:left w:val="single" w:sz="4" w:space="0" w:color="auto"/>
              <w:bottom w:val="single" w:sz="4" w:space="0" w:color="auto"/>
              <w:right w:val="single" w:sz="4" w:space="0" w:color="auto"/>
            </w:tcBorders>
            <w:hideMark/>
          </w:tcPr>
          <w:p w14:paraId="716DC869" w14:textId="77777777" w:rsidR="007606FB" w:rsidRPr="00A86B5B" w:rsidRDefault="007606FB">
            <w:pPr>
              <w:spacing w:line="256" w:lineRule="auto"/>
              <w:ind w:left="-107" w:right="-103"/>
              <w:jc w:val="center"/>
              <w:rPr>
                <w:rFonts w:cs="Times New Roman"/>
                <w:sz w:val="22"/>
              </w:rPr>
            </w:pPr>
            <w:r w:rsidRPr="00A86B5B">
              <w:rPr>
                <w:rFonts w:cs="Times New Roman"/>
                <w:sz w:val="22"/>
              </w:rPr>
              <w:t>-1.29</w:t>
            </w:r>
          </w:p>
        </w:tc>
        <w:tc>
          <w:tcPr>
            <w:tcW w:w="1325" w:type="pct"/>
            <w:tcBorders>
              <w:top w:val="single" w:sz="4" w:space="0" w:color="auto"/>
              <w:left w:val="single" w:sz="4" w:space="0" w:color="auto"/>
              <w:bottom w:val="single" w:sz="4" w:space="0" w:color="auto"/>
              <w:right w:val="single" w:sz="4" w:space="0" w:color="auto"/>
            </w:tcBorders>
            <w:hideMark/>
          </w:tcPr>
          <w:p w14:paraId="1BAE45C7" w14:textId="77777777" w:rsidR="007606FB" w:rsidRPr="00A86B5B" w:rsidRDefault="007606FB">
            <w:pPr>
              <w:spacing w:line="256" w:lineRule="auto"/>
              <w:ind w:left="-113" w:right="-112"/>
              <w:jc w:val="center"/>
              <w:rPr>
                <w:rFonts w:cs="Times New Roman"/>
                <w:sz w:val="22"/>
              </w:rPr>
            </w:pPr>
            <w:r w:rsidRPr="00A86B5B">
              <w:rPr>
                <w:rFonts w:cs="Times New Roman"/>
                <w:sz w:val="22"/>
              </w:rPr>
              <w:t>-1.93</w:t>
            </w:r>
          </w:p>
        </w:tc>
      </w:tr>
      <w:tr w:rsidR="007606FB" w:rsidRPr="00A86B5B" w14:paraId="00A46CF2"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2D08283C" w14:textId="77777777" w:rsidR="007606FB" w:rsidRPr="00A86B5B" w:rsidRDefault="007606FB">
            <w:pPr>
              <w:rPr>
                <w:rFonts w:cs="Times New Roman"/>
                <w:sz w:val="22"/>
              </w:rPr>
            </w:pPr>
            <w:r w:rsidRPr="00A86B5B">
              <w:rPr>
                <w:rFonts w:cs="Times New Roman"/>
                <w:sz w:val="22"/>
              </w:rPr>
              <w:t>Mean difference from placebo† (95% CI)</w:t>
            </w:r>
          </w:p>
        </w:tc>
        <w:tc>
          <w:tcPr>
            <w:tcW w:w="1331" w:type="pct"/>
            <w:tcBorders>
              <w:top w:val="single" w:sz="4" w:space="0" w:color="auto"/>
              <w:left w:val="single" w:sz="4" w:space="0" w:color="auto"/>
              <w:bottom w:val="single" w:sz="4" w:space="0" w:color="auto"/>
              <w:right w:val="single" w:sz="4" w:space="0" w:color="auto"/>
            </w:tcBorders>
            <w:hideMark/>
          </w:tcPr>
          <w:p w14:paraId="2CFC5080" w14:textId="77777777" w:rsidR="007606FB" w:rsidRPr="00A86B5B" w:rsidRDefault="007606FB">
            <w:pPr>
              <w:spacing w:line="256" w:lineRule="auto"/>
              <w:ind w:left="-107" w:right="-103"/>
              <w:jc w:val="center"/>
              <w:rPr>
                <w:rFonts w:cs="Times New Roman"/>
                <w:sz w:val="22"/>
              </w:rPr>
            </w:pPr>
            <w:r w:rsidRPr="00A86B5B">
              <w:rPr>
                <w:rFonts w:cs="Times New Roman"/>
                <w:sz w:val="22"/>
              </w:rPr>
              <w:t>--</w:t>
            </w:r>
          </w:p>
        </w:tc>
        <w:tc>
          <w:tcPr>
            <w:tcW w:w="1325" w:type="pct"/>
            <w:tcBorders>
              <w:top w:val="single" w:sz="4" w:space="0" w:color="auto"/>
              <w:left w:val="single" w:sz="4" w:space="0" w:color="auto"/>
              <w:bottom w:val="single" w:sz="4" w:space="0" w:color="auto"/>
              <w:right w:val="single" w:sz="4" w:space="0" w:color="auto"/>
            </w:tcBorders>
            <w:hideMark/>
          </w:tcPr>
          <w:p w14:paraId="66A91C02" w14:textId="77777777" w:rsidR="007606FB" w:rsidRPr="00A86B5B" w:rsidRDefault="007606FB">
            <w:pPr>
              <w:spacing w:line="256" w:lineRule="auto"/>
              <w:ind w:left="-113" w:right="-112"/>
              <w:jc w:val="center"/>
              <w:rPr>
                <w:rFonts w:cs="Times New Roman"/>
                <w:sz w:val="22"/>
              </w:rPr>
            </w:pPr>
            <w:r w:rsidRPr="00A86B5B">
              <w:rPr>
                <w:rFonts w:cs="Times New Roman"/>
                <w:sz w:val="22"/>
              </w:rPr>
              <w:t>-0.64 (-0.89, -0.39)</w:t>
            </w:r>
          </w:p>
        </w:tc>
      </w:tr>
      <w:tr w:rsidR="007606FB" w:rsidRPr="00A86B5B" w14:paraId="1533FC2E"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3EF428D3" w14:textId="77777777" w:rsidR="007606FB" w:rsidRPr="00A86B5B" w:rsidRDefault="007606FB">
            <w:pPr>
              <w:rPr>
                <w:rFonts w:cs="Times New Roman"/>
                <w:sz w:val="22"/>
              </w:rPr>
            </w:pPr>
            <w:r w:rsidRPr="00A86B5B">
              <w:rPr>
                <w:rFonts w:cs="Times New Roman"/>
                <w:sz w:val="22"/>
              </w:rPr>
              <w:t>p-value</w:t>
            </w:r>
          </w:p>
        </w:tc>
        <w:tc>
          <w:tcPr>
            <w:tcW w:w="1331" w:type="pct"/>
            <w:tcBorders>
              <w:top w:val="single" w:sz="4" w:space="0" w:color="auto"/>
              <w:left w:val="single" w:sz="4" w:space="0" w:color="auto"/>
              <w:bottom w:val="single" w:sz="4" w:space="0" w:color="auto"/>
              <w:right w:val="single" w:sz="4" w:space="0" w:color="auto"/>
            </w:tcBorders>
            <w:hideMark/>
          </w:tcPr>
          <w:p w14:paraId="37CF073D" w14:textId="77777777" w:rsidR="007606FB" w:rsidRPr="00A86B5B" w:rsidRDefault="007606FB">
            <w:pPr>
              <w:spacing w:line="256" w:lineRule="auto"/>
              <w:ind w:left="-107" w:right="-103"/>
              <w:jc w:val="center"/>
              <w:rPr>
                <w:rFonts w:cs="Times New Roman"/>
                <w:sz w:val="22"/>
              </w:rPr>
            </w:pPr>
            <w:r w:rsidRPr="00A86B5B">
              <w:rPr>
                <w:rFonts w:cs="Times New Roman"/>
                <w:sz w:val="22"/>
              </w:rPr>
              <w:t>--</w:t>
            </w:r>
          </w:p>
        </w:tc>
        <w:tc>
          <w:tcPr>
            <w:tcW w:w="1325" w:type="pct"/>
            <w:tcBorders>
              <w:top w:val="single" w:sz="4" w:space="0" w:color="auto"/>
              <w:left w:val="single" w:sz="4" w:space="0" w:color="auto"/>
              <w:bottom w:val="single" w:sz="4" w:space="0" w:color="auto"/>
              <w:right w:val="single" w:sz="4" w:space="0" w:color="auto"/>
            </w:tcBorders>
            <w:hideMark/>
          </w:tcPr>
          <w:p w14:paraId="1C557346" w14:textId="77777777" w:rsidR="007606FB" w:rsidRPr="00A86B5B" w:rsidRDefault="007606FB">
            <w:pPr>
              <w:spacing w:line="256" w:lineRule="auto"/>
              <w:ind w:left="-113" w:right="-112"/>
              <w:jc w:val="center"/>
              <w:rPr>
                <w:rFonts w:cs="Times New Roman"/>
                <w:sz w:val="22"/>
              </w:rPr>
            </w:pPr>
            <w:r w:rsidRPr="00A86B5B">
              <w:rPr>
                <w:rFonts w:cs="Times New Roman"/>
                <w:sz w:val="22"/>
              </w:rPr>
              <w:t>&lt;0.001#</w:t>
            </w:r>
          </w:p>
        </w:tc>
      </w:tr>
      <w:tr w:rsidR="007606FB" w:rsidRPr="00531029" w14:paraId="656E0DCC" w14:textId="77777777" w:rsidTr="00A86B5B">
        <w:tc>
          <w:tcPr>
            <w:tcW w:w="5000" w:type="pct"/>
            <w:gridSpan w:val="3"/>
            <w:tcBorders>
              <w:top w:val="single" w:sz="4" w:space="0" w:color="auto"/>
              <w:left w:val="single" w:sz="4" w:space="0" w:color="auto"/>
              <w:bottom w:val="single" w:sz="4" w:space="0" w:color="auto"/>
              <w:right w:val="single" w:sz="4" w:space="0" w:color="auto"/>
            </w:tcBorders>
            <w:hideMark/>
          </w:tcPr>
          <w:p w14:paraId="065E2996" w14:textId="77777777" w:rsidR="007606FB" w:rsidRPr="00A86B5B" w:rsidRDefault="007606FB">
            <w:pPr>
              <w:rPr>
                <w:rFonts w:cs="Times New Roman"/>
                <w:sz w:val="22"/>
              </w:rPr>
            </w:pPr>
            <w:r w:rsidRPr="00A86B5B">
              <w:rPr>
                <w:rFonts w:cs="Times New Roman"/>
                <w:b/>
                <w:sz w:val="22"/>
              </w:rPr>
              <w:t>Treatment satisfaction – visual analogue scale (FAS) (Secondary)</w:t>
            </w:r>
          </w:p>
        </w:tc>
      </w:tr>
      <w:tr w:rsidR="007606FB" w:rsidRPr="00A86B5B" w14:paraId="0A7986B6"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4A142EB0" w14:textId="77777777" w:rsidR="007606FB" w:rsidRPr="00A86B5B" w:rsidRDefault="007606FB">
            <w:pPr>
              <w:rPr>
                <w:rFonts w:cs="Times New Roman"/>
                <w:sz w:val="22"/>
              </w:rPr>
            </w:pPr>
            <w:r w:rsidRPr="00A86B5B">
              <w:rPr>
                <w:rFonts w:cs="Times New Roman"/>
                <w:sz w:val="22"/>
              </w:rPr>
              <w:t>n</w:t>
            </w:r>
          </w:p>
        </w:tc>
        <w:tc>
          <w:tcPr>
            <w:tcW w:w="1331" w:type="pct"/>
            <w:tcBorders>
              <w:top w:val="single" w:sz="4" w:space="0" w:color="auto"/>
              <w:left w:val="single" w:sz="4" w:space="0" w:color="auto"/>
              <w:bottom w:val="single" w:sz="4" w:space="0" w:color="auto"/>
              <w:right w:val="single" w:sz="4" w:space="0" w:color="auto"/>
            </w:tcBorders>
            <w:hideMark/>
          </w:tcPr>
          <w:p w14:paraId="034FFF24" w14:textId="77777777" w:rsidR="007606FB" w:rsidRPr="00A86B5B" w:rsidRDefault="007606FB">
            <w:pPr>
              <w:spacing w:line="256" w:lineRule="auto"/>
              <w:ind w:left="-107" w:right="-103"/>
              <w:jc w:val="center"/>
              <w:rPr>
                <w:rFonts w:cs="Times New Roman"/>
                <w:sz w:val="22"/>
              </w:rPr>
            </w:pPr>
            <w:r w:rsidRPr="00A86B5B">
              <w:rPr>
                <w:rFonts w:cs="Times New Roman"/>
                <w:sz w:val="22"/>
              </w:rPr>
              <w:t>1195</w:t>
            </w:r>
          </w:p>
        </w:tc>
        <w:tc>
          <w:tcPr>
            <w:tcW w:w="1325" w:type="pct"/>
            <w:tcBorders>
              <w:top w:val="single" w:sz="4" w:space="0" w:color="auto"/>
              <w:left w:val="single" w:sz="4" w:space="0" w:color="auto"/>
              <w:bottom w:val="single" w:sz="4" w:space="0" w:color="auto"/>
              <w:right w:val="single" w:sz="4" w:space="0" w:color="auto"/>
            </w:tcBorders>
            <w:hideMark/>
          </w:tcPr>
          <w:p w14:paraId="2EFBBC74" w14:textId="77777777" w:rsidR="007606FB" w:rsidRPr="00A86B5B" w:rsidRDefault="007606FB">
            <w:pPr>
              <w:spacing w:line="256" w:lineRule="auto"/>
              <w:ind w:left="-113" w:right="-112"/>
              <w:jc w:val="center"/>
              <w:rPr>
                <w:rFonts w:cs="Times New Roman"/>
                <w:sz w:val="22"/>
              </w:rPr>
            </w:pPr>
            <w:r w:rsidRPr="00A86B5B">
              <w:rPr>
                <w:rFonts w:cs="Times New Roman"/>
                <w:sz w:val="22"/>
              </w:rPr>
              <w:t>1189</w:t>
            </w:r>
          </w:p>
        </w:tc>
      </w:tr>
      <w:tr w:rsidR="007606FB" w:rsidRPr="00A86B5B" w14:paraId="1BFB1077"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7331B30E" w14:textId="77777777" w:rsidR="007606FB" w:rsidRPr="00A86B5B" w:rsidRDefault="007606FB">
            <w:pPr>
              <w:rPr>
                <w:rFonts w:cs="Times New Roman"/>
                <w:sz w:val="22"/>
              </w:rPr>
            </w:pPr>
            <w:r w:rsidRPr="00A86B5B">
              <w:rPr>
                <w:rFonts w:cs="Times New Roman"/>
                <w:sz w:val="22"/>
              </w:rPr>
              <w:t>Mean baseline</w:t>
            </w:r>
          </w:p>
        </w:tc>
        <w:tc>
          <w:tcPr>
            <w:tcW w:w="1331" w:type="pct"/>
            <w:tcBorders>
              <w:top w:val="single" w:sz="4" w:space="0" w:color="auto"/>
              <w:left w:val="single" w:sz="4" w:space="0" w:color="auto"/>
              <w:bottom w:val="single" w:sz="4" w:space="0" w:color="auto"/>
              <w:right w:val="single" w:sz="4" w:space="0" w:color="auto"/>
            </w:tcBorders>
            <w:hideMark/>
          </w:tcPr>
          <w:p w14:paraId="54AF101A" w14:textId="77777777" w:rsidR="007606FB" w:rsidRPr="00A86B5B" w:rsidRDefault="007606FB">
            <w:pPr>
              <w:spacing w:line="256" w:lineRule="auto"/>
              <w:ind w:left="-107" w:right="-103"/>
              <w:jc w:val="center"/>
              <w:rPr>
                <w:rFonts w:cs="Times New Roman"/>
                <w:sz w:val="22"/>
              </w:rPr>
            </w:pPr>
            <w:r w:rsidRPr="00A86B5B">
              <w:rPr>
                <w:rFonts w:cs="Times New Roman"/>
                <w:sz w:val="22"/>
              </w:rPr>
              <w:t>4.87</w:t>
            </w:r>
          </w:p>
        </w:tc>
        <w:tc>
          <w:tcPr>
            <w:tcW w:w="1325" w:type="pct"/>
            <w:tcBorders>
              <w:top w:val="single" w:sz="4" w:space="0" w:color="auto"/>
              <w:left w:val="single" w:sz="4" w:space="0" w:color="auto"/>
              <w:bottom w:val="single" w:sz="4" w:space="0" w:color="auto"/>
              <w:right w:val="single" w:sz="4" w:space="0" w:color="auto"/>
            </w:tcBorders>
            <w:hideMark/>
          </w:tcPr>
          <w:p w14:paraId="5B09A490" w14:textId="77777777" w:rsidR="007606FB" w:rsidRPr="00A86B5B" w:rsidRDefault="007606FB">
            <w:pPr>
              <w:spacing w:line="256" w:lineRule="auto"/>
              <w:ind w:left="-113" w:right="-112"/>
              <w:jc w:val="center"/>
              <w:rPr>
                <w:rFonts w:cs="Times New Roman"/>
                <w:sz w:val="22"/>
              </w:rPr>
            </w:pPr>
            <w:r w:rsidRPr="00A86B5B">
              <w:rPr>
                <w:rFonts w:cs="Times New Roman"/>
                <w:sz w:val="22"/>
              </w:rPr>
              <w:t>4.82</w:t>
            </w:r>
          </w:p>
        </w:tc>
      </w:tr>
      <w:tr w:rsidR="007606FB" w:rsidRPr="00A86B5B" w14:paraId="687F7104"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09B36B24" w14:textId="77777777" w:rsidR="007606FB" w:rsidRPr="00A86B5B" w:rsidRDefault="007606FB">
            <w:pPr>
              <w:rPr>
                <w:rFonts w:cs="Times New Roman"/>
                <w:sz w:val="22"/>
              </w:rPr>
            </w:pPr>
            <w:r w:rsidRPr="00A86B5B">
              <w:rPr>
                <w:rFonts w:cs="Times New Roman"/>
                <w:sz w:val="22"/>
              </w:rPr>
              <w:t>Mean change from baseline†</w:t>
            </w:r>
          </w:p>
        </w:tc>
        <w:tc>
          <w:tcPr>
            <w:tcW w:w="1331" w:type="pct"/>
            <w:tcBorders>
              <w:top w:val="single" w:sz="4" w:space="0" w:color="auto"/>
              <w:left w:val="single" w:sz="4" w:space="0" w:color="auto"/>
              <w:bottom w:val="single" w:sz="4" w:space="0" w:color="auto"/>
              <w:right w:val="single" w:sz="4" w:space="0" w:color="auto"/>
            </w:tcBorders>
            <w:hideMark/>
          </w:tcPr>
          <w:p w14:paraId="4322099D" w14:textId="77777777" w:rsidR="007606FB" w:rsidRPr="00A86B5B" w:rsidRDefault="007606FB">
            <w:pPr>
              <w:spacing w:line="256" w:lineRule="auto"/>
              <w:ind w:left="-107" w:right="-103"/>
              <w:jc w:val="center"/>
              <w:rPr>
                <w:rFonts w:cs="Times New Roman"/>
                <w:sz w:val="22"/>
              </w:rPr>
            </w:pPr>
            <w:r w:rsidRPr="00A86B5B">
              <w:rPr>
                <w:rFonts w:cs="Times New Roman"/>
                <w:sz w:val="22"/>
              </w:rPr>
              <w:t>1.25</w:t>
            </w:r>
          </w:p>
        </w:tc>
        <w:tc>
          <w:tcPr>
            <w:tcW w:w="1325" w:type="pct"/>
            <w:tcBorders>
              <w:top w:val="single" w:sz="4" w:space="0" w:color="auto"/>
              <w:left w:val="single" w:sz="4" w:space="0" w:color="auto"/>
              <w:bottom w:val="single" w:sz="4" w:space="0" w:color="auto"/>
              <w:right w:val="single" w:sz="4" w:space="0" w:color="auto"/>
            </w:tcBorders>
            <w:hideMark/>
          </w:tcPr>
          <w:p w14:paraId="0BD79518" w14:textId="77777777" w:rsidR="007606FB" w:rsidRPr="00A86B5B" w:rsidRDefault="007606FB">
            <w:pPr>
              <w:spacing w:line="256" w:lineRule="auto"/>
              <w:ind w:left="-113" w:right="-112"/>
              <w:jc w:val="center"/>
              <w:rPr>
                <w:rFonts w:cs="Times New Roman"/>
                <w:sz w:val="22"/>
              </w:rPr>
            </w:pPr>
            <w:r w:rsidRPr="00A86B5B">
              <w:rPr>
                <w:rFonts w:cs="Times New Roman"/>
                <w:sz w:val="22"/>
              </w:rPr>
              <w:t>2.01</w:t>
            </w:r>
          </w:p>
        </w:tc>
      </w:tr>
      <w:tr w:rsidR="007606FB" w:rsidRPr="00A86B5B" w14:paraId="76967A55"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7C1F823D" w14:textId="77777777" w:rsidR="007606FB" w:rsidRPr="00A86B5B" w:rsidRDefault="007606FB">
            <w:pPr>
              <w:rPr>
                <w:rFonts w:cs="Times New Roman"/>
                <w:sz w:val="22"/>
              </w:rPr>
            </w:pPr>
            <w:r w:rsidRPr="00A86B5B">
              <w:rPr>
                <w:rFonts w:cs="Times New Roman"/>
                <w:sz w:val="22"/>
              </w:rPr>
              <w:t>Mean difference from placebo† (95% CI)</w:t>
            </w:r>
          </w:p>
        </w:tc>
        <w:tc>
          <w:tcPr>
            <w:tcW w:w="1331" w:type="pct"/>
            <w:tcBorders>
              <w:top w:val="single" w:sz="4" w:space="0" w:color="auto"/>
              <w:left w:val="single" w:sz="4" w:space="0" w:color="auto"/>
              <w:bottom w:val="single" w:sz="4" w:space="0" w:color="auto"/>
              <w:right w:val="single" w:sz="4" w:space="0" w:color="auto"/>
            </w:tcBorders>
            <w:hideMark/>
          </w:tcPr>
          <w:p w14:paraId="5FD44B8E" w14:textId="77777777" w:rsidR="007606FB" w:rsidRPr="00A86B5B" w:rsidRDefault="007606FB">
            <w:pPr>
              <w:spacing w:line="256" w:lineRule="auto"/>
              <w:ind w:left="-107" w:right="-103"/>
              <w:jc w:val="center"/>
              <w:rPr>
                <w:rFonts w:cs="Times New Roman"/>
                <w:sz w:val="22"/>
              </w:rPr>
            </w:pPr>
            <w:r w:rsidRPr="00A86B5B">
              <w:rPr>
                <w:rFonts w:cs="Times New Roman"/>
                <w:sz w:val="22"/>
              </w:rPr>
              <w:t>--</w:t>
            </w:r>
          </w:p>
        </w:tc>
        <w:tc>
          <w:tcPr>
            <w:tcW w:w="1325" w:type="pct"/>
            <w:tcBorders>
              <w:top w:val="single" w:sz="4" w:space="0" w:color="auto"/>
              <w:left w:val="single" w:sz="4" w:space="0" w:color="auto"/>
              <w:bottom w:val="single" w:sz="4" w:space="0" w:color="auto"/>
              <w:right w:val="single" w:sz="4" w:space="0" w:color="auto"/>
            </w:tcBorders>
            <w:hideMark/>
          </w:tcPr>
          <w:p w14:paraId="6E6367EA" w14:textId="77777777" w:rsidR="007606FB" w:rsidRPr="00A86B5B" w:rsidRDefault="007606FB">
            <w:pPr>
              <w:spacing w:line="256" w:lineRule="auto"/>
              <w:ind w:left="-113" w:right="-112"/>
              <w:jc w:val="center"/>
              <w:rPr>
                <w:rFonts w:cs="Times New Roman"/>
                <w:sz w:val="22"/>
              </w:rPr>
            </w:pPr>
            <w:r w:rsidRPr="00A86B5B">
              <w:rPr>
                <w:rFonts w:cs="Times New Roman"/>
                <w:sz w:val="22"/>
              </w:rPr>
              <w:t>0.76 (0.52, 1.01)</w:t>
            </w:r>
          </w:p>
        </w:tc>
      </w:tr>
      <w:tr w:rsidR="007606FB" w:rsidRPr="00A86B5B" w14:paraId="7E1372DA" w14:textId="77777777" w:rsidTr="00A86B5B">
        <w:tc>
          <w:tcPr>
            <w:tcW w:w="2344" w:type="pct"/>
            <w:tcBorders>
              <w:top w:val="single" w:sz="4" w:space="0" w:color="auto"/>
              <w:left w:val="single" w:sz="4" w:space="0" w:color="auto"/>
              <w:bottom w:val="single" w:sz="4" w:space="0" w:color="auto"/>
              <w:right w:val="single" w:sz="4" w:space="0" w:color="auto"/>
            </w:tcBorders>
            <w:hideMark/>
          </w:tcPr>
          <w:p w14:paraId="05E018AD" w14:textId="77777777" w:rsidR="007606FB" w:rsidRPr="00A86B5B" w:rsidRDefault="007606FB">
            <w:pPr>
              <w:keepNext/>
              <w:rPr>
                <w:rFonts w:cs="Times New Roman"/>
                <w:sz w:val="22"/>
              </w:rPr>
            </w:pPr>
            <w:r w:rsidRPr="00A86B5B">
              <w:rPr>
                <w:rFonts w:cs="Times New Roman"/>
                <w:sz w:val="22"/>
              </w:rPr>
              <w:t>p-value</w:t>
            </w:r>
          </w:p>
        </w:tc>
        <w:tc>
          <w:tcPr>
            <w:tcW w:w="1331" w:type="pct"/>
            <w:tcBorders>
              <w:top w:val="single" w:sz="4" w:space="0" w:color="auto"/>
              <w:left w:val="single" w:sz="4" w:space="0" w:color="auto"/>
              <w:bottom w:val="single" w:sz="4" w:space="0" w:color="auto"/>
              <w:right w:val="single" w:sz="4" w:space="0" w:color="auto"/>
            </w:tcBorders>
            <w:hideMark/>
          </w:tcPr>
          <w:p w14:paraId="011F59D3" w14:textId="77777777" w:rsidR="007606FB" w:rsidRPr="00A86B5B" w:rsidRDefault="007606FB">
            <w:pPr>
              <w:keepNext/>
              <w:spacing w:line="256" w:lineRule="auto"/>
              <w:ind w:left="-107" w:right="-103"/>
              <w:jc w:val="center"/>
              <w:rPr>
                <w:rFonts w:cs="Times New Roman"/>
                <w:sz w:val="22"/>
              </w:rPr>
            </w:pPr>
            <w:r w:rsidRPr="00A86B5B">
              <w:rPr>
                <w:rFonts w:cs="Times New Roman"/>
                <w:sz w:val="22"/>
              </w:rPr>
              <w:t>--</w:t>
            </w:r>
          </w:p>
        </w:tc>
        <w:tc>
          <w:tcPr>
            <w:tcW w:w="1325" w:type="pct"/>
            <w:tcBorders>
              <w:top w:val="single" w:sz="4" w:space="0" w:color="auto"/>
              <w:left w:val="single" w:sz="4" w:space="0" w:color="auto"/>
              <w:bottom w:val="single" w:sz="4" w:space="0" w:color="auto"/>
              <w:right w:val="single" w:sz="4" w:space="0" w:color="auto"/>
            </w:tcBorders>
            <w:hideMark/>
          </w:tcPr>
          <w:p w14:paraId="2AC5B73D" w14:textId="77777777" w:rsidR="007606FB" w:rsidRPr="00A86B5B" w:rsidRDefault="007606FB">
            <w:pPr>
              <w:keepNext/>
              <w:spacing w:line="256" w:lineRule="auto"/>
              <w:ind w:left="-113" w:right="-112"/>
              <w:jc w:val="center"/>
              <w:rPr>
                <w:rFonts w:cs="Times New Roman"/>
                <w:sz w:val="22"/>
              </w:rPr>
            </w:pPr>
            <w:r w:rsidRPr="00A86B5B">
              <w:rPr>
                <w:rFonts w:cs="Times New Roman"/>
                <w:sz w:val="22"/>
              </w:rPr>
              <w:t>&lt;0.001*</w:t>
            </w:r>
          </w:p>
        </w:tc>
      </w:tr>
    </w:tbl>
    <w:p w14:paraId="4B2A1CC7" w14:textId="77777777" w:rsidR="007606FB" w:rsidRPr="00A86B5B" w:rsidRDefault="007606FB" w:rsidP="007606FB">
      <w:pPr>
        <w:rPr>
          <w:sz w:val="20"/>
          <w:lang w:val="en-US" w:eastAsia="en-US"/>
        </w:rPr>
      </w:pPr>
      <w:r w:rsidRPr="00A86B5B">
        <w:rPr>
          <w:sz w:val="20"/>
          <w:lang w:val="en-US"/>
        </w:rPr>
        <w:t>Pooled studies consisted of studies 046 (Europe/Australia), 047 (North America [NA]) and 074 (Europe/NA).</w:t>
      </w:r>
    </w:p>
    <w:p w14:paraId="299EDF07" w14:textId="77777777" w:rsidR="007606FB" w:rsidRPr="00A86B5B" w:rsidRDefault="007606FB" w:rsidP="007606FB">
      <w:pPr>
        <w:rPr>
          <w:sz w:val="20"/>
          <w:lang w:val="en-US"/>
        </w:rPr>
      </w:pPr>
      <w:r w:rsidRPr="00A86B5B">
        <w:rPr>
          <w:sz w:val="20"/>
          <w:lang w:val="en-US"/>
        </w:rPr>
        <w:t>† Least squares mean adjusted for baseline, gender, and study.</w:t>
      </w:r>
    </w:p>
    <w:p w14:paraId="4EDED620" w14:textId="77777777" w:rsidR="007606FB" w:rsidRPr="00A86B5B" w:rsidRDefault="007606FB" w:rsidP="007606FB">
      <w:pPr>
        <w:rPr>
          <w:sz w:val="20"/>
          <w:lang w:val="en-US"/>
        </w:rPr>
      </w:pPr>
      <w:r w:rsidRPr="00A86B5B">
        <w:rPr>
          <w:sz w:val="20"/>
          <w:lang w:val="en-US"/>
        </w:rPr>
        <w:t>* Statistically significantly superior compared to placebo at the 0.05 level without multiplicity adjustment.</w:t>
      </w:r>
    </w:p>
    <w:p w14:paraId="55C96782" w14:textId="77777777" w:rsidR="007606FB" w:rsidRPr="00A86B5B" w:rsidRDefault="007606FB" w:rsidP="007606FB">
      <w:pPr>
        <w:rPr>
          <w:sz w:val="20"/>
          <w:lang w:val="en-US"/>
        </w:rPr>
      </w:pPr>
      <w:r w:rsidRPr="00A86B5B">
        <w:rPr>
          <w:sz w:val="20"/>
          <w:lang w:val="en-US"/>
        </w:rPr>
        <w:t># Statistically significantly superior compared to placebo at the 0.05 level with multiplicity adjustment.</w:t>
      </w:r>
    </w:p>
    <w:p w14:paraId="2A94D6EC" w14:textId="77777777" w:rsidR="007606FB" w:rsidRPr="00A86B5B" w:rsidRDefault="007606FB" w:rsidP="007606FB">
      <w:pPr>
        <w:rPr>
          <w:sz w:val="20"/>
          <w:lang w:val="en-US"/>
        </w:rPr>
      </w:pPr>
      <w:r w:rsidRPr="00A86B5B">
        <w:rPr>
          <w:sz w:val="20"/>
          <w:lang w:val="en-US"/>
        </w:rPr>
        <w:t xml:space="preserve">FAS: Full analysis set, all randomized patients who took at least 1 dose of </w:t>
      </w:r>
      <w:proofErr w:type="gramStart"/>
      <w:r w:rsidRPr="00A86B5B">
        <w:rPr>
          <w:sz w:val="20"/>
          <w:lang w:val="en-US"/>
        </w:rPr>
        <w:t>double blind</w:t>
      </w:r>
      <w:proofErr w:type="gramEnd"/>
      <w:r w:rsidRPr="00A86B5B">
        <w:rPr>
          <w:sz w:val="20"/>
          <w:lang w:val="en-US"/>
        </w:rPr>
        <w:t xml:space="preserve"> study drug and who had a micturition measurement in the baseline diary and at least 1 post-baseline visit diary with a micturition measurement.</w:t>
      </w:r>
    </w:p>
    <w:p w14:paraId="2B05D668" w14:textId="77777777" w:rsidR="007606FB" w:rsidRPr="00A86B5B" w:rsidRDefault="007606FB" w:rsidP="007606FB">
      <w:pPr>
        <w:rPr>
          <w:sz w:val="20"/>
          <w:lang w:val="en-US"/>
        </w:rPr>
      </w:pPr>
      <w:r w:rsidRPr="00A86B5B">
        <w:rPr>
          <w:sz w:val="20"/>
          <w:lang w:val="en-US"/>
        </w:rPr>
        <w:t>FAS</w:t>
      </w:r>
      <w:r w:rsidRPr="00A86B5B">
        <w:rPr>
          <w:sz w:val="20"/>
          <w:lang w:val="en-US"/>
        </w:rPr>
        <w:noBreakHyphen/>
        <w:t>I: Subset of FAS who also had at least 1 incontinence episode in the baseline diary.</w:t>
      </w:r>
    </w:p>
    <w:p w14:paraId="19FF0FE0" w14:textId="77777777" w:rsidR="007606FB" w:rsidRPr="00A86B5B" w:rsidRDefault="007606FB" w:rsidP="007606FB">
      <w:pPr>
        <w:rPr>
          <w:sz w:val="20"/>
          <w:lang w:val="en-US"/>
        </w:rPr>
      </w:pPr>
      <w:r w:rsidRPr="00A86B5B">
        <w:rPr>
          <w:sz w:val="20"/>
          <w:lang w:val="en-US"/>
        </w:rPr>
        <w:t>CI: Confidence Interval</w:t>
      </w:r>
    </w:p>
    <w:p w14:paraId="6910D1C6" w14:textId="77777777" w:rsidR="007606FB" w:rsidRPr="00A86B5B" w:rsidRDefault="007606FB" w:rsidP="007606FB">
      <w:pPr>
        <w:rPr>
          <w:sz w:val="24"/>
          <w:szCs w:val="24"/>
          <w:lang w:val="en-US"/>
        </w:rPr>
      </w:pPr>
    </w:p>
    <w:p w14:paraId="454C8B1F" w14:textId="77777777" w:rsidR="007606FB" w:rsidRPr="00A86B5B" w:rsidRDefault="007606FB" w:rsidP="007606FB">
      <w:pPr>
        <w:keepNext/>
        <w:keepLines/>
        <w:tabs>
          <w:tab w:val="left" w:pos="567"/>
        </w:tabs>
        <w:ind w:left="1134" w:hanging="1134"/>
        <w:rPr>
          <w:b/>
          <w:sz w:val="24"/>
          <w:szCs w:val="24"/>
          <w:lang w:val="en-US"/>
        </w:rPr>
      </w:pPr>
      <w:r w:rsidRPr="00A86B5B">
        <w:rPr>
          <w:b/>
          <w:sz w:val="24"/>
          <w:szCs w:val="24"/>
          <w:lang w:val="en-US"/>
        </w:rPr>
        <w:t>Table 3:</w:t>
      </w:r>
      <w:r w:rsidRPr="00A86B5B">
        <w:rPr>
          <w:b/>
          <w:sz w:val="24"/>
          <w:szCs w:val="24"/>
          <w:lang w:val="en-US"/>
        </w:rPr>
        <w:tab/>
        <w:t>Co-primary and selected secondary efficacy endpoints at end of treatment for studies 046, 047 and 074</w:t>
      </w:r>
    </w:p>
    <w:tbl>
      <w:tblPr>
        <w:tblStyle w:val="Tabel-Gitter"/>
        <w:tblW w:w="5000" w:type="pct"/>
        <w:tblInd w:w="0" w:type="dxa"/>
        <w:tblLook w:val="04A0" w:firstRow="1" w:lastRow="0" w:firstColumn="1" w:lastColumn="0" w:noHBand="0" w:noVBand="1"/>
      </w:tblPr>
      <w:tblGrid>
        <w:gridCol w:w="1651"/>
        <w:gridCol w:w="902"/>
        <w:gridCol w:w="1356"/>
        <w:gridCol w:w="1209"/>
        <w:gridCol w:w="903"/>
        <w:gridCol w:w="1356"/>
        <w:gridCol w:w="905"/>
        <w:gridCol w:w="1346"/>
      </w:tblGrid>
      <w:tr w:rsidR="007606FB" w:rsidRPr="003C23AE" w14:paraId="1A23D1FB" w14:textId="77777777" w:rsidTr="007606FB">
        <w:trPr>
          <w:tblHeader/>
        </w:trPr>
        <w:tc>
          <w:tcPr>
            <w:tcW w:w="858" w:type="pct"/>
            <w:vMerge w:val="restart"/>
            <w:tcBorders>
              <w:top w:val="single" w:sz="4" w:space="0" w:color="auto"/>
              <w:left w:val="single" w:sz="4" w:space="0" w:color="auto"/>
              <w:bottom w:val="single" w:sz="4" w:space="0" w:color="auto"/>
              <w:right w:val="single" w:sz="4" w:space="0" w:color="auto"/>
            </w:tcBorders>
            <w:vAlign w:val="center"/>
            <w:hideMark/>
          </w:tcPr>
          <w:p w14:paraId="2481F736" w14:textId="77777777" w:rsidR="007606FB" w:rsidRPr="003C23AE" w:rsidRDefault="007606FB">
            <w:pPr>
              <w:spacing w:line="256" w:lineRule="auto"/>
              <w:ind w:left="-112" w:right="-108"/>
              <w:jc w:val="center"/>
              <w:rPr>
                <w:rFonts w:cs="Times New Roman"/>
                <w:sz w:val="22"/>
              </w:rPr>
            </w:pPr>
            <w:r w:rsidRPr="003C23AE">
              <w:rPr>
                <w:rFonts w:cs="Times New Roman"/>
                <w:b/>
                <w:sz w:val="22"/>
              </w:rPr>
              <w:t>Parameter</w:t>
            </w:r>
          </w:p>
        </w:tc>
        <w:tc>
          <w:tcPr>
            <w:tcW w:w="1800" w:type="pct"/>
            <w:gridSpan w:val="3"/>
            <w:tcBorders>
              <w:top w:val="single" w:sz="4" w:space="0" w:color="auto"/>
              <w:left w:val="single" w:sz="4" w:space="0" w:color="auto"/>
              <w:bottom w:val="single" w:sz="4" w:space="0" w:color="auto"/>
              <w:right w:val="single" w:sz="4" w:space="0" w:color="auto"/>
            </w:tcBorders>
            <w:vAlign w:val="center"/>
            <w:hideMark/>
          </w:tcPr>
          <w:p w14:paraId="28F58904" w14:textId="77777777" w:rsidR="007606FB" w:rsidRPr="003C23AE" w:rsidRDefault="007606FB">
            <w:pPr>
              <w:spacing w:line="256" w:lineRule="auto"/>
              <w:ind w:right="44"/>
              <w:jc w:val="center"/>
              <w:rPr>
                <w:rFonts w:cs="Times New Roman"/>
                <w:sz w:val="22"/>
              </w:rPr>
            </w:pPr>
            <w:r w:rsidRPr="003C23AE">
              <w:rPr>
                <w:rFonts w:cs="Times New Roman"/>
                <w:b/>
                <w:sz w:val="22"/>
              </w:rPr>
              <w:t>Study 046</w:t>
            </w:r>
          </w:p>
        </w:tc>
        <w:tc>
          <w:tcPr>
            <w:tcW w:w="1173" w:type="pct"/>
            <w:gridSpan w:val="2"/>
            <w:tcBorders>
              <w:top w:val="single" w:sz="4" w:space="0" w:color="auto"/>
              <w:left w:val="single" w:sz="4" w:space="0" w:color="auto"/>
              <w:bottom w:val="single" w:sz="4" w:space="0" w:color="auto"/>
              <w:right w:val="single" w:sz="4" w:space="0" w:color="auto"/>
            </w:tcBorders>
            <w:vAlign w:val="center"/>
            <w:hideMark/>
          </w:tcPr>
          <w:p w14:paraId="6E963358" w14:textId="77777777" w:rsidR="007606FB" w:rsidRPr="003C23AE" w:rsidRDefault="007606FB">
            <w:pPr>
              <w:spacing w:line="256" w:lineRule="auto"/>
              <w:ind w:right="40"/>
              <w:jc w:val="center"/>
              <w:rPr>
                <w:rFonts w:cs="Times New Roman"/>
                <w:sz w:val="22"/>
              </w:rPr>
            </w:pPr>
            <w:r w:rsidRPr="003C23AE">
              <w:rPr>
                <w:rFonts w:cs="Times New Roman"/>
                <w:b/>
                <w:sz w:val="22"/>
              </w:rPr>
              <w:t>Study 047</w:t>
            </w:r>
          </w:p>
        </w:tc>
        <w:tc>
          <w:tcPr>
            <w:tcW w:w="1170" w:type="pct"/>
            <w:gridSpan w:val="2"/>
            <w:tcBorders>
              <w:top w:val="single" w:sz="4" w:space="0" w:color="auto"/>
              <w:left w:val="single" w:sz="4" w:space="0" w:color="auto"/>
              <w:bottom w:val="single" w:sz="4" w:space="0" w:color="auto"/>
              <w:right w:val="single" w:sz="4" w:space="0" w:color="auto"/>
            </w:tcBorders>
            <w:vAlign w:val="center"/>
            <w:hideMark/>
          </w:tcPr>
          <w:p w14:paraId="133CAF75" w14:textId="77777777" w:rsidR="007606FB" w:rsidRPr="003C23AE" w:rsidRDefault="007606FB">
            <w:pPr>
              <w:spacing w:line="256" w:lineRule="auto"/>
              <w:ind w:right="44"/>
              <w:jc w:val="center"/>
              <w:rPr>
                <w:rFonts w:cs="Times New Roman"/>
                <w:sz w:val="22"/>
              </w:rPr>
            </w:pPr>
            <w:r w:rsidRPr="003C23AE">
              <w:rPr>
                <w:rFonts w:cs="Times New Roman"/>
                <w:b/>
                <w:sz w:val="22"/>
              </w:rPr>
              <w:t>Study 074</w:t>
            </w:r>
          </w:p>
        </w:tc>
      </w:tr>
      <w:tr w:rsidR="007606FB" w:rsidRPr="003C23AE" w14:paraId="4DF52068" w14:textId="77777777" w:rsidTr="007606FB">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3B3FAE" w14:textId="77777777" w:rsidR="007606FB" w:rsidRPr="003C23AE" w:rsidRDefault="007606FB">
            <w:pPr>
              <w:rPr>
                <w:rFonts w:cs="Times New Roman"/>
                <w:sz w:val="22"/>
              </w:rPr>
            </w:pPr>
          </w:p>
        </w:tc>
        <w:tc>
          <w:tcPr>
            <w:tcW w:w="469" w:type="pct"/>
            <w:tcBorders>
              <w:top w:val="single" w:sz="4" w:space="0" w:color="auto"/>
              <w:left w:val="single" w:sz="4" w:space="0" w:color="auto"/>
              <w:bottom w:val="single" w:sz="4" w:space="0" w:color="auto"/>
              <w:right w:val="single" w:sz="4" w:space="0" w:color="auto"/>
            </w:tcBorders>
            <w:hideMark/>
          </w:tcPr>
          <w:p w14:paraId="5B06EA93" w14:textId="77777777" w:rsidR="007606FB" w:rsidRPr="003C23AE" w:rsidRDefault="007606FB">
            <w:pPr>
              <w:spacing w:line="256" w:lineRule="auto"/>
              <w:ind w:left="-106" w:right="-106"/>
              <w:jc w:val="center"/>
              <w:rPr>
                <w:rFonts w:cs="Times New Roman"/>
                <w:sz w:val="22"/>
              </w:rPr>
            </w:pPr>
            <w:r w:rsidRPr="003C23AE">
              <w:rPr>
                <w:rFonts w:cs="Times New Roman"/>
                <w:b/>
                <w:sz w:val="22"/>
              </w:rPr>
              <w:t>Placebo</w:t>
            </w:r>
          </w:p>
        </w:tc>
        <w:tc>
          <w:tcPr>
            <w:tcW w:w="704" w:type="pct"/>
            <w:tcBorders>
              <w:top w:val="single" w:sz="4" w:space="0" w:color="auto"/>
              <w:left w:val="single" w:sz="4" w:space="0" w:color="auto"/>
              <w:bottom w:val="single" w:sz="4" w:space="0" w:color="auto"/>
              <w:right w:val="single" w:sz="4" w:space="0" w:color="auto"/>
            </w:tcBorders>
            <w:hideMark/>
          </w:tcPr>
          <w:p w14:paraId="3361E6B0" w14:textId="77777777" w:rsidR="007606FB" w:rsidRPr="003C23AE" w:rsidRDefault="007606FB">
            <w:pPr>
              <w:spacing w:line="256" w:lineRule="auto"/>
              <w:ind w:left="-111" w:right="-104"/>
              <w:jc w:val="center"/>
              <w:rPr>
                <w:rFonts w:cs="Times New Roman"/>
                <w:b/>
                <w:sz w:val="22"/>
              </w:rPr>
            </w:pPr>
            <w:r w:rsidRPr="003C23AE">
              <w:rPr>
                <w:rFonts w:cs="Times New Roman"/>
                <w:b/>
                <w:sz w:val="22"/>
              </w:rPr>
              <w:t>Mirabegron 50 mg</w:t>
            </w:r>
          </w:p>
        </w:tc>
        <w:tc>
          <w:tcPr>
            <w:tcW w:w="626" w:type="pct"/>
            <w:tcBorders>
              <w:top w:val="single" w:sz="4" w:space="0" w:color="auto"/>
              <w:left w:val="single" w:sz="4" w:space="0" w:color="auto"/>
              <w:bottom w:val="single" w:sz="4" w:space="0" w:color="auto"/>
              <w:right w:val="single" w:sz="4" w:space="0" w:color="auto"/>
            </w:tcBorders>
            <w:hideMark/>
          </w:tcPr>
          <w:p w14:paraId="4DDBCD3F" w14:textId="77777777" w:rsidR="007606FB" w:rsidRPr="003C23AE" w:rsidRDefault="007606FB">
            <w:pPr>
              <w:spacing w:line="256" w:lineRule="auto"/>
              <w:ind w:left="-107" w:right="-106"/>
              <w:jc w:val="center"/>
              <w:rPr>
                <w:rFonts w:cs="Times New Roman"/>
                <w:sz w:val="22"/>
              </w:rPr>
            </w:pPr>
            <w:r w:rsidRPr="003C23AE">
              <w:rPr>
                <w:rFonts w:cs="Times New Roman"/>
                <w:b/>
                <w:sz w:val="22"/>
              </w:rPr>
              <w:t>Tolterodine ER 4 mg</w:t>
            </w:r>
          </w:p>
        </w:tc>
        <w:tc>
          <w:tcPr>
            <w:tcW w:w="469" w:type="pct"/>
            <w:tcBorders>
              <w:top w:val="single" w:sz="4" w:space="0" w:color="auto"/>
              <w:left w:val="single" w:sz="4" w:space="0" w:color="auto"/>
              <w:bottom w:val="single" w:sz="4" w:space="0" w:color="auto"/>
              <w:right w:val="single" w:sz="4" w:space="0" w:color="auto"/>
            </w:tcBorders>
            <w:hideMark/>
          </w:tcPr>
          <w:p w14:paraId="045DC587" w14:textId="77777777" w:rsidR="007606FB" w:rsidRPr="003C23AE" w:rsidRDefault="007606FB">
            <w:pPr>
              <w:spacing w:line="256" w:lineRule="auto"/>
              <w:ind w:left="-109" w:right="-81"/>
              <w:jc w:val="center"/>
              <w:rPr>
                <w:rFonts w:cs="Times New Roman"/>
                <w:sz w:val="22"/>
              </w:rPr>
            </w:pPr>
            <w:r w:rsidRPr="003C23AE">
              <w:rPr>
                <w:rFonts w:cs="Times New Roman"/>
                <w:b/>
                <w:sz w:val="22"/>
              </w:rPr>
              <w:t>Placebo</w:t>
            </w:r>
          </w:p>
        </w:tc>
        <w:tc>
          <w:tcPr>
            <w:tcW w:w="704" w:type="pct"/>
            <w:tcBorders>
              <w:top w:val="single" w:sz="4" w:space="0" w:color="auto"/>
              <w:left w:val="single" w:sz="4" w:space="0" w:color="auto"/>
              <w:bottom w:val="single" w:sz="4" w:space="0" w:color="auto"/>
              <w:right w:val="single" w:sz="4" w:space="0" w:color="auto"/>
            </w:tcBorders>
            <w:hideMark/>
          </w:tcPr>
          <w:p w14:paraId="1C6F8524" w14:textId="77777777" w:rsidR="007606FB" w:rsidRPr="003C23AE" w:rsidRDefault="007606FB">
            <w:pPr>
              <w:spacing w:line="256" w:lineRule="auto"/>
              <w:ind w:left="-107" w:right="-106"/>
              <w:jc w:val="center"/>
              <w:rPr>
                <w:rFonts w:cs="Times New Roman"/>
                <w:sz w:val="22"/>
              </w:rPr>
            </w:pPr>
            <w:r w:rsidRPr="003C23AE">
              <w:rPr>
                <w:rFonts w:cs="Times New Roman"/>
                <w:b/>
                <w:sz w:val="22"/>
              </w:rPr>
              <w:t>Mirabegron 50 mg</w:t>
            </w:r>
          </w:p>
        </w:tc>
        <w:tc>
          <w:tcPr>
            <w:tcW w:w="470" w:type="pct"/>
            <w:tcBorders>
              <w:top w:val="single" w:sz="4" w:space="0" w:color="auto"/>
              <w:left w:val="single" w:sz="4" w:space="0" w:color="auto"/>
              <w:bottom w:val="single" w:sz="4" w:space="0" w:color="auto"/>
              <w:right w:val="single" w:sz="4" w:space="0" w:color="auto"/>
            </w:tcBorders>
            <w:hideMark/>
          </w:tcPr>
          <w:p w14:paraId="7D537949" w14:textId="77777777" w:rsidR="007606FB" w:rsidRPr="003C23AE" w:rsidRDefault="007606FB">
            <w:pPr>
              <w:spacing w:line="256" w:lineRule="auto"/>
              <w:ind w:left="-111" w:right="-103"/>
              <w:jc w:val="center"/>
              <w:rPr>
                <w:rFonts w:cs="Times New Roman"/>
                <w:sz w:val="22"/>
              </w:rPr>
            </w:pPr>
            <w:r w:rsidRPr="003C23AE">
              <w:rPr>
                <w:rFonts w:cs="Times New Roman"/>
                <w:b/>
                <w:sz w:val="22"/>
              </w:rPr>
              <w:t>Placebo</w:t>
            </w:r>
          </w:p>
        </w:tc>
        <w:tc>
          <w:tcPr>
            <w:tcW w:w="700" w:type="pct"/>
            <w:tcBorders>
              <w:top w:val="single" w:sz="4" w:space="0" w:color="auto"/>
              <w:left w:val="single" w:sz="4" w:space="0" w:color="auto"/>
              <w:bottom w:val="single" w:sz="4" w:space="0" w:color="auto"/>
              <w:right w:val="single" w:sz="4" w:space="0" w:color="auto"/>
            </w:tcBorders>
            <w:hideMark/>
          </w:tcPr>
          <w:p w14:paraId="0660E31A" w14:textId="77777777" w:rsidR="007606FB" w:rsidRPr="003C23AE" w:rsidRDefault="007606FB">
            <w:pPr>
              <w:spacing w:line="256" w:lineRule="auto"/>
              <w:ind w:left="-109" w:right="-112"/>
              <w:jc w:val="center"/>
              <w:rPr>
                <w:rFonts w:cs="Times New Roman"/>
                <w:sz w:val="22"/>
              </w:rPr>
            </w:pPr>
            <w:r w:rsidRPr="003C23AE">
              <w:rPr>
                <w:rFonts w:cs="Times New Roman"/>
                <w:b/>
                <w:sz w:val="22"/>
              </w:rPr>
              <w:t>Mirabegron 50 mg</w:t>
            </w:r>
          </w:p>
        </w:tc>
      </w:tr>
      <w:tr w:rsidR="007606FB" w:rsidRPr="00531029" w14:paraId="3996491E" w14:textId="77777777" w:rsidTr="007606FB">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4FE905F4" w14:textId="77777777" w:rsidR="007606FB" w:rsidRPr="003C23AE" w:rsidRDefault="007606FB">
            <w:pPr>
              <w:tabs>
                <w:tab w:val="left" w:pos="567"/>
              </w:tabs>
              <w:rPr>
                <w:rFonts w:cs="Times New Roman"/>
                <w:sz w:val="22"/>
              </w:rPr>
            </w:pPr>
            <w:r w:rsidRPr="003C23AE">
              <w:rPr>
                <w:rFonts w:cs="Times New Roman"/>
                <w:b/>
                <w:sz w:val="22"/>
              </w:rPr>
              <w:t>Mean number of incontinence episodes per 24 hours (FAS</w:t>
            </w:r>
            <w:r w:rsidRPr="003C23AE">
              <w:rPr>
                <w:rFonts w:cs="Times New Roman"/>
                <w:b/>
                <w:sz w:val="22"/>
              </w:rPr>
              <w:noBreakHyphen/>
              <w:t>I) (Co-primary)</w:t>
            </w:r>
          </w:p>
        </w:tc>
      </w:tr>
      <w:tr w:rsidR="007606FB" w:rsidRPr="003C23AE" w14:paraId="31718BC8"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557FD7D1" w14:textId="77777777" w:rsidR="007606FB" w:rsidRPr="003C23AE" w:rsidRDefault="007606FB">
            <w:pPr>
              <w:spacing w:line="256" w:lineRule="auto"/>
              <w:rPr>
                <w:rFonts w:cs="Times New Roman"/>
                <w:sz w:val="22"/>
              </w:rPr>
            </w:pPr>
            <w:r w:rsidRPr="003C23AE">
              <w:rPr>
                <w:rFonts w:cs="Times New Roman"/>
                <w:sz w:val="22"/>
              </w:rP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2487578D" w14:textId="77777777" w:rsidR="007606FB" w:rsidRPr="003C23AE" w:rsidRDefault="007606FB">
            <w:pPr>
              <w:spacing w:line="256" w:lineRule="auto"/>
              <w:ind w:left="-104" w:right="-106"/>
              <w:jc w:val="center"/>
              <w:rPr>
                <w:rFonts w:cs="Times New Roman"/>
                <w:sz w:val="22"/>
              </w:rPr>
            </w:pPr>
            <w:r w:rsidRPr="003C23AE">
              <w:rPr>
                <w:rFonts w:cs="Times New Roman"/>
                <w:sz w:val="22"/>
              </w:rPr>
              <w:t>291</w:t>
            </w:r>
          </w:p>
        </w:tc>
        <w:tc>
          <w:tcPr>
            <w:tcW w:w="704" w:type="pct"/>
            <w:tcBorders>
              <w:top w:val="single" w:sz="4" w:space="0" w:color="auto"/>
              <w:left w:val="single" w:sz="4" w:space="0" w:color="auto"/>
              <w:bottom w:val="single" w:sz="4" w:space="0" w:color="auto"/>
              <w:right w:val="single" w:sz="4" w:space="0" w:color="auto"/>
            </w:tcBorders>
            <w:vAlign w:val="center"/>
            <w:hideMark/>
          </w:tcPr>
          <w:p w14:paraId="773681E7" w14:textId="77777777" w:rsidR="007606FB" w:rsidRPr="003C23AE" w:rsidRDefault="007606FB">
            <w:pPr>
              <w:spacing w:line="256" w:lineRule="auto"/>
              <w:ind w:left="-110" w:right="-110"/>
              <w:jc w:val="center"/>
              <w:rPr>
                <w:rFonts w:cs="Times New Roman"/>
                <w:sz w:val="22"/>
              </w:rPr>
            </w:pPr>
            <w:r w:rsidRPr="003C23AE">
              <w:rPr>
                <w:rFonts w:cs="Times New Roman"/>
                <w:sz w:val="22"/>
              </w:rPr>
              <w:t>293</w:t>
            </w:r>
          </w:p>
        </w:tc>
        <w:tc>
          <w:tcPr>
            <w:tcW w:w="626" w:type="pct"/>
            <w:tcBorders>
              <w:top w:val="single" w:sz="4" w:space="0" w:color="auto"/>
              <w:left w:val="single" w:sz="4" w:space="0" w:color="auto"/>
              <w:bottom w:val="single" w:sz="4" w:space="0" w:color="auto"/>
              <w:right w:val="single" w:sz="4" w:space="0" w:color="auto"/>
            </w:tcBorders>
            <w:vAlign w:val="center"/>
            <w:hideMark/>
          </w:tcPr>
          <w:p w14:paraId="01227847" w14:textId="77777777" w:rsidR="007606FB" w:rsidRPr="003C23AE" w:rsidRDefault="007606FB">
            <w:pPr>
              <w:tabs>
                <w:tab w:val="left" w:pos="1000"/>
              </w:tabs>
              <w:spacing w:line="256" w:lineRule="auto"/>
              <w:ind w:left="-110" w:right="46"/>
              <w:jc w:val="center"/>
              <w:rPr>
                <w:rFonts w:cs="Times New Roman"/>
                <w:sz w:val="22"/>
              </w:rPr>
            </w:pPr>
            <w:r w:rsidRPr="003C23AE">
              <w:rPr>
                <w:rFonts w:cs="Times New Roman"/>
                <w:sz w:val="22"/>
              </w:rPr>
              <w:t>300</w:t>
            </w:r>
          </w:p>
        </w:tc>
        <w:tc>
          <w:tcPr>
            <w:tcW w:w="469" w:type="pct"/>
            <w:tcBorders>
              <w:top w:val="single" w:sz="4" w:space="0" w:color="auto"/>
              <w:left w:val="single" w:sz="4" w:space="0" w:color="auto"/>
              <w:bottom w:val="single" w:sz="4" w:space="0" w:color="auto"/>
              <w:right w:val="single" w:sz="4" w:space="0" w:color="auto"/>
            </w:tcBorders>
            <w:vAlign w:val="center"/>
            <w:hideMark/>
          </w:tcPr>
          <w:p w14:paraId="226CEAED" w14:textId="77777777" w:rsidR="007606FB" w:rsidRPr="003C23AE" w:rsidRDefault="007606FB">
            <w:pPr>
              <w:tabs>
                <w:tab w:val="left" w:pos="1000"/>
              </w:tabs>
              <w:spacing w:line="256" w:lineRule="auto"/>
              <w:ind w:left="-110" w:right="-110"/>
              <w:jc w:val="center"/>
              <w:rPr>
                <w:rFonts w:cs="Times New Roman"/>
                <w:sz w:val="22"/>
              </w:rPr>
            </w:pPr>
            <w:r w:rsidRPr="003C23AE">
              <w:rPr>
                <w:rFonts w:cs="Times New Roman"/>
                <w:sz w:val="22"/>
              </w:rPr>
              <w:t>325</w:t>
            </w:r>
          </w:p>
        </w:tc>
        <w:tc>
          <w:tcPr>
            <w:tcW w:w="704" w:type="pct"/>
            <w:tcBorders>
              <w:top w:val="single" w:sz="4" w:space="0" w:color="auto"/>
              <w:left w:val="single" w:sz="4" w:space="0" w:color="auto"/>
              <w:bottom w:val="single" w:sz="4" w:space="0" w:color="auto"/>
              <w:right w:val="single" w:sz="4" w:space="0" w:color="auto"/>
            </w:tcBorders>
            <w:vAlign w:val="center"/>
            <w:hideMark/>
          </w:tcPr>
          <w:p w14:paraId="477D433D" w14:textId="77777777" w:rsidR="007606FB" w:rsidRPr="003C23AE" w:rsidRDefault="007606FB">
            <w:pPr>
              <w:spacing w:line="256" w:lineRule="auto"/>
              <w:ind w:left="-110" w:right="-109"/>
              <w:jc w:val="center"/>
              <w:rPr>
                <w:rFonts w:cs="Times New Roman"/>
                <w:sz w:val="22"/>
              </w:rPr>
            </w:pPr>
            <w:r w:rsidRPr="003C23AE">
              <w:rPr>
                <w:rFonts w:cs="Times New Roman"/>
                <w:sz w:val="22"/>
              </w:rPr>
              <w:t>312</w:t>
            </w:r>
          </w:p>
        </w:tc>
        <w:tc>
          <w:tcPr>
            <w:tcW w:w="470" w:type="pct"/>
            <w:tcBorders>
              <w:top w:val="single" w:sz="4" w:space="0" w:color="auto"/>
              <w:left w:val="single" w:sz="4" w:space="0" w:color="auto"/>
              <w:bottom w:val="single" w:sz="4" w:space="0" w:color="auto"/>
              <w:right w:val="single" w:sz="4" w:space="0" w:color="auto"/>
            </w:tcBorders>
            <w:vAlign w:val="center"/>
            <w:hideMark/>
          </w:tcPr>
          <w:p w14:paraId="2B8968E5" w14:textId="77777777" w:rsidR="007606FB" w:rsidRPr="003C23AE" w:rsidRDefault="007606FB">
            <w:pPr>
              <w:tabs>
                <w:tab w:val="left" w:pos="1000"/>
              </w:tabs>
              <w:spacing w:line="256" w:lineRule="auto"/>
              <w:ind w:left="-110" w:right="-109"/>
              <w:jc w:val="center"/>
              <w:rPr>
                <w:rFonts w:cs="Times New Roman"/>
                <w:sz w:val="22"/>
              </w:rPr>
            </w:pPr>
            <w:r w:rsidRPr="003C23AE">
              <w:rPr>
                <w:rFonts w:cs="Times New Roman"/>
                <w:sz w:val="22"/>
              </w:rPr>
              <w:t>262</w:t>
            </w:r>
          </w:p>
        </w:tc>
        <w:tc>
          <w:tcPr>
            <w:tcW w:w="700" w:type="pct"/>
            <w:tcBorders>
              <w:top w:val="single" w:sz="4" w:space="0" w:color="auto"/>
              <w:left w:val="single" w:sz="4" w:space="0" w:color="auto"/>
              <w:bottom w:val="single" w:sz="4" w:space="0" w:color="auto"/>
              <w:right w:val="single" w:sz="4" w:space="0" w:color="auto"/>
            </w:tcBorders>
            <w:vAlign w:val="center"/>
            <w:hideMark/>
          </w:tcPr>
          <w:p w14:paraId="5189E05F" w14:textId="77777777" w:rsidR="007606FB" w:rsidRPr="003C23AE" w:rsidRDefault="007606FB">
            <w:pPr>
              <w:tabs>
                <w:tab w:val="left" w:pos="1000"/>
              </w:tabs>
              <w:spacing w:line="256" w:lineRule="auto"/>
              <w:ind w:left="-110" w:right="50"/>
              <w:jc w:val="center"/>
              <w:rPr>
                <w:rFonts w:cs="Times New Roman"/>
                <w:sz w:val="22"/>
              </w:rPr>
            </w:pPr>
            <w:r w:rsidRPr="003C23AE">
              <w:rPr>
                <w:rFonts w:cs="Times New Roman"/>
                <w:sz w:val="22"/>
              </w:rPr>
              <w:t>257</w:t>
            </w:r>
          </w:p>
        </w:tc>
      </w:tr>
      <w:tr w:rsidR="007606FB" w:rsidRPr="003C23AE" w14:paraId="22180EF3"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6C0C4761" w14:textId="77777777" w:rsidR="007606FB" w:rsidRPr="003C23AE" w:rsidRDefault="007606FB">
            <w:pPr>
              <w:spacing w:line="256" w:lineRule="auto"/>
              <w:rPr>
                <w:rFonts w:cs="Times New Roman"/>
                <w:sz w:val="22"/>
              </w:rPr>
            </w:pPr>
            <w:r w:rsidRPr="003C23AE">
              <w:rPr>
                <w:rFonts w:cs="Times New Roman"/>
                <w:sz w:val="22"/>
              </w:rPr>
              <w:t>Mean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2E1B3845" w14:textId="77777777" w:rsidR="007606FB" w:rsidRPr="003C23AE" w:rsidRDefault="007606FB">
            <w:pPr>
              <w:spacing w:line="256" w:lineRule="auto"/>
              <w:ind w:left="-104" w:right="-106"/>
              <w:jc w:val="center"/>
              <w:rPr>
                <w:rFonts w:cs="Times New Roman"/>
                <w:sz w:val="22"/>
              </w:rPr>
            </w:pPr>
            <w:r w:rsidRPr="003C23AE">
              <w:rPr>
                <w:rFonts w:cs="Times New Roman"/>
                <w:sz w:val="22"/>
              </w:rPr>
              <w:t>2.67</w:t>
            </w:r>
          </w:p>
        </w:tc>
        <w:tc>
          <w:tcPr>
            <w:tcW w:w="704" w:type="pct"/>
            <w:tcBorders>
              <w:top w:val="single" w:sz="4" w:space="0" w:color="auto"/>
              <w:left w:val="single" w:sz="4" w:space="0" w:color="auto"/>
              <w:bottom w:val="single" w:sz="4" w:space="0" w:color="auto"/>
              <w:right w:val="single" w:sz="4" w:space="0" w:color="auto"/>
            </w:tcBorders>
            <w:vAlign w:val="center"/>
            <w:hideMark/>
          </w:tcPr>
          <w:p w14:paraId="654A756C" w14:textId="77777777" w:rsidR="007606FB" w:rsidRPr="003C23AE" w:rsidRDefault="007606FB">
            <w:pPr>
              <w:spacing w:line="256" w:lineRule="auto"/>
              <w:ind w:left="-110" w:right="-110"/>
              <w:jc w:val="center"/>
              <w:rPr>
                <w:rFonts w:cs="Times New Roman"/>
                <w:sz w:val="22"/>
              </w:rPr>
            </w:pPr>
            <w:r w:rsidRPr="003C23AE">
              <w:rPr>
                <w:rFonts w:cs="Times New Roman"/>
                <w:sz w:val="22"/>
              </w:rPr>
              <w:t>2.83</w:t>
            </w:r>
          </w:p>
        </w:tc>
        <w:tc>
          <w:tcPr>
            <w:tcW w:w="626" w:type="pct"/>
            <w:tcBorders>
              <w:top w:val="single" w:sz="4" w:space="0" w:color="auto"/>
              <w:left w:val="single" w:sz="4" w:space="0" w:color="auto"/>
              <w:bottom w:val="single" w:sz="4" w:space="0" w:color="auto"/>
              <w:right w:val="single" w:sz="4" w:space="0" w:color="auto"/>
            </w:tcBorders>
            <w:vAlign w:val="center"/>
            <w:hideMark/>
          </w:tcPr>
          <w:p w14:paraId="74879F93" w14:textId="77777777" w:rsidR="007606FB" w:rsidRPr="003C23AE" w:rsidRDefault="007606FB">
            <w:pPr>
              <w:tabs>
                <w:tab w:val="left" w:pos="1000"/>
              </w:tabs>
              <w:spacing w:line="256" w:lineRule="auto"/>
              <w:ind w:left="-110" w:right="43"/>
              <w:jc w:val="center"/>
              <w:rPr>
                <w:rFonts w:cs="Times New Roman"/>
                <w:sz w:val="22"/>
              </w:rPr>
            </w:pPr>
            <w:r w:rsidRPr="003C23AE">
              <w:rPr>
                <w:rFonts w:cs="Times New Roman"/>
                <w:sz w:val="22"/>
              </w:rPr>
              <w:t>2.63</w:t>
            </w:r>
          </w:p>
        </w:tc>
        <w:tc>
          <w:tcPr>
            <w:tcW w:w="469" w:type="pct"/>
            <w:tcBorders>
              <w:top w:val="single" w:sz="4" w:space="0" w:color="auto"/>
              <w:left w:val="single" w:sz="4" w:space="0" w:color="auto"/>
              <w:bottom w:val="single" w:sz="4" w:space="0" w:color="auto"/>
              <w:right w:val="single" w:sz="4" w:space="0" w:color="auto"/>
            </w:tcBorders>
            <w:vAlign w:val="center"/>
            <w:hideMark/>
          </w:tcPr>
          <w:p w14:paraId="1201C776" w14:textId="77777777" w:rsidR="007606FB" w:rsidRPr="003C23AE" w:rsidRDefault="007606FB">
            <w:pPr>
              <w:tabs>
                <w:tab w:val="left" w:pos="1000"/>
              </w:tabs>
              <w:spacing w:line="256" w:lineRule="auto"/>
              <w:ind w:left="-110" w:right="-110"/>
              <w:jc w:val="center"/>
              <w:rPr>
                <w:rFonts w:cs="Times New Roman"/>
                <w:sz w:val="22"/>
              </w:rPr>
            </w:pPr>
            <w:r w:rsidRPr="003C23AE">
              <w:rPr>
                <w:rFonts w:cs="Times New Roman"/>
                <w:sz w:val="22"/>
              </w:rPr>
              <w:t>3.03</w:t>
            </w:r>
          </w:p>
        </w:tc>
        <w:tc>
          <w:tcPr>
            <w:tcW w:w="704" w:type="pct"/>
            <w:tcBorders>
              <w:top w:val="single" w:sz="4" w:space="0" w:color="auto"/>
              <w:left w:val="single" w:sz="4" w:space="0" w:color="auto"/>
              <w:bottom w:val="single" w:sz="4" w:space="0" w:color="auto"/>
              <w:right w:val="single" w:sz="4" w:space="0" w:color="auto"/>
            </w:tcBorders>
            <w:vAlign w:val="center"/>
            <w:hideMark/>
          </w:tcPr>
          <w:p w14:paraId="694DB37C" w14:textId="77777777" w:rsidR="007606FB" w:rsidRPr="003C23AE" w:rsidRDefault="007606FB">
            <w:pPr>
              <w:spacing w:line="256" w:lineRule="auto"/>
              <w:ind w:left="-110" w:right="-109"/>
              <w:jc w:val="center"/>
              <w:rPr>
                <w:rFonts w:cs="Times New Roman"/>
                <w:sz w:val="22"/>
              </w:rPr>
            </w:pPr>
            <w:r w:rsidRPr="003C23AE">
              <w:rPr>
                <w:rFonts w:cs="Times New Roman"/>
                <w:sz w:val="22"/>
              </w:rPr>
              <w:t>2.77</w:t>
            </w:r>
          </w:p>
        </w:tc>
        <w:tc>
          <w:tcPr>
            <w:tcW w:w="470" w:type="pct"/>
            <w:tcBorders>
              <w:top w:val="single" w:sz="4" w:space="0" w:color="auto"/>
              <w:left w:val="single" w:sz="4" w:space="0" w:color="auto"/>
              <w:bottom w:val="single" w:sz="4" w:space="0" w:color="auto"/>
              <w:right w:val="single" w:sz="4" w:space="0" w:color="auto"/>
            </w:tcBorders>
            <w:vAlign w:val="center"/>
            <w:hideMark/>
          </w:tcPr>
          <w:p w14:paraId="64EB9009" w14:textId="77777777" w:rsidR="007606FB" w:rsidRPr="003C23AE" w:rsidRDefault="007606FB">
            <w:pPr>
              <w:tabs>
                <w:tab w:val="left" w:pos="1000"/>
              </w:tabs>
              <w:spacing w:line="256" w:lineRule="auto"/>
              <w:ind w:left="-110" w:right="-109"/>
              <w:jc w:val="center"/>
              <w:rPr>
                <w:rFonts w:cs="Times New Roman"/>
                <w:sz w:val="22"/>
              </w:rPr>
            </w:pPr>
            <w:r w:rsidRPr="003C23AE">
              <w:rPr>
                <w:rFonts w:cs="Times New Roman"/>
                <w:sz w:val="22"/>
              </w:rPr>
              <w:t>2.43</w:t>
            </w:r>
          </w:p>
        </w:tc>
        <w:tc>
          <w:tcPr>
            <w:tcW w:w="700" w:type="pct"/>
            <w:tcBorders>
              <w:top w:val="single" w:sz="4" w:space="0" w:color="auto"/>
              <w:left w:val="single" w:sz="4" w:space="0" w:color="auto"/>
              <w:bottom w:val="single" w:sz="4" w:space="0" w:color="auto"/>
              <w:right w:val="single" w:sz="4" w:space="0" w:color="auto"/>
            </w:tcBorders>
            <w:vAlign w:val="center"/>
            <w:hideMark/>
          </w:tcPr>
          <w:p w14:paraId="3C018A01" w14:textId="77777777" w:rsidR="007606FB" w:rsidRPr="003C23AE" w:rsidRDefault="007606FB">
            <w:pPr>
              <w:tabs>
                <w:tab w:val="left" w:pos="1000"/>
              </w:tabs>
              <w:spacing w:line="256" w:lineRule="auto"/>
              <w:ind w:left="-110" w:right="48"/>
              <w:jc w:val="center"/>
              <w:rPr>
                <w:rFonts w:cs="Times New Roman"/>
                <w:sz w:val="22"/>
              </w:rPr>
            </w:pPr>
            <w:r w:rsidRPr="003C23AE">
              <w:rPr>
                <w:rFonts w:cs="Times New Roman"/>
                <w:sz w:val="22"/>
              </w:rPr>
              <w:t>2.51</w:t>
            </w:r>
          </w:p>
        </w:tc>
      </w:tr>
      <w:tr w:rsidR="007606FB" w:rsidRPr="003C23AE" w14:paraId="5BC9A1E2"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100237CD" w14:textId="77777777" w:rsidR="007606FB" w:rsidRPr="003C23AE" w:rsidRDefault="007606FB">
            <w:pPr>
              <w:spacing w:line="256" w:lineRule="auto"/>
              <w:rPr>
                <w:rFonts w:cs="Times New Roman"/>
                <w:sz w:val="22"/>
              </w:rPr>
            </w:pPr>
            <w:r w:rsidRPr="003C23AE">
              <w:rPr>
                <w:rFonts w:cs="Times New Roman"/>
                <w:sz w:val="22"/>
              </w:rPr>
              <w:t>Mean change from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40237DCD" w14:textId="77777777" w:rsidR="007606FB" w:rsidRPr="003C23AE" w:rsidRDefault="007606FB">
            <w:pPr>
              <w:spacing w:line="256" w:lineRule="auto"/>
              <w:ind w:left="-104" w:right="-106"/>
              <w:jc w:val="center"/>
              <w:rPr>
                <w:rFonts w:cs="Times New Roman"/>
                <w:sz w:val="22"/>
              </w:rPr>
            </w:pPr>
            <w:r w:rsidRPr="003C23AE">
              <w:rPr>
                <w:rFonts w:cs="Times New Roman"/>
                <w:sz w:val="22"/>
              </w:rPr>
              <w:t>-1.17</w:t>
            </w:r>
          </w:p>
        </w:tc>
        <w:tc>
          <w:tcPr>
            <w:tcW w:w="704" w:type="pct"/>
            <w:tcBorders>
              <w:top w:val="single" w:sz="4" w:space="0" w:color="auto"/>
              <w:left w:val="single" w:sz="4" w:space="0" w:color="auto"/>
              <w:bottom w:val="single" w:sz="4" w:space="0" w:color="auto"/>
              <w:right w:val="single" w:sz="4" w:space="0" w:color="auto"/>
            </w:tcBorders>
            <w:vAlign w:val="center"/>
            <w:hideMark/>
          </w:tcPr>
          <w:p w14:paraId="2C9E0282" w14:textId="77777777" w:rsidR="007606FB" w:rsidRPr="003C23AE" w:rsidRDefault="007606FB">
            <w:pPr>
              <w:spacing w:line="256" w:lineRule="auto"/>
              <w:ind w:left="-110" w:right="-110"/>
              <w:jc w:val="center"/>
              <w:rPr>
                <w:rFonts w:cs="Times New Roman"/>
                <w:sz w:val="22"/>
              </w:rPr>
            </w:pPr>
            <w:r w:rsidRPr="003C23AE">
              <w:rPr>
                <w:rFonts w:cs="Times New Roman"/>
                <w:sz w:val="22"/>
              </w:rPr>
              <w:t>-1.57</w:t>
            </w:r>
          </w:p>
        </w:tc>
        <w:tc>
          <w:tcPr>
            <w:tcW w:w="626" w:type="pct"/>
            <w:tcBorders>
              <w:top w:val="single" w:sz="4" w:space="0" w:color="auto"/>
              <w:left w:val="single" w:sz="4" w:space="0" w:color="auto"/>
              <w:bottom w:val="single" w:sz="4" w:space="0" w:color="auto"/>
              <w:right w:val="single" w:sz="4" w:space="0" w:color="auto"/>
            </w:tcBorders>
            <w:vAlign w:val="center"/>
            <w:hideMark/>
          </w:tcPr>
          <w:p w14:paraId="44D2F152" w14:textId="77777777" w:rsidR="007606FB" w:rsidRPr="003C23AE" w:rsidRDefault="007606FB">
            <w:pPr>
              <w:tabs>
                <w:tab w:val="left" w:pos="1000"/>
              </w:tabs>
              <w:spacing w:line="256" w:lineRule="auto"/>
              <w:ind w:left="-110" w:right="50"/>
              <w:jc w:val="center"/>
              <w:rPr>
                <w:rFonts w:cs="Times New Roman"/>
                <w:sz w:val="22"/>
              </w:rPr>
            </w:pPr>
            <w:r w:rsidRPr="003C23AE">
              <w:rPr>
                <w:rFonts w:cs="Times New Roman"/>
                <w:sz w:val="22"/>
              </w:rPr>
              <w:t>-1.27</w:t>
            </w:r>
          </w:p>
        </w:tc>
        <w:tc>
          <w:tcPr>
            <w:tcW w:w="469" w:type="pct"/>
            <w:tcBorders>
              <w:top w:val="single" w:sz="4" w:space="0" w:color="auto"/>
              <w:left w:val="single" w:sz="4" w:space="0" w:color="auto"/>
              <w:bottom w:val="single" w:sz="4" w:space="0" w:color="auto"/>
              <w:right w:val="single" w:sz="4" w:space="0" w:color="auto"/>
            </w:tcBorders>
            <w:vAlign w:val="center"/>
            <w:hideMark/>
          </w:tcPr>
          <w:p w14:paraId="6B80A430" w14:textId="77777777" w:rsidR="007606FB" w:rsidRPr="003C23AE" w:rsidRDefault="007606FB">
            <w:pPr>
              <w:tabs>
                <w:tab w:val="left" w:pos="1000"/>
              </w:tabs>
              <w:spacing w:line="256" w:lineRule="auto"/>
              <w:ind w:left="-110" w:right="-110"/>
              <w:jc w:val="center"/>
              <w:rPr>
                <w:rFonts w:cs="Times New Roman"/>
                <w:sz w:val="22"/>
              </w:rPr>
            </w:pPr>
            <w:r w:rsidRPr="003C23AE">
              <w:rPr>
                <w:rFonts w:cs="Times New Roman"/>
                <w:sz w:val="22"/>
              </w:rPr>
              <w:t>-1.13</w:t>
            </w:r>
          </w:p>
        </w:tc>
        <w:tc>
          <w:tcPr>
            <w:tcW w:w="704" w:type="pct"/>
            <w:tcBorders>
              <w:top w:val="single" w:sz="4" w:space="0" w:color="auto"/>
              <w:left w:val="single" w:sz="4" w:space="0" w:color="auto"/>
              <w:bottom w:val="single" w:sz="4" w:space="0" w:color="auto"/>
              <w:right w:val="single" w:sz="4" w:space="0" w:color="auto"/>
            </w:tcBorders>
            <w:vAlign w:val="center"/>
            <w:hideMark/>
          </w:tcPr>
          <w:p w14:paraId="4127B7A1" w14:textId="77777777" w:rsidR="007606FB" w:rsidRPr="003C23AE" w:rsidRDefault="007606FB">
            <w:pPr>
              <w:spacing w:line="256" w:lineRule="auto"/>
              <w:ind w:left="-110" w:right="-109"/>
              <w:jc w:val="center"/>
              <w:rPr>
                <w:rFonts w:cs="Times New Roman"/>
                <w:sz w:val="22"/>
              </w:rPr>
            </w:pPr>
            <w:r w:rsidRPr="003C23AE">
              <w:rPr>
                <w:rFonts w:cs="Times New Roman"/>
                <w:sz w:val="22"/>
              </w:rPr>
              <w:t>-1.47</w:t>
            </w:r>
          </w:p>
        </w:tc>
        <w:tc>
          <w:tcPr>
            <w:tcW w:w="470" w:type="pct"/>
            <w:tcBorders>
              <w:top w:val="single" w:sz="4" w:space="0" w:color="auto"/>
              <w:left w:val="single" w:sz="4" w:space="0" w:color="auto"/>
              <w:bottom w:val="single" w:sz="4" w:space="0" w:color="auto"/>
              <w:right w:val="single" w:sz="4" w:space="0" w:color="auto"/>
            </w:tcBorders>
            <w:vAlign w:val="center"/>
            <w:hideMark/>
          </w:tcPr>
          <w:p w14:paraId="2BBC6E6F" w14:textId="77777777" w:rsidR="007606FB" w:rsidRPr="003C23AE" w:rsidRDefault="007606FB">
            <w:pPr>
              <w:tabs>
                <w:tab w:val="left" w:pos="1000"/>
              </w:tabs>
              <w:spacing w:line="256" w:lineRule="auto"/>
              <w:ind w:left="-110" w:right="-109"/>
              <w:jc w:val="center"/>
              <w:rPr>
                <w:rFonts w:cs="Times New Roman"/>
                <w:sz w:val="22"/>
              </w:rPr>
            </w:pPr>
            <w:r w:rsidRPr="003C23AE">
              <w:rPr>
                <w:rFonts w:cs="Times New Roman"/>
                <w:sz w:val="22"/>
              </w:rPr>
              <w:t>-0.96</w:t>
            </w:r>
          </w:p>
        </w:tc>
        <w:tc>
          <w:tcPr>
            <w:tcW w:w="700" w:type="pct"/>
            <w:tcBorders>
              <w:top w:val="single" w:sz="4" w:space="0" w:color="auto"/>
              <w:left w:val="single" w:sz="4" w:space="0" w:color="auto"/>
              <w:bottom w:val="single" w:sz="4" w:space="0" w:color="auto"/>
              <w:right w:val="single" w:sz="4" w:space="0" w:color="auto"/>
            </w:tcBorders>
            <w:vAlign w:val="center"/>
            <w:hideMark/>
          </w:tcPr>
          <w:p w14:paraId="76E57515" w14:textId="77777777" w:rsidR="007606FB" w:rsidRPr="003C23AE" w:rsidRDefault="007606FB">
            <w:pPr>
              <w:tabs>
                <w:tab w:val="left" w:pos="1000"/>
              </w:tabs>
              <w:spacing w:line="256" w:lineRule="auto"/>
              <w:ind w:left="-110" w:right="50"/>
              <w:jc w:val="center"/>
              <w:rPr>
                <w:rFonts w:cs="Times New Roman"/>
                <w:sz w:val="22"/>
              </w:rPr>
            </w:pPr>
            <w:r w:rsidRPr="003C23AE">
              <w:rPr>
                <w:rFonts w:cs="Times New Roman"/>
                <w:sz w:val="22"/>
              </w:rPr>
              <w:t>-1.38</w:t>
            </w:r>
          </w:p>
        </w:tc>
      </w:tr>
      <w:tr w:rsidR="007606FB" w:rsidRPr="003C23AE" w14:paraId="14A2B403"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615453A9" w14:textId="77777777" w:rsidR="007606FB" w:rsidRPr="003C23AE" w:rsidRDefault="007606FB">
            <w:pPr>
              <w:spacing w:line="256" w:lineRule="auto"/>
              <w:rPr>
                <w:rFonts w:cs="Times New Roman"/>
                <w:sz w:val="22"/>
              </w:rPr>
            </w:pPr>
            <w:r w:rsidRPr="003C23AE">
              <w:rPr>
                <w:rFonts w:cs="Times New Roman"/>
                <w:sz w:val="22"/>
              </w:rPr>
              <w:t>Mean difference from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7B1A5E32" w14:textId="77777777" w:rsidR="007606FB" w:rsidRPr="003C23AE" w:rsidRDefault="007606FB">
            <w:pPr>
              <w:spacing w:line="256" w:lineRule="auto"/>
              <w:ind w:left="-104" w:right="-106"/>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D9CA245" w14:textId="77777777" w:rsidR="007606FB" w:rsidRPr="003C23AE" w:rsidRDefault="007606FB">
            <w:pPr>
              <w:spacing w:line="256" w:lineRule="auto"/>
              <w:ind w:left="-110" w:right="-110"/>
              <w:jc w:val="center"/>
              <w:rPr>
                <w:rFonts w:cs="Times New Roman"/>
                <w:sz w:val="22"/>
              </w:rPr>
            </w:pPr>
            <w:r w:rsidRPr="003C23AE">
              <w:rPr>
                <w:rFonts w:cs="Times New Roman"/>
                <w:sz w:val="22"/>
              </w:rPr>
              <w:t>-0.41</w:t>
            </w:r>
          </w:p>
        </w:tc>
        <w:tc>
          <w:tcPr>
            <w:tcW w:w="626" w:type="pct"/>
            <w:tcBorders>
              <w:top w:val="single" w:sz="4" w:space="0" w:color="auto"/>
              <w:left w:val="single" w:sz="4" w:space="0" w:color="auto"/>
              <w:bottom w:val="single" w:sz="4" w:space="0" w:color="auto"/>
              <w:right w:val="single" w:sz="4" w:space="0" w:color="auto"/>
            </w:tcBorders>
            <w:vAlign w:val="center"/>
            <w:hideMark/>
          </w:tcPr>
          <w:p w14:paraId="3D09FF84" w14:textId="77777777" w:rsidR="007606FB" w:rsidRPr="003C23AE" w:rsidRDefault="007606FB">
            <w:pPr>
              <w:tabs>
                <w:tab w:val="left" w:pos="1000"/>
              </w:tabs>
              <w:spacing w:line="256" w:lineRule="auto"/>
              <w:ind w:left="-110" w:right="50"/>
              <w:jc w:val="center"/>
              <w:rPr>
                <w:rFonts w:cs="Times New Roman"/>
                <w:sz w:val="22"/>
              </w:rPr>
            </w:pPr>
            <w:r w:rsidRPr="003C23AE">
              <w:rPr>
                <w:rFonts w:cs="Times New Roman"/>
                <w:sz w:val="22"/>
              </w:rPr>
              <w:t>-0.10</w:t>
            </w:r>
          </w:p>
        </w:tc>
        <w:tc>
          <w:tcPr>
            <w:tcW w:w="469" w:type="pct"/>
            <w:tcBorders>
              <w:top w:val="single" w:sz="4" w:space="0" w:color="auto"/>
              <w:left w:val="single" w:sz="4" w:space="0" w:color="auto"/>
              <w:bottom w:val="single" w:sz="4" w:space="0" w:color="auto"/>
              <w:right w:val="single" w:sz="4" w:space="0" w:color="auto"/>
            </w:tcBorders>
            <w:vAlign w:val="center"/>
            <w:hideMark/>
          </w:tcPr>
          <w:p w14:paraId="439C4B9C" w14:textId="77777777" w:rsidR="007606FB" w:rsidRPr="003C23AE" w:rsidRDefault="007606FB">
            <w:pPr>
              <w:tabs>
                <w:tab w:val="left" w:pos="1000"/>
              </w:tabs>
              <w:spacing w:line="256" w:lineRule="auto"/>
              <w:ind w:left="-110" w:right="-110"/>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E0D85A6" w14:textId="77777777" w:rsidR="007606FB" w:rsidRPr="003C23AE" w:rsidRDefault="007606FB">
            <w:pPr>
              <w:spacing w:line="256" w:lineRule="auto"/>
              <w:ind w:left="-110" w:right="-109"/>
              <w:jc w:val="center"/>
              <w:rPr>
                <w:rFonts w:cs="Times New Roman"/>
                <w:sz w:val="22"/>
              </w:rPr>
            </w:pPr>
            <w:r w:rsidRPr="003C23AE">
              <w:rPr>
                <w:rFonts w:cs="Times New Roman"/>
                <w:sz w:val="22"/>
              </w:rPr>
              <w:t>-0.34</w:t>
            </w:r>
          </w:p>
        </w:tc>
        <w:tc>
          <w:tcPr>
            <w:tcW w:w="470" w:type="pct"/>
            <w:tcBorders>
              <w:top w:val="single" w:sz="4" w:space="0" w:color="auto"/>
              <w:left w:val="single" w:sz="4" w:space="0" w:color="auto"/>
              <w:bottom w:val="single" w:sz="4" w:space="0" w:color="auto"/>
              <w:right w:val="single" w:sz="4" w:space="0" w:color="auto"/>
            </w:tcBorders>
            <w:vAlign w:val="center"/>
            <w:hideMark/>
          </w:tcPr>
          <w:p w14:paraId="47CD1350" w14:textId="77777777" w:rsidR="007606FB" w:rsidRPr="003C23AE" w:rsidRDefault="007606FB">
            <w:pPr>
              <w:tabs>
                <w:tab w:val="left" w:pos="1000"/>
              </w:tabs>
              <w:spacing w:line="256" w:lineRule="auto"/>
              <w:ind w:left="-110" w:right="-109"/>
              <w:jc w:val="center"/>
              <w:rPr>
                <w:rFonts w:cs="Times New Roman"/>
                <w:sz w:val="22"/>
              </w:rPr>
            </w:pPr>
            <w:r w:rsidRPr="003C23AE">
              <w:rPr>
                <w:rFonts w:cs="Times New Roman"/>
                <w:sz w:val="22"/>
              </w:rPr>
              <w:t>--</w:t>
            </w:r>
          </w:p>
        </w:tc>
        <w:tc>
          <w:tcPr>
            <w:tcW w:w="700" w:type="pct"/>
            <w:tcBorders>
              <w:top w:val="single" w:sz="4" w:space="0" w:color="auto"/>
              <w:left w:val="single" w:sz="4" w:space="0" w:color="auto"/>
              <w:bottom w:val="single" w:sz="4" w:space="0" w:color="auto"/>
              <w:right w:val="single" w:sz="4" w:space="0" w:color="auto"/>
            </w:tcBorders>
            <w:vAlign w:val="center"/>
            <w:hideMark/>
          </w:tcPr>
          <w:p w14:paraId="216AAE05" w14:textId="77777777" w:rsidR="007606FB" w:rsidRPr="003C23AE" w:rsidRDefault="007606FB">
            <w:pPr>
              <w:tabs>
                <w:tab w:val="left" w:pos="1000"/>
              </w:tabs>
              <w:spacing w:line="256" w:lineRule="auto"/>
              <w:ind w:left="-110" w:right="50"/>
              <w:jc w:val="center"/>
              <w:rPr>
                <w:rFonts w:cs="Times New Roman"/>
                <w:sz w:val="22"/>
              </w:rPr>
            </w:pPr>
            <w:r w:rsidRPr="003C23AE">
              <w:rPr>
                <w:rFonts w:cs="Times New Roman"/>
                <w:sz w:val="22"/>
              </w:rPr>
              <w:t>-0.42</w:t>
            </w:r>
          </w:p>
        </w:tc>
      </w:tr>
      <w:tr w:rsidR="007606FB" w:rsidRPr="003C23AE" w14:paraId="0C950B7D"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40E0816D" w14:textId="77777777" w:rsidR="007606FB" w:rsidRPr="003C23AE" w:rsidRDefault="007606FB">
            <w:pPr>
              <w:spacing w:line="256" w:lineRule="auto"/>
              <w:rPr>
                <w:rFonts w:cs="Times New Roman"/>
                <w:sz w:val="22"/>
              </w:rPr>
            </w:pPr>
            <w:r w:rsidRPr="003C23AE">
              <w:rPr>
                <w:rFonts w:cs="Times New Roman"/>
                <w:sz w:val="22"/>
              </w:rPr>
              <w:t>95% Confidence Interval</w:t>
            </w:r>
          </w:p>
        </w:tc>
        <w:tc>
          <w:tcPr>
            <w:tcW w:w="469" w:type="pct"/>
            <w:tcBorders>
              <w:top w:val="single" w:sz="4" w:space="0" w:color="auto"/>
              <w:left w:val="single" w:sz="4" w:space="0" w:color="auto"/>
              <w:bottom w:val="single" w:sz="4" w:space="0" w:color="auto"/>
              <w:right w:val="single" w:sz="4" w:space="0" w:color="auto"/>
            </w:tcBorders>
            <w:vAlign w:val="center"/>
            <w:hideMark/>
          </w:tcPr>
          <w:p w14:paraId="7FD1FE1F" w14:textId="77777777" w:rsidR="007606FB" w:rsidRPr="003C23AE" w:rsidRDefault="007606FB">
            <w:pPr>
              <w:spacing w:line="256" w:lineRule="auto"/>
              <w:ind w:left="-104" w:right="-106"/>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60EEF10" w14:textId="77777777" w:rsidR="007606FB" w:rsidRPr="003C23AE" w:rsidRDefault="007606FB">
            <w:pPr>
              <w:spacing w:line="256" w:lineRule="auto"/>
              <w:ind w:left="-110" w:right="-110"/>
              <w:jc w:val="center"/>
              <w:rPr>
                <w:rFonts w:cs="Times New Roman"/>
                <w:sz w:val="22"/>
              </w:rPr>
            </w:pPr>
            <w:r w:rsidRPr="003C23AE">
              <w:rPr>
                <w:rFonts w:cs="Times New Roman"/>
                <w:sz w:val="22"/>
              </w:rPr>
              <w:t>(-0.72, -0.09)</w:t>
            </w:r>
          </w:p>
        </w:tc>
        <w:tc>
          <w:tcPr>
            <w:tcW w:w="626" w:type="pct"/>
            <w:tcBorders>
              <w:top w:val="single" w:sz="4" w:space="0" w:color="auto"/>
              <w:left w:val="single" w:sz="4" w:space="0" w:color="auto"/>
              <w:bottom w:val="single" w:sz="4" w:space="0" w:color="auto"/>
              <w:right w:val="single" w:sz="4" w:space="0" w:color="auto"/>
            </w:tcBorders>
            <w:vAlign w:val="center"/>
            <w:hideMark/>
          </w:tcPr>
          <w:p w14:paraId="75F5FFC4" w14:textId="77777777" w:rsidR="007606FB" w:rsidRPr="003C23AE" w:rsidRDefault="007606FB">
            <w:pPr>
              <w:spacing w:line="256" w:lineRule="auto"/>
              <w:ind w:left="-106" w:right="-108"/>
              <w:jc w:val="center"/>
              <w:rPr>
                <w:rFonts w:cs="Times New Roman"/>
                <w:sz w:val="22"/>
              </w:rPr>
            </w:pPr>
            <w:r w:rsidRPr="003C23AE">
              <w:rPr>
                <w:rFonts w:cs="Times New Roman"/>
                <w:sz w:val="22"/>
              </w:rPr>
              <w:t>(-0.42, 0.21)</w:t>
            </w:r>
          </w:p>
        </w:tc>
        <w:tc>
          <w:tcPr>
            <w:tcW w:w="469" w:type="pct"/>
            <w:tcBorders>
              <w:top w:val="single" w:sz="4" w:space="0" w:color="auto"/>
              <w:left w:val="single" w:sz="4" w:space="0" w:color="auto"/>
              <w:bottom w:val="single" w:sz="4" w:space="0" w:color="auto"/>
              <w:right w:val="single" w:sz="4" w:space="0" w:color="auto"/>
            </w:tcBorders>
            <w:vAlign w:val="center"/>
            <w:hideMark/>
          </w:tcPr>
          <w:p w14:paraId="796202ED" w14:textId="77777777" w:rsidR="007606FB" w:rsidRPr="003C23AE" w:rsidRDefault="007606FB">
            <w:pPr>
              <w:spacing w:line="256" w:lineRule="auto"/>
              <w:ind w:left="-110" w:right="-110"/>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401740B3" w14:textId="77777777" w:rsidR="007606FB" w:rsidRPr="003C23AE" w:rsidRDefault="007606FB">
            <w:pPr>
              <w:spacing w:line="256" w:lineRule="auto"/>
              <w:ind w:left="-110" w:right="-109"/>
              <w:jc w:val="center"/>
              <w:rPr>
                <w:rFonts w:cs="Times New Roman"/>
                <w:sz w:val="22"/>
              </w:rPr>
            </w:pPr>
            <w:r w:rsidRPr="003C23AE">
              <w:rPr>
                <w:rFonts w:cs="Times New Roman"/>
                <w:sz w:val="22"/>
              </w:rPr>
              <w:t>(-0.66, -0.03)</w:t>
            </w:r>
          </w:p>
        </w:tc>
        <w:tc>
          <w:tcPr>
            <w:tcW w:w="470" w:type="pct"/>
            <w:tcBorders>
              <w:top w:val="single" w:sz="4" w:space="0" w:color="auto"/>
              <w:left w:val="single" w:sz="4" w:space="0" w:color="auto"/>
              <w:bottom w:val="single" w:sz="4" w:space="0" w:color="auto"/>
              <w:right w:val="single" w:sz="4" w:space="0" w:color="auto"/>
            </w:tcBorders>
            <w:vAlign w:val="center"/>
            <w:hideMark/>
          </w:tcPr>
          <w:p w14:paraId="5719DD94" w14:textId="77777777" w:rsidR="007606FB" w:rsidRPr="003C23AE" w:rsidRDefault="007606FB">
            <w:pPr>
              <w:spacing w:line="256" w:lineRule="auto"/>
              <w:ind w:left="-110" w:right="-109"/>
              <w:jc w:val="center"/>
              <w:rPr>
                <w:rFonts w:cs="Times New Roman"/>
                <w:sz w:val="22"/>
              </w:rPr>
            </w:pPr>
            <w:r w:rsidRPr="003C23AE">
              <w:rPr>
                <w:rFonts w:cs="Times New Roman"/>
                <w:sz w:val="22"/>
              </w:rPr>
              <w:t>--</w:t>
            </w:r>
          </w:p>
        </w:tc>
        <w:tc>
          <w:tcPr>
            <w:tcW w:w="700" w:type="pct"/>
            <w:tcBorders>
              <w:top w:val="single" w:sz="4" w:space="0" w:color="auto"/>
              <w:left w:val="single" w:sz="4" w:space="0" w:color="auto"/>
              <w:bottom w:val="single" w:sz="4" w:space="0" w:color="auto"/>
              <w:right w:val="single" w:sz="4" w:space="0" w:color="auto"/>
            </w:tcBorders>
            <w:vAlign w:val="center"/>
            <w:hideMark/>
          </w:tcPr>
          <w:p w14:paraId="16566CB5" w14:textId="77777777" w:rsidR="007606FB" w:rsidRPr="003C23AE" w:rsidRDefault="007606FB">
            <w:pPr>
              <w:spacing w:line="256" w:lineRule="auto"/>
              <w:ind w:left="-107" w:right="-115"/>
              <w:jc w:val="center"/>
              <w:rPr>
                <w:rFonts w:cs="Times New Roman"/>
                <w:sz w:val="22"/>
              </w:rPr>
            </w:pPr>
            <w:r w:rsidRPr="003C23AE">
              <w:rPr>
                <w:rFonts w:cs="Times New Roman"/>
                <w:sz w:val="22"/>
              </w:rPr>
              <w:t>(-0.76, -0.08)</w:t>
            </w:r>
          </w:p>
        </w:tc>
      </w:tr>
      <w:tr w:rsidR="007606FB" w:rsidRPr="003C23AE" w14:paraId="09CCDCB8"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4CE66292" w14:textId="77777777" w:rsidR="007606FB" w:rsidRPr="003C23AE" w:rsidRDefault="007606FB">
            <w:pPr>
              <w:spacing w:line="256" w:lineRule="auto"/>
              <w:rPr>
                <w:rFonts w:cs="Times New Roman"/>
                <w:sz w:val="22"/>
              </w:rPr>
            </w:pPr>
            <w:r w:rsidRPr="003C23AE">
              <w:rPr>
                <w:rFonts w:cs="Times New Roman"/>
                <w:sz w:val="22"/>
              </w:rPr>
              <w:t>p-value</w:t>
            </w:r>
          </w:p>
        </w:tc>
        <w:tc>
          <w:tcPr>
            <w:tcW w:w="469" w:type="pct"/>
            <w:tcBorders>
              <w:top w:val="single" w:sz="4" w:space="0" w:color="auto"/>
              <w:left w:val="single" w:sz="4" w:space="0" w:color="auto"/>
              <w:bottom w:val="single" w:sz="4" w:space="0" w:color="auto"/>
              <w:right w:val="single" w:sz="4" w:space="0" w:color="auto"/>
            </w:tcBorders>
            <w:vAlign w:val="center"/>
            <w:hideMark/>
          </w:tcPr>
          <w:p w14:paraId="3D6062AA" w14:textId="77777777" w:rsidR="007606FB" w:rsidRPr="003C23AE" w:rsidRDefault="007606FB">
            <w:pPr>
              <w:spacing w:line="256" w:lineRule="auto"/>
              <w:ind w:left="-104" w:right="-106"/>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5B5F59D" w14:textId="77777777" w:rsidR="007606FB" w:rsidRPr="003C23AE" w:rsidRDefault="007606FB">
            <w:pPr>
              <w:spacing w:line="256" w:lineRule="auto"/>
              <w:ind w:left="-110" w:right="-110"/>
              <w:jc w:val="center"/>
              <w:rPr>
                <w:rFonts w:cs="Times New Roman"/>
                <w:sz w:val="22"/>
              </w:rPr>
            </w:pPr>
            <w:r w:rsidRPr="003C23AE">
              <w:rPr>
                <w:rFonts w:cs="Times New Roman"/>
                <w:sz w:val="22"/>
              </w:rPr>
              <w:t>0.003#</w:t>
            </w:r>
          </w:p>
        </w:tc>
        <w:tc>
          <w:tcPr>
            <w:tcW w:w="626" w:type="pct"/>
            <w:tcBorders>
              <w:top w:val="single" w:sz="4" w:space="0" w:color="auto"/>
              <w:left w:val="single" w:sz="4" w:space="0" w:color="auto"/>
              <w:bottom w:val="single" w:sz="4" w:space="0" w:color="auto"/>
              <w:right w:val="single" w:sz="4" w:space="0" w:color="auto"/>
            </w:tcBorders>
            <w:vAlign w:val="center"/>
            <w:hideMark/>
          </w:tcPr>
          <w:p w14:paraId="209C6A6B" w14:textId="77777777" w:rsidR="007606FB" w:rsidRPr="003C23AE" w:rsidRDefault="007606FB">
            <w:pPr>
              <w:spacing w:line="256" w:lineRule="auto"/>
              <w:ind w:left="-106" w:right="-108"/>
              <w:jc w:val="center"/>
              <w:rPr>
                <w:rFonts w:cs="Times New Roman"/>
                <w:sz w:val="22"/>
              </w:rPr>
            </w:pPr>
            <w:r w:rsidRPr="003C23AE">
              <w:rPr>
                <w:rFonts w:cs="Times New Roman"/>
                <w:sz w:val="22"/>
              </w:rPr>
              <w:t>0.11</w:t>
            </w:r>
          </w:p>
        </w:tc>
        <w:tc>
          <w:tcPr>
            <w:tcW w:w="469" w:type="pct"/>
            <w:tcBorders>
              <w:top w:val="single" w:sz="4" w:space="0" w:color="auto"/>
              <w:left w:val="single" w:sz="4" w:space="0" w:color="auto"/>
              <w:bottom w:val="single" w:sz="4" w:space="0" w:color="auto"/>
              <w:right w:val="single" w:sz="4" w:space="0" w:color="auto"/>
            </w:tcBorders>
            <w:vAlign w:val="center"/>
            <w:hideMark/>
          </w:tcPr>
          <w:p w14:paraId="2BAB514E" w14:textId="77777777" w:rsidR="007606FB" w:rsidRPr="003C23AE" w:rsidRDefault="007606FB">
            <w:pPr>
              <w:spacing w:line="256" w:lineRule="auto"/>
              <w:ind w:left="-110" w:right="-110"/>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665AED48" w14:textId="77777777" w:rsidR="007606FB" w:rsidRPr="003C23AE" w:rsidRDefault="007606FB">
            <w:pPr>
              <w:spacing w:line="256" w:lineRule="auto"/>
              <w:ind w:left="-110" w:right="-109"/>
              <w:jc w:val="center"/>
              <w:rPr>
                <w:rFonts w:cs="Times New Roman"/>
                <w:sz w:val="22"/>
              </w:rPr>
            </w:pPr>
            <w:r w:rsidRPr="003C23AE">
              <w:rPr>
                <w:rFonts w:cs="Times New Roman"/>
                <w:sz w:val="22"/>
              </w:rPr>
              <w:t>0.026#</w:t>
            </w:r>
          </w:p>
        </w:tc>
        <w:tc>
          <w:tcPr>
            <w:tcW w:w="470" w:type="pct"/>
            <w:tcBorders>
              <w:top w:val="single" w:sz="4" w:space="0" w:color="auto"/>
              <w:left w:val="single" w:sz="4" w:space="0" w:color="auto"/>
              <w:bottom w:val="single" w:sz="4" w:space="0" w:color="auto"/>
              <w:right w:val="single" w:sz="4" w:space="0" w:color="auto"/>
            </w:tcBorders>
            <w:vAlign w:val="center"/>
            <w:hideMark/>
          </w:tcPr>
          <w:p w14:paraId="494DDC17" w14:textId="77777777" w:rsidR="007606FB" w:rsidRPr="003C23AE" w:rsidRDefault="007606FB">
            <w:pPr>
              <w:spacing w:line="256" w:lineRule="auto"/>
              <w:ind w:left="-110" w:right="-109"/>
              <w:jc w:val="center"/>
              <w:rPr>
                <w:rFonts w:cs="Times New Roman"/>
                <w:sz w:val="22"/>
              </w:rPr>
            </w:pPr>
            <w:r w:rsidRPr="003C23AE">
              <w:rPr>
                <w:rFonts w:cs="Times New Roman"/>
                <w:sz w:val="22"/>
              </w:rPr>
              <w:t>--</w:t>
            </w:r>
          </w:p>
        </w:tc>
        <w:tc>
          <w:tcPr>
            <w:tcW w:w="700" w:type="pct"/>
            <w:tcBorders>
              <w:top w:val="single" w:sz="4" w:space="0" w:color="auto"/>
              <w:left w:val="single" w:sz="4" w:space="0" w:color="auto"/>
              <w:bottom w:val="single" w:sz="4" w:space="0" w:color="auto"/>
              <w:right w:val="single" w:sz="4" w:space="0" w:color="auto"/>
            </w:tcBorders>
            <w:vAlign w:val="center"/>
            <w:hideMark/>
          </w:tcPr>
          <w:p w14:paraId="4B013EA3" w14:textId="77777777" w:rsidR="007606FB" w:rsidRPr="003C23AE" w:rsidRDefault="007606FB">
            <w:pPr>
              <w:spacing w:line="256" w:lineRule="auto"/>
              <w:ind w:left="-107" w:right="-115"/>
              <w:jc w:val="center"/>
              <w:rPr>
                <w:rFonts w:cs="Times New Roman"/>
                <w:sz w:val="22"/>
              </w:rPr>
            </w:pPr>
            <w:r w:rsidRPr="003C23AE">
              <w:rPr>
                <w:rFonts w:cs="Times New Roman"/>
                <w:sz w:val="22"/>
              </w:rPr>
              <w:t>0.001#</w:t>
            </w:r>
          </w:p>
        </w:tc>
      </w:tr>
      <w:tr w:rsidR="007606FB" w:rsidRPr="00531029" w14:paraId="05F35605" w14:textId="77777777" w:rsidTr="007606FB">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133C28BB" w14:textId="77777777" w:rsidR="007606FB" w:rsidRPr="003C23AE" w:rsidRDefault="007606FB">
            <w:pPr>
              <w:tabs>
                <w:tab w:val="left" w:pos="567"/>
              </w:tabs>
              <w:ind w:left="-107" w:right="-115"/>
              <w:rPr>
                <w:rFonts w:cs="Times New Roman"/>
                <w:sz w:val="22"/>
              </w:rPr>
            </w:pPr>
            <w:r w:rsidRPr="003C23AE">
              <w:rPr>
                <w:rFonts w:cs="Times New Roman"/>
                <w:b/>
                <w:sz w:val="22"/>
              </w:rPr>
              <w:t xml:space="preserve">Mean number of </w:t>
            </w:r>
            <w:proofErr w:type="spellStart"/>
            <w:r w:rsidRPr="003C23AE">
              <w:rPr>
                <w:rFonts w:cs="Times New Roman"/>
                <w:b/>
                <w:sz w:val="22"/>
              </w:rPr>
              <w:t>micturitions</w:t>
            </w:r>
            <w:proofErr w:type="spellEnd"/>
            <w:r w:rsidRPr="003C23AE">
              <w:rPr>
                <w:rFonts w:cs="Times New Roman"/>
                <w:b/>
                <w:sz w:val="22"/>
              </w:rPr>
              <w:t xml:space="preserve"> per 24 hours (FAS) (Co-primary)</w:t>
            </w:r>
          </w:p>
        </w:tc>
      </w:tr>
      <w:tr w:rsidR="007606FB" w:rsidRPr="003C23AE" w14:paraId="491B43AF"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6337A740" w14:textId="77777777" w:rsidR="007606FB" w:rsidRPr="003C23AE" w:rsidRDefault="007606FB">
            <w:pPr>
              <w:spacing w:line="256" w:lineRule="auto"/>
              <w:rPr>
                <w:rFonts w:cs="Times New Roman"/>
                <w:sz w:val="22"/>
              </w:rPr>
            </w:pPr>
            <w:r w:rsidRPr="003C23AE">
              <w:rPr>
                <w:rFonts w:cs="Times New Roman"/>
                <w:sz w:val="22"/>
              </w:rP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69182D3F" w14:textId="77777777" w:rsidR="007606FB" w:rsidRPr="003C23AE" w:rsidRDefault="007606FB">
            <w:pPr>
              <w:spacing w:line="256" w:lineRule="auto"/>
              <w:ind w:left="-104" w:right="-106"/>
              <w:jc w:val="center"/>
              <w:rPr>
                <w:rFonts w:cs="Times New Roman"/>
                <w:sz w:val="22"/>
              </w:rPr>
            </w:pPr>
            <w:r w:rsidRPr="003C23AE">
              <w:rPr>
                <w:rFonts w:cs="Times New Roman"/>
                <w:sz w:val="22"/>
              </w:rPr>
              <w:t>480</w:t>
            </w:r>
          </w:p>
        </w:tc>
        <w:tc>
          <w:tcPr>
            <w:tcW w:w="704" w:type="pct"/>
            <w:tcBorders>
              <w:top w:val="single" w:sz="4" w:space="0" w:color="auto"/>
              <w:left w:val="single" w:sz="4" w:space="0" w:color="auto"/>
              <w:bottom w:val="single" w:sz="4" w:space="0" w:color="auto"/>
              <w:right w:val="single" w:sz="4" w:space="0" w:color="auto"/>
            </w:tcBorders>
            <w:vAlign w:val="center"/>
            <w:hideMark/>
          </w:tcPr>
          <w:p w14:paraId="5F8CB269" w14:textId="77777777" w:rsidR="007606FB" w:rsidRPr="003C23AE" w:rsidRDefault="007606FB">
            <w:pPr>
              <w:spacing w:line="256" w:lineRule="auto"/>
              <w:ind w:left="-110" w:right="-110"/>
              <w:jc w:val="center"/>
              <w:rPr>
                <w:rFonts w:cs="Times New Roman"/>
                <w:sz w:val="22"/>
              </w:rPr>
            </w:pPr>
            <w:r w:rsidRPr="003C23AE">
              <w:rPr>
                <w:rFonts w:cs="Times New Roman"/>
                <w:sz w:val="22"/>
              </w:rPr>
              <w:t>473</w:t>
            </w:r>
          </w:p>
        </w:tc>
        <w:tc>
          <w:tcPr>
            <w:tcW w:w="626" w:type="pct"/>
            <w:tcBorders>
              <w:top w:val="single" w:sz="4" w:space="0" w:color="auto"/>
              <w:left w:val="single" w:sz="4" w:space="0" w:color="auto"/>
              <w:bottom w:val="single" w:sz="4" w:space="0" w:color="auto"/>
              <w:right w:val="single" w:sz="4" w:space="0" w:color="auto"/>
            </w:tcBorders>
            <w:vAlign w:val="center"/>
            <w:hideMark/>
          </w:tcPr>
          <w:p w14:paraId="33A54EE5" w14:textId="77777777" w:rsidR="007606FB" w:rsidRPr="003C23AE" w:rsidRDefault="007606FB">
            <w:pPr>
              <w:spacing w:line="256" w:lineRule="auto"/>
              <w:ind w:left="-106" w:right="-108"/>
              <w:jc w:val="center"/>
              <w:rPr>
                <w:rFonts w:cs="Times New Roman"/>
                <w:sz w:val="22"/>
              </w:rPr>
            </w:pPr>
            <w:r w:rsidRPr="003C23AE">
              <w:rPr>
                <w:rFonts w:cs="Times New Roman"/>
                <w:sz w:val="22"/>
              </w:rPr>
              <w:t>475</w:t>
            </w:r>
          </w:p>
        </w:tc>
        <w:tc>
          <w:tcPr>
            <w:tcW w:w="469" w:type="pct"/>
            <w:tcBorders>
              <w:top w:val="single" w:sz="4" w:space="0" w:color="auto"/>
              <w:left w:val="single" w:sz="4" w:space="0" w:color="auto"/>
              <w:bottom w:val="single" w:sz="4" w:space="0" w:color="auto"/>
              <w:right w:val="single" w:sz="4" w:space="0" w:color="auto"/>
            </w:tcBorders>
            <w:vAlign w:val="center"/>
            <w:hideMark/>
          </w:tcPr>
          <w:p w14:paraId="67D07E7B" w14:textId="77777777" w:rsidR="007606FB" w:rsidRPr="003C23AE" w:rsidRDefault="007606FB">
            <w:pPr>
              <w:spacing w:line="256" w:lineRule="auto"/>
              <w:ind w:left="-110" w:right="-110"/>
              <w:jc w:val="center"/>
              <w:rPr>
                <w:rFonts w:cs="Times New Roman"/>
                <w:sz w:val="22"/>
              </w:rPr>
            </w:pPr>
            <w:r w:rsidRPr="003C23AE">
              <w:rPr>
                <w:rFonts w:cs="Times New Roman"/>
                <w:sz w:val="22"/>
              </w:rPr>
              <w:t>433</w:t>
            </w:r>
          </w:p>
        </w:tc>
        <w:tc>
          <w:tcPr>
            <w:tcW w:w="704" w:type="pct"/>
            <w:tcBorders>
              <w:top w:val="single" w:sz="4" w:space="0" w:color="auto"/>
              <w:left w:val="single" w:sz="4" w:space="0" w:color="auto"/>
              <w:bottom w:val="single" w:sz="4" w:space="0" w:color="auto"/>
              <w:right w:val="single" w:sz="4" w:space="0" w:color="auto"/>
            </w:tcBorders>
            <w:vAlign w:val="center"/>
            <w:hideMark/>
          </w:tcPr>
          <w:p w14:paraId="449125FA" w14:textId="77777777" w:rsidR="007606FB" w:rsidRPr="003C23AE" w:rsidRDefault="007606FB">
            <w:pPr>
              <w:spacing w:line="256" w:lineRule="auto"/>
              <w:ind w:left="-110" w:right="-109"/>
              <w:jc w:val="center"/>
              <w:rPr>
                <w:rFonts w:cs="Times New Roman"/>
                <w:sz w:val="22"/>
              </w:rPr>
            </w:pPr>
            <w:r w:rsidRPr="003C23AE">
              <w:rPr>
                <w:rFonts w:cs="Times New Roman"/>
                <w:sz w:val="22"/>
              </w:rPr>
              <w:t>425</w:t>
            </w:r>
          </w:p>
        </w:tc>
        <w:tc>
          <w:tcPr>
            <w:tcW w:w="470" w:type="pct"/>
            <w:tcBorders>
              <w:top w:val="single" w:sz="4" w:space="0" w:color="auto"/>
              <w:left w:val="single" w:sz="4" w:space="0" w:color="auto"/>
              <w:bottom w:val="single" w:sz="4" w:space="0" w:color="auto"/>
              <w:right w:val="single" w:sz="4" w:space="0" w:color="auto"/>
            </w:tcBorders>
            <w:vAlign w:val="center"/>
            <w:hideMark/>
          </w:tcPr>
          <w:p w14:paraId="0F6AB3E0" w14:textId="77777777" w:rsidR="007606FB" w:rsidRPr="003C23AE" w:rsidRDefault="007606FB">
            <w:pPr>
              <w:spacing w:line="256" w:lineRule="auto"/>
              <w:ind w:left="-110" w:right="-109"/>
              <w:jc w:val="center"/>
              <w:rPr>
                <w:rFonts w:cs="Times New Roman"/>
                <w:sz w:val="22"/>
              </w:rPr>
            </w:pPr>
            <w:r w:rsidRPr="003C23AE">
              <w:rPr>
                <w:rFonts w:cs="Times New Roman"/>
                <w:sz w:val="22"/>
              </w:rPr>
              <w:t>415</w:t>
            </w:r>
          </w:p>
        </w:tc>
        <w:tc>
          <w:tcPr>
            <w:tcW w:w="700" w:type="pct"/>
            <w:tcBorders>
              <w:top w:val="single" w:sz="4" w:space="0" w:color="auto"/>
              <w:left w:val="single" w:sz="4" w:space="0" w:color="auto"/>
              <w:bottom w:val="single" w:sz="4" w:space="0" w:color="auto"/>
              <w:right w:val="single" w:sz="4" w:space="0" w:color="auto"/>
            </w:tcBorders>
            <w:vAlign w:val="center"/>
            <w:hideMark/>
          </w:tcPr>
          <w:p w14:paraId="0B8359DE" w14:textId="77777777" w:rsidR="007606FB" w:rsidRPr="003C23AE" w:rsidRDefault="007606FB">
            <w:pPr>
              <w:spacing w:line="256" w:lineRule="auto"/>
              <w:ind w:left="-107" w:right="-115"/>
              <w:jc w:val="center"/>
              <w:rPr>
                <w:rFonts w:cs="Times New Roman"/>
                <w:sz w:val="22"/>
              </w:rPr>
            </w:pPr>
            <w:r w:rsidRPr="003C23AE">
              <w:rPr>
                <w:rFonts w:cs="Times New Roman"/>
                <w:sz w:val="22"/>
              </w:rPr>
              <w:t>426</w:t>
            </w:r>
          </w:p>
        </w:tc>
      </w:tr>
      <w:tr w:rsidR="007606FB" w:rsidRPr="003C23AE" w14:paraId="3BE4B191"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36006698" w14:textId="77777777" w:rsidR="007606FB" w:rsidRPr="003C23AE" w:rsidRDefault="007606FB">
            <w:pPr>
              <w:spacing w:line="256" w:lineRule="auto"/>
              <w:rPr>
                <w:rFonts w:cs="Times New Roman"/>
                <w:sz w:val="22"/>
              </w:rPr>
            </w:pPr>
            <w:r w:rsidRPr="003C23AE">
              <w:rPr>
                <w:rFonts w:cs="Times New Roman"/>
                <w:sz w:val="22"/>
              </w:rPr>
              <w:t>Mean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486C9CC6" w14:textId="77777777" w:rsidR="007606FB" w:rsidRPr="003C23AE" w:rsidRDefault="007606FB">
            <w:pPr>
              <w:spacing w:line="256" w:lineRule="auto"/>
              <w:ind w:left="-104" w:right="-106"/>
              <w:jc w:val="center"/>
              <w:rPr>
                <w:rFonts w:cs="Times New Roman"/>
                <w:sz w:val="22"/>
              </w:rPr>
            </w:pPr>
            <w:r w:rsidRPr="003C23AE">
              <w:rPr>
                <w:rFonts w:cs="Times New Roman"/>
                <w:sz w:val="22"/>
              </w:rPr>
              <w:t>11.71</w:t>
            </w:r>
          </w:p>
        </w:tc>
        <w:tc>
          <w:tcPr>
            <w:tcW w:w="704" w:type="pct"/>
            <w:tcBorders>
              <w:top w:val="single" w:sz="4" w:space="0" w:color="auto"/>
              <w:left w:val="single" w:sz="4" w:space="0" w:color="auto"/>
              <w:bottom w:val="single" w:sz="4" w:space="0" w:color="auto"/>
              <w:right w:val="single" w:sz="4" w:space="0" w:color="auto"/>
            </w:tcBorders>
            <w:vAlign w:val="center"/>
            <w:hideMark/>
          </w:tcPr>
          <w:p w14:paraId="09C743AE" w14:textId="77777777" w:rsidR="007606FB" w:rsidRPr="003C23AE" w:rsidRDefault="007606FB">
            <w:pPr>
              <w:spacing w:line="256" w:lineRule="auto"/>
              <w:ind w:left="-110" w:right="-110"/>
              <w:jc w:val="center"/>
              <w:rPr>
                <w:rFonts w:cs="Times New Roman"/>
                <w:sz w:val="22"/>
              </w:rPr>
            </w:pPr>
            <w:r w:rsidRPr="003C23AE">
              <w:rPr>
                <w:rFonts w:cs="Times New Roman"/>
                <w:sz w:val="22"/>
              </w:rPr>
              <w:t>11.65</w:t>
            </w:r>
          </w:p>
        </w:tc>
        <w:tc>
          <w:tcPr>
            <w:tcW w:w="626" w:type="pct"/>
            <w:tcBorders>
              <w:top w:val="single" w:sz="4" w:space="0" w:color="auto"/>
              <w:left w:val="single" w:sz="4" w:space="0" w:color="auto"/>
              <w:bottom w:val="single" w:sz="4" w:space="0" w:color="auto"/>
              <w:right w:val="single" w:sz="4" w:space="0" w:color="auto"/>
            </w:tcBorders>
            <w:vAlign w:val="center"/>
            <w:hideMark/>
          </w:tcPr>
          <w:p w14:paraId="3C7C2554" w14:textId="77777777" w:rsidR="007606FB" w:rsidRPr="003C23AE" w:rsidRDefault="007606FB">
            <w:pPr>
              <w:spacing w:line="256" w:lineRule="auto"/>
              <w:ind w:left="-106" w:right="-108"/>
              <w:jc w:val="center"/>
              <w:rPr>
                <w:rFonts w:cs="Times New Roman"/>
                <w:sz w:val="22"/>
              </w:rPr>
            </w:pPr>
            <w:r w:rsidRPr="003C23AE">
              <w:rPr>
                <w:rFonts w:cs="Times New Roman"/>
                <w:sz w:val="22"/>
              </w:rPr>
              <w:t>11.55</w:t>
            </w:r>
          </w:p>
        </w:tc>
        <w:tc>
          <w:tcPr>
            <w:tcW w:w="469" w:type="pct"/>
            <w:tcBorders>
              <w:top w:val="single" w:sz="4" w:space="0" w:color="auto"/>
              <w:left w:val="single" w:sz="4" w:space="0" w:color="auto"/>
              <w:bottom w:val="single" w:sz="4" w:space="0" w:color="auto"/>
              <w:right w:val="single" w:sz="4" w:space="0" w:color="auto"/>
            </w:tcBorders>
            <w:vAlign w:val="center"/>
            <w:hideMark/>
          </w:tcPr>
          <w:p w14:paraId="01B0ED6C" w14:textId="77777777" w:rsidR="007606FB" w:rsidRPr="003C23AE" w:rsidRDefault="007606FB">
            <w:pPr>
              <w:spacing w:line="256" w:lineRule="auto"/>
              <w:ind w:left="-110" w:right="-110"/>
              <w:jc w:val="center"/>
              <w:rPr>
                <w:rFonts w:cs="Times New Roman"/>
                <w:sz w:val="22"/>
              </w:rPr>
            </w:pPr>
            <w:r w:rsidRPr="003C23AE">
              <w:rPr>
                <w:rFonts w:cs="Times New Roman"/>
                <w:sz w:val="22"/>
              </w:rPr>
              <w:t>11.51</w:t>
            </w:r>
          </w:p>
        </w:tc>
        <w:tc>
          <w:tcPr>
            <w:tcW w:w="704" w:type="pct"/>
            <w:tcBorders>
              <w:top w:val="single" w:sz="4" w:space="0" w:color="auto"/>
              <w:left w:val="single" w:sz="4" w:space="0" w:color="auto"/>
              <w:bottom w:val="single" w:sz="4" w:space="0" w:color="auto"/>
              <w:right w:val="single" w:sz="4" w:space="0" w:color="auto"/>
            </w:tcBorders>
            <w:vAlign w:val="center"/>
            <w:hideMark/>
          </w:tcPr>
          <w:p w14:paraId="7B90FCE8" w14:textId="77777777" w:rsidR="007606FB" w:rsidRPr="003C23AE" w:rsidRDefault="007606FB">
            <w:pPr>
              <w:spacing w:line="256" w:lineRule="auto"/>
              <w:ind w:left="-110" w:right="-109"/>
              <w:jc w:val="center"/>
              <w:rPr>
                <w:rFonts w:cs="Times New Roman"/>
                <w:sz w:val="22"/>
              </w:rPr>
            </w:pPr>
            <w:r w:rsidRPr="003C23AE">
              <w:rPr>
                <w:rFonts w:cs="Times New Roman"/>
                <w:sz w:val="22"/>
              </w:rPr>
              <w:t>11.80</w:t>
            </w:r>
          </w:p>
        </w:tc>
        <w:tc>
          <w:tcPr>
            <w:tcW w:w="470" w:type="pct"/>
            <w:tcBorders>
              <w:top w:val="single" w:sz="4" w:space="0" w:color="auto"/>
              <w:left w:val="single" w:sz="4" w:space="0" w:color="auto"/>
              <w:bottom w:val="single" w:sz="4" w:space="0" w:color="auto"/>
              <w:right w:val="single" w:sz="4" w:space="0" w:color="auto"/>
            </w:tcBorders>
            <w:vAlign w:val="center"/>
            <w:hideMark/>
          </w:tcPr>
          <w:p w14:paraId="044344BA" w14:textId="77777777" w:rsidR="007606FB" w:rsidRPr="003C23AE" w:rsidRDefault="007606FB">
            <w:pPr>
              <w:spacing w:line="256" w:lineRule="auto"/>
              <w:ind w:left="-110" w:right="-109"/>
              <w:jc w:val="center"/>
              <w:rPr>
                <w:rFonts w:cs="Times New Roman"/>
                <w:sz w:val="22"/>
              </w:rPr>
            </w:pPr>
            <w:r w:rsidRPr="003C23AE">
              <w:rPr>
                <w:rFonts w:cs="Times New Roman"/>
                <w:sz w:val="22"/>
              </w:rPr>
              <w:t>11.48</w:t>
            </w:r>
          </w:p>
        </w:tc>
        <w:tc>
          <w:tcPr>
            <w:tcW w:w="700" w:type="pct"/>
            <w:tcBorders>
              <w:top w:val="single" w:sz="4" w:space="0" w:color="auto"/>
              <w:left w:val="single" w:sz="4" w:space="0" w:color="auto"/>
              <w:bottom w:val="single" w:sz="4" w:space="0" w:color="auto"/>
              <w:right w:val="single" w:sz="4" w:space="0" w:color="auto"/>
            </w:tcBorders>
            <w:vAlign w:val="center"/>
            <w:hideMark/>
          </w:tcPr>
          <w:p w14:paraId="23B0421A" w14:textId="77777777" w:rsidR="007606FB" w:rsidRPr="003C23AE" w:rsidRDefault="007606FB">
            <w:pPr>
              <w:spacing w:line="256" w:lineRule="auto"/>
              <w:ind w:left="-107" w:right="-115"/>
              <w:jc w:val="center"/>
              <w:rPr>
                <w:rFonts w:cs="Times New Roman"/>
                <w:sz w:val="22"/>
              </w:rPr>
            </w:pPr>
            <w:r w:rsidRPr="003C23AE">
              <w:rPr>
                <w:rFonts w:cs="Times New Roman"/>
                <w:sz w:val="22"/>
              </w:rPr>
              <w:t>11.66</w:t>
            </w:r>
          </w:p>
        </w:tc>
      </w:tr>
      <w:tr w:rsidR="007606FB" w:rsidRPr="003C23AE" w14:paraId="2D28C1E6"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4F7CE483" w14:textId="77777777" w:rsidR="007606FB" w:rsidRPr="003C23AE" w:rsidRDefault="007606FB">
            <w:pPr>
              <w:spacing w:line="256" w:lineRule="auto"/>
              <w:rPr>
                <w:rFonts w:cs="Times New Roman"/>
                <w:sz w:val="22"/>
              </w:rPr>
            </w:pPr>
            <w:r w:rsidRPr="003C23AE">
              <w:rPr>
                <w:rFonts w:cs="Times New Roman"/>
                <w:sz w:val="22"/>
              </w:rPr>
              <w:lastRenderedPageBreak/>
              <w:t>Mean change from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05575175" w14:textId="77777777" w:rsidR="007606FB" w:rsidRPr="003C23AE" w:rsidRDefault="007606FB">
            <w:pPr>
              <w:spacing w:line="256" w:lineRule="auto"/>
              <w:ind w:left="-104" w:right="-106"/>
              <w:jc w:val="center"/>
              <w:rPr>
                <w:rFonts w:cs="Times New Roman"/>
                <w:sz w:val="22"/>
              </w:rPr>
            </w:pPr>
            <w:r w:rsidRPr="003C23AE">
              <w:rPr>
                <w:rFonts w:cs="Times New Roman"/>
                <w:sz w:val="22"/>
              </w:rPr>
              <w:t>-1.34</w:t>
            </w:r>
          </w:p>
        </w:tc>
        <w:tc>
          <w:tcPr>
            <w:tcW w:w="704" w:type="pct"/>
            <w:tcBorders>
              <w:top w:val="single" w:sz="4" w:space="0" w:color="auto"/>
              <w:left w:val="single" w:sz="4" w:space="0" w:color="auto"/>
              <w:bottom w:val="single" w:sz="4" w:space="0" w:color="auto"/>
              <w:right w:val="single" w:sz="4" w:space="0" w:color="auto"/>
            </w:tcBorders>
            <w:vAlign w:val="center"/>
            <w:hideMark/>
          </w:tcPr>
          <w:p w14:paraId="01DC9D25" w14:textId="77777777" w:rsidR="007606FB" w:rsidRPr="003C23AE" w:rsidRDefault="007606FB">
            <w:pPr>
              <w:spacing w:line="256" w:lineRule="auto"/>
              <w:ind w:left="-110" w:right="-110"/>
              <w:jc w:val="center"/>
              <w:rPr>
                <w:rFonts w:cs="Times New Roman"/>
                <w:sz w:val="22"/>
              </w:rPr>
            </w:pPr>
            <w:r w:rsidRPr="003C23AE">
              <w:rPr>
                <w:rFonts w:cs="Times New Roman"/>
                <w:sz w:val="22"/>
              </w:rPr>
              <w:t>-1.93</w:t>
            </w:r>
          </w:p>
        </w:tc>
        <w:tc>
          <w:tcPr>
            <w:tcW w:w="626" w:type="pct"/>
            <w:tcBorders>
              <w:top w:val="single" w:sz="4" w:space="0" w:color="auto"/>
              <w:left w:val="single" w:sz="4" w:space="0" w:color="auto"/>
              <w:bottom w:val="single" w:sz="4" w:space="0" w:color="auto"/>
              <w:right w:val="single" w:sz="4" w:space="0" w:color="auto"/>
            </w:tcBorders>
            <w:vAlign w:val="center"/>
            <w:hideMark/>
          </w:tcPr>
          <w:p w14:paraId="07854B4B" w14:textId="77777777" w:rsidR="007606FB" w:rsidRPr="003C23AE" w:rsidRDefault="007606FB">
            <w:pPr>
              <w:spacing w:line="256" w:lineRule="auto"/>
              <w:ind w:left="-106" w:right="-108"/>
              <w:jc w:val="center"/>
              <w:rPr>
                <w:rFonts w:cs="Times New Roman"/>
                <w:sz w:val="22"/>
              </w:rPr>
            </w:pPr>
            <w:r w:rsidRPr="003C23AE">
              <w:rPr>
                <w:rFonts w:cs="Times New Roman"/>
                <w:sz w:val="22"/>
              </w:rPr>
              <w:t>-1.59</w:t>
            </w:r>
          </w:p>
        </w:tc>
        <w:tc>
          <w:tcPr>
            <w:tcW w:w="469" w:type="pct"/>
            <w:tcBorders>
              <w:top w:val="single" w:sz="4" w:space="0" w:color="auto"/>
              <w:left w:val="single" w:sz="4" w:space="0" w:color="auto"/>
              <w:bottom w:val="single" w:sz="4" w:space="0" w:color="auto"/>
              <w:right w:val="single" w:sz="4" w:space="0" w:color="auto"/>
            </w:tcBorders>
            <w:vAlign w:val="center"/>
            <w:hideMark/>
          </w:tcPr>
          <w:p w14:paraId="1FA62E3A" w14:textId="77777777" w:rsidR="007606FB" w:rsidRPr="003C23AE" w:rsidRDefault="007606FB">
            <w:pPr>
              <w:spacing w:line="256" w:lineRule="auto"/>
              <w:ind w:left="-110" w:right="-110"/>
              <w:jc w:val="center"/>
              <w:rPr>
                <w:rFonts w:cs="Times New Roman"/>
                <w:sz w:val="22"/>
              </w:rPr>
            </w:pPr>
            <w:r w:rsidRPr="003C23AE">
              <w:rPr>
                <w:rFonts w:cs="Times New Roman"/>
                <w:sz w:val="22"/>
              </w:rPr>
              <w:t>-1.05</w:t>
            </w:r>
          </w:p>
        </w:tc>
        <w:tc>
          <w:tcPr>
            <w:tcW w:w="704" w:type="pct"/>
            <w:tcBorders>
              <w:top w:val="single" w:sz="4" w:space="0" w:color="auto"/>
              <w:left w:val="single" w:sz="4" w:space="0" w:color="auto"/>
              <w:bottom w:val="single" w:sz="4" w:space="0" w:color="auto"/>
              <w:right w:val="single" w:sz="4" w:space="0" w:color="auto"/>
            </w:tcBorders>
            <w:vAlign w:val="center"/>
            <w:hideMark/>
          </w:tcPr>
          <w:p w14:paraId="45483776" w14:textId="77777777" w:rsidR="007606FB" w:rsidRPr="003C23AE" w:rsidRDefault="007606FB">
            <w:pPr>
              <w:spacing w:line="256" w:lineRule="auto"/>
              <w:ind w:left="-110" w:right="-109"/>
              <w:jc w:val="center"/>
              <w:rPr>
                <w:rFonts w:cs="Times New Roman"/>
                <w:sz w:val="22"/>
              </w:rPr>
            </w:pPr>
            <w:r w:rsidRPr="003C23AE">
              <w:rPr>
                <w:rFonts w:cs="Times New Roman"/>
                <w:sz w:val="22"/>
              </w:rPr>
              <w:t>-1.66</w:t>
            </w:r>
          </w:p>
        </w:tc>
        <w:tc>
          <w:tcPr>
            <w:tcW w:w="470" w:type="pct"/>
            <w:tcBorders>
              <w:top w:val="single" w:sz="4" w:space="0" w:color="auto"/>
              <w:left w:val="single" w:sz="4" w:space="0" w:color="auto"/>
              <w:bottom w:val="single" w:sz="4" w:space="0" w:color="auto"/>
              <w:right w:val="single" w:sz="4" w:space="0" w:color="auto"/>
            </w:tcBorders>
            <w:vAlign w:val="center"/>
            <w:hideMark/>
          </w:tcPr>
          <w:p w14:paraId="7E8470A2" w14:textId="77777777" w:rsidR="007606FB" w:rsidRPr="003C23AE" w:rsidRDefault="007606FB">
            <w:pPr>
              <w:spacing w:line="256" w:lineRule="auto"/>
              <w:ind w:left="-110" w:right="-109"/>
              <w:jc w:val="center"/>
              <w:rPr>
                <w:rFonts w:cs="Times New Roman"/>
                <w:sz w:val="22"/>
              </w:rPr>
            </w:pPr>
            <w:r w:rsidRPr="003C23AE">
              <w:rPr>
                <w:rFonts w:cs="Times New Roman"/>
                <w:sz w:val="22"/>
              </w:rPr>
              <w:t>-1.18</w:t>
            </w:r>
          </w:p>
        </w:tc>
        <w:tc>
          <w:tcPr>
            <w:tcW w:w="700" w:type="pct"/>
            <w:tcBorders>
              <w:top w:val="single" w:sz="4" w:space="0" w:color="auto"/>
              <w:left w:val="single" w:sz="4" w:space="0" w:color="auto"/>
              <w:bottom w:val="single" w:sz="4" w:space="0" w:color="auto"/>
              <w:right w:val="single" w:sz="4" w:space="0" w:color="auto"/>
            </w:tcBorders>
            <w:vAlign w:val="center"/>
            <w:hideMark/>
          </w:tcPr>
          <w:p w14:paraId="39E1F961" w14:textId="77777777" w:rsidR="007606FB" w:rsidRPr="003C23AE" w:rsidRDefault="007606FB">
            <w:pPr>
              <w:spacing w:line="256" w:lineRule="auto"/>
              <w:ind w:left="-107" w:right="-115"/>
              <w:jc w:val="center"/>
              <w:rPr>
                <w:rFonts w:cs="Times New Roman"/>
                <w:sz w:val="22"/>
              </w:rPr>
            </w:pPr>
            <w:r w:rsidRPr="003C23AE">
              <w:rPr>
                <w:rFonts w:cs="Times New Roman"/>
                <w:sz w:val="22"/>
              </w:rPr>
              <w:t>-1.60</w:t>
            </w:r>
          </w:p>
        </w:tc>
      </w:tr>
      <w:tr w:rsidR="007606FB" w:rsidRPr="003C23AE" w14:paraId="511349B8"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0FA36F39" w14:textId="77777777" w:rsidR="007606FB" w:rsidRPr="003C23AE" w:rsidRDefault="007606FB">
            <w:pPr>
              <w:spacing w:line="256" w:lineRule="auto"/>
              <w:rPr>
                <w:rFonts w:cs="Times New Roman"/>
                <w:sz w:val="22"/>
              </w:rPr>
            </w:pPr>
            <w:r w:rsidRPr="003C23AE">
              <w:rPr>
                <w:rFonts w:cs="Times New Roman"/>
                <w:sz w:val="22"/>
              </w:rPr>
              <w:t>Mean difference from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0BEE88F2" w14:textId="77777777" w:rsidR="007606FB" w:rsidRPr="003C23AE" w:rsidRDefault="007606FB">
            <w:pPr>
              <w:spacing w:line="256" w:lineRule="auto"/>
              <w:ind w:left="-104" w:right="-106"/>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90857F8" w14:textId="77777777" w:rsidR="007606FB" w:rsidRPr="003C23AE" w:rsidRDefault="007606FB">
            <w:pPr>
              <w:spacing w:line="256" w:lineRule="auto"/>
              <w:ind w:left="-110" w:right="-110"/>
              <w:jc w:val="center"/>
              <w:rPr>
                <w:rFonts w:cs="Times New Roman"/>
                <w:sz w:val="22"/>
              </w:rPr>
            </w:pPr>
            <w:r w:rsidRPr="003C23AE">
              <w:rPr>
                <w:rFonts w:cs="Times New Roman"/>
                <w:sz w:val="22"/>
              </w:rPr>
              <w:t>-0.60</w:t>
            </w:r>
          </w:p>
        </w:tc>
        <w:tc>
          <w:tcPr>
            <w:tcW w:w="626" w:type="pct"/>
            <w:tcBorders>
              <w:top w:val="single" w:sz="4" w:space="0" w:color="auto"/>
              <w:left w:val="single" w:sz="4" w:space="0" w:color="auto"/>
              <w:bottom w:val="single" w:sz="4" w:space="0" w:color="auto"/>
              <w:right w:val="single" w:sz="4" w:space="0" w:color="auto"/>
            </w:tcBorders>
            <w:vAlign w:val="center"/>
            <w:hideMark/>
          </w:tcPr>
          <w:p w14:paraId="3023BDCE" w14:textId="77777777" w:rsidR="007606FB" w:rsidRPr="003C23AE" w:rsidRDefault="007606FB">
            <w:pPr>
              <w:spacing w:line="256" w:lineRule="auto"/>
              <w:ind w:left="-106" w:right="-108"/>
              <w:jc w:val="center"/>
              <w:rPr>
                <w:rFonts w:cs="Times New Roman"/>
                <w:sz w:val="22"/>
              </w:rPr>
            </w:pPr>
            <w:r w:rsidRPr="003C23AE">
              <w:rPr>
                <w:rFonts w:cs="Times New Roman"/>
                <w:sz w:val="22"/>
              </w:rPr>
              <w:t>-0.25</w:t>
            </w:r>
          </w:p>
        </w:tc>
        <w:tc>
          <w:tcPr>
            <w:tcW w:w="469" w:type="pct"/>
            <w:tcBorders>
              <w:top w:val="single" w:sz="4" w:space="0" w:color="auto"/>
              <w:left w:val="single" w:sz="4" w:space="0" w:color="auto"/>
              <w:bottom w:val="single" w:sz="4" w:space="0" w:color="auto"/>
              <w:right w:val="single" w:sz="4" w:space="0" w:color="auto"/>
            </w:tcBorders>
            <w:vAlign w:val="center"/>
            <w:hideMark/>
          </w:tcPr>
          <w:p w14:paraId="66355336" w14:textId="77777777" w:rsidR="007606FB" w:rsidRPr="003C23AE" w:rsidRDefault="007606FB">
            <w:pPr>
              <w:spacing w:line="256" w:lineRule="auto"/>
              <w:ind w:left="-110" w:right="-110"/>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26C6347B" w14:textId="77777777" w:rsidR="007606FB" w:rsidRPr="003C23AE" w:rsidRDefault="007606FB">
            <w:pPr>
              <w:spacing w:line="256" w:lineRule="auto"/>
              <w:ind w:left="-110" w:right="-109"/>
              <w:jc w:val="center"/>
              <w:rPr>
                <w:rFonts w:cs="Times New Roman"/>
                <w:sz w:val="22"/>
              </w:rPr>
            </w:pPr>
            <w:r w:rsidRPr="003C23AE">
              <w:rPr>
                <w:rFonts w:cs="Times New Roman"/>
                <w:sz w:val="22"/>
              </w:rPr>
              <w:t>-0.61</w:t>
            </w:r>
          </w:p>
        </w:tc>
        <w:tc>
          <w:tcPr>
            <w:tcW w:w="470" w:type="pct"/>
            <w:tcBorders>
              <w:top w:val="single" w:sz="4" w:space="0" w:color="auto"/>
              <w:left w:val="single" w:sz="4" w:space="0" w:color="auto"/>
              <w:bottom w:val="single" w:sz="4" w:space="0" w:color="auto"/>
              <w:right w:val="single" w:sz="4" w:space="0" w:color="auto"/>
            </w:tcBorders>
            <w:vAlign w:val="center"/>
            <w:hideMark/>
          </w:tcPr>
          <w:p w14:paraId="1CD821CF" w14:textId="77777777" w:rsidR="007606FB" w:rsidRPr="003C23AE" w:rsidRDefault="007606FB">
            <w:pPr>
              <w:spacing w:line="256" w:lineRule="auto"/>
              <w:ind w:left="-110" w:right="-109"/>
              <w:jc w:val="center"/>
              <w:rPr>
                <w:rFonts w:cs="Times New Roman"/>
                <w:sz w:val="22"/>
              </w:rPr>
            </w:pPr>
            <w:r w:rsidRPr="003C23AE">
              <w:rPr>
                <w:rFonts w:cs="Times New Roman"/>
                <w:sz w:val="22"/>
              </w:rPr>
              <w:t>--</w:t>
            </w:r>
          </w:p>
        </w:tc>
        <w:tc>
          <w:tcPr>
            <w:tcW w:w="700" w:type="pct"/>
            <w:tcBorders>
              <w:top w:val="single" w:sz="4" w:space="0" w:color="auto"/>
              <w:left w:val="single" w:sz="4" w:space="0" w:color="auto"/>
              <w:bottom w:val="single" w:sz="4" w:space="0" w:color="auto"/>
              <w:right w:val="single" w:sz="4" w:space="0" w:color="auto"/>
            </w:tcBorders>
            <w:vAlign w:val="center"/>
            <w:hideMark/>
          </w:tcPr>
          <w:p w14:paraId="2A95D4D9" w14:textId="77777777" w:rsidR="007606FB" w:rsidRPr="003C23AE" w:rsidRDefault="007606FB">
            <w:pPr>
              <w:spacing w:line="256" w:lineRule="auto"/>
              <w:ind w:left="-107" w:right="-115"/>
              <w:jc w:val="center"/>
              <w:rPr>
                <w:rFonts w:cs="Times New Roman"/>
                <w:sz w:val="22"/>
              </w:rPr>
            </w:pPr>
            <w:r w:rsidRPr="003C23AE">
              <w:rPr>
                <w:rFonts w:cs="Times New Roman"/>
                <w:sz w:val="22"/>
              </w:rPr>
              <w:t>-0.42</w:t>
            </w:r>
          </w:p>
        </w:tc>
      </w:tr>
      <w:tr w:rsidR="007606FB" w:rsidRPr="003C23AE" w14:paraId="2CA6A85A"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6BFFFD38" w14:textId="77777777" w:rsidR="007606FB" w:rsidRPr="003C23AE" w:rsidRDefault="007606FB">
            <w:pPr>
              <w:spacing w:line="256" w:lineRule="auto"/>
              <w:rPr>
                <w:rFonts w:cs="Times New Roman"/>
                <w:sz w:val="22"/>
              </w:rPr>
            </w:pPr>
            <w:r w:rsidRPr="003C23AE">
              <w:rPr>
                <w:rFonts w:cs="Times New Roman"/>
                <w:sz w:val="22"/>
              </w:rPr>
              <w:t>95% Confidence Interval</w:t>
            </w:r>
          </w:p>
        </w:tc>
        <w:tc>
          <w:tcPr>
            <w:tcW w:w="469" w:type="pct"/>
            <w:tcBorders>
              <w:top w:val="single" w:sz="4" w:space="0" w:color="auto"/>
              <w:left w:val="single" w:sz="4" w:space="0" w:color="auto"/>
              <w:bottom w:val="single" w:sz="4" w:space="0" w:color="auto"/>
              <w:right w:val="single" w:sz="4" w:space="0" w:color="auto"/>
            </w:tcBorders>
            <w:vAlign w:val="center"/>
            <w:hideMark/>
          </w:tcPr>
          <w:p w14:paraId="56A24454" w14:textId="77777777" w:rsidR="007606FB" w:rsidRPr="003C23AE" w:rsidRDefault="007606FB">
            <w:pPr>
              <w:spacing w:line="256" w:lineRule="auto"/>
              <w:ind w:left="-104" w:right="-106"/>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2A243571" w14:textId="77777777" w:rsidR="007606FB" w:rsidRPr="003C23AE" w:rsidRDefault="007606FB">
            <w:pPr>
              <w:spacing w:line="256" w:lineRule="auto"/>
              <w:ind w:left="-110" w:right="-110"/>
              <w:jc w:val="center"/>
              <w:rPr>
                <w:rFonts w:cs="Times New Roman"/>
                <w:sz w:val="22"/>
              </w:rPr>
            </w:pPr>
            <w:r w:rsidRPr="003C23AE">
              <w:rPr>
                <w:rFonts w:cs="Times New Roman"/>
                <w:sz w:val="22"/>
              </w:rPr>
              <w:t>(-0.90, -0.29)</w:t>
            </w:r>
          </w:p>
        </w:tc>
        <w:tc>
          <w:tcPr>
            <w:tcW w:w="626" w:type="pct"/>
            <w:tcBorders>
              <w:top w:val="single" w:sz="4" w:space="0" w:color="auto"/>
              <w:left w:val="single" w:sz="4" w:space="0" w:color="auto"/>
              <w:bottom w:val="single" w:sz="4" w:space="0" w:color="auto"/>
              <w:right w:val="single" w:sz="4" w:space="0" w:color="auto"/>
            </w:tcBorders>
            <w:vAlign w:val="center"/>
            <w:hideMark/>
          </w:tcPr>
          <w:p w14:paraId="4A22EB3E" w14:textId="77777777" w:rsidR="007606FB" w:rsidRPr="003C23AE" w:rsidRDefault="007606FB">
            <w:pPr>
              <w:spacing w:line="256" w:lineRule="auto"/>
              <w:ind w:left="-106" w:right="-108"/>
              <w:jc w:val="center"/>
              <w:rPr>
                <w:rFonts w:cs="Times New Roman"/>
                <w:sz w:val="22"/>
              </w:rPr>
            </w:pPr>
            <w:r w:rsidRPr="003C23AE">
              <w:rPr>
                <w:rFonts w:cs="Times New Roman"/>
                <w:sz w:val="22"/>
              </w:rPr>
              <w:t>(-0.55, 0.06)</w:t>
            </w:r>
          </w:p>
        </w:tc>
        <w:tc>
          <w:tcPr>
            <w:tcW w:w="469" w:type="pct"/>
            <w:tcBorders>
              <w:top w:val="single" w:sz="4" w:space="0" w:color="auto"/>
              <w:left w:val="single" w:sz="4" w:space="0" w:color="auto"/>
              <w:bottom w:val="single" w:sz="4" w:space="0" w:color="auto"/>
              <w:right w:val="single" w:sz="4" w:space="0" w:color="auto"/>
            </w:tcBorders>
            <w:vAlign w:val="center"/>
            <w:hideMark/>
          </w:tcPr>
          <w:p w14:paraId="38A79665" w14:textId="77777777" w:rsidR="007606FB" w:rsidRPr="003C23AE" w:rsidRDefault="007606FB">
            <w:pPr>
              <w:spacing w:line="256" w:lineRule="auto"/>
              <w:ind w:left="-110" w:right="-110"/>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1041779D" w14:textId="77777777" w:rsidR="007606FB" w:rsidRPr="003C23AE" w:rsidRDefault="007606FB">
            <w:pPr>
              <w:spacing w:line="256" w:lineRule="auto"/>
              <w:ind w:left="-110" w:right="-109"/>
              <w:jc w:val="center"/>
              <w:rPr>
                <w:rFonts w:cs="Times New Roman"/>
                <w:sz w:val="22"/>
              </w:rPr>
            </w:pPr>
            <w:r w:rsidRPr="003C23AE">
              <w:rPr>
                <w:rFonts w:cs="Times New Roman"/>
                <w:sz w:val="22"/>
              </w:rPr>
              <w:t>(-0.98, -0.24)</w:t>
            </w:r>
          </w:p>
        </w:tc>
        <w:tc>
          <w:tcPr>
            <w:tcW w:w="470" w:type="pct"/>
            <w:tcBorders>
              <w:top w:val="single" w:sz="4" w:space="0" w:color="auto"/>
              <w:left w:val="single" w:sz="4" w:space="0" w:color="auto"/>
              <w:bottom w:val="single" w:sz="4" w:space="0" w:color="auto"/>
              <w:right w:val="single" w:sz="4" w:space="0" w:color="auto"/>
            </w:tcBorders>
            <w:vAlign w:val="center"/>
            <w:hideMark/>
          </w:tcPr>
          <w:p w14:paraId="3A966A1F" w14:textId="77777777" w:rsidR="007606FB" w:rsidRPr="003C23AE" w:rsidRDefault="007606FB">
            <w:pPr>
              <w:spacing w:line="256" w:lineRule="auto"/>
              <w:ind w:left="-110" w:right="-109"/>
              <w:jc w:val="center"/>
              <w:rPr>
                <w:rFonts w:cs="Times New Roman"/>
                <w:sz w:val="22"/>
              </w:rPr>
            </w:pPr>
            <w:r w:rsidRPr="003C23AE">
              <w:rPr>
                <w:rFonts w:cs="Times New Roman"/>
                <w:sz w:val="22"/>
              </w:rPr>
              <w:t>--</w:t>
            </w:r>
          </w:p>
        </w:tc>
        <w:tc>
          <w:tcPr>
            <w:tcW w:w="700" w:type="pct"/>
            <w:tcBorders>
              <w:top w:val="single" w:sz="4" w:space="0" w:color="auto"/>
              <w:left w:val="single" w:sz="4" w:space="0" w:color="auto"/>
              <w:bottom w:val="single" w:sz="4" w:space="0" w:color="auto"/>
              <w:right w:val="single" w:sz="4" w:space="0" w:color="auto"/>
            </w:tcBorders>
            <w:vAlign w:val="center"/>
            <w:hideMark/>
          </w:tcPr>
          <w:p w14:paraId="377207EC" w14:textId="77777777" w:rsidR="007606FB" w:rsidRPr="003C23AE" w:rsidRDefault="007606FB">
            <w:pPr>
              <w:spacing w:line="256" w:lineRule="auto"/>
              <w:ind w:left="-107" w:right="-115"/>
              <w:jc w:val="center"/>
              <w:rPr>
                <w:rFonts w:cs="Times New Roman"/>
                <w:sz w:val="22"/>
              </w:rPr>
            </w:pPr>
            <w:r w:rsidRPr="003C23AE">
              <w:rPr>
                <w:rFonts w:cs="Times New Roman"/>
                <w:sz w:val="22"/>
              </w:rPr>
              <w:t>(-0.76, -0.08)</w:t>
            </w:r>
          </w:p>
        </w:tc>
      </w:tr>
      <w:tr w:rsidR="007606FB" w:rsidRPr="003C23AE" w14:paraId="663A3933"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10954057" w14:textId="77777777" w:rsidR="007606FB" w:rsidRPr="003C23AE" w:rsidRDefault="007606FB">
            <w:pPr>
              <w:spacing w:line="256" w:lineRule="auto"/>
              <w:rPr>
                <w:rFonts w:cs="Times New Roman"/>
                <w:sz w:val="22"/>
              </w:rPr>
            </w:pPr>
            <w:r w:rsidRPr="003C23AE">
              <w:rPr>
                <w:rFonts w:cs="Times New Roman"/>
                <w:sz w:val="22"/>
              </w:rPr>
              <w:t>p-value</w:t>
            </w:r>
          </w:p>
        </w:tc>
        <w:tc>
          <w:tcPr>
            <w:tcW w:w="469" w:type="pct"/>
            <w:tcBorders>
              <w:top w:val="single" w:sz="4" w:space="0" w:color="auto"/>
              <w:left w:val="single" w:sz="4" w:space="0" w:color="auto"/>
              <w:bottom w:val="single" w:sz="4" w:space="0" w:color="auto"/>
              <w:right w:val="single" w:sz="4" w:space="0" w:color="auto"/>
            </w:tcBorders>
            <w:vAlign w:val="center"/>
            <w:hideMark/>
          </w:tcPr>
          <w:p w14:paraId="48D2138F" w14:textId="77777777" w:rsidR="007606FB" w:rsidRPr="003C23AE" w:rsidRDefault="007606FB">
            <w:pPr>
              <w:spacing w:line="256" w:lineRule="auto"/>
              <w:ind w:left="-104" w:right="-106"/>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E453981" w14:textId="77777777" w:rsidR="007606FB" w:rsidRPr="003C23AE" w:rsidRDefault="007606FB">
            <w:pPr>
              <w:spacing w:line="256" w:lineRule="auto"/>
              <w:ind w:left="-110" w:right="-110"/>
              <w:jc w:val="center"/>
              <w:rPr>
                <w:rFonts w:cs="Times New Roman"/>
                <w:sz w:val="22"/>
              </w:rPr>
            </w:pPr>
            <w:r w:rsidRPr="003C23AE">
              <w:rPr>
                <w:rFonts w:cs="Times New Roman"/>
                <w:sz w:val="22"/>
              </w:rPr>
              <w:t>&lt;0.001#</w:t>
            </w:r>
          </w:p>
        </w:tc>
        <w:tc>
          <w:tcPr>
            <w:tcW w:w="626" w:type="pct"/>
            <w:tcBorders>
              <w:top w:val="single" w:sz="4" w:space="0" w:color="auto"/>
              <w:left w:val="single" w:sz="4" w:space="0" w:color="auto"/>
              <w:bottom w:val="single" w:sz="4" w:space="0" w:color="auto"/>
              <w:right w:val="single" w:sz="4" w:space="0" w:color="auto"/>
            </w:tcBorders>
            <w:vAlign w:val="center"/>
            <w:hideMark/>
          </w:tcPr>
          <w:p w14:paraId="00BBDA91" w14:textId="77777777" w:rsidR="007606FB" w:rsidRPr="003C23AE" w:rsidRDefault="007606FB">
            <w:pPr>
              <w:spacing w:line="256" w:lineRule="auto"/>
              <w:ind w:left="-106" w:right="-108"/>
              <w:jc w:val="center"/>
              <w:rPr>
                <w:rFonts w:cs="Times New Roman"/>
                <w:sz w:val="22"/>
              </w:rPr>
            </w:pPr>
            <w:r w:rsidRPr="003C23AE">
              <w:rPr>
                <w:rFonts w:cs="Times New Roman"/>
                <w:sz w:val="22"/>
              </w:rPr>
              <w:t>0.11</w:t>
            </w:r>
          </w:p>
        </w:tc>
        <w:tc>
          <w:tcPr>
            <w:tcW w:w="469" w:type="pct"/>
            <w:tcBorders>
              <w:top w:val="single" w:sz="4" w:space="0" w:color="auto"/>
              <w:left w:val="single" w:sz="4" w:space="0" w:color="auto"/>
              <w:bottom w:val="single" w:sz="4" w:space="0" w:color="auto"/>
              <w:right w:val="single" w:sz="4" w:space="0" w:color="auto"/>
            </w:tcBorders>
            <w:vAlign w:val="center"/>
            <w:hideMark/>
          </w:tcPr>
          <w:p w14:paraId="41BC91D7" w14:textId="77777777" w:rsidR="007606FB" w:rsidRPr="003C23AE" w:rsidRDefault="007606FB">
            <w:pPr>
              <w:spacing w:line="256" w:lineRule="auto"/>
              <w:ind w:left="-110" w:right="-110"/>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7A33C28A" w14:textId="77777777" w:rsidR="007606FB" w:rsidRPr="003C23AE" w:rsidRDefault="007606FB">
            <w:pPr>
              <w:spacing w:line="256" w:lineRule="auto"/>
              <w:ind w:left="-110" w:right="-109"/>
              <w:jc w:val="center"/>
              <w:rPr>
                <w:rFonts w:cs="Times New Roman"/>
                <w:sz w:val="22"/>
              </w:rPr>
            </w:pPr>
            <w:r w:rsidRPr="003C23AE">
              <w:rPr>
                <w:rFonts w:cs="Times New Roman"/>
                <w:sz w:val="22"/>
              </w:rPr>
              <w:t>0.001#</w:t>
            </w:r>
          </w:p>
        </w:tc>
        <w:tc>
          <w:tcPr>
            <w:tcW w:w="470" w:type="pct"/>
            <w:tcBorders>
              <w:top w:val="single" w:sz="4" w:space="0" w:color="auto"/>
              <w:left w:val="single" w:sz="4" w:space="0" w:color="auto"/>
              <w:bottom w:val="single" w:sz="4" w:space="0" w:color="auto"/>
              <w:right w:val="single" w:sz="4" w:space="0" w:color="auto"/>
            </w:tcBorders>
            <w:vAlign w:val="center"/>
            <w:hideMark/>
          </w:tcPr>
          <w:p w14:paraId="2EBB20D8" w14:textId="77777777" w:rsidR="007606FB" w:rsidRPr="003C23AE" w:rsidRDefault="007606FB">
            <w:pPr>
              <w:spacing w:line="256" w:lineRule="auto"/>
              <w:ind w:left="-110" w:right="-109"/>
              <w:jc w:val="center"/>
              <w:rPr>
                <w:rFonts w:cs="Times New Roman"/>
                <w:sz w:val="22"/>
              </w:rPr>
            </w:pPr>
            <w:r w:rsidRPr="003C23AE">
              <w:rPr>
                <w:rFonts w:cs="Times New Roman"/>
                <w:sz w:val="22"/>
              </w:rPr>
              <w:t>--</w:t>
            </w:r>
          </w:p>
        </w:tc>
        <w:tc>
          <w:tcPr>
            <w:tcW w:w="700" w:type="pct"/>
            <w:tcBorders>
              <w:top w:val="single" w:sz="4" w:space="0" w:color="auto"/>
              <w:left w:val="single" w:sz="4" w:space="0" w:color="auto"/>
              <w:bottom w:val="single" w:sz="4" w:space="0" w:color="auto"/>
              <w:right w:val="single" w:sz="4" w:space="0" w:color="auto"/>
            </w:tcBorders>
            <w:vAlign w:val="center"/>
            <w:hideMark/>
          </w:tcPr>
          <w:p w14:paraId="5BE7C9EC" w14:textId="77777777" w:rsidR="007606FB" w:rsidRPr="003C23AE" w:rsidRDefault="007606FB">
            <w:pPr>
              <w:spacing w:line="256" w:lineRule="auto"/>
              <w:ind w:left="-107" w:right="-115"/>
              <w:jc w:val="center"/>
              <w:rPr>
                <w:rFonts w:cs="Times New Roman"/>
                <w:sz w:val="22"/>
              </w:rPr>
            </w:pPr>
            <w:r w:rsidRPr="003C23AE">
              <w:rPr>
                <w:rFonts w:cs="Times New Roman"/>
                <w:sz w:val="22"/>
              </w:rPr>
              <w:t>0.015#</w:t>
            </w:r>
          </w:p>
        </w:tc>
      </w:tr>
      <w:tr w:rsidR="007606FB" w:rsidRPr="00531029" w14:paraId="46930636" w14:textId="77777777" w:rsidTr="007606FB">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62B14AE4" w14:textId="77777777" w:rsidR="007606FB" w:rsidRPr="003C23AE" w:rsidRDefault="007606FB">
            <w:pPr>
              <w:tabs>
                <w:tab w:val="left" w:pos="567"/>
              </w:tabs>
              <w:ind w:left="-107" w:right="-115"/>
              <w:rPr>
                <w:rFonts w:cs="Times New Roman"/>
                <w:sz w:val="22"/>
              </w:rPr>
            </w:pPr>
            <w:r w:rsidRPr="003C23AE">
              <w:rPr>
                <w:rFonts w:cs="Times New Roman"/>
                <w:b/>
                <w:sz w:val="22"/>
              </w:rPr>
              <w:t>Mean volume voided (mL) per micturition (FAS) (Secondary)</w:t>
            </w:r>
          </w:p>
        </w:tc>
      </w:tr>
      <w:tr w:rsidR="007606FB" w:rsidRPr="003C23AE" w14:paraId="1A45053B"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1162295A" w14:textId="77777777" w:rsidR="007606FB" w:rsidRPr="003C23AE" w:rsidRDefault="007606FB">
            <w:pPr>
              <w:spacing w:line="256" w:lineRule="auto"/>
              <w:rPr>
                <w:rFonts w:cs="Times New Roman"/>
                <w:sz w:val="22"/>
              </w:rPr>
            </w:pPr>
            <w:r w:rsidRPr="003C23AE">
              <w:rPr>
                <w:rFonts w:cs="Times New Roman"/>
                <w:sz w:val="22"/>
              </w:rP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7DD90C1A" w14:textId="77777777" w:rsidR="007606FB" w:rsidRPr="003C23AE" w:rsidRDefault="007606FB">
            <w:pPr>
              <w:spacing w:line="256" w:lineRule="auto"/>
              <w:ind w:left="-104" w:right="-106"/>
              <w:jc w:val="center"/>
              <w:rPr>
                <w:rFonts w:cs="Times New Roman"/>
                <w:sz w:val="22"/>
              </w:rPr>
            </w:pPr>
            <w:r w:rsidRPr="003C23AE">
              <w:rPr>
                <w:rFonts w:cs="Times New Roman"/>
                <w:sz w:val="22"/>
              </w:rPr>
              <w:t>480</w:t>
            </w:r>
          </w:p>
        </w:tc>
        <w:tc>
          <w:tcPr>
            <w:tcW w:w="704" w:type="pct"/>
            <w:tcBorders>
              <w:top w:val="single" w:sz="4" w:space="0" w:color="auto"/>
              <w:left w:val="single" w:sz="4" w:space="0" w:color="auto"/>
              <w:bottom w:val="single" w:sz="4" w:space="0" w:color="auto"/>
              <w:right w:val="single" w:sz="4" w:space="0" w:color="auto"/>
            </w:tcBorders>
            <w:vAlign w:val="center"/>
            <w:hideMark/>
          </w:tcPr>
          <w:p w14:paraId="0AB23A4F" w14:textId="77777777" w:rsidR="007606FB" w:rsidRPr="003C23AE" w:rsidRDefault="007606FB">
            <w:pPr>
              <w:spacing w:line="256" w:lineRule="auto"/>
              <w:ind w:left="-110" w:right="-110"/>
              <w:jc w:val="center"/>
              <w:rPr>
                <w:rFonts w:cs="Times New Roman"/>
                <w:sz w:val="22"/>
              </w:rPr>
            </w:pPr>
            <w:r w:rsidRPr="003C23AE">
              <w:rPr>
                <w:rFonts w:cs="Times New Roman"/>
                <w:sz w:val="22"/>
              </w:rPr>
              <w:t>472</w:t>
            </w:r>
          </w:p>
        </w:tc>
        <w:tc>
          <w:tcPr>
            <w:tcW w:w="626" w:type="pct"/>
            <w:tcBorders>
              <w:top w:val="single" w:sz="4" w:space="0" w:color="auto"/>
              <w:left w:val="single" w:sz="4" w:space="0" w:color="auto"/>
              <w:bottom w:val="single" w:sz="4" w:space="0" w:color="auto"/>
              <w:right w:val="single" w:sz="4" w:space="0" w:color="auto"/>
            </w:tcBorders>
            <w:vAlign w:val="center"/>
            <w:hideMark/>
          </w:tcPr>
          <w:p w14:paraId="72739BB9" w14:textId="77777777" w:rsidR="007606FB" w:rsidRPr="003C23AE" w:rsidRDefault="007606FB">
            <w:pPr>
              <w:spacing w:line="256" w:lineRule="auto"/>
              <w:ind w:left="-106" w:right="-108"/>
              <w:jc w:val="center"/>
              <w:rPr>
                <w:rFonts w:cs="Times New Roman"/>
                <w:sz w:val="22"/>
              </w:rPr>
            </w:pPr>
            <w:r w:rsidRPr="003C23AE">
              <w:rPr>
                <w:rFonts w:cs="Times New Roman"/>
                <w:sz w:val="22"/>
              </w:rPr>
              <w:t>475</w:t>
            </w:r>
          </w:p>
        </w:tc>
        <w:tc>
          <w:tcPr>
            <w:tcW w:w="469" w:type="pct"/>
            <w:tcBorders>
              <w:top w:val="single" w:sz="4" w:space="0" w:color="auto"/>
              <w:left w:val="single" w:sz="4" w:space="0" w:color="auto"/>
              <w:bottom w:val="single" w:sz="4" w:space="0" w:color="auto"/>
              <w:right w:val="single" w:sz="4" w:space="0" w:color="auto"/>
            </w:tcBorders>
            <w:vAlign w:val="center"/>
            <w:hideMark/>
          </w:tcPr>
          <w:p w14:paraId="5829FCCB" w14:textId="77777777" w:rsidR="007606FB" w:rsidRPr="003C23AE" w:rsidRDefault="007606FB">
            <w:pPr>
              <w:spacing w:line="256" w:lineRule="auto"/>
              <w:ind w:left="-110" w:right="-110"/>
              <w:jc w:val="center"/>
              <w:rPr>
                <w:rFonts w:cs="Times New Roman"/>
                <w:sz w:val="22"/>
              </w:rPr>
            </w:pPr>
            <w:r w:rsidRPr="003C23AE">
              <w:rPr>
                <w:rFonts w:cs="Times New Roman"/>
                <w:sz w:val="22"/>
              </w:rPr>
              <w:t>433</w:t>
            </w:r>
          </w:p>
        </w:tc>
        <w:tc>
          <w:tcPr>
            <w:tcW w:w="704" w:type="pct"/>
            <w:tcBorders>
              <w:top w:val="single" w:sz="4" w:space="0" w:color="auto"/>
              <w:left w:val="single" w:sz="4" w:space="0" w:color="auto"/>
              <w:bottom w:val="single" w:sz="4" w:space="0" w:color="auto"/>
              <w:right w:val="single" w:sz="4" w:space="0" w:color="auto"/>
            </w:tcBorders>
            <w:vAlign w:val="center"/>
            <w:hideMark/>
          </w:tcPr>
          <w:p w14:paraId="5DD3E9DC" w14:textId="77777777" w:rsidR="007606FB" w:rsidRPr="003C23AE" w:rsidRDefault="007606FB">
            <w:pPr>
              <w:spacing w:line="256" w:lineRule="auto"/>
              <w:ind w:left="-110" w:right="-109"/>
              <w:jc w:val="center"/>
              <w:rPr>
                <w:rFonts w:cs="Times New Roman"/>
                <w:sz w:val="22"/>
              </w:rPr>
            </w:pPr>
            <w:r w:rsidRPr="003C23AE">
              <w:rPr>
                <w:rFonts w:cs="Times New Roman"/>
                <w:sz w:val="22"/>
              </w:rPr>
              <w:t>424</w:t>
            </w:r>
          </w:p>
        </w:tc>
        <w:tc>
          <w:tcPr>
            <w:tcW w:w="470" w:type="pct"/>
            <w:tcBorders>
              <w:top w:val="single" w:sz="4" w:space="0" w:color="auto"/>
              <w:left w:val="single" w:sz="4" w:space="0" w:color="auto"/>
              <w:bottom w:val="single" w:sz="4" w:space="0" w:color="auto"/>
              <w:right w:val="single" w:sz="4" w:space="0" w:color="auto"/>
            </w:tcBorders>
            <w:vAlign w:val="center"/>
            <w:hideMark/>
          </w:tcPr>
          <w:p w14:paraId="25BF8F44" w14:textId="77777777" w:rsidR="007606FB" w:rsidRPr="003C23AE" w:rsidRDefault="007606FB">
            <w:pPr>
              <w:spacing w:line="256" w:lineRule="auto"/>
              <w:ind w:left="-110" w:right="-109"/>
              <w:jc w:val="center"/>
              <w:rPr>
                <w:rFonts w:cs="Times New Roman"/>
                <w:sz w:val="22"/>
              </w:rPr>
            </w:pPr>
            <w:r w:rsidRPr="003C23AE">
              <w:rPr>
                <w:rFonts w:cs="Times New Roman"/>
                <w:sz w:val="22"/>
              </w:rPr>
              <w:t>415</w:t>
            </w:r>
          </w:p>
        </w:tc>
        <w:tc>
          <w:tcPr>
            <w:tcW w:w="700" w:type="pct"/>
            <w:tcBorders>
              <w:top w:val="single" w:sz="4" w:space="0" w:color="auto"/>
              <w:left w:val="single" w:sz="4" w:space="0" w:color="auto"/>
              <w:bottom w:val="single" w:sz="4" w:space="0" w:color="auto"/>
              <w:right w:val="single" w:sz="4" w:space="0" w:color="auto"/>
            </w:tcBorders>
            <w:vAlign w:val="center"/>
            <w:hideMark/>
          </w:tcPr>
          <w:p w14:paraId="40E7DE39" w14:textId="77777777" w:rsidR="007606FB" w:rsidRPr="003C23AE" w:rsidRDefault="007606FB">
            <w:pPr>
              <w:spacing w:line="256" w:lineRule="auto"/>
              <w:ind w:left="-107" w:right="-115"/>
              <w:jc w:val="center"/>
              <w:rPr>
                <w:rFonts w:cs="Times New Roman"/>
                <w:sz w:val="22"/>
              </w:rPr>
            </w:pPr>
            <w:r w:rsidRPr="003C23AE">
              <w:rPr>
                <w:rFonts w:cs="Times New Roman"/>
                <w:sz w:val="22"/>
              </w:rPr>
              <w:t>426</w:t>
            </w:r>
          </w:p>
        </w:tc>
      </w:tr>
      <w:tr w:rsidR="007606FB" w:rsidRPr="003C23AE" w14:paraId="5F8C2830"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64E657B6" w14:textId="77777777" w:rsidR="007606FB" w:rsidRPr="003C23AE" w:rsidRDefault="007606FB">
            <w:pPr>
              <w:spacing w:line="256" w:lineRule="auto"/>
              <w:rPr>
                <w:rFonts w:cs="Times New Roman"/>
                <w:sz w:val="22"/>
              </w:rPr>
            </w:pPr>
            <w:r w:rsidRPr="003C23AE">
              <w:rPr>
                <w:rFonts w:cs="Times New Roman"/>
                <w:sz w:val="22"/>
              </w:rPr>
              <w:t>Mean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73BFD28E" w14:textId="77777777" w:rsidR="007606FB" w:rsidRPr="003C23AE" w:rsidRDefault="007606FB">
            <w:pPr>
              <w:spacing w:line="256" w:lineRule="auto"/>
              <w:ind w:left="-104" w:right="-106"/>
              <w:jc w:val="center"/>
              <w:rPr>
                <w:rFonts w:cs="Times New Roman"/>
                <w:sz w:val="22"/>
              </w:rPr>
            </w:pPr>
            <w:r w:rsidRPr="003C23AE">
              <w:rPr>
                <w:rFonts w:cs="Times New Roman"/>
                <w:sz w:val="22"/>
              </w:rPr>
              <w:t>156.7</w:t>
            </w:r>
          </w:p>
        </w:tc>
        <w:tc>
          <w:tcPr>
            <w:tcW w:w="704" w:type="pct"/>
            <w:tcBorders>
              <w:top w:val="single" w:sz="4" w:space="0" w:color="auto"/>
              <w:left w:val="single" w:sz="4" w:space="0" w:color="auto"/>
              <w:bottom w:val="single" w:sz="4" w:space="0" w:color="auto"/>
              <w:right w:val="single" w:sz="4" w:space="0" w:color="auto"/>
            </w:tcBorders>
            <w:vAlign w:val="center"/>
            <w:hideMark/>
          </w:tcPr>
          <w:p w14:paraId="20FD91F1" w14:textId="77777777" w:rsidR="007606FB" w:rsidRPr="003C23AE" w:rsidRDefault="007606FB">
            <w:pPr>
              <w:spacing w:line="256" w:lineRule="auto"/>
              <w:ind w:left="-110" w:right="-110"/>
              <w:jc w:val="center"/>
              <w:rPr>
                <w:rFonts w:cs="Times New Roman"/>
                <w:sz w:val="22"/>
              </w:rPr>
            </w:pPr>
            <w:r w:rsidRPr="003C23AE">
              <w:rPr>
                <w:rFonts w:cs="Times New Roman"/>
                <w:sz w:val="22"/>
              </w:rPr>
              <w:t>161.1</w:t>
            </w:r>
          </w:p>
        </w:tc>
        <w:tc>
          <w:tcPr>
            <w:tcW w:w="626" w:type="pct"/>
            <w:tcBorders>
              <w:top w:val="single" w:sz="4" w:space="0" w:color="auto"/>
              <w:left w:val="single" w:sz="4" w:space="0" w:color="auto"/>
              <w:bottom w:val="single" w:sz="4" w:space="0" w:color="auto"/>
              <w:right w:val="single" w:sz="4" w:space="0" w:color="auto"/>
            </w:tcBorders>
            <w:vAlign w:val="center"/>
            <w:hideMark/>
          </w:tcPr>
          <w:p w14:paraId="3AD483DF" w14:textId="77777777" w:rsidR="007606FB" w:rsidRPr="003C23AE" w:rsidRDefault="007606FB">
            <w:pPr>
              <w:spacing w:line="256" w:lineRule="auto"/>
              <w:ind w:left="-106" w:right="-108"/>
              <w:jc w:val="center"/>
              <w:rPr>
                <w:rFonts w:cs="Times New Roman"/>
                <w:sz w:val="22"/>
              </w:rPr>
            </w:pPr>
            <w:r w:rsidRPr="003C23AE">
              <w:rPr>
                <w:rFonts w:cs="Times New Roman"/>
                <w:sz w:val="22"/>
              </w:rPr>
              <w:t>158.6</w:t>
            </w:r>
          </w:p>
        </w:tc>
        <w:tc>
          <w:tcPr>
            <w:tcW w:w="469" w:type="pct"/>
            <w:tcBorders>
              <w:top w:val="single" w:sz="4" w:space="0" w:color="auto"/>
              <w:left w:val="single" w:sz="4" w:space="0" w:color="auto"/>
              <w:bottom w:val="single" w:sz="4" w:space="0" w:color="auto"/>
              <w:right w:val="single" w:sz="4" w:space="0" w:color="auto"/>
            </w:tcBorders>
            <w:vAlign w:val="center"/>
            <w:hideMark/>
          </w:tcPr>
          <w:p w14:paraId="05D3DA22" w14:textId="77777777" w:rsidR="007606FB" w:rsidRPr="003C23AE" w:rsidRDefault="007606FB">
            <w:pPr>
              <w:spacing w:line="256" w:lineRule="auto"/>
              <w:ind w:left="-110" w:right="-110"/>
              <w:jc w:val="center"/>
              <w:rPr>
                <w:rFonts w:cs="Times New Roman"/>
                <w:sz w:val="22"/>
              </w:rPr>
            </w:pPr>
            <w:r w:rsidRPr="003C23AE">
              <w:rPr>
                <w:rFonts w:cs="Times New Roman"/>
                <w:sz w:val="22"/>
              </w:rPr>
              <w:t>157.5</w:t>
            </w:r>
          </w:p>
        </w:tc>
        <w:tc>
          <w:tcPr>
            <w:tcW w:w="704" w:type="pct"/>
            <w:tcBorders>
              <w:top w:val="single" w:sz="4" w:space="0" w:color="auto"/>
              <w:left w:val="single" w:sz="4" w:space="0" w:color="auto"/>
              <w:bottom w:val="single" w:sz="4" w:space="0" w:color="auto"/>
              <w:right w:val="single" w:sz="4" w:space="0" w:color="auto"/>
            </w:tcBorders>
            <w:vAlign w:val="center"/>
            <w:hideMark/>
          </w:tcPr>
          <w:p w14:paraId="2B63EED8" w14:textId="77777777" w:rsidR="007606FB" w:rsidRPr="003C23AE" w:rsidRDefault="007606FB">
            <w:pPr>
              <w:spacing w:line="256" w:lineRule="auto"/>
              <w:ind w:left="-110" w:right="-109"/>
              <w:jc w:val="center"/>
              <w:rPr>
                <w:rFonts w:cs="Times New Roman"/>
                <w:sz w:val="22"/>
              </w:rPr>
            </w:pPr>
            <w:r w:rsidRPr="003C23AE">
              <w:rPr>
                <w:rFonts w:cs="Times New Roman"/>
                <w:sz w:val="22"/>
              </w:rPr>
              <w:t>156.3</w:t>
            </w:r>
          </w:p>
        </w:tc>
        <w:tc>
          <w:tcPr>
            <w:tcW w:w="470" w:type="pct"/>
            <w:tcBorders>
              <w:top w:val="single" w:sz="4" w:space="0" w:color="auto"/>
              <w:left w:val="single" w:sz="4" w:space="0" w:color="auto"/>
              <w:bottom w:val="single" w:sz="4" w:space="0" w:color="auto"/>
              <w:right w:val="single" w:sz="4" w:space="0" w:color="auto"/>
            </w:tcBorders>
            <w:vAlign w:val="center"/>
            <w:hideMark/>
          </w:tcPr>
          <w:p w14:paraId="33CE998E" w14:textId="77777777" w:rsidR="007606FB" w:rsidRPr="003C23AE" w:rsidRDefault="007606FB">
            <w:pPr>
              <w:spacing w:line="256" w:lineRule="auto"/>
              <w:ind w:left="-110" w:right="-109"/>
              <w:jc w:val="center"/>
              <w:rPr>
                <w:rFonts w:cs="Times New Roman"/>
                <w:sz w:val="22"/>
              </w:rPr>
            </w:pPr>
            <w:r w:rsidRPr="003C23AE">
              <w:rPr>
                <w:rFonts w:cs="Times New Roman"/>
                <w:sz w:val="22"/>
              </w:rPr>
              <w:t>164.0</w:t>
            </w:r>
          </w:p>
        </w:tc>
        <w:tc>
          <w:tcPr>
            <w:tcW w:w="700" w:type="pct"/>
            <w:tcBorders>
              <w:top w:val="single" w:sz="4" w:space="0" w:color="auto"/>
              <w:left w:val="single" w:sz="4" w:space="0" w:color="auto"/>
              <w:bottom w:val="single" w:sz="4" w:space="0" w:color="auto"/>
              <w:right w:val="single" w:sz="4" w:space="0" w:color="auto"/>
            </w:tcBorders>
            <w:vAlign w:val="center"/>
            <w:hideMark/>
          </w:tcPr>
          <w:p w14:paraId="17E5A232" w14:textId="77777777" w:rsidR="007606FB" w:rsidRPr="003C23AE" w:rsidRDefault="007606FB">
            <w:pPr>
              <w:spacing w:line="256" w:lineRule="auto"/>
              <w:ind w:left="-107" w:right="-115"/>
              <w:jc w:val="center"/>
              <w:rPr>
                <w:rFonts w:cs="Times New Roman"/>
                <w:sz w:val="22"/>
              </w:rPr>
            </w:pPr>
            <w:r w:rsidRPr="003C23AE">
              <w:rPr>
                <w:rFonts w:cs="Times New Roman"/>
                <w:sz w:val="22"/>
              </w:rPr>
              <w:t>159.3</w:t>
            </w:r>
          </w:p>
        </w:tc>
      </w:tr>
      <w:tr w:rsidR="007606FB" w:rsidRPr="003C23AE" w14:paraId="0B276EFB"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1EEE92FB" w14:textId="77777777" w:rsidR="007606FB" w:rsidRPr="003C23AE" w:rsidRDefault="007606FB">
            <w:pPr>
              <w:spacing w:line="256" w:lineRule="auto"/>
              <w:rPr>
                <w:rFonts w:cs="Times New Roman"/>
                <w:sz w:val="22"/>
              </w:rPr>
            </w:pPr>
            <w:r w:rsidRPr="003C23AE">
              <w:rPr>
                <w:rFonts w:cs="Times New Roman"/>
                <w:sz w:val="22"/>
              </w:rPr>
              <w:t>Mean change from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41895CFB" w14:textId="77777777" w:rsidR="007606FB" w:rsidRPr="003C23AE" w:rsidRDefault="007606FB">
            <w:pPr>
              <w:spacing w:line="256" w:lineRule="auto"/>
              <w:ind w:left="-104" w:right="-106"/>
              <w:jc w:val="center"/>
              <w:rPr>
                <w:rFonts w:cs="Times New Roman"/>
                <w:sz w:val="22"/>
              </w:rPr>
            </w:pPr>
            <w:r w:rsidRPr="003C23AE">
              <w:rPr>
                <w:rFonts w:cs="Times New Roman"/>
                <w:sz w:val="22"/>
              </w:rPr>
              <w:t>12.3</w:t>
            </w:r>
          </w:p>
        </w:tc>
        <w:tc>
          <w:tcPr>
            <w:tcW w:w="704" w:type="pct"/>
            <w:tcBorders>
              <w:top w:val="single" w:sz="4" w:space="0" w:color="auto"/>
              <w:left w:val="single" w:sz="4" w:space="0" w:color="auto"/>
              <w:bottom w:val="single" w:sz="4" w:space="0" w:color="auto"/>
              <w:right w:val="single" w:sz="4" w:space="0" w:color="auto"/>
            </w:tcBorders>
            <w:vAlign w:val="center"/>
            <w:hideMark/>
          </w:tcPr>
          <w:p w14:paraId="4DC0F30F" w14:textId="77777777" w:rsidR="007606FB" w:rsidRPr="003C23AE" w:rsidRDefault="007606FB">
            <w:pPr>
              <w:spacing w:line="256" w:lineRule="auto"/>
              <w:ind w:left="-110" w:right="-110"/>
              <w:jc w:val="center"/>
              <w:rPr>
                <w:rFonts w:cs="Times New Roman"/>
                <w:sz w:val="22"/>
              </w:rPr>
            </w:pPr>
            <w:r w:rsidRPr="003C23AE">
              <w:rPr>
                <w:rFonts w:cs="Times New Roman"/>
                <w:sz w:val="22"/>
              </w:rPr>
              <w:t>24.2</w:t>
            </w:r>
          </w:p>
        </w:tc>
        <w:tc>
          <w:tcPr>
            <w:tcW w:w="626" w:type="pct"/>
            <w:tcBorders>
              <w:top w:val="single" w:sz="4" w:space="0" w:color="auto"/>
              <w:left w:val="single" w:sz="4" w:space="0" w:color="auto"/>
              <w:bottom w:val="single" w:sz="4" w:space="0" w:color="auto"/>
              <w:right w:val="single" w:sz="4" w:space="0" w:color="auto"/>
            </w:tcBorders>
            <w:vAlign w:val="center"/>
            <w:hideMark/>
          </w:tcPr>
          <w:p w14:paraId="7E39532C" w14:textId="77777777" w:rsidR="007606FB" w:rsidRPr="003C23AE" w:rsidRDefault="007606FB">
            <w:pPr>
              <w:spacing w:line="256" w:lineRule="auto"/>
              <w:ind w:left="-106" w:right="-108"/>
              <w:jc w:val="center"/>
              <w:rPr>
                <w:rFonts w:cs="Times New Roman"/>
                <w:sz w:val="22"/>
              </w:rPr>
            </w:pPr>
            <w:r w:rsidRPr="003C23AE">
              <w:rPr>
                <w:rFonts w:cs="Times New Roman"/>
                <w:sz w:val="22"/>
              </w:rPr>
              <w:t>25.0</w:t>
            </w:r>
          </w:p>
        </w:tc>
        <w:tc>
          <w:tcPr>
            <w:tcW w:w="469" w:type="pct"/>
            <w:tcBorders>
              <w:top w:val="single" w:sz="4" w:space="0" w:color="auto"/>
              <w:left w:val="single" w:sz="4" w:space="0" w:color="auto"/>
              <w:bottom w:val="single" w:sz="4" w:space="0" w:color="auto"/>
              <w:right w:val="single" w:sz="4" w:space="0" w:color="auto"/>
            </w:tcBorders>
            <w:vAlign w:val="center"/>
            <w:hideMark/>
          </w:tcPr>
          <w:p w14:paraId="7838BF2F" w14:textId="77777777" w:rsidR="007606FB" w:rsidRPr="003C23AE" w:rsidRDefault="007606FB">
            <w:pPr>
              <w:spacing w:line="256" w:lineRule="auto"/>
              <w:ind w:left="-110" w:right="-110"/>
              <w:jc w:val="center"/>
              <w:rPr>
                <w:rFonts w:cs="Times New Roman"/>
                <w:sz w:val="22"/>
              </w:rPr>
            </w:pPr>
            <w:r w:rsidRPr="003C23AE">
              <w:rPr>
                <w:rFonts w:cs="Times New Roman"/>
                <w:sz w:val="22"/>
              </w:rPr>
              <w:t>7.0</w:t>
            </w:r>
          </w:p>
        </w:tc>
        <w:tc>
          <w:tcPr>
            <w:tcW w:w="704" w:type="pct"/>
            <w:tcBorders>
              <w:top w:val="single" w:sz="4" w:space="0" w:color="auto"/>
              <w:left w:val="single" w:sz="4" w:space="0" w:color="auto"/>
              <w:bottom w:val="single" w:sz="4" w:space="0" w:color="auto"/>
              <w:right w:val="single" w:sz="4" w:space="0" w:color="auto"/>
            </w:tcBorders>
            <w:vAlign w:val="center"/>
            <w:hideMark/>
          </w:tcPr>
          <w:p w14:paraId="340B662F" w14:textId="77777777" w:rsidR="007606FB" w:rsidRPr="003C23AE" w:rsidRDefault="007606FB">
            <w:pPr>
              <w:spacing w:line="256" w:lineRule="auto"/>
              <w:ind w:left="-110" w:right="-109"/>
              <w:jc w:val="center"/>
              <w:rPr>
                <w:rFonts w:cs="Times New Roman"/>
                <w:sz w:val="22"/>
              </w:rPr>
            </w:pPr>
            <w:r w:rsidRPr="003C23AE">
              <w:rPr>
                <w:rFonts w:cs="Times New Roman"/>
                <w:sz w:val="22"/>
              </w:rPr>
              <w:t>18.2</w:t>
            </w:r>
          </w:p>
        </w:tc>
        <w:tc>
          <w:tcPr>
            <w:tcW w:w="470" w:type="pct"/>
            <w:tcBorders>
              <w:top w:val="single" w:sz="4" w:space="0" w:color="auto"/>
              <w:left w:val="single" w:sz="4" w:space="0" w:color="auto"/>
              <w:bottom w:val="single" w:sz="4" w:space="0" w:color="auto"/>
              <w:right w:val="single" w:sz="4" w:space="0" w:color="auto"/>
            </w:tcBorders>
            <w:vAlign w:val="center"/>
            <w:hideMark/>
          </w:tcPr>
          <w:p w14:paraId="345BF982" w14:textId="77777777" w:rsidR="007606FB" w:rsidRPr="003C23AE" w:rsidRDefault="007606FB">
            <w:pPr>
              <w:spacing w:line="256" w:lineRule="auto"/>
              <w:ind w:left="-110" w:right="-109"/>
              <w:jc w:val="center"/>
              <w:rPr>
                <w:rFonts w:cs="Times New Roman"/>
                <w:sz w:val="22"/>
              </w:rPr>
            </w:pPr>
            <w:r w:rsidRPr="003C23AE">
              <w:rPr>
                <w:rFonts w:cs="Times New Roman"/>
                <w:sz w:val="22"/>
              </w:rPr>
              <w:t>8.3</w:t>
            </w:r>
          </w:p>
        </w:tc>
        <w:tc>
          <w:tcPr>
            <w:tcW w:w="700" w:type="pct"/>
            <w:tcBorders>
              <w:top w:val="single" w:sz="4" w:space="0" w:color="auto"/>
              <w:left w:val="single" w:sz="4" w:space="0" w:color="auto"/>
              <w:bottom w:val="single" w:sz="4" w:space="0" w:color="auto"/>
              <w:right w:val="single" w:sz="4" w:space="0" w:color="auto"/>
            </w:tcBorders>
            <w:vAlign w:val="center"/>
            <w:hideMark/>
          </w:tcPr>
          <w:p w14:paraId="477FC14D" w14:textId="77777777" w:rsidR="007606FB" w:rsidRPr="003C23AE" w:rsidRDefault="007606FB">
            <w:pPr>
              <w:spacing w:line="256" w:lineRule="auto"/>
              <w:ind w:left="-107" w:right="-115"/>
              <w:jc w:val="center"/>
              <w:rPr>
                <w:rFonts w:cs="Times New Roman"/>
                <w:sz w:val="22"/>
              </w:rPr>
            </w:pPr>
            <w:r w:rsidRPr="003C23AE">
              <w:rPr>
                <w:rFonts w:cs="Times New Roman"/>
                <w:sz w:val="22"/>
              </w:rPr>
              <w:t>20.7</w:t>
            </w:r>
          </w:p>
        </w:tc>
      </w:tr>
      <w:tr w:rsidR="007606FB" w:rsidRPr="003C23AE" w14:paraId="096A2D93"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02D95C05" w14:textId="77777777" w:rsidR="007606FB" w:rsidRPr="003C23AE" w:rsidRDefault="007606FB">
            <w:pPr>
              <w:spacing w:line="256" w:lineRule="auto"/>
              <w:rPr>
                <w:rFonts w:cs="Times New Roman"/>
                <w:sz w:val="22"/>
              </w:rPr>
            </w:pPr>
            <w:r w:rsidRPr="003C23AE">
              <w:rPr>
                <w:rFonts w:cs="Times New Roman"/>
                <w:sz w:val="22"/>
              </w:rPr>
              <w:t>Mean difference from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67ABCE35" w14:textId="77777777" w:rsidR="007606FB" w:rsidRPr="003C23AE" w:rsidRDefault="007606FB">
            <w:pPr>
              <w:spacing w:line="256" w:lineRule="auto"/>
              <w:ind w:left="-104" w:right="-106"/>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4512AF68" w14:textId="77777777" w:rsidR="007606FB" w:rsidRPr="003C23AE" w:rsidRDefault="007606FB">
            <w:pPr>
              <w:spacing w:line="256" w:lineRule="auto"/>
              <w:ind w:left="-110" w:right="-110"/>
              <w:jc w:val="center"/>
              <w:rPr>
                <w:rFonts w:cs="Times New Roman"/>
                <w:sz w:val="22"/>
              </w:rPr>
            </w:pPr>
            <w:r w:rsidRPr="003C23AE">
              <w:rPr>
                <w:rFonts w:cs="Times New Roman"/>
                <w:sz w:val="22"/>
              </w:rPr>
              <w:t>11.9</w:t>
            </w:r>
          </w:p>
        </w:tc>
        <w:tc>
          <w:tcPr>
            <w:tcW w:w="626" w:type="pct"/>
            <w:tcBorders>
              <w:top w:val="single" w:sz="4" w:space="0" w:color="auto"/>
              <w:left w:val="single" w:sz="4" w:space="0" w:color="auto"/>
              <w:bottom w:val="single" w:sz="4" w:space="0" w:color="auto"/>
              <w:right w:val="single" w:sz="4" w:space="0" w:color="auto"/>
            </w:tcBorders>
            <w:vAlign w:val="center"/>
            <w:hideMark/>
          </w:tcPr>
          <w:p w14:paraId="78E005B0" w14:textId="77777777" w:rsidR="007606FB" w:rsidRPr="003C23AE" w:rsidRDefault="007606FB">
            <w:pPr>
              <w:spacing w:line="256" w:lineRule="auto"/>
              <w:ind w:left="-106" w:right="-108"/>
              <w:jc w:val="center"/>
              <w:rPr>
                <w:rFonts w:cs="Times New Roman"/>
                <w:sz w:val="22"/>
              </w:rPr>
            </w:pPr>
            <w:r w:rsidRPr="003C23AE">
              <w:rPr>
                <w:rFonts w:cs="Times New Roman"/>
                <w:sz w:val="22"/>
              </w:rPr>
              <w:t>12.6</w:t>
            </w:r>
          </w:p>
        </w:tc>
        <w:tc>
          <w:tcPr>
            <w:tcW w:w="469" w:type="pct"/>
            <w:tcBorders>
              <w:top w:val="single" w:sz="4" w:space="0" w:color="auto"/>
              <w:left w:val="single" w:sz="4" w:space="0" w:color="auto"/>
              <w:bottom w:val="single" w:sz="4" w:space="0" w:color="auto"/>
              <w:right w:val="single" w:sz="4" w:space="0" w:color="auto"/>
            </w:tcBorders>
            <w:vAlign w:val="center"/>
            <w:hideMark/>
          </w:tcPr>
          <w:p w14:paraId="45473A22" w14:textId="77777777" w:rsidR="007606FB" w:rsidRPr="003C23AE" w:rsidRDefault="007606FB">
            <w:pPr>
              <w:spacing w:line="256" w:lineRule="auto"/>
              <w:ind w:left="-110" w:right="-110"/>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88DF44E" w14:textId="77777777" w:rsidR="007606FB" w:rsidRPr="003C23AE" w:rsidRDefault="007606FB">
            <w:pPr>
              <w:spacing w:line="256" w:lineRule="auto"/>
              <w:ind w:left="-110" w:right="-109"/>
              <w:jc w:val="center"/>
              <w:rPr>
                <w:rFonts w:cs="Times New Roman"/>
                <w:sz w:val="22"/>
              </w:rPr>
            </w:pPr>
            <w:r w:rsidRPr="003C23AE">
              <w:rPr>
                <w:rFonts w:cs="Times New Roman"/>
                <w:sz w:val="22"/>
              </w:rPr>
              <w:t>11.1</w:t>
            </w:r>
          </w:p>
        </w:tc>
        <w:tc>
          <w:tcPr>
            <w:tcW w:w="470" w:type="pct"/>
            <w:tcBorders>
              <w:top w:val="single" w:sz="4" w:space="0" w:color="auto"/>
              <w:left w:val="single" w:sz="4" w:space="0" w:color="auto"/>
              <w:bottom w:val="single" w:sz="4" w:space="0" w:color="auto"/>
              <w:right w:val="single" w:sz="4" w:space="0" w:color="auto"/>
            </w:tcBorders>
            <w:vAlign w:val="center"/>
            <w:hideMark/>
          </w:tcPr>
          <w:p w14:paraId="58E238E3" w14:textId="77777777" w:rsidR="007606FB" w:rsidRPr="003C23AE" w:rsidRDefault="007606FB">
            <w:pPr>
              <w:spacing w:line="256" w:lineRule="auto"/>
              <w:ind w:left="-110" w:right="-109"/>
              <w:jc w:val="center"/>
              <w:rPr>
                <w:rFonts w:cs="Times New Roman"/>
                <w:sz w:val="22"/>
              </w:rPr>
            </w:pPr>
            <w:r w:rsidRPr="003C23AE">
              <w:rPr>
                <w:rFonts w:cs="Times New Roman"/>
                <w:sz w:val="22"/>
              </w:rPr>
              <w:t>--</w:t>
            </w:r>
          </w:p>
        </w:tc>
        <w:tc>
          <w:tcPr>
            <w:tcW w:w="700" w:type="pct"/>
            <w:tcBorders>
              <w:top w:val="single" w:sz="4" w:space="0" w:color="auto"/>
              <w:left w:val="single" w:sz="4" w:space="0" w:color="auto"/>
              <w:bottom w:val="single" w:sz="4" w:space="0" w:color="auto"/>
              <w:right w:val="single" w:sz="4" w:space="0" w:color="auto"/>
            </w:tcBorders>
            <w:vAlign w:val="center"/>
            <w:hideMark/>
          </w:tcPr>
          <w:p w14:paraId="79AD5386" w14:textId="77777777" w:rsidR="007606FB" w:rsidRPr="003C23AE" w:rsidRDefault="007606FB">
            <w:pPr>
              <w:spacing w:line="256" w:lineRule="auto"/>
              <w:ind w:left="-107" w:right="-115"/>
              <w:jc w:val="center"/>
              <w:rPr>
                <w:rFonts w:cs="Times New Roman"/>
                <w:sz w:val="22"/>
              </w:rPr>
            </w:pPr>
            <w:r w:rsidRPr="003C23AE">
              <w:rPr>
                <w:rFonts w:cs="Times New Roman"/>
                <w:sz w:val="22"/>
              </w:rPr>
              <w:t>12.4</w:t>
            </w:r>
          </w:p>
        </w:tc>
      </w:tr>
      <w:tr w:rsidR="007606FB" w:rsidRPr="003C23AE" w14:paraId="28C66528"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49631779" w14:textId="77777777" w:rsidR="007606FB" w:rsidRPr="003C23AE" w:rsidRDefault="007606FB">
            <w:pPr>
              <w:spacing w:line="256" w:lineRule="auto"/>
              <w:rPr>
                <w:rFonts w:cs="Times New Roman"/>
                <w:sz w:val="22"/>
              </w:rPr>
            </w:pPr>
            <w:r w:rsidRPr="003C23AE">
              <w:rPr>
                <w:rFonts w:cs="Times New Roman"/>
                <w:sz w:val="22"/>
              </w:rPr>
              <w:t>95% Confidence Interval</w:t>
            </w:r>
          </w:p>
        </w:tc>
        <w:tc>
          <w:tcPr>
            <w:tcW w:w="469" w:type="pct"/>
            <w:tcBorders>
              <w:top w:val="single" w:sz="4" w:space="0" w:color="auto"/>
              <w:left w:val="single" w:sz="4" w:space="0" w:color="auto"/>
              <w:bottom w:val="single" w:sz="4" w:space="0" w:color="auto"/>
              <w:right w:val="single" w:sz="4" w:space="0" w:color="auto"/>
            </w:tcBorders>
            <w:vAlign w:val="center"/>
            <w:hideMark/>
          </w:tcPr>
          <w:p w14:paraId="79886A33" w14:textId="77777777" w:rsidR="007606FB" w:rsidRPr="003C23AE" w:rsidRDefault="007606FB">
            <w:pPr>
              <w:spacing w:line="256" w:lineRule="auto"/>
              <w:ind w:left="-104" w:right="-106"/>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015F204A" w14:textId="77777777" w:rsidR="007606FB" w:rsidRPr="003C23AE" w:rsidRDefault="007606FB">
            <w:pPr>
              <w:spacing w:line="256" w:lineRule="auto"/>
              <w:ind w:left="-110" w:right="-110"/>
              <w:jc w:val="center"/>
              <w:rPr>
                <w:rFonts w:cs="Times New Roman"/>
                <w:sz w:val="22"/>
              </w:rPr>
            </w:pPr>
            <w:r w:rsidRPr="003C23AE">
              <w:rPr>
                <w:rFonts w:cs="Times New Roman"/>
                <w:sz w:val="22"/>
              </w:rPr>
              <w:t>(6.3, 17.4)</w:t>
            </w:r>
          </w:p>
        </w:tc>
        <w:tc>
          <w:tcPr>
            <w:tcW w:w="626" w:type="pct"/>
            <w:tcBorders>
              <w:top w:val="single" w:sz="4" w:space="0" w:color="auto"/>
              <w:left w:val="single" w:sz="4" w:space="0" w:color="auto"/>
              <w:bottom w:val="single" w:sz="4" w:space="0" w:color="auto"/>
              <w:right w:val="single" w:sz="4" w:space="0" w:color="auto"/>
            </w:tcBorders>
            <w:vAlign w:val="center"/>
            <w:hideMark/>
          </w:tcPr>
          <w:p w14:paraId="396670CE" w14:textId="77777777" w:rsidR="007606FB" w:rsidRPr="003C23AE" w:rsidRDefault="007606FB">
            <w:pPr>
              <w:spacing w:line="256" w:lineRule="auto"/>
              <w:ind w:left="-106" w:right="-108"/>
              <w:jc w:val="center"/>
              <w:rPr>
                <w:rFonts w:cs="Times New Roman"/>
                <w:sz w:val="22"/>
              </w:rPr>
            </w:pPr>
            <w:r w:rsidRPr="003C23AE">
              <w:rPr>
                <w:rFonts w:cs="Times New Roman"/>
                <w:sz w:val="22"/>
              </w:rPr>
              <w:t>(7.1, 18.2)</w:t>
            </w:r>
          </w:p>
        </w:tc>
        <w:tc>
          <w:tcPr>
            <w:tcW w:w="469" w:type="pct"/>
            <w:tcBorders>
              <w:top w:val="single" w:sz="4" w:space="0" w:color="auto"/>
              <w:left w:val="single" w:sz="4" w:space="0" w:color="auto"/>
              <w:bottom w:val="single" w:sz="4" w:space="0" w:color="auto"/>
              <w:right w:val="single" w:sz="4" w:space="0" w:color="auto"/>
            </w:tcBorders>
            <w:vAlign w:val="center"/>
            <w:hideMark/>
          </w:tcPr>
          <w:p w14:paraId="2A0251F9" w14:textId="77777777" w:rsidR="007606FB" w:rsidRPr="003C23AE" w:rsidRDefault="007606FB">
            <w:pPr>
              <w:spacing w:line="256" w:lineRule="auto"/>
              <w:ind w:left="-110" w:right="-110"/>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60F992C" w14:textId="77777777" w:rsidR="007606FB" w:rsidRPr="003C23AE" w:rsidRDefault="007606FB">
            <w:pPr>
              <w:spacing w:line="256" w:lineRule="auto"/>
              <w:ind w:left="-110" w:right="-109"/>
              <w:jc w:val="center"/>
              <w:rPr>
                <w:rFonts w:cs="Times New Roman"/>
                <w:sz w:val="22"/>
              </w:rPr>
            </w:pPr>
            <w:r w:rsidRPr="003C23AE">
              <w:rPr>
                <w:rFonts w:cs="Times New Roman"/>
                <w:sz w:val="22"/>
              </w:rPr>
              <w:t>(4.4, 17.9)</w:t>
            </w:r>
          </w:p>
        </w:tc>
        <w:tc>
          <w:tcPr>
            <w:tcW w:w="470" w:type="pct"/>
            <w:tcBorders>
              <w:top w:val="single" w:sz="4" w:space="0" w:color="auto"/>
              <w:left w:val="single" w:sz="4" w:space="0" w:color="auto"/>
              <w:bottom w:val="single" w:sz="4" w:space="0" w:color="auto"/>
              <w:right w:val="single" w:sz="4" w:space="0" w:color="auto"/>
            </w:tcBorders>
            <w:vAlign w:val="center"/>
            <w:hideMark/>
          </w:tcPr>
          <w:p w14:paraId="0F73ED0D" w14:textId="77777777" w:rsidR="007606FB" w:rsidRPr="003C23AE" w:rsidRDefault="007606FB">
            <w:pPr>
              <w:spacing w:line="256" w:lineRule="auto"/>
              <w:ind w:left="-110" w:right="-109"/>
              <w:jc w:val="center"/>
              <w:rPr>
                <w:rFonts w:cs="Times New Roman"/>
                <w:sz w:val="22"/>
              </w:rPr>
            </w:pPr>
            <w:r w:rsidRPr="003C23AE">
              <w:rPr>
                <w:rFonts w:cs="Times New Roman"/>
                <w:sz w:val="22"/>
              </w:rPr>
              <w:t>--</w:t>
            </w:r>
          </w:p>
        </w:tc>
        <w:tc>
          <w:tcPr>
            <w:tcW w:w="700" w:type="pct"/>
            <w:tcBorders>
              <w:top w:val="single" w:sz="4" w:space="0" w:color="auto"/>
              <w:left w:val="single" w:sz="4" w:space="0" w:color="auto"/>
              <w:bottom w:val="single" w:sz="4" w:space="0" w:color="auto"/>
              <w:right w:val="single" w:sz="4" w:space="0" w:color="auto"/>
            </w:tcBorders>
            <w:vAlign w:val="center"/>
            <w:hideMark/>
          </w:tcPr>
          <w:p w14:paraId="6D59CACF" w14:textId="77777777" w:rsidR="007606FB" w:rsidRPr="003C23AE" w:rsidRDefault="007606FB">
            <w:pPr>
              <w:spacing w:line="256" w:lineRule="auto"/>
              <w:ind w:left="-107" w:right="-115"/>
              <w:jc w:val="center"/>
              <w:rPr>
                <w:rFonts w:cs="Times New Roman"/>
                <w:sz w:val="22"/>
              </w:rPr>
            </w:pPr>
            <w:r w:rsidRPr="003C23AE">
              <w:rPr>
                <w:rFonts w:cs="Times New Roman"/>
                <w:sz w:val="22"/>
              </w:rPr>
              <w:t>(6.3, 18.6)</w:t>
            </w:r>
          </w:p>
        </w:tc>
      </w:tr>
      <w:tr w:rsidR="007606FB" w:rsidRPr="003C23AE" w14:paraId="36ABE981"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5E23700B" w14:textId="77777777" w:rsidR="007606FB" w:rsidRPr="003C23AE" w:rsidRDefault="007606FB">
            <w:pPr>
              <w:spacing w:line="256" w:lineRule="auto"/>
              <w:rPr>
                <w:rFonts w:cs="Times New Roman"/>
                <w:sz w:val="22"/>
              </w:rPr>
            </w:pPr>
            <w:r w:rsidRPr="003C23AE">
              <w:rPr>
                <w:rFonts w:cs="Times New Roman"/>
                <w:sz w:val="22"/>
              </w:rPr>
              <w:t>p-value</w:t>
            </w:r>
          </w:p>
        </w:tc>
        <w:tc>
          <w:tcPr>
            <w:tcW w:w="469" w:type="pct"/>
            <w:tcBorders>
              <w:top w:val="single" w:sz="4" w:space="0" w:color="auto"/>
              <w:left w:val="single" w:sz="4" w:space="0" w:color="auto"/>
              <w:bottom w:val="single" w:sz="4" w:space="0" w:color="auto"/>
              <w:right w:val="single" w:sz="4" w:space="0" w:color="auto"/>
            </w:tcBorders>
            <w:vAlign w:val="center"/>
            <w:hideMark/>
          </w:tcPr>
          <w:p w14:paraId="108E3EE6" w14:textId="77777777" w:rsidR="007606FB" w:rsidRPr="003C23AE" w:rsidRDefault="007606FB">
            <w:pPr>
              <w:spacing w:line="256" w:lineRule="auto"/>
              <w:ind w:left="-104" w:right="-106"/>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C0FBC6C" w14:textId="77777777" w:rsidR="007606FB" w:rsidRPr="003C23AE" w:rsidRDefault="007606FB">
            <w:pPr>
              <w:spacing w:line="256" w:lineRule="auto"/>
              <w:ind w:left="-110" w:right="-110"/>
              <w:jc w:val="center"/>
              <w:rPr>
                <w:rFonts w:cs="Times New Roman"/>
                <w:sz w:val="22"/>
              </w:rPr>
            </w:pPr>
            <w:r w:rsidRPr="003C23AE">
              <w:rPr>
                <w:rFonts w:cs="Times New Roman"/>
                <w:sz w:val="22"/>
              </w:rPr>
              <w:t>&lt;0.001#</w:t>
            </w:r>
          </w:p>
        </w:tc>
        <w:tc>
          <w:tcPr>
            <w:tcW w:w="626" w:type="pct"/>
            <w:tcBorders>
              <w:top w:val="single" w:sz="4" w:space="0" w:color="auto"/>
              <w:left w:val="single" w:sz="4" w:space="0" w:color="auto"/>
              <w:bottom w:val="single" w:sz="4" w:space="0" w:color="auto"/>
              <w:right w:val="single" w:sz="4" w:space="0" w:color="auto"/>
            </w:tcBorders>
            <w:vAlign w:val="center"/>
            <w:hideMark/>
          </w:tcPr>
          <w:p w14:paraId="42BC3DEC" w14:textId="77777777" w:rsidR="007606FB" w:rsidRPr="003C23AE" w:rsidRDefault="007606FB">
            <w:pPr>
              <w:spacing w:line="256" w:lineRule="auto"/>
              <w:ind w:left="-106" w:right="-108"/>
              <w:jc w:val="center"/>
              <w:rPr>
                <w:rFonts w:cs="Times New Roman"/>
                <w:sz w:val="22"/>
              </w:rPr>
            </w:pPr>
            <w:r w:rsidRPr="003C23AE">
              <w:rPr>
                <w:rFonts w:cs="Times New Roman"/>
                <w:sz w:val="22"/>
              </w:rPr>
              <w:t>&lt;0.001*</w:t>
            </w:r>
          </w:p>
        </w:tc>
        <w:tc>
          <w:tcPr>
            <w:tcW w:w="469" w:type="pct"/>
            <w:tcBorders>
              <w:top w:val="single" w:sz="4" w:space="0" w:color="auto"/>
              <w:left w:val="single" w:sz="4" w:space="0" w:color="auto"/>
              <w:bottom w:val="single" w:sz="4" w:space="0" w:color="auto"/>
              <w:right w:val="single" w:sz="4" w:space="0" w:color="auto"/>
            </w:tcBorders>
            <w:vAlign w:val="center"/>
            <w:hideMark/>
          </w:tcPr>
          <w:p w14:paraId="4AA05389" w14:textId="77777777" w:rsidR="007606FB" w:rsidRPr="003C23AE" w:rsidRDefault="007606FB">
            <w:pPr>
              <w:spacing w:line="256" w:lineRule="auto"/>
              <w:ind w:left="-110" w:right="-110"/>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03B18F95" w14:textId="77777777" w:rsidR="007606FB" w:rsidRPr="003C23AE" w:rsidRDefault="007606FB">
            <w:pPr>
              <w:spacing w:line="256" w:lineRule="auto"/>
              <w:ind w:left="-110" w:right="-109"/>
              <w:jc w:val="center"/>
              <w:rPr>
                <w:rFonts w:cs="Times New Roman"/>
                <w:sz w:val="22"/>
              </w:rPr>
            </w:pPr>
            <w:r w:rsidRPr="003C23AE">
              <w:rPr>
                <w:rFonts w:cs="Times New Roman"/>
                <w:sz w:val="22"/>
              </w:rPr>
              <w:t>0.001#</w:t>
            </w:r>
          </w:p>
        </w:tc>
        <w:tc>
          <w:tcPr>
            <w:tcW w:w="470" w:type="pct"/>
            <w:tcBorders>
              <w:top w:val="single" w:sz="4" w:space="0" w:color="auto"/>
              <w:left w:val="single" w:sz="4" w:space="0" w:color="auto"/>
              <w:bottom w:val="single" w:sz="4" w:space="0" w:color="auto"/>
              <w:right w:val="single" w:sz="4" w:space="0" w:color="auto"/>
            </w:tcBorders>
            <w:vAlign w:val="center"/>
            <w:hideMark/>
          </w:tcPr>
          <w:p w14:paraId="4DDDEE51" w14:textId="77777777" w:rsidR="007606FB" w:rsidRPr="003C23AE" w:rsidRDefault="007606FB">
            <w:pPr>
              <w:spacing w:line="256" w:lineRule="auto"/>
              <w:ind w:left="-110" w:right="-109"/>
              <w:jc w:val="center"/>
              <w:rPr>
                <w:rFonts w:cs="Times New Roman"/>
                <w:sz w:val="22"/>
              </w:rPr>
            </w:pPr>
            <w:r w:rsidRPr="003C23AE">
              <w:rPr>
                <w:rFonts w:cs="Times New Roman"/>
                <w:sz w:val="22"/>
              </w:rPr>
              <w:t>--</w:t>
            </w:r>
          </w:p>
        </w:tc>
        <w:tc>
          <w:tcPr>
            <w:tcW w:w="700" w:type="pct"/>
            <w:tcBorders>
              <w:top w:val="single" w:sz="4" w:space="0" w:color="auto"/>
              <w:left w:val="single" w:sz="4" w:space="0" w:color="auto"/>
              <w:bottom w:val="single" w:sz="4" w:space="0" w:color="auto"/>
              <w:right w:val="single" w:sz="4" w:space="0" w:color="auto"/>
            </w:tcBorders>
            <w:vAlign w:val="center"/>
            <w:hideMark/>
          </w:tcPr>
          <w:p w14:paraId="560C7330" w14:textId="77777777" w:rsidR="007606FB" w:rsidRPr="003C23AE" w:rsidRDefault="007606FB">
            <w:pPr>
              <w:spacing w:line="256" w:lineRule="auto"/>
              <w:ind w:left="-107" w:right="-115"/>
              <w:jc w:val="center"/>
              <w:rPr>
                <w:rFonts w:cs="Times New Roman"/>
                <w:sz w:val="22"/>
              </w:rPr>
            </w:pPr>
            <w:r w:rsidRPr="003C23AE">
              <w:rPr>
                <w:rFonts w:cs="Times New Roman"/>
                <w:sz w:val="22"/>
              </w:rPr>
              <w:t>&lt;0.001#</w:t>
            </w:r>
          </w:p>
        </w:tc>
      </w:tr>
      <w:tr w:rsidR="007606FB" w:rsidRPr="00531029" w14:paraId="6C384BB9" w14:textId="77777777" w:rsidTr="007606FB">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7C29D75F" w14:textId="77777777" w:rsidR="007606FB" w:rsidRPr="003C23AE" w:rsidRDefault="007606FB">
            <w:pPr>
              <w:tabs>
                <w:tab w:val="left" w:pos="567"/>
              </w:tabs>
              <w:ind w:left="-107" w:right="-115"/>
              <w:rPr>
                <w:rFonts w:cs="Times New Roman"/>
                <w:sz w:val="22"/>
              </w:rPr>
            </w:pPr>
            <w:r w:rsidRPr="003C23AE">
              <w:rPr>
                <w:rFonts w:cs="Times New Roman"/>
                <w:b/>
                <w:sz w:val="22"/>
              </w:rPr>
              <w:t>Mean level of urgency (FAS) (Secondary)</w:t>
            </w:r>
          </w:p>
        </w:tc>
      </w:tr>
      <w:tr w:rsidR="007606FB" w:rsidRPr="003C23AE" w14:paraId="5844BDE7"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46BDEDEB" w14:textId="77777777" w:rsidR="007606FB" w:rsidRPr="003C23AE" w:rsidRDefault="007606FB">
            <w:pPr>
              <w:spacing w:line="256" w:lineRule="auto"/>
              <w:rPr>
                <w:rFonts w:cs="Times New Roman"/>
                <w:sz w:val="22"/>
              </w:rPr>
            </w:pPr>
            <w:r w:rsidRPr="003C23AE">
              <w:rPr>
                <w:rFonts w:cs="Times New Roman"/>
                <w:sz w:val="22"/>
              </w:rP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7F5D37FE" w14:textId="77777777" w:rsidR="007606FB" w:rsidRPr="003C23AE" w:rsidRDefault="007606FB">
            <w:pPr>
              <w:spacing w:line="256" w:lineRule="auto"/>
              <w:ind w:left="-104" w:right="-106"/>
              <w:jc w:val="center"/>
              <w:rPr>
                <w:rFonts w:cs="Times New Roman"/>
                <w:sz w:val="22"/>
              </w:rPr>
            </w:pPr>
            <w:r w:rsidRPr="003C23AE">
              <w:rPr>
                <w:rFonts w:cs="Times New Roman"/>
                <w:sz w:val="22"/>
              </w:rPr>
              <w:t>480</w:t>
            </w:r>
          </w:p>
        </w:tc>
        <w:tc>
          <w:tcPr>
            <w:tcW w:w="704" w:type="pct"/>
            <w:tcBorders>
              <w:top w:val="single" w:sz="4" w:space="0" w:color="auto"/>
              <w:left w:val="single" w:sz="4" w:space="0" w:color="auto"/>
              <w:bottom w:val="single" w:sz="4" w:space="0" w:color="auto"/>
              <w:right w:val="single" w:sz="4" w:space="0" w:color="auto"/>
            </w:tcBorders>
            <w:vAlign w:val="center"/>
            <w:hideMark/>
          </w:tcPr>
          <w:p w14:paraId="363A137E" w14:textId="77777777" w:rsidR="007606FB" w:rsidRPr="003C23AE" w:rsidRDefault="007606FB">
            <w:pPr>
              <w:spacing w:line="256" w:lineRule="auto"/>
              <w:ind w:left="-110" w:right="-110"/>
              <w:jc w:val="center"/>
              <w:rPr>
                <w:rFonts w:cs="Times New Roman"/>
                <w:sz w:val="22"/>
              </w:rPr>
            </w:pPr>
            <w:r w:rsidRPr="003C23AE">
              <w:rPr>
                <w:rFonts w:cs="Times New Roman"/>
                <w:sz w:val="22"/>
              </w:rPr>
              <w:t>472</w:t>
            </w:r>
          </w:p>
        </w:tc>
        <w:tc>
          <w:tcPr>
            <w:tcW w:w="626" w:type="pct"/>
            <w:tcBorders>
              <w:top w:val="single" w:sz="4" w:space="0" w:color="auto"/>
              <w:left w:val="single" w:sz="4" w:space="0" w:color="auto"/>
              <w:bottom w:val="single" w:sz="4" w:space="0" w:color="auto"/>
              <w:right w:val="single" w:sz="4" w:space="0" w:color="auto"/>
            </w:tcBorders>
            <w:vAlign w:val="center"/>
            <w:hideMark/>
          </w:tcPr>
          <w:p w14:paraId="6D0AAB4D" w14:textId="77777777" w:rsidR="007606FB" w:rsidRPr="003C23AE" w:rsidRDefault="007606FB">
            <w:pPr>
              <w:spacing w:line="256" w:lineRule="auto"/>
              <w:ind w:left="-106" w:right="-108"/>
              <w:jc w:val="center"/>
              <w:rPr>
                <w:rFonts w:cs="Times New Roman"/>
                <w:sz w:val="22"/>
              </w:rPr>
            </w:pPr>
            <w:r w:rsidRPr="003C23AE">
              <w:rPr>
                <w:rFonts w:cs="Times New Roman"/>
                <w:sz w:val="22"/>
              </w:rPr>
              <w:t>473</w:t>
            </w:r>
          </w:p>
        </w:tc>
        <w:tc>
          <w:tcPr>
            <w:tcW w:w="469" w:type="pct"/>
            <w:tcBorders>
              <w:top w:val="single" w:sz="4" w:space="0" w:color="auto"/>
              <w:left w:val="single" w:sz="4" w:space="0" w:color="auto"/>
              <w:bottom w:val="single" w:sz="4" w:space="0" w:color="auto"/>
              <w:right w:val="single" w:sz="4" w:space="0" w:color="auto"/>
            </w:tcBorders>
            <w:vAlign w:val="center"/>
            <w:hideMark/>
          </w:tcPr>
          <w:p w14:paraId="4D5AA3B4" w14:textId="77777777" w:rsidR="007606FB" w:rsidRPr="003C23AE" w:rsidRDefault="007606FB">
            <w:pPr>
              <w:spacing w:line="256" w:lineRule="auto"/>
              <w:ind w:left="-110" w:right="-110"/>
              <w:jc w:val="center"/>
              <w:rPr>
                <w:rFonts w:cs="Times New Roman"/>
                <w:sz w:val="22"/>
              </w:rPr>
            </w:pPr>
            <w:r w:rsidRPr="003C23AE">
              <w:rPr>
                <w:rFonts w:cs="Times New Roman"/>
                <w:sz w:val="22"/>
              </w:rPr>
              <w:t>432</w:t>
            </w:r>
          </w:p>
        </w:tc>
        <w:tc>
          <w:tcPr>
            <w:tcW w:w="704" w:type="pct"/>
            <w:tcBorders>
              <w:top w:val="single" w:sz="4" w:space="0" w:color="auto"/>
              <w:left w:val="single" w:sz="4" w:space="0" w:color="auto"/>
              <w:bottom w:val="single" w:sz="4" w:space="0" w:color="auto"/>
              <w:right w:val="single" w:sz="4" w:space="0" w:color="auto"/>
            </w:tcBorders>
            <w:vAlign w:val="center"/>
            <w:hideMark/>
          </w:tcPr>
          <w:p w14:paraId="29471E9D" w14:textId="77777777" w:rsidR="007606FB" w:rsidRPr="003C23AE" w:rsidRDefault="007606FB">
            <w:pPr>
              <w:spacing w:line="256" w:lineRule="auto"/>
              <w:ind w:left="-110" w:right="-109"/>
              <w:jc w:val="center"/>
              <w:rPr>
                <w:rFonts w:cs="Times New Roman"/>
                <w:sz w:val="22"/>
              </w:rPr>
            </w:pPr>
            <w:r w:rsidRPr="003C23AE">
              <w:rPr>
                <w:rFonts w:cs="Times New Roman"/>
                <w:sz w:val="22"/>
              </w:rPr>
              <w:t>425</w:t>
            </w:r>
          </w:p>
        </w:tc>
        <w:tc>
          <w:tcPr>
            <w:tcW w:w="470" w:type="pct"/>
            <w:tcBorders>
              <w:top w:val="single" w:sz="4" w:space="0" w:color="auto"/>
              <w:left w:val="single" w:sz="4" w:space="0" w:color="auto"/>
              <w:bottom w:val="single" w:sz="4" w:space="0" w:color="auto"/>
              <w:right w:val="single" w:sz="4" w:space="0" w:color="auto"/>
            </w:tcBorders>
            <w:vAlign w:val="center"/>
            <w:hideMark/>
          </w:tcPr>
          <w:p w14:paraId="286E27EE" w14:textId="77777777" w:rsidR="007606FB" w:rsidRPr="003C23AE" w:rsidRDefault="007606FB">
            <w:pPr>
              <w:spacing w:line="256" w:lineRule="auto"/>
              <w:ind w:left="-110" w:right="-109"/>
              <w:jc w:val="center"/>
              <w:rPr>
                <w:rFonts w:cs="Times New Roman"/>
                <w:sz w:val="22"/>
              </w:rPr>
            </w:pPr>
            <w:r w:rsidRPr="003C23AE">
              <w:rPr>
                <w:rFonts w:cs="Times New Roman"/>
                <w:sz w:val="22"/>
              </w:rPr>
              <w:t>413</w:t>
            </w:r>
          </w:p>
        </w:tc>
        <w:tc>
          <w:tcPr>
            <w:tcW w:w="700" w:type="pct"/>
            <w:tcBorders>
              <w:top w:val="single" w:sz="4" w:space="0" w:color="auto"/>
              <w:left w:val="single" w:sz="4" w:space="0" w:color="auto"/>
              <w:bottom w:val="single" w:sz="4" w:space="0" w:color="auto"/>
              <w:right w:val="single" w:sz="4" w:space="0" w:color="auto"/>
            </w:tcBorders>
            <w:vAlign w:val="center"/>
            <w:hideMark/>
          </w:tcPr>
          <w:p w14:paraId="24FEA676" w14:textId="77777777" w:rsidR="007606FB" w:rsidRPr="003C23AE" w:rsidRDefault="007606FB">
            <w:pPr>
              <w:spacing w:line="256" w:lineRule="auto"/>
              <w:ind w:left="-107" w:right="-115"/>
              <w:jc w:val="center"/>
              <w:rPr>
                <w:rFonts w:cs="Times New Roman"/>
                <w:sz w:val="22"/>
              </w:rPr>
            </w:pPr>
            <w:r w:rsidRPr="003C23AE">
              <w:rPr>
                <w:rFonts w:cs="Times New Roman"/>
                <w:sz w:val="22"/>
              </w:rPr>
              <w:t>426</w:t>
            </w:r>
          </w:p>
        </w:tc>
      </w:tr>
      <w:tr w:rsidR="007606FB" w:rsidRPr="003C23AE" w14:paraId="5BD891E5"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60363A3B" w14:textId="77777777" w:rsidR="007606FB" w:rsidRPr="003C23AE" w:rsidRDefault="007606FB">
            <w:pPr>
              <w:spacing w:line="256" w:lineRule="auto"/>
              <w:rPr>
                <w:rFonts w:cs="Times New Roman"/>
                <w:sz w:val="22"/>
              </w:rPr>
            </w:pPr>
            <w:r w:rsidRPr="003C23AE">
              <w:rPr>
                <w:rFonts w:cs="Times New Roman"/>
                <w:sz w:val="22"/>
              </w:rPr>
              <w:t>Mean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1B64D82E" w14:textId="77777777" w:rsidR="007606FB" w:rsidRPr="003C23AE" w:rsidRDefault="007606FB">
            <w:pPr>
              <w:spacing w:line="256" w:lineRule="auto"/>
              <w:ind w:left="-104" w:right="-106"/>
              <w:jc w:val="center"/>
              <w:rPr>
                <w:rFonts w:cs="Times New Roman"/>
                <w:sz w:val="22"/>
              </w:rPr>
            </w:pPr>
            <w:r w:rsidRPr="003C23AE">
              <w:rPr>
                <w:rFonts w:cs="Times New Roman"/>
                <w:sz w:val="22"/>
              </w:rPr>
              <w:t>2.37</w:t>
            </w:r>
          </w:p>
        </w:tc>
        <w:tc>
          <w:tcPr>
            <w:tcW w:w="704" w:type="pct"/>
            <w:tcBorders>
              <w:top w:val="single" w:sz="4" w:space="0" w:color="auto"/>
              <w:left w:val="single" w:sz="4" w:space="0" w:color="auto"/>
              <w:bottom w:val="single" w:sz="4" w:space="0" w:color="auto"/>
              <w:right w:val="single" w:sz="4" w:space="0" w:color="auto"/>
            </w:tcBorders>
            <w:vAlign w:val="center"/>
            <w:hideMark/>
          </w:tcPr>
          <w:p w14:paraId="06C62206" w14:textId="77777777" w:rsidR="007606FB" w:rsidRPr="003C23AE" w:rsidRDefault="007606FB">
            <w:pPr>
              <w:spacing w:line="256" w:lineRule="auto"/>
              <w:ind w:left="-110" w:right="-110"/>
              <w:jc w:val="center"/>
              <w:rPr>
                <w:rFonts w:cs="Times New Roman"/>
                <w:sz w:val="22"/>
              </w:rPr>
            </w:pPr>
            <w:r w:rsidRPr="003C23AE">
              <w:rPr>
                <w:rFonts w:cs="Times New Roman"/>
                <w:sz w:val="22"/>
              </w:rPr>
              <w:t>2.40</w:t>
            </w:r>
          </w:p>
        </w:tc>
        <w:tc>
          <w:tcPr>
            <w:tcW w:w="626" w:type="pct"/>
            <w:tcBorders>
              <w:top w:val="single" w:sz="4" w:space="0" w:color="auto"/>
              <w:left w:val="single" w:sz="4" w:space="0" w:color="auto"/>
              <w:bottom w:val="single" w:sz="4" w:space="0" w:color="auto"/>
              <w:right w:val="single" w:sz="4" w:space="0" w:color="auto"/>
            </w:tcBorders>
            <w:vAlign w:val="center"/>
            <w:hideMark/>
          </w:tcPr>
          <w:p w14:paraId="7A13F454" w14:textId="77777777" w:rsidR="007606FB" w:rsidRPr="003C23AE" w:rsidRDefault="007606FB">
            <w:pPr>
              <w:spacing w:line="256" w:lineRule="auto"/>
              <w:ind w:left="-106" w:right="-108"/>
              <w:jc w:val="center"/>
              <w:rPr>
                <w:rFonts w:cs="Times New Roman"/>
                <w:sz w:val="22"/>
              </w:rPr>
            </w:pPr>
            <w:r w:rsidRPr="003C23AE">
              <w:rPr>
                <w:rFonts w:cs="Times New Roman"/>
                <w:sz w:val="22"/>
              </w:rPr>
              <w:t>2.41</w:t>
            </w:r>
          </w:p>
        </w:tc>
        <w:tc>
          <w:tcPr>
            <w:tcW w:w="469" w:type="pct"/>
            <w:tcBorders>
              <w:top w:val="single" w:sz="4" w:space="0" w:color="auto"/>
              <w:left w:val="single" w:sz="4" w:space="0" w:color="auto"/>
              <w:bottom w:val="single" w:sz="4" w:space="0" w:color="auto"/>
              <w:right w:val="single" w:sz="4" w:space="0" w:color="auto"/>
            </w:tcBorders>
            <w:vAlign w:val="center"/>
            <w:hideMark/>
          </w:tcPr>
          <w:p w14:paraId="6A912489" w14:textId="77777777" w:rsidR="007606FB" w:rsidRPr="003C23AE" w:rsidRDefault="007606FB">
            <w:pPr>
              <w:spacing w:line="256" w:lineRule="auto"/>
              <w:ind w:left="-110" w:right="-110"/>
              <w:jc w:val="center"/>
              <w:rPr>
                <w:rFonts w:cs="Times New Roman"/>
                <w:sz w:val="22"/>
              </w:rPr>
            </w:pPr>
            <w:r w:rsidRPr="003C23AE">
              <w:rPr>
                <w:rFonts w:cs="Times New Roman"/>
                <w:sz w:val="22"/>
              </w:rPr>
              <w:t>2.45</w:t>
            </w:r>
          </w:p>
        </w:tc>
        <w:tc>
          <w:tcPr>
            <w:tcW w:w="704" w:type="pct"/>
            <w:tcBorders>
              <w:top w:val="single" w:sz="4" w:space="0" w:color="auto"/>
              <w:left w:val="single" w:sz="4" w:space="0" w:color="auto"/>
              <w:bottom w:val="single" w:sz="4" w:space="0" w:color="auto"/>
              <w:right w:val="single" w:sz="4" w:space="0" w:color="auto"/>
            </w:tcBorders>
            <w:vAlign w:val="center"/>
            <w:hideMark/>
          </w:tcPr>
          <w:p w14:paraId="5D339CDF" w14:textId="77777777" w:rsidR="007606FB" w:rsidRPr="003C23AE" w:rsidRDefault="007606FB">
            <w:pPr>
              <w:spacing w:line="256" w:lineRule="auto"/>
              <w:ind w:left="-110" w:right="-109"/>
              <w:jc w:val="center"/>
              <w:rPr>
                <w:rFonts w:cs="Times New Roman"/>
                <w:sz w:val="22"/>
              </w:rPr>
            </w:pPr>
            <w:r w:rsidRPr="003C23AE">
              <w:rPr>
                <w:rFonts w:cs="Times New Roman"/>
                <w:sz w:val="22"/>
              </w:rPr>
              <w:t>2.45</w:t>
            </w:r>
          </w:p>
        </w:tc>
        <w:tc>
          <w:tcPr>
            <w:tcW w:w="470" w:type="pct"/>
            <w:tcBorders>
              <w:top w:val="single" w:sz="4" w:space="0" w:color="auto"/>
              <w:left w:val="single" w:sz="4" w:space="0" w:color="auto"/>
              <w:bottom w:val="single" w:sz="4" w:space="0" w:color="auto"/>
              <w:right w:val="single" w:sz="4" w:space="0" w:color="auto"/>
            </w:tcBorders>
            <w:vAlign w:val="center"/>
            <w:hideMark/>
          </w:tcPr>
          <w:p w14:paraId="2015EF94" w14:textId="77777777" w:rsidR="007606FB" w:rsidRPr="003C23AE" w:rsidRDefault="007606FB">
            <w:pPr>
              <w:spacing w:line="256" w:lineRule="auto"/>
              <w:ind w:left="-110" w:right="-109"/>
              <w:jc w:val="center"/>
              <w:rPr>
                <w:rFonts w:cs="Times New Roman"/>
                <w:sz w:val="22"/>
              </w:rPr>
            </w:pPr>
            <w:r w:rsidRPr="003C23AE">
              <w:rPr>
                <w:rFonts w:cs="Times New Roman"/>
                <w:sz w:val="22"/>
              </w:rPr>
              <w:t>2.36</w:t>
            </w:r>
          </w:p>
        </w:tc>
        <w:tc>
          <w:tcPr>
            <w:tcW w:w="700" w:type="pct"/>
            <w:tcBorders>
              <w:top w:val="single" w:sz="4" w:space="0" w:color="auto"/>
              <w:left w:val="single" w:sz="4" w:space="0" w:color="auto"/>
              <w:bottom w:val="single" w:sz="4" w:space="0" w:color="auto"/>
              <w:right w:val="single" w:sz="4" w:space="0" w:color="auto"/>
            </w:tcBorders>
            <w:vAlign w:val="center"/>
            <w:hideMark/>
          </w:tcPr>
          <w:p w14:paraId="0494CF12" w14:textId="77777777" w:rsidR="007606FB" w:rsidRPr="003C23AE" w:rsidRDefault="007606FB">
            <w:pPr>
              <w:spacing w:line="256" w:lineRule="auto"/>
              <w:ind w:left="-107" w:right="-115"/>
              <w:jc w:val="center"/>
              <w:rPr>
                <w:rFonts w:cs="Times New Roman"/>
                <w:sz w:val="22"/>
              </w:rPr>
            </w:pPr>
            <w:r w:rsidRPr="003C23AE">
              <w:rPr>
                <w:rFonts w:cs="Times New Roman"/>
                <w:sz w:val="22"/>
              </w:rPr>
              <w:t>2.41</w:t>
            </w:r>
          </w:p>
        </w:tc>
      </w:tr>
      <w:tr w:rsidR="007606FB" w:rsidRPr="003C23AE" w14:paraId="0D568A78"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1E61EC6A" w14:textId="77777777" w:rsidR="007606FB" w:rsidRPr="003C23AE" w:rsidRDefault="007606FB">
            <w:pPr>
              <w:spacing w:line="256" w:lineRule="auto"/>
              <w:rPr>
                <w:rFonts w:cs="Times New Roman"/>
                <w:sz w:val="22"/>
              </w:rPr>
            </w:pPr>
            <w:r w:rsidRPr="003C23AE">
              <w:rPr>
                <w:rFonts w:cs="Times New Roman"/>
                <w:sz w:val="22"/>
              </w:rPr>
              <w:t>Mean change from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2DB75967" w14:textId="77777777" w:rsidR="007606FB" w:rsidRPr="003C23AE" w:rsidRDefault="007606FB">
            <w:pPr>
              <w:spacing w:line="256" w:lineRule="auto"/>
              <w:ind w:left="-104" w:right="-106"/>
              <w:jc w:val="center"/>
              <w:rPr>
                <w:rFonts w:cs="Times New Roman"/>
                <w:sz w:val="22"/>
              </w:rPr>
            </w:pPr>
            <w:r w:rsidRPr="003C23AE">
              <w:rPr>
                <w:rFonts w:cs="Times New Roman"/>
                <w:sz w:val="22"/>
              </w:rPr>
              <w:t>-0.22</w:t>
            </w:r>
          </w:p>
        </w:tc>
        <w:tc>
          <w:tcPr>
            <w:tcW w:w="704" w:type="pct"/>
            <w:tcBorders>
              <w:top w:val="single" w:sz="4" w:space="0" w:color="auto"/>
              <w:left w:val="single" w:sz="4" w:space="0" w:color="auto"/>
              <w:bottom w:val="single" w:sz="4" w:space="0" w:color="auto"/>
              <w:right w:val="single" w:sz="4" w:space="0" w:color="auto"/>
            </w:tcBorders>
            <w:vAlign w:val="center"/>
            <w:hideMark/>
          </w:tcPr>
          <w:p w14:paraId="6DED956A" w14:textId="77777777" w:rsidR="007606FB" w:rsidRPr="003C23AE" w:rsidRDefault="007606FB">
            <w:pPr>
              <w:spacing w:line="256" w:lineRule="auto"/>
              <w:ind w:left="-110" w:right="-110"/>
              <w:jc w:val="center"/>
              <w:rPr>
                <w:rFonts w:cs="Times New Roman"/>
                <w:sz w:val="22"/>
              </w:rPr>
            </w:pPr>
            <w:r w:rsidRPr="003C23AE">
              <w:rPr>
                <w:rFonts w:cs="Times New Roman"/>
                <w:sz w:val="22"/>
              </w:rPr>
              <w:t>-0.31</w:t>
            </w:r>
          </w:p>
        </w:tc>
        <w:tc>
          <w:tcPr>
            <w:tcW w:w="626" w:type="pct"/>
            <w:tcBorders>
              <w:top w:val="single" w:sz="4" w:space="0" w:color="auto"/>
              <w:left w:val="single" w:sz="4" w:space="0" w:color="auto"/>
              <w:bottom w:val="single" w:sz="4" w:space="0" w:color="auto"/>
              <w:right w:val="single" w:sz="4" w:space="0" w:color="auto"/>
            </w:tcBorders>
            <w:vAlign w:val="center"/>
            <w:hideMark/>
          </w:tcPr>
          <w:p w14:paraId="4E89EAE9" w14:textId="77777777" w:rsidR="007606FB" w:rsidRPr="003C23AE" w:rsidRDefault="007606FB">
            <w:pPr>
              <w:spacing w:line="256" w:lineRule="auto"/>
              <w:ind w:left="-106" w:right="-108"/>
              <w:jc w:val="center"/>
              <w:rPr>
                <w:rFonts w:cs="Times New Roman"/>
                <w:sz w:val="22"/>
              </w:rPr>
            </w:pPr>
            <w:r w:rsidRPr="003C23AE">
              <w:rPr>
                <w:rFonts w:cs="Times New Roman"/>
                <w:sz w:val="22"/>
              </w:rPr>
              <w:t>-0.29</w:t>
            </w:r>
          </w:p>
        </w:tc>
        <w:tc>
          <w:tcPr>
            <w:tcW w:w="469" w:type="pct"/>
            <w:tcBorders>
              <w:top w:val="single" w:sz="4" w:space="0" w:color="auto"/>
              <w:left w:val="single" w:sz="4" w:space="0" w:color="auto"/>
              <w:bottom w:val="single" w:sz="4" w:space="0" w:color="auto"/>
              <w:right w:val="single" w:sz="4" w:space="0" w:color="auto"/>
            </w:tcBorders>
            <w:vAlign w:val="center"/>
            <w:hideMark/>
          </w:tcPr>
          <w:p w14:paraId="1C05B999" w14:textId="77777777" w:rsidR="007606FB" w:rsidRPr="003C23AE" w:rsidRDefault="007606FB">
            <w:pPr>
              <w:spacing w:line="256" w:lineRule="auto"/>
              <w:ind w:left="-110" w:right="-110"/>
              <w:jc w:val="center"/>
              <w:rPr>
                <w:rFonts w:cs="Times New Roman"/>
                <w:sz w:val="22"/>
              </w:rPr>
            </w:pPr>
            <w:r w:rsidRPr="003C23AE">
              <w:rPr>
                <w:rFonts w:cs="Times New Roman"/>
                <w:sz w:val="22"/>
              </w:rPr>
              <w:t>-0.08</w:t>
            </w:r>
          </w:p>
        </w:tc>
        <w:tc>
          <w:tcPr>
            <w:tcW w:w="704" w:type="pct"/>
            <w:tcBorders>
              <w:top w:val="single" w:sz="4" w:space="0" w:color="auto"/>
              <w:left w:val="single" w:sz="4" w:space="0" w:color="auto"/>
              <w:bottom w:val="single" w:sz="4" w:space="0" w:color="auto"/>
              <w:right w:val="single" w:sz="4" w:space="0" w:color="auto"/>
            </w:tcBorders>
            <w:vAlign w:val="center"/>
            <w:hideMark/>
          </w:tcPr>
          <w:p w14:paraId="22ADEAF7" w14:textId="77777777" w:rsidR="007606FB" w:rsidRPr="003C23AE" w:rsidRDefault="007606FB">
            <w:pPr>
              <w:spacing w:line="256" w:lineRule="auto"/>
              <w:ind w:left="-110" w:right="-109"/>
              <w:jc w:val="center"/>
              <w:rPr>
                <w:rFonts w:cs="Times New Roman"/>
                <w:sz w:val="22"/>
              </w:rPr>
            </w:pPr>
            <w:r w:rsidRPr="003C23AE">
              <w:rPr>
                <w:rFonts w:cs="Times New Roman"/>
                <w:sz w:val="22"/>
              </w:rPr>
              <w:t>-0.19</w:t>
            </w:r>
          </w:p>
        </w:tc>
        <w:tc>
          <w:tcPr>
            <w:tcW w:w="470" w:type="pct"/>
            <w:tcBorders>
              <w:top w:val="single" w:sz="4" w:space="0" w:color="auto"/>
              <w:left w:val="single" w:sz="4" w:space="0" w:color="auto"/>
              <w:bottom w:val="single" w:sz="4" w:space="0" w:color="auto"/>
              <w:right w:val="single" w:sz="4" w:space="0" w:color="auto"/>
            </w:tcBorders>
            <w:vAlign w:val="center"/>
            <w:hideMark/>
          </w:tcPr>
          <w:p w14:paraId="051BCB0B" w14:textId="77777777" w:rsidR="007606FB" w:rsidRPr="003C23AE" w:rsidRDefault="007606FB">
            <w:pPr>
              <w:spacing w:line="256" w:lineRule="auto"/>
              <w:ind w:left="-110" w:right="-109"/>
              <w:jc w:val="center"/>
              <w:rPr>
                <w:rFonts w:cs="Times New Roman"/>
                <w:sz w:val="22"/>
              </w:rPr>
            </w:pPr>
            <w:r w:rsidRPr="003C23AE">
              <w:rPr>
                <w:rFonts w:cs="Times New Roman"/>
                <w:sz w:val="22"/>
              </w:rPr>
              <w:t>-0.15</w:t>
            </w:r>
          </w:p>
        </w:tc>
        <w:tc>
          <w:tcPr>
            <w:tcW w:w="700" w:type="pct"/>
            <w:tcBorders>
              <w:top w:val="single" w:sz="4" w:space="0" w:color="auto"/>
              <w:left w:val="single" w:sz="4" w:space="0" w:color="auto"/>
              <w:bottom w:val="single" w:sz="4" w:space="0" w:color="auto"/>
              <w:right w:val="single" w:sz="4" w:space="0" w:color="auto"/>
            </w:tcBorders>
            <w:vAlign w:val="center"/>
            <w:hideMark/>
          </w:tcPr>
          <w:p w14:paraId="16491926" w14:textId="77777777" w:rsidR="007606FB" w:rsidRPr="003C23AE" w:rsidRDefault="007606FB">
            <w:pPr>
              <w:spacing w:line="256" w:lineRule="auto"/>
              <w:ind w:left="-107" w:right="-115"/>
              <w:jc w:val="center"/>
              <w:rPr>
                <w:rFonts w:cs="Times New Roman"/>
                <w:sz w:val="22"/>
              </w:rPr>
            </w:pPr>
            <w:r w:rsidRPr="003C23AE">
              <w:rPr>
                <w:rFonts w:cs="Times New Roman"/>
                <w:sz w:val="22"/>
              </w:rPr>
              <w:t>-0.29</w:t>
            </w:r>
          </w:p>
        </w:tc>
      </w:tr>
      <w:tr w:rsidR="007606FB" w:rsidRPr="003C23AE" w14:paraId="4A7F5085"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4C0AD1E5" w14:textId="77777777" w:rsidR="007606FB" w:rsidRPr="003C23AE" w:rsidRDefault="007606FB">
            <w:pPr>
              <w:spacing w:line="256" w:lineRule="auto"/>
              <w:rPr>
                <w:rFonts w:cs="Times New Roman"/>
                <w:sz w:val="22"/>
              </w:rPr>
            </w:pPr>
            <w:r w:rsidRPr="003C23AE">
              <w:rPr>
                <w:rFonts w:cs="Times New Roman"/>
                <w:sz w:val="22"/>
              </w:rPr>
              <w:t>Mean difference from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56230FCA" w14:textId="77777777" w:rsidR="007606FB" w:rsidRPr="003C23AE" w:rsidRDefault="007606FB">
            <w:pPr>
              <w:spacing w:line="256" w:lineRule="auto"/>
              <w:ind w:left="-104" w:right="-106"/>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1A218ACE" w14:textId="77777777" w:rsidR="007606FB" w:rsidRPr="003C23AE" w:rsidRDefault="007606FB">
            <w:pPr>
              <w:spacing w:line="256" w:lineRule="auto"/>
              <w:ind w:left="-110" w:right="-110"/>
              <w:jc w:val="center"/>
              <w:rPr>
                <w:rFonts w:cs="Times New Roman"/>
                <w:sz w:val="22"/>
              </w:rPr>
            </w:pPr>
            <w:r w:rsidRPr="003C23AE">
              <w:rPr>
                <w:rFonts w:cs="Times New Roman"/>
                <w:sz w:val="22"/>
              </w:rPr>
              <w:t>-0.09</w:t>
            </w:r>
          </w:p>
        </w:tc>
        <w:tc>
          <w:tcPr>
            <w:tcW w:w="626" w:type="pct"/>
            <w:tcBorders>
              <w:top w:val="single" w:sz="4" w:space="0" w:color="auto"/>
              <w:left w:val="single" w:sz="4" w:space="0" w:color="auto"/>
              <w:bottom w:val="single" w:sz="4" w:space="0" w:color="auto"/>
              <w:right w:val="single" w:sz="4" w:space="0" w:color="auto"/>
            </w:tcBorders>
            <w:vAlign w:val="center"/>
            <w:hideMark/>
          </w:tcPr>
          <w:p w14:paraId="13D6D32F" w14:textId="77777777" w:rsidR="007606FB" w:rsidRPr="003C23AE" w:rsidRDefault="007606FB">
            <w:pPr>
              <w:spacing w:line="256" w:lineRule="auto"/>
              <w:ind w:left="-106" w:right="-108"/>
              <w:jc w:val="center"/>
              <w:rPr>
                <w:rFonts w:cs="Times New Roman"/>
                <w:sz w:val="22"/>
              </w:rPr>
            </w:pPr>
            <w:r w:rsidRPr="003C23AE">
              <w:rPr>
                <w:rFonts w:cs="Times New Roman"/>
                <w:sz w:val="22"/>
              </w:rPr>
              <w:t>-0.07</w:t>
            </w:r>
          </w:p>
        </w:tc>
        <w:tc>
          <w:tcPr>
            <w:tcW w:w="469" w:type="pct"/>
            <w:tcBorders>
              <w:top w:val="single" w:sz="4" w:space="0" w:color="auto"/>
              <w:left w:val="single" w:sz="4" w:space="0" w:color="auto"/>
              <w:bottom w:val="single" w:sz="4" w:space="0" w:color="auto"/>
              <w:right w:val="single" w:sz="4" w:space="0" w:color="auto"/>
            </w:tcBorders>
            <w:vAlign w:val="center"/>
            <w:hideMark/>
          </w:tcPr>
          <w:p w14:paraId="33707D74" w14:textId="77777777" w:rsidR="007606FB" w:rsidRPr="003C23AE" w:rsidRDefault="007606FB">
            <w:pPr>
              <w:spacing w:line="256" w:lineRule="auto"/>
              <w:ind w:left="-110" w:right="-110"/>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7D899AA3" w14:textId="77777777" w:rsidR="007606FB" w:rsidRPr="003C23AE" w:rsidRDefault="007606FB">
            <w:pPr>
              <w:spacing w:line="256" w:lineRule="auto"/>
              <w:ind w:left="-110" w:right="-109"/>
              <w:jc w:val="center"/>
              <w:rPr>
                <w:rFonts w:cs="Times New Roman"/>
                <w:sz w:val="22"/>
              </w:rPr>
            </w:pPr>
            <w:r w:rsidRPr="003C23AE">
              <w:rPr>
                <w:rFonts w:cs="Times New Roman"/>
                <w:sz w:val="22"/>
              </w:rPr>
              <w:t>-0.11</w:t>
            </w:r>
          </w:p>
        </w:tc>
        <w:tc>
          <w:tcPr>
            <w:tcW w:w="470" w:type="pct"/>
            <w:tcBorders>
              <w:top w:val="single" w:sz="4" w:space="0" w:color="auto"/>
              <w:left w:val="single" w:sz="4" w:space="0" w:color="auto"/>
              <w:bottom w:val="single" w:sz="4" w:space="0" w:color="auto"/>
              <w:right w:val="single" w:sz="4" w:space="0" w:color="auto"/>
            </w:tcBorders>
            <w:vAlign w:val="center"/>
            <w:hideMark/>
          </w:tcPr>
          <w:p w14:paraId="22FE54B4" w14:textId="77777777" w:rsidR="007606FB" w:rsidRPr="003C23AE" w:rsidRDefault="007606FB">
            <w:pPr>
              <w:spacing w:line="256" w:lineRule="auto"/>
              <w:ind w:left="-110" w:right="-109"/>
              <w:jc w:val="center"/>
              <w:rPr>
                <w:rFonts w:cs="Times New Roman"/>
                <w:sz w:val="22"/>
              </w:rPr>
            </w:pPr>
            <w:r w:rsidRPr="003C23AE">
              <w:rPr>
                <w:rFonts w:cs="Times New Roman"/>
                <w:sz w:val="22"/>
              </w:rPr>
              <w:t>--</w:t>
            </w:r>
          </w:p>
        </w:tc>
        <w:tc>
          <w:tcPr>
            <w:tcW w:w="700" w:type="pct"/>
            <w:tcBorders>
              <w:top w:val="single" w:sz="4" w:space="0" w:color="auto"/>
              <w:left w:val="single" w:sz="4" w:space="0" w:color="auto"/>
              <w:bottom w:val="single" w:sz="4" w:space="0" w:color="auto"/>
              <w:right w:val="single" w:sz="4" w:space="0" w:color="auto"/>
            </w:tcBorders>
            <w:vAlign w:val="center"/>
            <w:hideMark/>
          </w:tcPr>
          <w:p w14:paraId="1204500A" w14:textId="77777777" w:rsidR="007606FB" w:rsidRPr="003C23AE" w:rsidRDefault="007606FB">
            <w:pPr>
              <w:spacing w:line="256" w:lineRule="auto"/>
              <w:ind w:left="-107" w:right="-115"/>
              <w:jc w:val="center"/>
              <w:rPr>
                <w:rFonts w:cs="Times New Roman"/>
                <w:sz w:val="22"/>
              </w:rPr>
            </w:pPr>
            <w:r w:rsidRPr="003C23AE">
              <w:rPr>
                <w:rFonts w:cs="Times New Roman"/>
                <w:sz w:val="22"/>
              </w:rPr>
              <w:t>-0.14</w:t>
            </w:r>
          </w:p>
        </w:tc>
      </w:tr>
      <w:tr w:rsidR="007606FB" w:rsidRPr="003C23AE" w14:paraId="5F15FDB0"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1140E3B3" w14:textId="77777777" w:rsidR="007606FB" w:rsidRPr="003C23AE" w:rsidRDefault="007606FB">
            <w:pPr>
              <w:spacing w:line="256" w:lineRule="auto"/>
              <w:rPr>
                <w:rFonts w:cs="Times New Roman"/>
                <w:sz w:val="22"/>
              </w:rPr>
            </w:pPr>
            <w:r w:rsidRPr="003C23AE">
              <w:rPr>
                <w:rFonts w:cs="Times New Roman"/>
                <w:sz w:val="22"/>
              </w:rPr>
              <w:t>95% Confidence Interval</w:t>
            </w:r>
          </w:p>
        </w:tc>
        <w:tc>
          <w:tcPr>
            <w:tcW w:w="469" w:type="pct"/>
            <w:tcBorders>
              <w:top w:val="single" w:sz="4" w:space="0" w:color="auto"/>
              <w:left w:val="single" w:sz="4" w:space="0" w:color="auto"/>
              <w:bottom w:val="single" w:sz="4" w:space="0" w:color="auto"/>
              <w:right w:val="single" w:sz="4" w:space="0" w:color="auto"/>
            </w:tcBorders>
            <w:vAlign w:val="center"/>
            <w:hideMark/>
          </w:tcPr>
          <w:p w14:paraId="016BF44B" w14:textId="77777777" w:rsidR="007606FB" w:rsidRPr="003C23AE" w:rsidRDefault="007606FB">
            <w:pPr>
              <w:spacing w:line="256" w:lineRule="auto"/>
              <w:ind w:left="-104" w:right="-106"/>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25877F72" w14:textId="77777777" w:rsidR="007606FB" w:rsidRPr="003C23AE" w:rsidRDefault="007606FB">
            <w:pPr>
              <w:spacing w:line="256" w:lineRule="auto"/>
              <w:ind w:left="-110" w:right="-110"/>
              <w:jc w:val="center"/>
              <w:rPr>
                <w:rFonts w:cs="Times New Roman"/>
                <w:sz w:val="22"/>
              </w:rPr>
            </w:pPr>
            <w:r w:rsidRPr="003C23AE">
              <w:rPr>
                <w:rFonts w:cs="Times New Roman"/>
                <w:sz w:val="22"/>
              </w:rPr>
              <w:t>(-0.17, -0.02)</w:t>
            </w:r>
          </w:p>
        </w:tc>
        <w:tc>
          <w:tcPr>
            <w:tcW w:w="626" w:type="pct"/>
            <w:tcBorders>
              <w:top w:val="single" w:sz="4" w:space="0" w:color="auto"/>
              <w:left w:val="single" w:sz="4" w:space="0" w:color="auto"/>
              <w:bottom w:val="single" w:sz="4" w:space="0" w:color="auto"/>
              <w:right w:val="single" w:sz="4" w:space="0" w:color="auto"/>
            </w:tcBorders>
            <w:vAlign w:val="center"/>
            <w:hideMark/>
          </w:tcPr>
          <w:p w14:paraId="5A30F39B" w14:textId="77777777" w:rsidR="007606FB" w:rsidRPr="003C23AE" w:rsidRDefault="007606FB">
            <w:pPr>
              <w:spacing w:line="256" w:lineRule="auto"/>
              <w:ind w:left="-106" w:right="-108"/>
              <w:jc w:val="center"/>
              <w:rPr>
                <w:rFonts w:cs="Times New Roman"/>
                <w:sz w:val="22"/>
              </w:rPr>
            </w:pPr>
            <w:r w:rsidRPr="003C23AE">
              <w:rPr>
                <w:rFonts w:cs="Times New Roman"/>
                <w:sz w:val="22"/>
              </w:rPr>
              <w:t>(-0.15, 0.01)</w:t>
            </w:r>
          </w:p>
        </w:tc>
        <w:tc>
          <w:tcPr>
            <w:tcW w:w="469" w:type="pct"/>
            <w:tcBorders>
              <w:top w:val="single" w:sz="4" w:space="0" w:color="auto"/>
              <w:left w:val="single" w:sz="4" w:space="0" w:color="auto"/>
              <w:bottom w:val="single" w:sz="4" w:space="0" w:color="auto"/>
              <w:right w:val="single" w:sz="4" w:space="0" w:color="auto"/>
            </w:tcBorders>
            <w:vAlign w:val="center"/>
            <w:hideMark/>
          </w:tcPr>
          <w:p w14:paraId="22FE79AF" w14:textId="77777777" w:rsidR="007606FB" w:rsidRPr="003C23AE" w:rsidRDefault="007606FB">
            <w:pPr>
              <w:spacing w:line="256" w:lineRule="auto"/>
              <w:ind w:left="-110" w:right="-110"/>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178EEDD1" w14:textId="77777777" w:rsidR="007606FB" w:rsidRPr="003C23AE" w:rsidRDefault="007606FB">
            <w:pPr>
              <w:spacing w:line="256" w:lineRule="auto"/>
              <w:ind w:left="-110" w:right="-109"/>
              <w:jc w:val="center"/>
              <w:rPr>
                <w:rFonts w:cs="Times New Roman"/>
                <w:sz w:val="22"/>
              </w:rPr>
            </w:pPr>
            <w:r w:rsidRPr="003C23AE">
              <w:rPr>
                <w:rFonts w:cs="Times New Roman"/>
                <w:sz w:val="22"/>
              </w:rPr>
              <w:t>(-0.18, -0.04)</w:t>
            </w:r>
          </w:p>
        </w:tc>
        <w:tc>
          <w:tcPr>
            <w:tcW w:w="470" w:type="pct"/>
            <w:tcBorders>
              <w:top w:val="single" w:sz="4" w:space="0" w:color="auto"/>
              <w:left w:val="single" w:sz="4" w:space="0" w:color="auto"/>
              <w:bottom w:val="single" w:sz="4" w:space="0" w:color="auto"/>
              <w:right w:val="single" w:sz="4" w:space="0" w:color="auto"/>
            </w:tcBorders>
            <w:vAlign w:val="center"/>
            <w:hideMark/>
          </w:tcPr>
          <w:p w14:paraId="61462A17" w14:textId="77777777" w:rsidR="007606FB" w:rsidRPr="003C23AE" w:rsidRDefault="007606FB">
            <w:pPr>
              <w:spacing w:line="256" w:lineRule="auto"/>
              <w:ind w:left="-110" w:right="-109"/>
              <w:jc w:val="center"/>
              <w:rPr>
                <w:rFonts w:cs="Times New Roman"/>
                <w:sz w:val="22"/>
              </w:rPr>
            </w:pPr>
            <w:r w:rsidRPr="003C23AE">
              <w:rPr>
                <w:rFonts w:cs="Times New Roman"/>
                <w:sz w:val="22"/>
              </w:rPr>
              <w:t>--</w:t>
            </w:r>
          </w:p>
        </w:tc>
        <w:tc>
          <w:tcPr>
            <w:tcW w:w="700" w:type="pct"/>
            <w:tcBorders>
              <w:top w:val="single" w:sz="4" w:space="0" w:color="auto"/>
              <w:left w:val="single" w:sz="4" w:space="0" w:color="auto"/>
              <w:bottom w:val="single" w:sz="4" w:space="0" w:color="auto"/>
              <w:right w:val="single" w:sz="4" w:space="0" w:color="auto"/>
            </w:tcBorders>
            <w:vAlign w:val="center"/>
            <w:hideMark/>
          </w:tcPr>
          <w:p w14:paraId="5BC992EA" w14:textId="77777777" w:rsidR="007606FB" w:rsidRPr="003C23AE" w:rsidRDefault="007606FB">
            <w:pPr>
              <w:spacing w:line="256" w:lineRule="auto"/>
              <w:ind w:left="-107" w:right="-115"/>
              <w:jc w:val="center"/>
              <w:rPr>
                <w:rFonts w:cs="Times New Roman"/>
                <w:sz w:val="22"/>
              </w:rPr>
            </w:pPr>
            <w:r w:rsidRPr="003C23AE">
              <w:rPr>
                <w:rFonts w:cs="Times New Roman"/>
                <w:sz w:val="22"/>
              </w:rPr>
              <w:t>(-0.22, -0.06)</w:t>
            </w:r>
          </w:p>
        </w:tc>
      </w:tr>
      <w:tr w:rsidR="007606FB" w:rsidRPr="003C23AE" w14:paraId="3667808C"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69B22B3E" w14:textId="77777777" w:rsidR="007606FB" w:rsidRPr="003C23AE" w:rsidRDefault="007606FB">
            <w:pPr>
              <w:spacing w:line="256" w:lineRule="auto"/>
              <w:rPr>
                <w:rFonts w:cs="Times New Roman"/>
                <w:sz w:val="22"/>
              </w:rPr>
            </w:pPr>
            <w:r w:rsidRPr="003C23AE">
              <w:rPr>
                <w:rFonts w:cs="Times New Roman"/>
                <w:sz w:val="22"/>
              </w:rPr>
              <w:t>p-value</w:t>
            </w:r>
          </w:p>
        </w:tc>
        <w:tc>
          <w:tcPr>
            <w:tcW w:w="469" w:type="pct"/>
            <w:tcBorders>
              <w:top w:val="single" w:sz="4" w:space="0" w:color="auto"/>
              <w:left w:val="single" w:sz="4" w:space="0" w:color="auto"/>
              <w:bottom w:val="single" w:sz="4" w:space="0" w:color="auto"/>
              <w:right w:val="single" w:sz="4" w:space="0" w:color="auto"/>
            </w:tcBorders>
            <w:vAlign w:val="center"/>
            <w:hideMark/>
          </w:tcPr>
          <w:p w14:paraId="7331CF59" w14:textId="77777777" w:rsidR="007606FB" w:rsidRPr="003C23AE" w:rsidRDefault="007606FB">
            <w:pPr>
              <w:spacing w:line="256" w:lineRule="auto"/>
              <w:ind w:left="-104" w:right="-106"/>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8EC83C4" w14:textId="77777777" w:rsidR="007606FB" w:rsidRPr="003C23AE" w:rsidRDefault="007606FB">
            <w:pPr>
              <w:spacing w:line="256" w:lineRule="auto"/>
              <w:ind w:left="-110" w:right="-110"/>
              <w:jc w:val="center"/>
              <w:rPr>
                <w:rFonts w:cs="Times New Roman"/>
                <w:sz w:val="22"/>
              </w:rPr>
            </w:pPr>
            <w:r w:rsidRPr="003C23AE">
              <w:rPr>
                <w:rFonts w:cs="Times New Roman"/>
                <w:sz w:val="22"/>
              </w:rPr>
              <w:t>0.018*</w:t>
            </w:r>
          </w:p>
        </w:tc>
        <w:tc>
          <w:tcPr>
            <w:tcW w:w="626" w:type="pct"/>
            <w:tcBorders>
              <w:top w:val="single" w:sz="4" w:space="0" w:color="auto"/>
              <w:left w:val="single" w:sz="4" w:space="0" w:color="auto"/>
              <w:bottom w:val="single" w:sz="4" w:space="0" w:color="auto"/>
              <w:right w:val="single" w:sz="4" w:space="0" w:color="auto"/>
            </w:tcBorders>
            <w:vAlign w:val="center"/>
            <w:hideMark/>
          </w:tcPr>
          <w:p w14:paraId="0487C88E" w14:textId="77777777" w:rsidR="007606FB" w:rsidRPr="003C23AE" w:rsidRDefault="007606FB">
            <w:pPr>
              <w:spacing w:line="256" w:lineRule="auto"/>
              <w:ind w:left="-106" w:right="-108"/>
              <w:jc w:val="center"/>
              <w:rPr>
                <w:rFonts w:cs="Times New Roman"/>
                <w:sz w:val="22"/>
              </w:rPr>
            </w:pPr>
            <w:r w:rsidRPr="003C23AE">
              <w:rPr>
                <w:rFonts w:cs="Times New Roman"/>
                <w:sz w:val="22"/>
              </w:rPr>
              <w:t>0.085</w:t>
            </w:r>
          </w:p>
        </w:tc>
        <w:tc>
          <w:tcPr>
            <w:tcW w:w="469" w:type="pct"/>
            <w:tcBorders>
              <w:top w:val="single" w:sz="4" w:space="0" w:color="auto"/>
              <w:left w:val="single" w:sz="4" w:space="0" w:color="auto"/>
              <w:bottom w:val="single" w:sz="4" w:space="0" w:color="auto"/>
              <w:right w:val="single" w:sz="4" w:space="0" w:color="auto"/>
            </w:tcBorders>
            <w:vAlign w:val="center"/>
            <w:hideMark/>
          </w:tcPr>
          <w:p w14:paraId="68259499" w14:textId="77777777" w:rsidR="007606FB" w:rsidRPr="003C23AE" w:rsidRDefault="007606FB">
            <w:pPr>
              <w:spacing w:line="256" w:lineRule="auto"/>
              <w:ind w:left="-110" w:right="-110"/>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04C2A773" w14:textId="77777777" w:rsidR="007606FB" w:rsidRPr="003C23AE" w:rsidRDefault="007606FB">
            <w:pPr>
              <w:spacing w:line="256" w:lineRule="auto"/>
              <w:ind w:left="-110" w:right="-109"/>
              <w:jc w:val="center"/>
              <w:rPr>
                <w:rFonts w:cs="Times New Roman"/>
                <w:sz w:val="22"/>
              </w:rPr>
            </w:pPr>
            <w:r w:rsidRPr="003C23AE">
              <w:rPr>
                <w:rFonts w:cs="Times New Roman"/>
                <w:sz w:val="22"/>
              </w:rPr>
              <w:t>0.004*</w:t>
            </w:r>
          </w:p>
        </w:tc>
        <w:tc>
          <w:tcPr>
            <w:tcW w:w="470" w:type="pct"/>
            <w:tcBorders>
              <w:top w:val="single" w:sz="4" w:space="0" w:color="auto"/>
              <w:left w:val="single" w:sz="4" w:space="0" w:color="auto"/>
              <w:bottom w:val="single" w:sz="4" w:space="0" w:color="auto"/>
              <w:right w:val="single" w:sz="4" w:space="0" w:color="auto"/>
            </w:tcBorders>
            <w:vAlign w:val="center"/>
            <w:hideMark/>
          </w:tcPr>
          <w:p w14:paraId="3A9E8F8A" w14:textId="77777777" w:rsidR="007606FB" w:rsidRPr="003C23AE" w:rsidRDefault="007606FB">
            <w:pPr>
              <w:spacing w:line="256" w:lineRule="auto"/>
              <w:ind w:left="-110" w:right="-109"/>
              <w:jc w:val="center"/>
              <w:rPr>
                <w:rFonts w:cs="Times New Roman"/>
                <w:sz w:val="22"/>
              </w:rPr>
            </w:pPr>
            <w:r w:rsidRPr="003C23AE">
              <w:rPr>
                <w:rFonts w:cs="Times New Roman"/>
                <w:sz w:val="22"/>
              </w:rPr>
              <w:t>--</w:t>
            </w:r>
          </w:p>
        </w:tc>
        <w:tc>
          <w:tcPr>
            <w:tcW w:w="700" w:type="pct"/>
            <w:tcBorders>
              <w:top w:val="single" w:sz="4" w:space="0" w:color="auto"/>
              <w:left w:val="single" w:sz="4" w:space="0" w:color="auto"/>
              <w:bottom w:val="single" w:sz="4" w:space="0" w:color="auto"/>
              <w:right w:val="single" w:sz="4" w:space="0" w:color="auto"/>
            </w:tcBorders>
            <w:vAlign w:val="center"/>
            <w:hideMark/>
          </w:tcPr>
          <w:p w14:paraId="6FF573C7" w14:textId="77777777" w:rsidR="007606FB" w:rsidRPr="003C23AE" w:rsidRDefault="007606FB">
            <w:pPr>
              <w:spacing w:line="256" w:lineRule="auto"/>
              <w:ind w:left="-107" w:right="-115"/>
              <w:jc w:val="center"/>
              <w:rPr>
                <w:rFonts w:cs="Times New Roman"/>
                <w:sz w:val="22"/>
              </w:rPr>
            </w:pPr>
            <w:r w:rsidRPr="003C23AE">
              <w:rPr>
                <w:rFonts w:cs="Times New Roman"/>
                <w:sz w:val="22"/>
              </w:rPr>
              <w:t>&lt;0.001‡</w:t>
            </w:r>
          </w:p>
        </w:tc>
      </w:tr>
      <w:tr w:rsidR="007606FB" w:rsidRPr="00531029" w14:paraId="18ADD6BE" w14:textId="77777777" w:rsidTr="007606FB">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3BBB3A06" w14:textId="77777777" w:rsidR="007606FB" w:rsidRPr="003C23AE" w:rsidRDefault="007606FB">
            <w:pPr>
              <w:tabs>
                <w:tab w:val="left" w:pos="567"/>
              </w:tabs>
              <w:ind w:left="-107" w:right="-115"/>
              <w:rPr>
                <w:rFonts w:cs="Times New Roman"/>
                <w:sz w:val="22"/>
              </w:rPr>
            </w:pPr>
            <w:r w:rsidRPr="003C23AE">
              <w:rPr>
                <w:rFonts w:cs="Times New Roman"/>
                <w:b/>
                <w:sz w:val="22"/>
              </w:rPr>
              <w:t>Mean number of urgency incontinence episodes per 24 hours (FAS</w:t>
            </w:r>
            <w:r w:rsidRPr="003C23AE">
              <w:rPr>
                <w:rFonts w:cs="Times New Roman"/>
                <w:b/>
                <w:sz w:val="22"/>
              </w:rPr>
              <w:noBreakHyphen/>
              <w:t>I) (Secondary)</w:t>
            </w:r>
          </w:p>
        </w:tc>
      </w:tr>
      <w:tr w:rsidR="007606FB" w:rsidRPr="003C23AE" w14:paraId="32256DFA"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6013F357" w14:textId="77777777" w:rsidR="007606FB" w:rsidRPr="003C23AE" w:rsidRDefault="007606FB">
            <w:pPr>
              <w:spacing w:line="256" w:lineRule="auto"/>
              <w:rPr>
                <w:rFonts w:cs="Times New Roman"/>
                <w:sz w:val="22"/>
              </w:rPr>
            </w:pPr>
            <w:r w:rsidRPr="003C23AE">
              <w:rPr>
                <w:rFonts w:cs="Times New Roman"/>
                <w:sz w:val="22"/>
              </w:rP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786B32E9" w14:textId="77777777" w:rsidR="007606FB" w:rsidRPr="003C23AE" w:rsidRDefault="007606FB">
            <w:pPr>
              <w:spacing w:line="256" w:lineRule="auto"/>
              <w:ind w:left="-104" w:right="-106"/>
              <w:jc w:val="center"/>
              <w:rPr>
                <w:rFonts w:cs="Times New Roman"/>
                <w:sz w:val="22"/>
              </w:rPr>
            </w:pPr>
            <w:r w:rsidRPr="003C23AE">
              <w:rPr>
                <w:rFonts w:cs="Times New Roman"/>
                <w:sz w:val="22"/>
              </w:rPr>
              <w:t>283</w:t>
            </w:r>
          </w:p>
        </w:tc>
        <w:tc>
          <w:tcPr>
            <w:tcW w:w="704" w:type="pct"/>
            <w:tcBorders>
              <w:top w:val="single" w:sz="4" w:space="0" w:color="auto"/>
              <w:left w:val="single" w:sz="4" w:space="0" w:color="auto"/>
              <w:bottom w:val="single" w:sz="4" w:space="0" w:color="auto"/>
              <w:right w:val="single" w:sz="4" w:space="0" w:color="auto"/>
            </w:tcBorders>
            <w:vAlign w:val="center"/>
            <w:hideMark/>
          </w:tcPr>
          <w:p w14:paraId="438CFA79" w14:textId="77777777" w:rsidR="007606FB" w:rsidRPr="003C23AE" w:rsidRDefault="007606FB">
            <w:pPr>
              <w:spacing w:line="256" w:lineRule="auto"/>
              <w:ind w:left="-110" w:right="-110"/>
              <w:jc w:val="center"/>
              <w:rPr>
                <w:rFonts w:cs="Times New Roman"/>
                <w:sz w:val="22"/>
              </w:rPr>
            </w:pPr>
            <w:r w:rsidRPr="003C23AE">
              <w:rPr>
                <w:rFonts w:cs="Times New Roman"/>
                <w:sz w:val="22"/>
              </w:rPr>
              <w:t>286</w:t>
            </w:r>
          </w:p>
        </w:tc>
        <w:tc>
          <w:tcPr>
            <w:tcW w:w="626" w:type="pct"/>
            <w:tcBorders>
              <w:top w:val="single" w:sz="4" w:space="0" w:color="auto"/>
              <w:left w:val="single" w:sz="4" w:space="0" w:color="auto"/>
              <w:bottom w:val="single" w:sz="4" w:space="0" w:color="auto"/>
              <w:right w:val="single" w:sz="4" w:space="0" w:color="auto"/>
            </w:tcBorders>
            <w:vAlign w:val="center"/>
            <w:hideMark/>
          </w:tcPr>
          <w:p w14:paraId="1271C81B" w14:textId="77777777" w:rsidR="007606FB" w:rsidRPr="003C23AE" w:rsidRDefault="007606FB">
            <w:pPr>
              <w:spacing w:line="256" w:lineRule="auto"/>
              <w:ind w:left="-106" w:right="-108"/>
              <w:jc w:val="center"/>
              <w:rPr>
                <w:rFonts w:cs="Times New Roman"/>
                <w:sz w:val="22"/>
              </w:rPr>
            </w:pPr>
            <w:r w:rsidRPr="003C23AE">
              <w:rPr>
                <w:rFonts w:cs="Times New Roman"/>
                <w:sz w:val="22"/>
              </w:rPr>
              <w:t>289</w:t>
            </w:r>
          </w:p>
        </w:tc>
        <w:tc>
          <w:tcPr>
            <w:tcW w:w="469" w:type="pct"/>
            <w:tcBorders>
              <w:top w:val="single" w:sz="4" w:space="0" w:color="auto"/>
              <w:left w:val="single" w:sz="4" w:space="0" w:color="auto"/>
              <w:bottom w:val="single" w:sz="4" w:space="0" w:color="auto"/>
              <w:right w:val="single" w:sz="4" w:space="0" w:color="auto"/>
            </w:tcBorders>
            <w:vAlign w:val="center"/>
            <w:hideMark/>
          </w:tcPr>
          <w:p w14:paraId="3216669C" w14:textId="77777777" w:rsidR="007606FB" w:rsidRPr="003C23AE" w:rsidRDefault="007606FB">
            <w:pPr>
              <w:spacing w:line="256" w:lineRule="auto"/>
              <w:ind w:left="-110" w:right="-110"/>
              <w:jc w:val="center"/>
              <w:rPr>
                <w:rFonts w:cs="Times New Roman"/>
                <w:sz w:val="22"/>
              </w:rPr>
            </w:pPr>
            <w:r w:rsidRPr="003C23AE">
              <w:rPr>
                <w:rFonts w:cs="Times New Roman"/>
                <w:sz w:val="22"/>
              </w:rPr>
              <w:t>319</w:t>
            </w:r>
          </w:p>
        </w:tc>
        <w:tc>
          <w:tcPr>
            <w:tcW w:w="704" w:type="pct"/>
            <w:tcBorders>
              <w:top w:val="single" w:sz="4" w:space="0" w:color="auto"/>
              <w:left w:val="single" w:sz="4" w:space="0" w:color="auto"/>
              <w:bottom w:val="single" w:sz="4" w:space="0" w:color="auto"/>
              <w:right w:val="single" w:sz="4" w:space="0" w:color="auto"/>
            </w:tcBorders>
            <w:vAlign w:val="center"/>
            <w:hideMark/>
          </w:tcPr>
          <w:p w14:paraId="206B4E5C" w14:textId="77777777" w:rsidR="007606FB" w:rsidRPr="003C23AE" w:rsidRDefault="007606FB">
            <w:pPr>
              <w:spacing w:line="256" w:lineRule="auto"/>
              <w:ind w:left="-110" w:right="-109"/>
              <w:jc w:val="center"/>
              <w:rPr>
                <w:rFonts w:cs="Times New Roman"/>
                <w:sz w:val="22"/>
              </w:rPr>
            </w:pPr>
            <w:r w:rsidRPr="003C23AE">
              <w:rPr>
                <w:rFonts w:cs="Times New Roman"/>
                <w:sz w:val="22"/>
              </w:rPr>
              <w:t>297</w:t>
            </w:r>
          </w:p>
        </w:tc>
        <w:tc>
          <w:tcPr>
            <w:tcW w:w="470" w:type="pct"/>
            <w:tcBorders>
              <w:top w:val="single" w:sz="4" w:space="0" w:color="auto"/>
              <w:left w:val="single" w:sz="4" w:space="0" w:color="auto"/>
              <w:bottom w:val="single" w:sz="4" w:space="0" w:color="auto"/>
              <w:right w:val="single" w:sz="4" w:space="0" w:color="auto"/>
            </w:tcBorders>
            <w:vAlign w:val="center"/>
            <w:hideMark/>
          </w:tcPr>
          <w:p w14:paraId="4FA9D12C" w14:textId="77777777" w:rsidR="007606FB" w:rsidRPr="003C23AE" w:rsidRDefault="007606FB">
            <w:pPr>
              <w:spacing w:line="256" w:lineRule="auto"/>
              <w:ind w:left="-110" w:right="-109"/>
              <w:jc w:val="center"/>
              <w:rPr>
                <w:rFonts w:cs="Times New Roman"/>
                <w:sz w:val="22"/>
              </w:rPr>
            </w:pPr>
            <w:r w:rsidRPr="003C23AE">
              <w:rPr>
                <w:rFonts w:cs="Times New Roman"/>
                <w:sz w:val="22"/>
              </w:rPr>
              <w:t>256</w:t>
            </w:r>
          </w:p>
        </w:tc>
        <w:tc>
          <w:tcPr>
            <w:tcW w:w="700" w:type="pct"/>
            <w:tcBorders>
              <w:top w:val="single" w:sz="4" w:space="0" w:color="auto"/>
              <w:left w:val="single" w:sz="4" w:space="0" w:color="auto"/>
              <w:bottom w:val="single" w:sz="4" w:space="0" w:color="auto"/>
              <w:right w:val="single" w:sz="4" w:space="0" w:color="auto"/>
            </w:tcBorders>
            <w:vAlign w:val="center"/>
            <w:hideMark/>
          </w:tcPr>
          <w:p w14:paraId="40CA7634" w14:textId="77777777" w:rsidR="007606FB" w:rsidRPr="003C23AE" w:rsidRDefault="007606FB">
            <w:pPr>
              <w:spacing w:line="256" w:lineRule="auto"/>
              <w:ind w:left="-107" w:right="-115"/>
              <w:jc w:val="center"/>
              <w:rPr>
                <w:rFonts w:cs="Times New Roman"/>
                <w:sz w:val="22"/>
              </w:rPr>
            </w:pPr>
            <w:r w:rsidRPr="003C23AE">
              <w:rPr>
                <w:rFonts w:cs="Times New Roman"/>
                <w:sz w:val="22"/>
              </w:rPr>
              <w:t>251</w:t>
            </w:r>
          </w:p>
        </w:tc>
      </w:tr>
      <w:tr w:rsidR="007606FB" w:rsidRPr="003C23AE" w14:paraId="7082F24B"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60F8D56D" w14:textId="77777777" w:rsidR="007606FB" w:rsidRPr="003C23AE" w:rsidRDefault="007606FB">
            <w:pPr>
              <w:spacing w:line="256" w:lineRule="auto"/>
              <w:rPr>
                <w:rFonts w:cs="Times New Roman"/>
                <w:sz w:val="22"/>
              </w:rPr>
            </w:pPr>
            <w:r w:rsidRPr="003C23AE">
              <w:rPr>
                <w:rFonts w:cs="Times New Roman"/>
                <w:sz w:val="22"/>
              </w:rPr>
              <w:t>Mean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4520ACFC" w14:textId="77777777" w:rsidR="007606FB" w:rsidRPr="003C23AE" w:rsidRDefault="007606FB">
            <w:pPr>
              <w:spacing w:line="256" w:lineRule="auto"/>
              <w:ind w:left="-104" w:right="-106"/>
              <w:jc w:val="center"/>
              <w:rPr>
                <w:rFonts w:cs="Times New Roman"/>
                <w:sz w:val="22"/>
              </w:rPr>
            </w:pPr>
            <w:r w:rsidRPr="003C23AE">
              <w:rPr>
                <w:rFonts w:cs="Times New Roman"/>
                <w:sz w:val="22"/>
              </w:rPr>
              <w:t>2.43</w:t>
            </w:r>
          </w:p>
        </w:tc>
        <w:tc>
          <w:tcPr>
            <w:tcW w:w="704" w:type="pct"/>
            <w:tcBorders>
              <w:top w:val="single" w:sz="4" w:space="0" w:color="auto"/>
              <w:left w:val="single" w:sz="4" w:space="0" w:color="auto"/>
              <w:bottom w:val="single" w:sz="4" w:space="0" w:color="auto"/>
              <w:right w:val="single" w:sz="4" w:space="0" w:color="auto"/>
            </w:tcBorders>
            <w:vAlign w:val="center"/>
            <w:hideMark/>
          </w:tcPr>
          <w:p w14:paraId="11991917" w14:textId="77777777" w:rsidR="007606FB" w:rsidRPr="003C23AE" w:rsidRDefault="007606FB">
            <w:pPr>
              <w:spacing w:line="256" w:lineRule="auto"/>
              <w:ind w:left="-110" w:right="-110"/>
              <w:jc w:val="center"/>
              <w:rPr>
                <w:rFonts w:cs="Times New Roman"/>
                <w:sz w:val="22"/>
              </w:rPr>
            </w:pPr>
            <w:r w:rsidRPr="003C23AE">
              <w:rPr>
                <w:rFonts w:cs="Times New Roman"/>
                <w:sz w:val="22"/>
              </w:rPr>
              <w:t>2.52</w:t>
            </w:r>
          </w:p>
        </w:tc>
        <w:tc>
          <w:tcPr>
            <w:tcW w:w="626" w:type="pct"/>
            <w:tcBorders>
              <w:top w:val="single" w:sz="4" w:space="0" w:color="auto"/>
              <w:left w:val="single" w:sz="4" w:space="0" w:color="auto"/>
              <w:bottom w:val="single" w:sz="4" w:space="0" w:color="auto"/>
              <w:right w:val="single" w:sz="4" w:space="0" w:color="auto"/>
            </w:tcBorders>
            <w:vAlign w:val="center"/>
            <w:hideMark/>
          </w:tcPr>
          <w:p w14:paraId="39643D28" w14:textId="77777777" w:rsidR="007606FB" w:rsidRPr="003C23AE" w:rsidRDefault="007606FB">
            <w:pPr>
              <w:spacing w:line="256" w:lineRule="auto"/>
              <w:ind w:left="-106" w:right="-108"/>
              <w:jc w:val="center"/>
              <w:rPr>
                <w:rFonts w:cs="Times New Roman"/>
                <w:sz w:val="22"/>
              </w:rPr>
            </w:pPr>
            <w:r w:rsidRPr="003C23AE">
              <w:rPr>
                <w:rFonts w:cs="Times New Roman"/>
                <w:sz w:val="22"/>
              </w:rPr>
              <w:t>2.37</w:t>
            </w:r>
          </w:p>
        </w:tc>
        <w:tc>
          <w:tcPr>
            <w:tcW w:w="469" w:type="pct"/>
            <w:tcBorders>
              <w:top w:val="single" w:sz="4" w:space="0" w:color="auto"/>
              <w:left w:val="single" w:sz="4" w:space="0" w:color="auto"/>
              <w:bottom w:val="single" w:sz="4" w:space="0" w:color="auto"/>
              <w:right w:val="single" w:sz="4" w:space="0" w:color="auto"/>
            </w:tcBorders>
            <w:vAlign w:val="center"/>
            <w:hideMark/>
          </w:tcPr>
          <w:p w14:paraId="558AEB0A" w14:textId="77777777" w:rsidR="007606FB" w:rsidRPr="003C23AE" w:rsidRDefault="007606FB">
            <w:pPr>
              <w:spacing w:line="256" w:lineRule="auto"/>
              <w:ind w:left="-110" w:right="-110"/>
              <w:jc w:val="center"/>
              <w:rPr>
                <w:rFonts w:cs="Times New Roman"/>
                <w:sz w:val="22"/>
              </w:rPr>
            </w:pPr>
            <w:r w:rsidRPr="003C23AE">
              <w:rPr>
                <w:rFonts w:cs="Times New Roman"/>
                <w:sz w:val="22"/>
              </w:rPr>
              <w:t>2.56</w:t>
            </w:r>
          </w:p>
        </w:tc>
        <w:tc>
          <w:tcPr>
            <w:tcW w:w="704" w:type="pct"/>
            <w:tcBorders>
              <w:top w:val="single" w:sz="4" w:space="0" w:color="auto"/>
              <w:left w:val="single" w:sz="4" w:space="0" w:color="auto"/>
              <w:bottom w:val="single" w:sz="4" w:space="0" w:color="auto"/>
              <w:right w:val="single" w:sz="4" w:space="0" w:color="auto"/>
            </w:tcBorders>
            <w:vAlign w:val="center"/>
            <w:hideMark/>
          </w:tcPr>
          <w:p w14:paraId="4D67D1B9" w14:textId="77777777" w:rsidR="007606FB" w:rsidRPr="003C23AE" w:rsidRDefault="007606FB">
            <w:pPr>
              <w:spacing w:line="256" w:lineRule="auto"/>
              <w:ind w:left="-110" w:right="-109"/>
              <w:jc w:val="center"/>
              <w:rPr>
                <w:rFonts w:cs="Times New Roman"/>
                <w:sz w:val="22"/>
              </w:rPr>
            </w:pPr>
            <w:r w:rsidRPr="003C23AE">
              <w:rPr>
                <w:rFonts w:cs="Times New Roman"/>
                <w:sz w:val="22"/>
              </w:rPr>
              <w:t>2.42</w:t>
            </w:r>
          </w:p>
        </w:tc>
        <w:tc>
          <w:tcPr>
            <w:tcW w:w="470" w:type="pct"/>
            <w:tcBorders>
              <w:top w:val="single" w:sz="4" w:space="0" w:color="auto"/>
              <w:left w:val="single" w:sz="4" w:space="0" w:color="auto"/>
              <w:bottom w:val="single" w:sz="4" w:space="0" w:color="auto"/>
              <w:right w:val="single" w:sz="4" w:space="0" w:color="auto"/>
            </w:tcBorders>
            <w:vAlign w:val="center"/>
            <w:hideMark/>
          </w:tcPr>
          <w:p w14:paraId="22E5800C" w14:textId="77777777" w:rsidR="007606FB" w:rsidRPr="003C23AE" w:rsidRDefault="007606FB">
            <w:pPr>
              <w:spacing w:line="256" w:lineRule="auto"/>
              <w:ind w:left="-110" w:right="-109"/>
              <w:jc w:val="center"/>
              <w:rPr>
                <w:rFonts w:cs="Times New Roman"/>
                <w:sz w:val="22"/>
              </w:rPr>
            </w:pPr>
            <w:r w:rsidRPr="003C23AE">
              <w:rPr>
                <w:rFonts w:cs="Times New Roman"/>
                <w:sz w:val="22"/>
              </w:rPr>
              <w:t>2.24</w:t>
            </w:r>
          </w:p>
        </w:tc>
        <w:tc>
          <w:tcPr>
            <w:tcW w:w="700" w:type="pct"/>
            <w:tcBorders>
              <w:top w:val="single" w:sz="4" w:space="0" w:color="auto"/>
              <w:left w:val="single" w:sz="4" w:space="0" w:color="auto"/>
              <w:bottom w:val="single" w:sz="4" w:space="0" w:color="auto"/>
              <w:right w:val="single" w:sz="4" w:space="0" w:color="auto"/>
            </w:tcBorders>
            <w:vAlign w:val="center"/>
            <w:hideMark/>
          </w:tcPr>
          <w:p w14:paraId="596E1E08" w14:textId="77777777" w:rsidR="007606FB" w:rsidRPr="003C23AE" w:rsidRDefault="007606FB">
            <w:pPr>
              <w:spacing w:line="256" w:lineRule="auto"/>
              <w:ind w:left="-107" w:right="-115"/>
              <w:jc w:val="center"/>
              <w:rPr>
                <w:rFonts w:cs="Times New Roman"/>
                <w:sz w:val="22"/>
              </w:rPr>
            </w:pPr>
            <w:r w:rsidRPr="003C23AE">
              <w:rPr>
                <w:rFonts w:cs="Times New Roman"/>
                <w:sz w:val="22"/>
              </w:rPr>
              <w:t>2.33</w:t>
            </w:r>
          </w:p>
        </w:tc>
      </w:tr>
      <w:tr w:rsidR="007606FB" w:rsidRPr="003C23AE" w14:paraId="79C7C2D8"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6A961BD5" w14:textId="77777777" w:rsidR="007606FB" w:rsidRPr="003C23AE" w:rsidRDefault="007606FB">
            <w:pPr>
              <w:spacing w:line="256" w:lineRule="auto"/>
              <w:rPr>
                <w:rFonts w:cs="Times New Roman"/>
                <w:sz w:val="22"/>
              </w:rPr>
            </w:pPr>
            <w:r w:rsidRPr="003C23AE">
              <w:rPr>
                <w:rFonts w:cs="Times New Roman"/>
                <w:sz w:val="22"/>
              </w:rPr>
              <w:t>Mean change from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1BB6AC7F" w14:textId="77777777" w:rsidR="007606FB" w:rsidRPr="003C23AE" w:rsidRDefault="007606FB">
            <w:pPr>
              <w:spacing w:line="256" w:lineRule="auto"/>
              <w:ind w:left="-104" w:right="-106"/>
              <w:jc w:val="center"/>
              <w:rPr>
                <w:rFonts w:cs="Times New Roman"/>
                <w:sz w:val="22"/>
              </w:rPr>
            </w:pPr>
            <w:r w:rsidRPr="003C23AE">
              <w:rPr>
                <w:rFonts w:cs="Times New Roman"/>
                <w:sz w:val="22"/>
              </w:rPr>
              <w:t>-1.11</w:t>
            </w:r>
          </w:p>
        </w:tc>
        <w:tc>
          <w:tcPr>
            <w:tcW w:w="704" w:type="pct"/>
            <w:tcBorders>
              <w:top w:val="single" w:sz="4" w:space="0" w:color="auto"/>
              <w:left w:val="single" w:sz="4" w:space="0" w:color="auto"/>
              <w:bottom w:val="single" w:sz="4" w:space="0" w:color="auto"/>
              <w:right w:val="single" w:sz="4" w:space="0" w:color="auto"/>
            </w:tcBorders>
            <w:vAlign w:val="center"/>
            <w:hideMark/>
          </w:tcPr>
          <w:p w14:paraId="4A04501D" w14:textId="77777777" w:rsidR="007606FB" w:rsidRPr="003C23AE" w:rsidRDefault="007606FB">
            <w:pPr>
              <w:spacing w:line="256" w:lineRule="auto"/>
              <w:ind w:left="-110" w:right="-110"/>
              <w:jc w:val="center"/>
              <w:rPr>
                <w:rFonts w:cs="Times New Roman"/>
                <w:sz w:val="22"/>
              </w:rPr>
            </w:pPr>
            <w:r w:rsidRPr="003C23AE">
              <w:rPr>
                <w:rFonts w:cs="Times New Roman"/>
                <w:sz w:val="22"/>
              </w:rPr>
              <w:t>-1.46</w:t>
            </w:r>
          </w:p>
        </w:tc>
        <w:tc>
          <w:tcPr>
            <w:tcW w:w="626" w:type="pct"/>
            <w:tcBorders>
              <w:top w:val="single" w:sz="4" w:space="0" w:color="auto"/>
              <w:left w:val="single" w:sz="4" w:space="0" w:color="auto"/>
              <w:bottom w:val="single" w:sz="4" w:space="0" w:color="auto"/>
              <w:right w:val="single" w:sz="4" w:space="0" w:color="auto"/>
            </w:tcBorders>
            <w:vAlign w:val="center"/>
            <w:hideMark/>
          </w:tcPr>
          <w:p w14:paraId="2282496B" w14:textId="77777777" w:rsidR="007606FB" w:rsidRPr="003C23AE" w:rsidRDefault="007606FB">
            <w:pPr>
              <w:spacing w:line="256" w:lineRule="auto"/>
              <w:ind w:left="-106" w:right="-108"/>
              <w:jc w:val="center"/>
              <w:rPr>
                <w:rFonts w:cs="Times New Roman"/>
                <w:sz w:val="22"/>
              </w:rPr>
            </w:pPr>
            <w:r w:rsidRPr="003C23AE">
              <w:rPr>
                <w:rFonts w:cs="Times New Roman"/>
                <w:sz w:val="22"/>
              </w:rPr>
              <w:t>-1.18</w:t>
            </w:r>
          </w:p>
        </w:tc>
        <w:tc>
          <w:tcPr>
            <w:tcW w:w="469" w:type="pct"/>
            <w:tcBorders>
              <w:top w:val="single" w:sz="4" w:space="0" w:color="auto"/>
              <w:left w:val="single" w:sz="4" w:space="0" w:color="auto"/>
              <w:bottom w:val="single" w:sz="4" w:space="0" w:color="auto"/>
              <w:right w:val="single" w:sz="4" w:space="0" w:color="auto"/>
            </w:tcBorders>
            <w:vAlign w:val="center"/>
            <w:hideMark/>
          </w:tcPr>
          <w:p w14:paraId="7B476263" w14:textId="77777777" w:rsidR="007606FB" w:rsidRPr="003C23AE" w:rsidRDefault="007606FB">
            <w:pPr>
              <w:spacing w:line="256" w:lineRule="auto"/>
              <w:ind w:left="-110" w:right="-110"/>
              <w:jc w:val="center"/>
              <w:rPr>
                <w:rFonts w:cs="Times New Roman"/>
                <w:sz w:val="22"/>
              </w:rPr>
            </w:pPr>
            <w:r w:rsidRPr="003C23AE">
              <w:rPr>
                <w:rFonts w:cs="Times New Roman"/>
                <w:sz w:val="22"/>
              </w:rPr>
              <w:t>-0.89</w:t>
            </w:r>
          </w:p>
        </w:tc>
        <w:tc>
          <w:tcPr>
            <w:tcW w:w="704" w:type="pct"/>
            <w:tcBorders>
              <w:top w:val="single" w:sz="4" w:space="0" w:color="auto"/>
              <w:left w:val="single" w:sz="4" w:space="0" w:color="auto"/>
              <w:bottom w:val="single" w:sz="4" w:space="0" w:color="auto"/>
              <w:right w:val="single" w:sz="4" w:space="0" w:color="auto"/>
            </w:tcBorders>
            <w:vAlign w:val="center"/>
            <w:hideMark/>
          </w:tcPr>
          <w:p w14:paraId="7C966BF8" w14:textId="77777777" w:rsidR="007606FB" w:rsidRPr="003C23AE" w:rsidRDefault="007606FB">
            <w:pPr>
              <w:spacing w:line="256" w:lineRule="auto"/>
              <w:ind w:left="-110" w:right="-109"/>
              <w:jc w:val="center"/>
              <w:rPr>
                <w:rFonts w:cs="Times New Roman"/>
                <w:sz w:val="22"/>
              </w:rPr>
            </w:pPr>
            <w:r w:rsidRPr="003C23AE">
              <w:rPr>
                <w:rFonts w:cs="Times New Roman"/>
                <w:sz w:val="22"/>
              </w:rPr>
              <w:t>-1.32</w:t>
            </w:r>
          </w:p>
        </w:tc>
        <w:tc>
          <w:tcPr>
            <w:tcW w:w="470" w:type="pct"/>
            <w:tcBorders>
              <w:top w:val="single" w:sz="4" w:space="0" w:color="auto"/>
              <w:left w:val="single" w:sz="4" w:space="0" w:color="auto"/>
              <w:bottom w:val="single" w:sz="4" w:space="0" w:color="auto"/>
              <w:right w:val="single" w:sz="4" w:space="0" w:color="auto"/>
            </w:tcBorders>
            <w:vAlign w:val="center"/>
            <w:hideMark/>
          </w:tcPr>
          <w:p w14:paraId="31B8FA9C" w14:textId="77777777" w:rsidR="007606FB" w:rsidRPr="003C23AE" w:rsidRDefault="007606FB">
            <w:pPr>
              <w:spacing w:line="256" w:lineRule="auto"/>
              <w:ind w:left="-110" w:right="-109"/>
              <w:jc w:val="center"/>
              <w:rPr>
                <w:rFonts w:cs="Times New Roman"/>
                <w:sz w:val="22"/>
              </w:rPr>
            </w:pPr>
            <w:r w:rsidRPr="003C23AE">
              <w:rPr>
                <w:rFonts w:cs="Times New Roman"/>
                <w:sz w:val="22"/>
              </w:rPr>
              <w:t>-0.95</w:t>
            </w:r>
          </w:p>
        </w:tc>
        <w:tc>
          <w:tcPr>
            <w:tcW w:w="700" w:type="pct"/>
            <w:tcBorders>
              <w:top w:val="single" w:sz="4" w:space="0" w:color="auto"/>
              <w:left w:val="single" w:sz="4" w:space="0" w:color="auto"/>
              <w:bottom w:val="single" w:sz="4" w:space="0" w:color="auto"/>
              <w:right w:val="single" w:sz="4" w:space="0" w:color="auto"/>
            </w:tcBorders>
            <w:vAlign w:val="center"/>
            <w:hideMark/>
          </w:tcPr>
          <w:p w14:paraId="207313B5" w14:textId="77777777" w:rsidR="007606FB" w:rsidRPr="003C23AE" w:rsidRDefault="007606FB">
            <w:pPr>
              <w:spacing w:line="256" w:lineRule="auto"/>
              <w:ind w:left="-107" w:right="-115"/>
              <w:jc w:val="center"/>
              <w:rPr>
                <w:rFonts w:cs="Times New Roman"/>
                <w:sz w:val="22"/>
              </w:rPr>
            </w:pPr>
            <w:r w:rsidRPr="003C23AE">
              <w:rPr>
                <w:rFonts w:cs="Times New Roman"/>
                <w:sz w:val="22"/>
              </w:rPr>
              <w:t>-1.33</w:t>
            </w:r>
          </w:p>
        </w:tc>
      </w:tr>
      <w:tr w:rsidR="007606FB" w:rsidRPr="003C23AE" w14:paraId="6CE4731A"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7F8ACC3B" w14:textId="77777777" w:rsidR="007606FB" w:rsidRPr="003C23AE" w:rsidRDefault="007606FB">
            <w:pPr>
              <w:spacing w:line="256" w:lineRule="auto"/>
              <w:rPr>
                <w:rFonts w:cs="Times New Roman"/>
                <w:sz w:val="22"/>
              </w:rPr>
            </w:pPr>
            <w:r w:rsidRPr="003C23AE">
              <w:rPr>
                <w:rFonts w:cs="Times New Roman"/>
                <w:sz w:val="22"/>
              </w:rPr>
              <w:t>Mean difference from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0AC9E5B4" w14:textId="77777777" w:rsidR="007606FB" w:rsidRPr="003C23AE" w:rsidRDefault="007606FB">
            <w:pPr>
              <w:spacing w:line="256" w:lineRule="auto"/>
              <w:ind w:left="-104" w:right="-106"/>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7E7DDE03" w14:textId="77777777" w:rsidR="007606FB" w:rsidRPr="003C23AE" w:rsidRDefault="007606FB">
            <w:pPr>
              <w:spacing w:line="256" w:lineRule="auto"/>
              <w:ind w:left="-110" w:right="-110"/>
              <w:jc w:val="center"/>
              <w:rPr>
                <w:rFonts w:cs="Times New Roman"/>
                <w:sz w:val="22"/>
              </w:rPr>
            </w:pPr>
            <w:r w:rsidRPr="003C23AE">
              <w:rPr>
                <w:rFonts w:cs="Times New Roman"/>
                <w:sz w:val="22"/>
              </w:rPr>
              <w:t>-0.35</w:t>
            </w:r>
          </w:p>
        </w:tc>
        <w:tc>
          <w:tcPr>
            <w:tcW w:w="626" w:type="pct"/>
            <w:tcBorders>
              <w:top w:val="single" w:sz="4" w:space="0" w:color="auto"/>
              <w:left w:val="single" w:sz="4" w:space="0" w:color="auto"/>
              <w:bottom w:val="single" w:sz="4" w:space="0" w:color="auto"/>
              <w:right w:val="single" w:sz="4" w:space="0" w:color="auto"/>
            </w:tcBorders>
            <w:vAlign w:val="center"/>
            <w:hideMark/>
          </w:tcPr>
          <w:p w14:paraId="3DBB1F10" w14:textId="77777777" w:rsidR="007606FB" w:rsidRPr="003C23AE" w:rsidRDefault="007606FB">
            <w:pPr>
              <w:spacing w:line="256" w:lineRule="auto"/>
              <w:ind w:left="-106" w:right="-108"/>
              <w:jc w:val="center"/>
              <w:rPr>
                <w:rFonts w:cs="Times New Roman"/>
                <w:sz w:val="22"/>
              </w:rPr>
            </w:pPr>
            <w:r w:rsidRPr="003C23AE">
              <w:rPr>
                <w:rFonts w:cs="Times New Roman"/>
                <w:sz w:val="22"/>
              </w:rPr>
              <w:t>-0.07</w:t>
            </w:r>
          </w:p>
        </w:tc>
        <w:tc>
          <w:tcPr>
            <w:tcW w:w="469" w:type="pct"/>
            <w:tcBorders>
              <w:top w:val="single" w:sz="4" w:space="0" w:color="auto"/>
              <w:left w:val="single" w:sz="4" w:space="0" w:color="auto"/>
              <w:bottom w:val="single" w:sz="4" w:space="0" w:color="auto"/>
              <w:right w:val="single" w:sz="4" w:space="0" w:color="auto"/>
            </w:tcBorders>
            <w:vAlign w:val="center"/>
            <w:hideMark/>
          </w:tcPr>
          <w:p w14:paraId="4EA379F6" w14:textId="77777777" w:rsidR="007606FB" w:rsidRPr="003C23AE" w:rsidRDefault="007606FB">
            <w:pPr>
              <w:spacing w:line="256" w:lineRule="auto"/>
              <w:ind w:left="-110" w:right="-110"/>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708AA157" w14:textId="77777777" w:rsidR="007606FB" w:rsidRPr="003C23AE" w:rsidRDefault="007606FB">
            <w:pPr>
              <w:spacing w:line="256" w:lineRule="auto"/>
              <w:ind w:left="-110" w:right="-109"/>
              <w:jc w:val="center"/>
              <w:rPr>
                <w:rFonts w:cs="Times New Roman"/>
                <w:sz w:val="22"/>
              </w:rPr>
            </w:pPr>
            <w:r w:rsidRPr="003C23AE">
              <w:rPr>
                <w:rFonts w:cs="Times New Roman"/>
                <w:sz w:val="22"/>
              </w:rPr>
              <w:t>-0.43</w:t>
            </w:r>
          </w:p>
        </w:tc>
        <w:tc>
          <w:tcPr>
            <w:tcW w:w="470" w:type="pct"/>
            <w:tcBorders>
              <w:top w:val="single" w:sz="4" w:space="0" w:color="auto"/>
              <w:left w:val="single" w:sz="4" w:space="0" w:color="auto"/>
              <w:bottom w:val="single" w:sz="4" w:space="0" w:color="auto"/>
              <w:right w:val="single" w:sz="4" w:space="0" w:color="auto"/>
            </w:tcBorders>
            <w:vAlign w:val="center"/>
            <w:hideMark/>
          </w:tcPr>
          <w:p w14:paraId="115C71AE" w14:textId="77777777" w:rsidR="007606FB" w:rsidRPr="003C23AE" w:rsidRDefault="007606FB">
            <w:pPr>
              <w:spacing w:line="256" w:lineRule="auto"/>
              <w:ind w:left="-110" w:right="-109"/>
              <w:jc w:val="center"/>
              <w:rPr>
                <w:rFonts w:cs="Times New Roman"/>
                <w:sz w:val="22"/>
              </w:rPr>
            </w:pPr>
            <w:r w:rsidRPr="003C23AE">
              <w:rPr>
                <w:rFonts w:cs="Times New Roman"/>
                <w:sz w:val="22"/>
              </w:rPr>
              <w:t>--</w:t>
            </w:r>
          </w:p>
        </w:tc>
        <w:tc>
          <w:tcPr>
            <w:tcW w:w="700" w:type="pct"/>
            <w:tcBorders>
              <w:top w:val="single" w:sz="4" w:space="0" w:color="auto"/>
              <w:left w:val="single" w:sz="4" w:space="0" w:color="auto"/>
              <w:bottom w:val="single" w:sz="4" w:space="0" w:color="auto"/>
              <w:right w:val="single" w:sz="4" w:space="0" w:color="auto"/>
            </w:tcBorders>
            <w:vAlign w:val="center"/>
            <w:hideMark/>
          </w:tcPr>
          <w:p w14:paraId="2281E96B" w14:textId="77777777" w:rsidR="007606FB" w:rsidRPr="003C23AE" w:rsidRDefault="007606FB">
            <w:pPr>
              <w:spacing w:line="256" w:lineRule="auto"/>
              <w:ind w:left="-107" w:right="-115"/>
              <w:jc w:val="center"/>
              <w:rPr>
                <w:rFonts w:cs="Times New Roman"/>
                <w:sz w:val="22"/>
              </w:rPr>
            </w:pPr>
            <w:r w:rsidRPr="003C23AE">
              <w:rPr>
                <w:rFonts w:cs="Times New Roman"/>
                <w:sz w:val="22"/>
              </w:rPr>
              <w:t>-0.39</w:t>
            </w:r>
          </w:p>
        </w:tc>
      </w:tr>
      <w:tr w:rsidR="007606FB" w:rsidRPr="003C23AE" w14:paraId="738DAECD"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1320A65B" w14:textId="77777777" w:rsidR="007606FB" w:rsidRPr="003C23AE" w:rsidRDefault="007606FB">
            <w:pPr>
              <w:spacing w:line="256" w:lineRule="auto"/>
              <w:rPr>
                <w:rFonts w:cs="Times New Roman"/>
                <w:sz w:val="22"/>
              </w:rPr>
            </w:pPr>
            <w:r w:rsidRPr="003C23AE">
              <w:rPr>
                <w:rFonts w:cs="Times New Roman"/>
                <w:sz w:val="22"/>
              </w:rPr>
              <w:t>95% Confidence Interval</w:t>
            </w:r>
          </w:p>
        </w:tc>
        <w:tc>
          <w:tcPr>
            <w:tcW w:w="469" w:type="pct"/>
            <w:tcBorders>
              <w:top w:val="single" w:sz="4" w:space="0" w:color="auto"/>
              <w:left w:val="single" w:sz="4" w:space="0" w:color="auto"/>
              <w:bottom w:val="single" w:sz="4" w:space="0" w:color="auto"/>
              <w:right w:val="single" w:sz="4" w:space="0" w:color="auto"/>
            </w:tcBorders>
            <w:vAlign w:val="center"/>
            <w:hideMark/>
          </w:tcPr>
          <w:p w14:paraId="669AB8EA" w14:textId="77777777" w:rsidR="007606FB" w:rsidRPr="003C23AE" w:rsidRDefault="007606FB">
            <w:pPr>
              <w:spacing w:line="256" w:lineRule="auto"/>
              <w:ind w:left="-104" w:right="-106"/>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8B4CA43" w14:textId="77777777" w:rsidR="007606FB" w:rsidRPr="003C23AE" w:rsidRDefault="007606FB">
            <w:pPr>
              <w:spacing w:line="256" w:lineRule="auto"/>
              <w:ind w:left="-110" w:right="-110"/>
              <w:jc w:val="center"/>
              <w:rPr>
                <w:rFonts w:cs="Times New Roman"/>
                <w:sz w:val="22"/>
              </w:rPr>
            </w:pPr>
            <w:r w:rsidRPr="003C23AE">
              <w:rPr>
                <w:rFonts w:cs="Times New Roman"/>
                <w:sz w:val="22"/>
              </w:rPr>
              <w:t>(-0.65, -0.05)</w:t>
            </w:r>
          </w:p>
        </w:tc>
        <w:tc>
          <w:tcPr>
            <w:tcW w:w="626" w:type="pct"/>
            <w:tcBorders>
              <w:top w:val="single" w:sz="4" w:space="0" w:color="auto"/>
              <w:left w:val="single" w:sz="4" w:space="0" w:color="auto"/>
              <w:bottom w:val="single" w:sz="4" w:space="0" w:color="auto"/>
              <w:right w:val="single" w:sz="4" w:space="0" w:color="auto"/>
            </w:tcBorders>
            <w:vAlign w:val="center"/>
            <w:hideMark/>
          </w:tcPr>
          <w:p w14:paraId="2AC063B4" w14:textId="77777777" w:rsidR="007606FB" w:rsidRPr="003C23AE" w:rsidRDefault="007606FB">
            <w:pPr>
              <w:spacing w:line="256" w:lineRule="auto"/>
              <w:ind w:left="-106" w:right="-108"/>
              <w:jc w:val="center"/>
              <w:rPr>
                <w:rFonts w:cs="Times New Roman"/>
                <w:sz w:val="22"/>
              </w:rPr>
            </w:pPr>
            <w:r w:rsidRPr="003C23AE">
              <w:rPr>
                <w:rFonts w:cs="Times New Roman"/>
                <w:sz w:val="22"/>
              </w:rPr>
              <w:t>(-0.38, 0.23)</w:t>
            </w:r>
          </w:p>
        </w:tc>
        <w:tc>
          <w:tcPr>
            <w:tcW w:w="469" w:type="pct"/>
            <w:tcBorders>
              <w:top w:val="single" w:sz="4" w:space="0" w:color="auto"/>
              <w:left w:val="single" w:sz="4" w:space="0" w:color="auto"/>
              <w:bottom w:val="single" w:sz="4" w:space="0" w:color="auto"/>
              <w:right w:val="single" w:sz="4" w:space="0" w:color="auto"/>
            </w:tcBorders>
            <w:vAlign w:val="center"/>
            <w:hideMark/>
          </w:tcPr>
          <w:p w14:paraId="31BDB16E" w14:textId="77777777" w:rsidR="007606FB" w:rsidRPr="003C23AE" w:rsidRDefault="007606FB">
            <w:pPr>
              <w:spacing w:line="256" w:lineRule="auto"/>
              <w:ind w:left="-110" w:right="-110"/>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54C95E9" w14:textId="77777777" w:rsidR="007606FB" w:rsidRPr="003C23AE" w:rsidRDefault="007606FB">
            <w:pPr>
              <w:spacing w:line="256" w:lineRule="auto"/>
              <w:ind w:left="-110" w:right="-109"/>
              <w:jc w:val="center"/>
              <w:rPr>
                <w:rFonts w:cs="Times New Roman"/>
                <w:sz w:val="22"/>
              </w:rPr>
            </w:pPr>
            <w:r w:rsidRPr="003C23AE">
              <w:rPr>
                <w:rFonts w:cs="Times New Roman"/>
                <w:sz w:val="22"/>
              </w:rPr>
              <w:t>(-0.72, -0.15)</w:t>
            </w:r>
          </w:p>
        </w:tc>
        <w:tc>
          <w:tcPr>
            <w:tcW w:w="470" w:type="pct"/>
            <w:tcBorders>
              <w:top w:val="single" w:sz="4" w:space="0" w:color="auto"/>
              <w:left w:val="single" w:sz="4" w:space="0" w:color="auto"/>
              <w:bottom w:val="single" w:sz="4" w:space="0" w:color="auto"/>
              <w:right w:val="single" w:sz="4" w:space="0" w:color="auto"/>
            </w:tcBorders>
            <w:vAlign w:val="center"/>
            <w:hideMark/>
          </w:tcPr>
          <w:p w14:paraId="761FFA63" w14:textId="77777777" w:rsidR="007606FB" w:rsidRPr="003C23AE" w:rsidRDefault="007606FB">
            <w:pPr>
              <w:spacing w:line="256" w:lineRule="auto"/>
              <w:ind w:left="-110" w:right="-109"/>
              <w:jc w:val="center"/>
              <w:rPr>
                <w:rFonts w:cs="Times New Roman"/>
                <w:sz w:val="22"/>
              </w:rPr>
            </w:pPr>
            <w:r w:rsidRPr="003C23AE">
              <w:rPr>
                <w:rFonts w:cs="Times New Roman"/>
                <w:sz w:val="22"/>
              </w:rPr>
              <w:t>--</w:t>
            </w:r>
          </w:p>
        </w:tc>
        <w:tc>
          <w:tcPr>
            <w:tcW w:w="700" w:type="pct"/>
            <w:tcBorders>
              <w:top w:val="single" w:sz="4" w:space="0" w:color="auto"/>
              <w:left w:val="single" w:sz="4" w:space="0" w:color="auto"/>
              <w:bottom w:val="single" w:sz="4" w:space="0" w:color="auto"/>
              <w:right w:val="single" w:sz="4" w:space="0" w:color="auto"/>
            </w:tcBorders>
            <w:vAlign w:val="center"/>
            <w:hideMark/>
          </w:tcPr>
          <w:p w14:paraId="43D593A3" w14:textId="77777777" w:rsidR="007606FB" w:rsidRPr="003C23AE" w:rsidRDefault="007606FB">
            <w:pPr>
              <w:spacing w:line="256" w:lineRule="auto"/>
              <w:ind w:left="-107" w:right="-115"/>
              <w:jc w:val="center"/>
              <w:rPr>
                <w:rFonts w:cs="Times New Roman"/>
                <w:sz w:val="22"/>
              </w:rPr>
            </w:pPr>
            <w:r w:rsidRPr="003C23AE">
              <w:rPr>
                <w:rFonts w:cs="Times New Roman"/>
                <w:sz w:val="22"/>
              </w:rPr>
              <w:t>(-0.69, -0.08)</w:t>
            </w:r>
          </w:p>
        </w:tc>
      </w:tr>
      <w:tr w:rsidR="007606FB" w:rsidRPr="003C23AE" w14:paraId="435A5E02"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1D77DF78" w14:textId="77777777" w:rsidR="007606FB" w:rsidRPr="003C23AE" w:rsidRDefault="007606FB">
            <w:pPr>
              <w:spacing w:line="256" w:lineRule="auto"/>
              <w:rPr>
                <w:rFonts w:cs="Times New Roman"/>
                <w:sz w:val="22"/>
              </w:rPr>
            </w:pPr>
            <w:r w:rsidRPr="003C23AE">
              <w:rPr>
                <w:rFonts w:cs="Times New Roman"/>
                <w:sz w:val="22"/>
              </w:rPr>
              <w:t>p-value</w:t>
            </w:r>
          </w:p>
        </w:tc>
        <w:tc>
          <w:tcPr>
            <w:tcW w:w="469" w:type="pct"/>
            <w:tcBorders>
              <w:top w:val="single" w:sz="4" w:space="0" w:color="auto"/>
              <w:left w:val="single" w:sz="4" w:space="0" w:color="auto"/>
              <w:bottom w:val="single" w:sz="4" w:space="0" w:color="auto"/>
              <w:right w:val="single" w:sz="4" w:space="0" w:color="auto"/>
            </w:tcBorders>
            <w:vAlign w:val="center"/>
            <w:hideMark/>
          </w:tcPr>
          <w:p w14:paraId="1AC4AEC6" w14:textId="77777777" w:rsidR="007606FB" w:rsidRPr="003C23AE" w:rsidRDefault="007606FB">
            <w:pPr>
              <w:spacing w:line="256" w:lineRule="auto"/>
              <w:ind w:left="-104" w:right="-106"/>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0671B3E8" w14:textId="77777777" w:rsidR="007606FB" w:rsidRPr="003C23AE" w:rsidRDefault="007606FB">
            <w:pPr>
              <w:spacing w:line="256" w:lineRule="auto"/>
              <w:ind w:left="-110" w:right="-110"/>
              <w:jc w:val="center"/>
              <w:rPr>
                <w:rFonts w:cs="Times New Roman"/>
                <w:sz w:val="22"/>
              </w:rPr>
            </w:pPr>
            <w:r w:rsidRPr="003C23AE">
              <w:rPr>
                <w:rFonts w:cs="Times New Roman"/>
                <w:sz w:val="22"/>
              </w:rPr>
              <w:t>0.003*</w:t>
            </w:r>
          </w:p>
        </w:tc>
        <w:tc>
          <w:tcPr>
            <w:tcW w:w="626" w:type="pct"/>
            <w:tcBorders>
              <w:top w:val="single" w:sz="4" w:space="0" w:color="auto"/>
              <w:left w:val="single" w:sz="4" w:space="0" w:color="auto"/>
              <w:bottom w:val="single" w:sz="4" w:space="0" w:color="auto"/>
              <w:right w:val="single" w:sz="4" w:space="0" w:color="auto"/>
            </w:tcBorders>
            <w:vAlign w:val="center"/>
            <w:hideMark/>
          </w:tcPr>
          <w:p w14:paraId="530F73D1" w14:textId="77777777" w:rsidR="007606FB" w:rsidRPr="003C23AE" w:rsidRDefault="007606FB">
            <w:pPr>
              <w:spacing w:line="256" w:lineRule="auto"/>
              <w:ind w:left="-106" w:right="-108"/>
              <w:jc w:val="center"/>
              <w:rPr>
                <w:rFonts w:cs="Times New Roman"/>
                <w:sz w:val="22"/>
              </w:rPr>
            </w:pPr>
            <w:r w:rsidRPr="003C23AE">
              <w:rPr>
                <w:rFonts w:cs="Times New Roman"/>
                <w:sz w:val="22"/>
              </w:rPr>
              <w:t>0.26</w:t>
            </w:r>
          </w:p>
        </w:tc>
        <w:tc>
          <w:tcPr>
            <w:tcW w:w="469" w:type="pct"/>
            <w:tcBorders>
              <w:top w:val="single" w:sz="4" w:space="0" w:color="auto"/>
              <w:left w:val="single" w:sz="4" w:space="0" w:color="auto"/>
              <w:bottom w:val="single" w:sz="4" w:space="0" w:color="auto"/>
              <w:right w:val="single" w:sz="4" w:space="0" w:color="auto"/>
            </w:tcBorders>
            <w:vAlign w:val="center"/>
            <w:hideMark/>
          </w:tcPr>
          <w:p w14:paraId="12DAFD08" w14:textId="77777777" w:rsidR="007606FB" w:rsidRPr="003C23AE" w:rsidRDefault="007606FB">
            <w:pPr>
              <w:spacing w:line="256" w:lineRule="auto"/>
              <w:ind w:left="-110" w:right="-110"/>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7629E928" w14:textId="77777777" w:rsidR="007606FB" w:rsidRPr="003C23AE" w:rsidRDefault="007606FB">
            <w:pPr>
              <w:spacing w:line="256" w:lineRule="auto"/>
              <w:ind w:left="-110" w:right="-109"/>
              <w:jc w:val="center"/>
              <w:rPr>
                <w:rFonts w:cs="Times New Roman"/>
                <w:sz w:val="22"/>
              </w:rPr>
            </w:pPr>
            <w:r w:rsidRPr="003C23AE">
              <w:rPr>
                <w:rFonts w:cs="Times New Roman"/>
                <w:sz w:val="22"/>
              </w:rPr>
              <w:t>0.005*</w:t>
            </w:r>
          </w:p>
        </w:tc>
        <w:tc>
          <w:tcPr>
            <w:tcW w:w="470" w:type="pct"/>
            <w:tcBorders>
              <w:top w:val="single" w:sz="4" w:space="0" w:color="auto"/>
              <w:left w:val="single" w:sz="4" w:space="0" w:color="auto"/>
              <w:bottom w:val="single" w:sz="4" w:space="0" w:color="auto"/>
              <w:right w:val="single" w:sz="4" w:space="0" w:color="auto"/>
            </w:tcBorders>
            <w:vAlign w:val="center"/>
            <w:hideMark/>
          </w:tcPr>
          <w:p w14:paraId="40E287C9" w14:textId="77777777" w:rsidR="007606FB" w:rsidRPr="003C23AE" w:rsidRDefault="007606FB">
            <w:pPr>
              <w:spacing w:line="256" w:lineRule="auto"/>
              <w:ind w:left="-110" w:right="-109"/>
              <w:jc w:val="center"/>
              <w:rPr>
                <w:rFonts w:cs="Times New Roman"/>
                <w:sz w:val="22"/>
              </w:rPr>
            </w:pPr>
            <w:r w:rsidRPr="003C23AE">
              <w:rPr>
                <w:rFonts w:cs="Times New Roman"/>
                <w:sz w:val="22"/>
              </w:rPr>
              <w:t>--</w:t>
            </w:r>
          </w:p>
        </w:tc>
        <w:tc>
          <w:tcPr>
            <w:tcW w:w="700" w:type="pct"/>
            <w:tcBorders>
              <w:top w:val="single" w:sz="4" w:space="0" w:color="auto"/>
              <w:left w:val="single" w:sz="4" w:space="0" w:color="auto"/>
              <w:bottom w:val="single" w:sz="4" w:space="0" w:color="auto"/>
              <w:right w:val="single" w:sz="4" w:space="0" w:color="auto"/>
            </w:tcBorders>
            <w:vAlign w:val="center"/>
            <w:hideMark/>
          </w:tcPr>
          <w:p w14:paraId="4D80055B" w14:textId="77777777" w:rsidR="007606FB" w:rsidRPr="003C23AE" w:rsidRDefault="007606FB">
            <w:pPr>
              <w:spacing w:line="256" w:lineRule="auto"/>
              <w:ind w:left="-107" w:right="-115"/>
              <w:jc w:val="center"/>
              <w:rPr>
                <w:rFonts w:cs="Times New Roman"/>
                <w:sz w:val="22"/>
              </w:rPr>
            </w:pPr>
            <w:r w:rsidRPr="003C23AE">
              <w:rPr>
                <w:rFonts w:cs="Times New Roman"/>
                <w:sz w:val="22"/>
              </w:rPr>
              <w:t>0.002‡</w:t>
            </w:r>
          </w:p>
        </w:tc>
      </w:tr>
      <w:tr w:rsidR="007606FB" w:rsidRPr="00531029" w14:paraId="1CFB72F4" w14:textId="77777777" w:rsidTr="007606FB">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7CD5466B" w14:textId="77777777" w:rsidR="007606FB" w:rsidRPr="003C23AE" w:rsidRDefault="007606FB">
            <w:pPr>
              <w:tabs>
                <w:tab w:val="left" w:pos="567"/>
              </w:tabs>
              <w:ind w:left="-107" w:right="-115"/>
              <w:rPr>
                <w:rFonts w:cs="Times New Roman"/>
                <w:sz w:val="22"/>
              </w:rPr>
            </w:pPr>
            <w:r w:rsidRPr="003C23AE">
              <w:rPr>
                <w:rFonts w:cs="Times New Roman"/>
                <w:b/>
                <w:sz w:val="22"/>
              </w:rPr>
              <w:t>Mean number of episodes with urgency grades 3 or 4 per 24 hours (FAS) (Secondary)</w:t>
            </w:r>
          </w:p>
        </w:tc>
      </w:tr>
      <w:tr w:rsidR="007606FB" w:rsidRPr="003C23AE" w14:paraId="0C9C531E"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7575CCAF" w14:textId="77777777" w:rsidR="007606FB" w:rsidRPr="003C23AE" w:rsidRDefault="007606FB">
            <w:pPr>
              <w:spacing w:line="256" w:lineRule="auto"/>
              <w:rPr>
                <w:rFonts w:cs="Times New Roman"/>
                <w:sz w:val="22"/>
              </w:rPr>
            </w:pPr>
            <w:r w:rsidRPr="003C23AE">
              <w:rPr>
                <w:rFonts w:cs="Times New Roman"/>
                <w:sz w:val="22"/>
              </w:rP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433A51CE" w14:textId="77777777" w:rsidR="007606FB" w:rsidRPr="003C23AE" w:rsidRDefault="007606FB">
            <w:pPr>
              <w:spacing w:line="256" w:lineRule="auto"/>
              <w:ind w:left="-104" w:right="-106"/>
              <w:jc w:val="center"/>
              <w:rPr>
                <w:rFonts w:cs="Times New Roman"/>
                <w:sz w:val="22"/>
              </w:rPr>
            </w:pPr>
            <w:r w:rsidRPr="003C23AE">
              <w:rPr>
                <w:rFonts w:cs="Times New Roman"/>
                <w:sz w:val="22"/>
              </w:rPr>
              <w:t>479</w:t>
            </w:r>
          </w:p>
        </w:tc>
        <w:tc>
          <w:tcPr>
            <w:tcW w:w="704" w:type="pct"/>
            <w:tcBorders>
              <w:top w:val="single" w:sz="4" w:space="0" w:color="auto"/>
              <w:left w:val="single" w:sz="4" w:space="0" w:color="auto"/>
              <w:bottom w:val="single" w:sz="4" w:space="0" w:color="auto"/>
              <w:right w:val="single" w:sz="4" w:space="0" w:color="auto"/>
            </w:tcBorders>
            <w:vAlign w:val="center"/>
            <w:hideMark/>
          </w:tcPr>
          <w:p w14:paraId="2F612BF8" w14:textId="77777777" w:rsidR="007606FB" w:rsidRPr="003C23AE" w:rsidRDefault="007606FB">
            <w:pPr>
              <w:spacing w:line="256" w:lineRule="auto"/>
              <w:ind w:left="-110" w:right="-110"/>
              <w:jc w:val="center"/>
              <w:rPr>
                <w:rFonts w:cs="Times New Roman"/>
                <w:sz w:val="22"/>
              </w:rPr>
            </w:pPr>
            <w:r w:rsidRPr="003C23AE">
              <w:rPr>
                <w:rFonts w:cs="Times New Roman"/>
                <w:sz w:val="22"/>
              </w:rPr>
              <w:t>470</w:t>
            </w:r>
          </w:p>
        </w:tc>
        <w:tc>
          <w:tcPr>
            <w:tcW w:w="626" w:type="pct"/>
            <w:tcBorders>
              <w:top w:val="single" w:sz="4" w:space="0" w:color="auto"/>
              <w:left w:val="single" w:sz="4" w:space="0" w:color="auto"/>
              <w:bottom w:val="single" w:sz="4" w:space="0" w:color="auto"/>
              <w:right w:val="single" w:sz="4" w:space="0" w:color="auto"/>
            </w:tcBorders>
            <w:vAlign w:val="center"/>
            <w:hideMark/>
          </w:tcPr>
          <w:p w14:paraId="3DE0A4A8" w14:textId="77777777" w:rsidR="007606FB" w:rsidRPr="003C23AE" w:rsidRDefault="007606FB">
            <w:pPr>
              <w:spacing w:line="256" w:lineRule="auto"/>
              <w:ind w:left="-106" w:right="-108"/>
              <w:jc w:val="center"/>
              <w:rPr>
                <w:rFonts w:cs="Times New Roman"/>
                <w:sz w:val="22"/>
              </w:rPr>
            </w:pPr>
            <w:r w:rsidRPr="003C23AE">
              <w:rPr>
                <w:rFonts w:cs="Times New Roman"/>
                <w:sz w:val="22"/>
              </w:rPr>
              <w:t>472</w:t>
            </w:r>
          </w:p>
        </w:tc>
        <w:tc>
          <w:tcPr>
            <w:tcW w:w="469" w:type="pct"/>
            <w:tcBorders>
              <w:top w:val="single" w:sz="4" w:space="0" w:color="auto"/>
              <w:left w:val="single" w:sz="4" w:space="0" w:color="auto"/>
              <w:bottom w:val="single" w:sz="4" w:space="0" w:color="auto"/>
              <w:right w:val="single" w:sz="4" w:space="0" w:color="auto"/>
            </w:tcBorders>
            <w:vAlign w:val="center"/>
            <w:hideMark/>
          </w:tcPr>
          <w:p w14:paraId="6E199985" w14:textId="77777777" w:rsidR="007606FB" w:rsidRPr="003C23AE" w:rsidRDefault="007606FB">
            <w:pPr>
              <w:spacing w:line="256" w:lineRule="auto"/>
              <w:ind w:left="-110" w:right="-110"/>
              <w:jc w:val="center"/>
              <w:rPr>
                <w:rFonts w:cs="Times New Roman"/>
                <w:sz w:val="22"/>
              </w:rPr>
            </w:pPr>
            <w:r w:rsidRPr="003C23AE">
              <w:rPr>
                <w:rFonts w:cs="Times New Roman"/>
                <w:sz w:val="22"/>
              </w:rPr>
              <w:t>432</w:t>
            </w:r>
          </w:p>
        </w:tc>
        <w:tc>
          <w:tcPr>
            <w:tcW w:w="704" w:type="pct"/>
            <w:tcBorders>
              <w:top w:val="single" w:sz="4" w:space="0" w:color="auto"/>
              <w:left w:val="single" w:sz="4" w:space="0" w:color="auto"/>
              <w:bottom w:val="single" w:sz="4" w:space="0" w:color="auto"/>
              <w:right w:val="single" w:sz="4" w:space="0" w:color="auto"/>
            </w:tcBorders>
            <w:vAlign w:val="center"/>
            <w:hideMark/>
          </w:tcPr>
          <w:p w14:paraId="67237102" w14:textId="77777777" w:rsidR="007606FB" w:rsidRPr="003C23AE" w:rsidRDefault="007606FB">
            <w:pPr>
              <w:spacing w:line="256" w:lineRule="auto"/>
              <w:ind w:left="-110" w:right="-109"/>
              <w:jc w:val="center"/>
              <w:rPr>
                <w:rFonts w:cs="Times New Roman"/>
                <w:sz w:val="22"/>
              </w:rPr>
            </w:pPr>
            <w:r w:rsidRPr="003C23AE">
              <w:rPr>
                <w:rFonts w:cs="Times New Roman"/>
                <w:sz w:val="22"/>
              </w:rPr>
              <w:t>424</w:t>
            </w:r>
          </w:p>
        </w:tc>
        <w:tc>
          <w:tcPr>
            <w:tcW w:w="470" w:type="pct"/>
            <w:tcBorders>
              <w:top w:val="single" w:sz="4" w:space="0" w:color="auto"/>
              <w:left w:val="single" w:sz="4" w:space="0" w:color="auto"/>
              <w:bottom w:val="single" w:sz="4" w:space="0" w:color="auto"/>
              <w:right w:val="single" w:sz="4" w:space="0" w:color="auto"/>
            </w:tcBorders>
            <w:vAlign w:val="center"/>
            <w:hideMark/>
          </w:tcPr>
          <w:p w14:paraId="55B356EE" w14:textId="77777777" w:rsidR="007606FB" w:rsidRPr="003C23AE" w:rsidRDefault="007606FB">
            <w:pPr>
              <w:spacing w:line="256" w:lineRule="auto"/>
              <w:ind w:left="-110" w:right="-109"/>
              <w:jc w:val="center"/>
              <w:rPr>
                <w:rFonts w:cs="Times New Roman"/>
                <w:sz w:val="22"/>
              </w:rPr>
            </w:pPr>
            <w:r w:rsidRPr="003C23AE">
              <w:rPr>
                <w:rFonts w:cs="Times New Roman"/>
                <w:sz w:val="22"/>
              </w:rPr>
              <w:t>413</w:t>
            </w:r>
          </w:p>
        </w:tc>
        <w:tc>
          <w:tcPr>
            <w:tcW w:w="700" w:type="pct"/>
            <w:tcBorders>
              <w:top w:val="single" w:sz="4" w:space="0" w:color="auto"/>
              <w:left w:val="single" w:sz="4" w:space="0" w:color="auto"/>
              <w:bottom w:val="single" w:sz="4" w:space="0" w:color="auto"/>
              <w:right w:val="single" w:sz="4" w:space="0" w:color="auto"/>
            </w:tcBorders>
            <w:vAlign w:val="center"/>
            <w:hideMark/>
          </w:tcPr>
          <w:p w14:paraId="5C1AD64E" w14:textId="77777777" w:rsidR="007606FB" w:rsidRPr="003C23AE" w:rsidRDefault="007606FB">
            <w:pPr>
              <w:spacing w:line="256" w:lineRule="auto"/>
              <w:ind w:left="-107" w:right="-115"/>
              <w:jc w:val="center"/>
              <w:rPr>
                <w:rFonts w:cs="Times New Roman"/>
                <w:sz w:val="22"/>
              </w:rPr>
            </w:pPr>
            <w:r w:rsidRPr="003C23AE">
              <w:rPr>
                <w:rFonts w:cs="Times New Roman"/>
                <w:sz w:val="22"/>
              </w:rPr>
              <w:t>426</w:t>
            </w:r>
          </w:p>
        </w:tc>
      </w:tr>
      <w:tr w:rsidR="007606FB" w:rsidRPr="003C23AE" w14:paraId="5557A7CC"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642D6523" w14:textId="77777777" w:rsidR="007606FB" w:rsidRPr="003C23AE" w:rsidRDefault="007606FB">
            <w:pPr>
              <w:spacing w:line="256" w:lineRule="auto"/>
              <w:rPr>
                <w:rFonts w:cs="Times New Roman"/>
                <w:sz w:val="22"/>
              </w:rPr>
            </w:pPr>
            <w:r w:rsidRPr="003C23AE">
              <w:rPr>
                <w:rFonts w:cs="Times New Roman"/>
                <w:sz w:val="22"/>
              </w:rPr>
              <w:t>Mean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3C8DD53E" w14:textId="77777777" w:rsidR="007606FB" w:rsidRPr="003C23AE" w:rsidRDefault="007606FB">
            <w:pPr>
              <w:spacing w:line="256" w:lineRule="auto"/>
              <w:ind w:left="-104" w:right="-106"/>
              <w:jc w:val="center"/>
              <w:rPr>
                <w:rFonts w:cs="Times New Roman"/>
                <w:sz w:val="22"/>
              </w:rPr>
            </w:pPr>
            <w:r w:rsidRPr="003C23AE">
              <w:rPr>
                <w:rFonts w:cs="Times New Roman"/>
                <w:sz w:val="22"/>
              </w:rPr>
              <w:t>5.78</w:t>
            </w:r>
          </w:p>
        </w:tc>
        <w:tc>
          <w:tcPr>
            <w:tcW w:w="704" w:type="pct"/>
            <w:tcBorders>
              <w:top w:val="single" w:sz="4" w:space="0" w:color="auto"/>
              <w:left w:val="single" w:sz="4" w:space="0" w:color="auto"/>
              <w:bottom w:val="single" w:sz="4" w:space="0" w:color="auto"/>
              <w:right w:val="single" w:sz="4" w:space="0" w:color="auto"/>
            </w:tcBorders>
            <w:vAlign w:val="center"/>
            <w:hideMark/>
          </w:tcPr>
          <w:p w14:paraId="283A8A16" w14:textId="77777777" w:rsidR="007606FB" w:rsidRPr="003C23AE" w:rsidRDefault="007606FB">
            <w:pPr>
              <w:spacing w:line="256" w:lineRule="auto"/>
              <w:ind w:left="-110" w:right="-110"/>
              <w:jc w:val="center"/>
              <w:rPr>
                <w:rFonts w:cs="Times New Roman"/>
                <w:sz w:val="22"/>
              </w:rPr>
            </w:pPr>
            <w:r w:rsidRPr="003C23AE">
              <w:rPr>
                <w:rFonts w:cs="Times New Roman"/>
                <w:sz w:val="22"/>
              </w:rPr>
              <w:t>5.72</w:t>
            </w:r>
          </w:p>
        </w:tc>
        <w:tc>
          <w:tcPr>
            <w:tcW w:w="626" w:type="pct"/>
            <w:tcBorders>
              <w:top w:val="single" w:sz="4" w:space="0" w:color="auto"/>
              <w:left w:val="single" w:sz="4" w:space="0" w:color="auto"/>
              <w:bottom w:val="single" w:sz="4" w:space="0" w:color="auto"/>
              <w:right w:val="single" w:sz="4" w:space="0" w:color="auto"/>
            </w:tcBorders>
            <w:vAlign w:val="center"/>
            <w:hideMark/>
          </w:tcPr>
          <w:p w14:paraId="68D02A4F" w14:textId="77777777" w:rsidR="007606FB" w:rsidRPr="003C23AE" w:rsidRDefault="007606FB">
            <w:pPr>
              <w:spacing w:line="256" w:lineRule="auto"/>
              <w:ind w:left="-106" w:right="-108"/>
              <w:jc w:val="center"/>
              <w:rPr>
                <w:rFonts w:cs="Times New Roman"/>
                <w:sz w:val="22"/>
              </w:rPr>
            </w:pPr>
            <w:r w:rsidRPr="003C23AE">
              <w:rPr>
                <w:rFonts w:cs="Times New Roman"/>
                <w:sz w:val="22"/>
              </w:rPr>
              <w:t>5.79</w:t>
            </w:r>
          </w:p>
        </w:tc>
        <w:tc>
          <w:tcPr>
            <w:tcW w:w="469" w:type="pct"/>
            <w:tcBorders>
              <w:top w:val="single" w:sz="4" w:space="0" w:color="auto"/>
              <w:left w:val="single" w:sz="4" w:space="0" w:color="auto"/>
              <w:bottom w:val="single" w:sz="4" w:space="0" w:color="auto"/>
              <w:right w:val="single" w:sz="4" w:space="0" w:color="auto"/>
            </w:tcBorders>
            <w:vAlign w:val="center"/>
            <w:hideMark/>
          </w:tcPr>
          <w:p w14:paraId="14F3FB02" w14:textId="77777777" w:rsidR="007606FB" w:rsidRPr="003C23AE" w:rsidRDefault="007606FB">
            <w:pPr>
              <w:spacing w:line="256" w:lineRule="auto"/>
              <w:ind w:left="-110" w:right="-110"/>
              <w:jc w:val="center"/>
              <w:rPr>
                <w:rFonts w:cs="Times New Roman"/>
                <w:sz w:val="22"/>
              </w:rPr>
            </w:pPr>
            <w:r w:rsidRPr="003C23AE">
              <w:rPr>
                <w:rFonts w:cs="Times New Roman"/>
                <w:sz w:val="22"/>
              </w:rPr>
              <w:t>5.61</w:t>
            </w:r>
          </w:p>
        </w:tc>
        <w:tc>
          <w:tcPr>
            <w:tcW w:w="704" w:type="pct"/>
            <w:tcBorders>
              <w:top w:val="single" w:sz="4" w:space="0" w:color="auto"/>
              <w:left w:val="single" w:sz="4" w:space="0" w:color="auto"/>
              <w:bottom w:val="single" w:sz="4" w:space="0" w:color="auto"/>
              <w:right w:val="single" w:sz="4" w:space="0" w:color="auto"/>
            </w:tcBorders>
            <w:vAlign w:val="center"/>
            <w:hideMark/>
          </w:tcPr>
          <w:p w14:paraId="6EF13B30" w14:textId="77777777" w:rsidR="007606FB" w:rsidRPr="003C23AE" w:rsidRDefault="007606FB">
            <w:pPr>
              <w:spacing w:line="256" w:lineRule="auto"/>
              <w:ind w:left="-110" w:right="-109"/>
              <w:jc w:val="center"/>
              <w:rPr>
                <w:rFonts w:cs="Times New Roman"/>
                <w:sz w:val="22"/>
              </w:rPr>
            </w:pPr>
            <w:r w:rsidRPr="003C23AE">
              <w:rPr>
                <w:rFonts w:cs="Times New Roman"/>
                <w:sz w:val="22"/>
              </w:rPr>
              <w:t>5.90</w:t>
            </w:r>
          </w:p>
        </w:tc>
        <w:tc>
          <w:tcPr>
            <w:tcW w:w="470" w:type="pct"/>
            <w:tcBorders>
              <w:top w:val="single" w:sz="4" w:space="0" w:color="auto"/>
              <w:left w:val="single" w:sz="4" w:space="0" w:color="auto"/>
              <w:bottom w:val="single" w:sz="4" w:space="0" w:color="auto"/>
              <w:right w:val="single" w:sz="4" w:space="0" w:color="auto"/>
            </w:tcBorders>
            <w:vAlign w:val="center"/>
            <w:hideMark/>
          </w:tcPr>
          <w:p w14:paraId="37789ADF" w14:textId="77777777" w:rsidR="007606FB" w:rsidRPr="003C23AE" w:rsidRDefault="007606FB">
            <w:pPr>
              <w:spacing w:line="256" w:lineRule="auto"/>
              <w:ind w:left="-110" w:right="-109"/>
              <w:jc w:val="center"/>
              <w:rPr>
                <w:rFonts w:cs="Times New Roman"/>
                <w:sz w:val="22"/>
              </w:rPr>
            </w:pPr>
            <w:r w:rsidRPr="003C23AE">
              <w:rPr>
                <w:rFonts w:cs="Times New Roman"/>
                <w:sz w:val="22"/>
              </w:rPr>
              <w:t>5.42</w:t>
            </w:r>
          </w:p>
        </w:tc>
        <w:tc>
          <w:tcPr>
            <w:tcW w:w="700" w:type="pct"/>
            <w:tcBorders>
              <w:top w:val="single" w:sz="4" w:space="0" w:color="auto"/>
              <w:left w:val="single" w:sz="4" w:space="0" w:color="auto"/>
              <w:bottom w:val="single" w:sz="4" w:space="0" w:color="auto"/>
              <w:right w:val="single" w:sz="4" w:space="0" w:color="auto"/>
            </w:tcBorders>
            <w:vAlign w:val="center"/>
            <w:hideMark/>
          </w:tcPr>
          <w:p w14:paraId="28DA2F5C" w14:textId="77777777" w:rsidR="007606FB" w:rsidRPr="003C23AE" w:rsidRDefault="007606FB">
            <w:pPr>
              <w:spacing w:line="256" w:lineRule="auto"/>
              <w:ind w:left="-107" w:right="-115"/>
              <w:jc w:val="center"/>
              <w:rPr>
                <w:rFonts w:cs="Times New Roman"/>
                <w:sz w:val="22"/>
              </w:rPr>
            </w:pPr>
            <w:r w:rsidRPr="003C23AE">
              <w:rPr>
                <w:rFonts w:cs="Times New Roman"/>
                <w:sz w:val="22"/>
              </w:rPr>
              <w:t>5.80</w:t>
            </w:r>
          </w:p>
        </w:tc>
      </w:tr>
      <w:tr w:rsidR="007606FB" w:rsidRPr="003C23AE" w14:paraId="5795F3A3"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1ECD32F9" w14:textId="77777777" w:rsidR="007606FB" w:rsidRPr="003C23AE" w:rsidRDefault="007606FB">
            <w:pPr>
              <w:spacing w:line="256" w:lineRule="auto"/>
              <w:rPr>
                <w:rFonts w:cs="Times New Roman"/>
                <w:sz w:val="22"/>
              </w:rPr>
            </w:pPr>
            <w:r w:rsidRPr="003C23AE">
              <w:rPr>
                <w:rFonts w:cs="Times New Roman"/>
                <w:sz w:val="22"/>
              </w:rPr>
              <w:lastRenderedPageBreak/>
              <w:t>Mean change from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41294995" w14:textId="77777777" w:rsidR="007606FB" w:rsidRPr="003C23AE" w:rsidRDefault="007606FB">
            <w:pPr>
              <w:spacing w:line="256" w:lineRule="auto"/>
              <w:ind w:left="-104" w:right="-106"/>
              <w:jc w:val="center"/>
              <w:rPr>
                <w:rFonts w:cs="Times New Roman"/>
                <w:sz w:val="22"/>
              </w:rPr>
            </w:pPr>
            <w:r w:rsidRPr="003C23AE">
              <w:rPr>
                <w:rFonts w:cs="Times New Roman"/>
                <w:sz w:val="22"/>
              </w:rPr>
              <w:t>-1.65</w:t>
            </w:r>
          </w:p>
        </w:tc>
        <w:tc>
          <w:tcPr>
            <w:tcW w:w="704" w:type="pct"/>
            <w:tcBorders>
              <w:top w:val="single" w:sz="4" w:space="0" w:color="auto"/>
              <w:left w:val="single" w:sz="4" w:space="0" w:color="auto"/>
              <w:bottom w:val="single" w:sz="4" w:space="0" w:color="auto"/>
              <w:right w:val="single" w:sz="4" w:space="0" w:color="auto"/>
            </w:tcBorders>
            <w:vAlign w:val="center"/>
            <w:hideMark/>
          </w:tcPr>
          <w:p w14:paraId="67F8ABC6" w14:textId="77777777" w:rsidR="007606FB" w:rsidRPr="003C23AE" w:rsidRDefault="007606FB">
            <w:pPr>
              <w:spacing w:line="256" w:lineRule="auto"/>
              <w:ind w:left="-110" w:right="-110"/>
              <w:jc w:val="center"/>
              <w:rPr>
                <w:rFonts w:cs="Times New Roman"/>
                <w:sz w:val="22"/>
              </w:rPr>
            </w:pPr>
            <w:r w:rsidRPr="003C23AE">
              <w:rPr>
                <w:rFonts w:cs="Times New Roman"/>
                <w:sz w:val="22"/>
              </w:rPr>
              <w:t>-2.25</w:t>
            </w:r>
          </w:p>
        </w:tc>
        <w:tc>
          <w:tcPr>
            <w:tcW w:w="626" w:type="pct"/>
            <w:tcBorders>
              <w:top w:val="single" w:sz="4" w:space="0" w:color="auto"/>
              <w:left w:val="single" w:sz="4" w:space="0" w:color="auto"/>
              <w:bottom w:val="single" w:sz="4" w:space="0" w:color="auto"/>
              <w:right w:val="single" w:sz="4" w:space="0" w:color="auto"/>
            </w:tcBorders>
            <w:vAlign w:val="center"/>
            <w:hideMark/>
          </w:tcPr>
          <w:p w14:paraId="49E2B22E" w14:textId="77777777" w:rsidR="007606FB" w:rsidRPr="003C23AE" w:rsidRDefault="007606FB">
            <w:pPr>
              <w:spacing w:line="256" w:lineRule="auto"/>
              <w:ind w:left="-106" w:right="-108"/>
              <w:jc w:val="center"/>
              <w:rPr>
                <w:rFonts w:cs="Times New Roman"/>
                <w:sz w:val="22"/>
              </w:rPr>
            </w:pPr>
            <w:r w:rsidRPr="003C23AE">
              <w:rPr>
                <w:rFonts w:cs="Times New Roman"/>
                <w:sz w:val="22"/>
              </w:rPr>
              <w:t>-2.07</w:t>
            </w:r>
          </w:p>
        </w:tc>
        <w:tc>
          <w:tcPr>
            <w:tcW w:w="469" w:type="pct"/>
            <w:tcBorders>
              <w:top w:val="single" w:sz="4" w:space="0" w:color="auto"/>
              <w:left w:val="single" w:sz="4" w:space="0" w:color="auto"/>
              <w:bottom w:val="single" w:sz="4" w:space="0" w:color="auto"/>
              <w:right w:val="single" w:sz="4" w:space="0" w:color="auto"/>
            </w:tcBorders>
            <w:vAlign w:val="center"/>
            <w:hideMark/>
          </w:tcPr>
          <w:p w14:paraId="18DA7417" w14:textId="77777777" w:rsidR="007606FB" w:rsidRPr="003C23AE" w:rsidRDefault="007606FB">
            <w:pPr>
              <w:spacing w:line="256" w:lineRule="auto"/>
              <w:ind w:left="-110" w:right="-110"/>
              <w:jc w:val="center"/>
              <w:rPr>
                <w:rFonts w:cs="Times New Roman"/>
                <w:sz w:val="22"/>
              </w:rPr>
            </w:pPr>
            <w:r w:rsidRPr="003C23AE">
              <w:rPr>
                <w:rFonts w:cs="Times New Roman"/>
                <w:sz w:val="22"/>
              </w:rPr>
              <w:t>-0.82</w:t>
            </w:r>
          </w:p>
        </w:tc>
        <w:tc>
          <w:tcPr>
            <w:tcW w:w="704" w:type="pct"/>
            <w:tcBorders>
              <w:top w:val="single" w:sz="4" w:space="0" w:color="auto"/>
              <w:left w:val="single" w:sz="4" w:space="0" w:color="auto"/>
              <w:bottom w:val="single" w:sz="4" w:space="0" w:color="auto"/>
              <w:right w:val="single" w:sz="4" w:space="0" w:color="auto"/>
            </w:tcBorders>
            <w:vAlign w:val="center"/>
            <w:hideMark/>
          </w:tcPr>
          <w:p w14:paraId="0FA466FB" w14:textId="77777777" w:rsidR="007606FB" w:rsidRPr="003C23AE" w:rsidRDefault="007606FB">
            <w:pPr>
              <w:spacing w:line="256" w:lineRule="auto"/>
              <w:ind w:left="-110" w:right="-109"/>
              <w:jc w:val="center"/>
              <w:rPr>
                <w:rFonts w:cs="Times New Roman"/>
                <w:sz w:val="22"/>
              </w:rPr>
            </w:pPr>
            <w:r w:rsidRPr="003C23AE">
              <w:rPr>
                <w:rFonts w:cs="Times New Roman"/>
                <w:sz w:val="22"/>
              </w:rPr>
              <w:t>-1.57</w:t>
            </w:r>
          </w:p>
        </w:tc>
        <w:tc>
          <w:tcPr>
            <w:tcW w:w="470" w:type="pct"/>
            <w:tcBorders>
              <w:top w:val="single" w:sz="4" w:space="0" w:color="auto"/>
              <w:left w:val="single" w:sz="4" w:space="0" w:color="auto"/>
              <w:bottom w:val="single" w:sz="4" w:space="0" w:color="auto"/>
              <w:right w:val="single" w:sz="4" w:space="0" w:color="auto"/>
            </w:tcBorders>
            <w:vAlign w:val="center"/>
            <w:hideMark/>
          </w:tcPr>
          <w:p w14:paraId="310F6FBF" w14:textId="77777777" w:rsidR="007606FB" w:rsidRPr="003C23AE" w:rsidRDefault="007606FB">
            <w:pPr>
              <w:spacing w:line="256" w:lineRule="auto"/>
              <w:ind w:left="-110" w:right="-109"/>
              <w:jc w:val="center"/>
              <w:rPr>
                <w:rFonts w:cs="Times New Roman"/>
                <w:sz w:val="22"/>
              </w:rPr>
            </w:pPr>
            <w:r w:rsidRPr="003C23AE">
              <w:rPr>
                <w:rFonts w:cs="Times New Roman"/>
                <w:sz w:val="22"/>
              </w:rPr>
              <w:t>-1.35</w:t>
            </w:r>
          </w:p>
        </w:tc>
        <w:tc>
          <w:tcPr>
            <w:tcW w:w="700" w:type="pct"/>
            <w:tcBorders>
              <w:top w:val="single" w:sz="4" w:space="0" w:color="auto"/>
              <w:left w:val="single" w:sz="4" w:space="0" w:color="auto"/>
              <w:bottom w:val="single" w:sz="4" w:space="0" w:color="auto"/>
              <w:right w:val="single" w:sz="4" w:space="0" w:color="auto"/>
            </w:tcBorders>
            <w:vAlign w:val="center"/>
            <w:hideMark/>
          </w:tcPr>
          <w:p w14:paraId="383EAD95" w14:textId="77777777" w:rsidR="007606FB" w:rsidRPr="003C23AE" w:rsidRDefault="007606FB">
            <w:pPr>
              <w:spacing w:line="256" w:lineRule="auto"/>
              <w:ind w:left="-107" w:right="-115"/>
              <w:jc w:val="center"/>
              <w:rPr>
                <w:rFonts w:cs="Times New Roman"/>
                <w:sz w:val="22"/>
              </w:rPr>
            </w:pPr>
            <w:r w:rsidRPr="003C23AE">
              <w:rPr>
                <w:rFonts w:cs="Times New Roman"/>
                <w:sz w:val="22"/>
              </w:rPr>
              <w:t>-1.94</w:t>
            </w:r>
          </w:p>
        </w:tc>
      </w:tr>
      <w:tr w:rsidR="007606FB" w:rsidRPr="003C23AE" w14:paraId="21A6E91E"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2EB08B22" w14:textId="77777777" w:rsidR="007606FB" w:rsidRPr="003C23AE" w:rsidRDefault="007606FB">
            <w:pPr>
              <w:spacing w:line="256" w:lineRule="auto"/>
              <w:rPr>
                <w:rFonts w:cs="Times New Roman"/>
                <w:sz w:val="22"/>
              </w:rPr>
            </w:pPr>
            <w:r w:rsidRPr="003C23AE">
              <w:rPr>
                <w:rFonts w:cs="Times New Roman"/>
                <w:sz w:val="22"/>
              </w:rPr>
              <w:t>Mean difference from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45D665CD" w14:textId="77777777" w:rsidR="007606FB" w:rsidRPr="003C23AE" w:rsidRDefault="007606FB">
            <w:pPr>
              <w:spacing w:line="256" w:lineRule="auto"/>
              <w:ind w:left="-104" w:right="-106"/>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4D0C4A21" w14:textId="77777777" w:rsidR="007606FB" w:rsidRPr="003C23AE" w:rsidRDefault="007606FB">
            <w:pPr>
              <w:spacing w:line="256" w:lineRule="auto"/>
              <w:ind w:left="-110" w:right="-110"/>
              <w:jc w:val="center"/>
              <w:rPr>
                <w:rFonts w:cs="Times New Roman"/>
                <w:sz w:val="22"/>
              </w:rPr>
            </w:pPr>
            <w:r w:rsidRPr="003C23AE">
              <w:rPr>
                <w:rFonts w:cs="Times New Roman"/>
                <w:sz w:val="22"/>
              </w:rPr>
              <w:t>-0.60</w:t>
            </w:r>
          </w:p>
        </w:tc>
        <w:tc>
          <w:tcPr>
            <w:tcW w:w="626" w:type="pct"/>
            <w:tcBorders>
              <w:top w:val="single" w:sz="4" w:space="0" w:color="auto"/>
              <w:left w:val="single" w:sz="4" w:space="0" w:color="auto"/>
              <w:bottom w:val="single" w:sz="4" w:space="0" w:color="auto"/>
              <w:right w:val="single" w:sz="4" w:space="0" w:color="auto"/>
            </w:tcBorders>
            <w:vAlign w:val="center"/>
            <w:hideMark/>
          </w:tcPr>
          <w:p w14:paraId="6B84B9F7" w14:textId="77777777" w:rsidR="007606FB" w:rsidRPr="003C23AE" w:rsidRDefault="007606FB">
            <w:pPr>
              <w:spacing w:line="256" w:lineRule="auto"/>
              <w:ind w:left="-106" w:right="-108"/>
              <w:jc w:val="center"/>
              <w:rPr>
                <w:rFonts w:cs="Times New Roman"/>
                <w:sz w:val="22"/>
              </w:rPr>
            </w:pPr>
            <w:r w:rsidRPr="003C23AE">
              <w:rPr>
                <w:rFonts w:cs="Times New Roman"/>
                <w:sz w:val="22"/>
              </w:rPr>
              <w:t>-0.42</w:t>
            </w:r>
          </w:p>
        </w:tc>
        <w:tc>
          <w:tcPr>
            <w:tcW w:w="469" w:type="pct"/>
            <w:tcBorders>
              <w:top w:val="single" w:sz="4" w:space="0" w:color="auto"/>
              <w:left w:val="single" w:sz="4" w:space="0" w:color="auto"/>
              <w:bottom w:val="single" w:sz="4" w:space="0" w:color="auto"/>
              <w:right w:val="single" w:sz="4" w:space="0" w:color="auto"/>
            </w:tcBorders>
            <w:vAlign w:val="center"/>
            <w:hideMark/>
          </w:tcPr>
          <w:p w14:paraId="5DDF1ABC" w14:textId="77777777" w:rsidR="007606FB" w:rsidRPr="003C23AE" w:rsidRDefault="007606FB">
            <w:pPr>
              <w:spacing w:line="256" w:lineRule="auto"/>
              <w:ind w:left="-110" w:right="-110"/>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3118E9D" w14:textId="77777777" w:rsidR="007606FB" w:rsidRPr="003C23AE" w:rsidRDefault="007606FB">
            <w:pPr>
              <w:spacing w:line="256" w:lineRule="auto"/>
              <w:ind w:left="-110" w:right="-109"/>
              <w:jc w:val="center"/>
              <w:rPr>
                <w:rFonts w:cs="Times New Roman"/>
                <w:sz w:val="22"/>
              </w:rPr>
            </w:pPr>
            <w:r w:rsidRPr="003C23AE">
              <w:rPr>
                <w:rFonts w:cs="Times New Roman"/>
                <w:sz w:val="22"/>
              </w:rPr>
              <w:t>-0.75</w:t>
            </w:r>
          </w:p>
        </w:tc>
        <w:tc>
          <w:tcPr>
            <w:tcW w:w="470" w:type="pct"/>
            <w:tcBorders>
              <w:top w:val="single" w:sz="4" w:space="0" w:color="auto"/>
              <w:left w:val="single" w:sz="4" w:space="0" w:color="auto"/>
              <w:bottom w:val="single" w:sz="4" w:space="0" w:color="auto"/>
              <w:right w:val="single" w:sz="4" w:space="0" w:color="auto"/>
            </w:tcBorders>
            <w:vAlign w:val="center"/>
            <w:hideMark/>
          </w:tcPr>
          <w:p w14:paraId="63990196" w14:textId="77777777" w:rsidR="007606FB" w:rsidRPr="003C23AE" w:rsidRDefault="007606FB">
            <w:pPr>
              <w:spacing w:line="256" w:lineRule="auto"/>
              <w:ind w:left="-110" w:right="-109"/>
              <w:jc w:val="center"/>
              <w:rPr>
                <w:rFonts w:cs="Times New Roman"/>
                <w:sz w:val="22"/>
              </w:rPr>
            </w:pPr>
            <w:r w:rsidRPr="003C23AE">
              <w:rPr>
                <w:rFonts w:cs="Times New Roman"/>
                <w:sz w:val="22"/>
              </w:rPr>
              <w:t>--</w:t>
            </w:r>
          </w:p>
        </w:tc>
        <w:tc>
          <w:tcPr>
            <w:tcW w:w="700" w:type="pct"/>
            <w:tcBorders>
              <w:top w:val="single" w:sz="4" w:space="0" w:color="auto"/>
              <w:left w:val="single" w:sz="4" w:space="0" w:color="auto"/>
              <w:bottom w:val="single" w:sz="4" w:space="0" w:color="auto"/>
              <w:right w:val="single" w:sz="4" w:space="0" w:color="auto"/>
            </w:tcBorders>
            <w:vAlign w:val="center"/>
            <w:hideMark/>
          </w:tcPr>
          <w:p w14:paraId="7FDECE8D" w14:textId="77777777" w:rsidR="007606FB" w:rsidRPr="003C23AE" w:rsidRDefault="007606FB">
            <w:pPr>
              <w:spacing w:line="256" w:lineRule="auto"/>
              <w:ind w:left="-107" w:right="-115"/>
              <w:jc w:val="center"/>
              <w:rPr>
                <w:rFonts w:cs="Times New Roman"/>
                <w:sz w:val="22"/>
              </w:rPr>
            </w:pPr>
            <w:r w:rsidRPr="003C23AE">
              <w:rPr>
                <w:rFonts w:cs="Times New Roman"/>
                <w:sz w:val="22"/>
              </w:rPr>
              <w:t>-0.59</w:t>
            </w:r>
          </w:p>
        </w:tc>
      </w:tr>
      <w:tr w:rsidR="007606FB" w:rsidRPr="003C23AE" w14:paraId="2DABFAE5"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1B49DAF9" w14:textId="77777777" w:rsidR="007606FB" w:rsidRPr="003C23AE" w:rsidRDefault="007606FB">
            <w:pPr>
              <w:spacing w:line="256" w:lineRule="auto"/>
              <w:rPr>
                <w:rFonts w:cs="Times New Roman"/>
                <w:sz w:val="22"/>
              </w:rPr>
            </w:pPr>
            <w:r w:rsidRPr="003C23AE">
              <w:rPr>
                <w:rFonts w:cs="Times New Roman"/>
                <w:sz w:val="22"/>
              </w:rPr>
              <w:t>95% Confidence Interval</w:t>
            </w:r>
          </w:p>
        </w:tc>
        <w:tc>
          <w:tcPr>
            <w:tcW w:w="469" w:type="pct"/>
            <w:tcBorders>
              <w:top w:val="single" w:sz="4" w:space="0" w:color="auto"/>
              <w:left w:val="single" w:sz="4" w:space="0" w:color="auto"/>
              <w:bottom w:val="single" w:sz="4" w:space="0" w:color="auto"/>
              <w:right w:val="single" w:sz="4" w:space="0" w:color="auto"/>
            </w:tcBorders>
            <w:vAlign w:val="center"/>
            <w:hideMark/>
          </w:tcPr>
          <w:p w14:paraId="7B624956" w14:textId="77777777" w:rsidR="007606FB" w:rsidRPr="003C23AE" w:rsidRDefault="007606FB">
            <w:pPr>
              <w:spacing w:line="256" w:lineRule="auto"/>
              <w:ind w:left="-104" w:right="-106"/>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04A46201" w14:textId="77777777" w:rsidR="007606FB" w:rsidRPr="003C23AE" w:rsidRDefault="007606FB">
            <w:pPr>
              <w:spacing w:line="256" w:lineRule="auto"/>
              <w:ind w:left="-110" w:right="-110"/>
              <w:jc w:val="center"/>
              <w:rPr>
                <w:rFonts w:cs="Times New Roman"/>
                <w:sz w:val="22"/>
              </w:rPr>
            </w:pPr>
            <w:r w:rsidRPr="003C23AE">
              <w:rPr>
                <w:rFonts w:cs="Times New Roman"/>
                <w:sz w:val="22"/>
              </w:rPr>
              <w:t>(-1.02, -0.18)</w:t>
            </w:r>
          </w:p>
        </w:tc>
        <w:tc>
          <w:tcPr>
            <w:tcW w:w="626" w:type="pct"/>
            <w:tcBorders>
              <w:top w:val="single" w:sz="4" w:space="0" w:color="auto"/>
              <w:left w:val="single" w:sz="4" w:space="0" w:color="auto"/>
              <w:bottom w:val="single" w:sz="4" w:space="0" w:color="auto"/>
              <w:right w:val="single" w:sz="4" w:space="0" w:color="auto"/>
            </w:tcBorders>
            <w:vAlign w:val="center"/>
            <w:hideMark/>
          </w:tcPr>
          <w:p w14:paraId="31507A49" w14:textId="77777777" w:rsidR="007606FB" w:rsidRPr="003C23AE" w:rsidRDefault="007606FB">
            <w:pPr>
              <w:spacing w:line="256" w:lineRule="auto"/>
              <w:ind w:left="-106" w:right="-108"/>
              <w:jc w:val="center"/>
              <w:rPr>
                <w:rFonts w:cs="Times New Roman"/>
                <w:sz w:val="22"/>
              </w:rPr>
            </w:pPr>
            <w:r w:rsidRPr="003C23AE">
              <w:rPr>
                <w:rFonts w:cs="Times New Roman"/>
                <w:sz w:val="22"/>
              </w:rPr>
              <w:t>(-0.84, 0.00)</w:t>
            </w:r>
          </w:p>
        </w:tc>
        <w:tc>
          <w:tcPr>
            <w:tcW w:w="469" w:type="pct"/>
            <w:tcBorders>
              <w:top w:val="single" w:sz="4" w:space="0" w:color="auto"/>
              <w:left w:val="single" w:sz="4" w:space="0" w:color="auto"/>
              <w:bottom w:val="single" w:sz="4" w:space="0" w:color="auto"/>
              <w:right w:val="single" w:sz="4" w:space="0" w:color="auto"/>
            </w:tcBorders>
            <w:vAlign w:val="center"/>
            <w:hideMark/>
          </w:tcPr>
          <w:p w14:paraId="777005A7" w14:textId="77777777" w:rsidR="007606FB" w:rsidRPr="003C23AE" w:rsidRDefault="007606FB">
            <w:pPr>
              <w:spacing w:line="256" w:lineRule="auto"/>
              <w:ind w:left="-110" w:right="-110"/>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1F95CE48" w14:textId="77777777" w:rsidR="007606FB" w:rsidRPr="003C23AE" w:rsidRDefault="007606FB">
            <w:pPr>
              <w:spacing w:line="256" w:lineRule="auto"/>
              <w:ind w:left="-110" w:right="-109"/>
              <w:jc w:val="center"/>
              <w:rPr>
                <w:rFonts w:cs="Times New Roman"/>
                <w:sz w:val="22"/>
              </w:rPr>
            </w:pPr>
            <w:r w:rsidRPr="003C23AE">
              <w:rPr>
                <w:rFonts w:cs="Times New Roman"/>
                <w:sz w:val="22"/>
              </w:rPr>
              <w:t>(-1.20, -0.30)</w:t>
            </w:r>
          </w:p>
        </w:tc>
        <w:tc>
          <w:tcPr>
            <w:tcW w:w="470" w:type="pct"/>
            <w:tcBorders>
              <w:top w:val="single" w:sz="4" w:space="0" w:color="auto"/>
              <w:left w:val="single" w:sz="4" w:space="0" w:color="auto"/>
              <w:bottom w:val="single" w:sz="4" w:space="0" w:color="auto"/>
              <w:right w:val="single" w:sz="4" w:space="0" w:color="auto"/>
            </w:tcBorders>
            <w:vAlign w:val="center"/>
            <w:hideMark/>
          </w:tcPr>
          <w:p w14:paraId="51176850" w14:textId="77777777" w:rsidR="007606FB" w:rsidRPr="003C23AE" w:rsidRDefault="007606FB">
            <w:pPr>
              <w:spacing w:line="256" w:lineRule="auto"/>
              <w:ind w:left="-110" w:right="-109"/>
              <w:jc w:val="center"/>
              <w:rPr>
                <w:rFonts w:cs="Times New Roman"/>
                <w:sz w:val="22"/>
              </w:rPr>
            </w:pPr>
            <w:r w:rsidRPr="003C23AE">
              <w:rPr>
                <w:rFonts w:cs="Times New Roman"/>
                <w:sz w:val="22"/>
              </w:rPr>
              <w:t>--</w:t>
            </w:r>
          </w:p>
        </w:tc>
        <w:tc>
          <w:tcPr>
            <w:tcW w:w="700" w:type="pct"/>
            <w:tcBorders>
              <w:top w:val="single" w:sz="4" w:space="0" w:color="auto"/>
              <w:left w:val="single" w:sz="4" w:space="0" w:color="auto"/>
              <w:bottom w:val="single" w:sz="4" w:space="0" w:color="auto"/>
              <w:right w:val="single" w:sz="4" w:space="0" w:color="auto"/>
            </w:tcBorders>
            <w:vAlign w:val="center"/>
            <w:hideMark/>
          </w:tcPr>
          <w:p w14:paraId="0A099BD5" w14:textId="77777777" w:rsidR="007606FB" w:rsidRPr="003C23AE" w:rsidRDefault="007606FB">
            <w:pPr>
              <w:spacing w:line="256" w:lineRule="auto"/>
              <w:ind w:left="-107" w:right="-115"/>
              <w:jc w:val="center"/>
              <w:rPr>
                <w:rFonts w:cs="Times New Roman"/>
                <w:sz w:val="22"/>
              </w:rPr>
            </w:pPr>
            <w:r w:rsidRPr="003C23AE">
              <w:rPr>
                <w:rFonts w:cs="Times New Roman"/>
                <w:sz w:val="22"/>
              </w:rPr>
              <w:t>(-1.01, -0.16)</w:t>
            </w:r>
          </w:p>
        </w:tc>
      </w:tr>
      <w:tr w:rsidR="007606FB" w:rsidRPr="003C23AE" w14:paraId="4F597B55"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39C4E5BA" w14:textId="77777777" w:rsidR="007606FB" w:rsidRPr="003C23AE" w:rsidRDefault="007606FB">
            <w:pPr>
              <w:spacing w:line="256" w:lineRule="auto"/>
              <w:rPr>
                <w:rFonts w:cs="Times New Roman"/>
                <w:sz w:val="22"/>
              </w:rPr>
            </w:pPr>
            <w:r w:rsidRPr="003C23AE">
              <w:rPr>
                <w:rFonts w:cs="Times New Roman"/>
                <w:sz w:val="22"/>
              </w:rPr>
              <w:t>p-value</w:t>
            </w:r>
          </w:p>
        </w:tc>
        <w:tc>
          <w:tcPr>
            <w:tcW w:w="469" w:type="pct"/>
            <w:tcBorders>
              <w:top w:val="single" w:sz="4" w:space="0" w:color="auto"/>
              <w:left w:val="single" w:sz="4" w:space="0" w:color="auto"/>
              <w:bottom w:val="single" w:sz="4" w:space="0" w:color="auto"/>
              <w:right w:val="single" w:sz="4" w:space="0" w:color="auto"/>
            </w:tcBorders>
            <w:vAlign w:val="center"/>
            <w:hideMark/>
          </w:tcPr>
          <w:p w14:paraId="51ADF5CC" w14:textId="77777777" w:rsidR="007606FB" w:rsidRPr="003C23AE" w:rsidRDefault="007606FB">
            <w:pPr>
              <w:spacing w:line="256" w:lineRule="auto"/>
              <w:ind w:left="-104" w:right="-106"/>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19BB7C29" w14:textId="77777777" w:rsidR="007606FB" w:rsidRPr="003C23AE" w:rsidRDefault="007606FB">
            <w:pPr>
              <w:spacing w:line="256" w:lineRule="auto"/>
              <w:ind w:left="-110" w:right="-110"/>
              <w:jc w:val="center"/>
              <w:rPr>
                <w:rFonts w:cs="Times New Roman"/>
                <w:sz w:val="22"/>
              </w:rPr>
            </w:pPr>
            <w:r w:rsidRPr="003C23AE">
              <w:rPr>
                <w:rFonts w:cs="Times New Roman"/>
                <w:sz w:val="22"/>
              </w:rPr>
              <w:t>0.005*</w:t>
            </w:r>
          </w:p>
        </w:tc>
        <w:tc>
          <w:tcPr>
            <w:tcW w:w="626" w:type="pct"/>
            <w:tcBorders>
              <w:top w:val="single" w:sz="4" w:space="0" w:color="auto"/>
              <w:left w:val="single" w:sz="4" w:space="0" w:color="auto"/>
              <w:bottom w:val="single" w:sz="4" w:space="0" w:color="auto"/>
              <w:right w:val="single" w:sz="4" w:space="0" w:color="auto"/>
            </w:tcBorders>
            <w:vAlign w:val="center"/>
            <w:hideMark/>
          </w:tcPr>
          <w:p w14:paraId="4896FDB2" w14:textId="77777777" w:rsidR="007606FB" w:rsidRPr="003C23AE" w:rsidRDefault="007606FB">
            <w:pPr>
              <w:spacing w:line="256" w:lineRule="auto"/>
              <w:ind w:left="-106" w:right="-108"/>
              <w:jc w:val="center"/>
              <w:rPr>
                <w:rFonts w:cs="Times New Roman"/>
                <w:sz w:val="22"/>
              </w:rPr>
            </w:pPr>
            <w:r w:rsidRPr="003C23AE">
              <w:rPr>
                <w:rFonts w:cs="Times New Roman"/>
                <w:sz w:val="22"/>
              </w:rPr>
              <w:t>0.050*</w:t>
            </w:r>
          </w:p>
        </w:tc>
        <w:tc>
          <w:tcPr>
            <w:tcW w:w="469" w:type="pct"/>
            <w:tcBorders>
              <w:top w:val="single" w:sz="4" w:space="0" w:color="auto"/>
              <w:left w:val="single" w:sz="4" w:space="0" w:color="auto"/>
              <w:bottom w:val="single" w:sz="4" w:space="0" w:color="auto"/>
              <w:right w:val="single" w:sz="4" w:space="0" w:color="auto"/>
            </w:tcBorders>
            <w:vAlign w:val="center"/>
            <w:hideMark/>
          </w:tcPr>
          <w:p w14:paraId="638F7678" w14:textId="77777777" w:rsidR="007606FB" w:rsidRPr="003C23AE" w:rsidRDefault="007606FB">
            <w:pPr>
              <w:spacing w:line="256" w:lineRule="auto"/>
              <w:ind w:left="-110" w:right="-110"/>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11C0CD83" w14:textId="77777777" w:rsidR="007606FB" w:rsidRPr="003C23AE" w:rsidRDefault="007606FB">
            <w:pPr>
              <w:spacing w:line="256" w:lineRule="auto"/>
              <w:ind w:left="-110" w:right="-109"/>
              <w:jc w:val="center"/>
              <w:rPr>
                <w:rFonts w:cs="Times New Roman"/>
                <w:sz w:val="22"/>
              </w:rPr>
            </w:pPr>
            <w:r w:rsidRPr="003C23AE">
              <w:rPr>
                <w:rFonts w:cs="Times New Roman"/>
                <w:sz w:val="22"/>
              </w:rPr>
              <w:t>0.001*</w:t>
            </w:r>
          </w:p>
        </w:tc>
        <w:tc>
          <w:tcPr>
            <w:tcW w:w="470" w:type="pct"/>
            <w:tcBorders>
              <w:top w:val="single" w:sz="4" w:space="0" w:color="auto"/>
              <w:left w:val="single" w:sz="4" w:space="0" w:color="auto"/>
              <w:bottom w:val="single" w:sz="4" w:space="0" w:color="auto"/>
              <w:right w:val="single" w:sz="4" w:space="0" w:color="auto"/>
            </w:tcBorders>
            <w:vAlign w:val="center"/>
            <w:hideMark/>
          </w:tcPr>
          <w:p w14:paraId="2C98CDFE" w14:textId="77777777" w:rsidR="007606FB" w:rsidRPr="003C23AE" w:rsidRDefault="007606FB">
            <w:pPr>
              <w:spacing w:line="256" w:lineRule="auto"/>
              <w:ind w:left="-110" w:right="-109"/>
              <w:jc w:val="center"/>
              <w:rPr>
                <w:rFonts w:cs="Times New Roman"/>
                <w:sz w:val="22"/>
              </w:rPr>
            </w:pPr>
            <w:r w:rsidRPr="003C23AE">
              <w:rPr>
                <w:rFonts w:cs="Times New Roman"/>
                <w:sz w:val="22"/>
              </w:rPr>
              <w:t>--</w:t>
            </w:r>
          </w:p>
        </w:tc>
        <w:tc>
          <w:tcPr>
            <w:tcW w:w="700" w:type="pct"/>
            <w:tcBorders>
              <w:top w:val="single" w:sz="4" w:space="0" w:color="auto"/>
              <w:left w:val="single" w:sz="4" w:space="0" w:color="auto"/>
              <w:bottom w:val="single" w:sz="4" w:space="0" w:color="auto"/>
              <w:right w:val="single" w:sz="4" w:space="0" w:color="auto"/>
            </w:tcBorders>
            <w:vAlign w:val="center"/>
            <w:hideMark/>
          </w:tcPr>
          <w:p w14:paraId="7D2353F9" w14:textId="77777777" w:rsidR="007606FB" w:rsidRPr="003C23AE" w:rsidRDefault="007606FB">
            <w:pPr>
              <w:spacing w:line="256" w:lineRule="auto"/>
              <w:ind w:left="-107" w:right="-115"/>
              <w:jc w:val="center"/>
              <w:rPr>
                <w:rFonts w:cs="Times New Roman"/>
                <w:sz w:val="22"/>
              </w:rPr>
            </w:pPr>
            <w:r w:rsidRPr="003C23AE">
              <w:rPr>
                <w:rFonts w:cs="Times New Roman"/>
                <w:sz w:val="22"/>
              </w:rPr>
              <w:t>0.007‡</w:t>
            </w:r>
          </w:p>
        </w:tc>
      </w:tr>
      <w:tr w:rsidR="007606FB" w:rsidRPr="00531029" w14:paraId="5FFC8A35" w14:textId="77777777" w:rsidTr="007606FB">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36DD39BB" w14:textId="77777777" w:rsidR="007606FB" w:rsidRPr="003C23AE" w:rsidRDefault="007606FB">
            <w:pPr>
              <w:spacing w:line="256" w:lineRule="auto"/>
              <w:ind w:left="-107" w:right="-115"/>
              <w:rPr>
                <w:rFonts w:cs="Times New Roman"/>
                <w:sz w:val="22"/>
              </w:rPr>
            </w:pPr>
            <w:r w:rsidRPr="003C23AE">
              <w:rPr>
                <w:rFonts w:cs="Times New Roman"/>
                <w:b/>
                <w:sz w:val="22"/>
              </w:rPr>
              <w:t>Treatment satisfaction – visual analogue scale (FAS) (Secondary)</w:t>
            </w:r>
            <w:r w:rsidRPr="003C23AE">
              <w:rPr>
                <w:rFonts w:cs="Times New Roman"/>
                <w:sz w:val="22"/>
              </w:rPr>
              <w:t xml:space="preserve"> </w:t>
            </w:r>
          </w:p>
        </w:tc>
      </w:tr>
      <w:tr w:rsidR="007606FB" w:rsidRPr="003C23AE" w14:paraId="122BE6D6"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764EF3D5" w14:textId="77777777" w:rsidR="007606FB" w:rsidRPr="003C23AE" w:rsidRDefault="007606FB">
            <w:pPr>
              <w:spacing w:line="256" w:lineRule="auto"/>
              <w:rPr>
                <w:rFonts w:cs="Times New Roman"/>
                <w:sz w:val="22"/>
              </w:rPr>
            </w:pPr>
            <w:r w:rsidRPr="003C23AE">
              <w:rPr>
                <w:rFonts w:cs="Times New Roman"/>
                <w:sz w:val="22"/>
              </w:rP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4DED37C0" w14:textId="77777777" w:rsidR="007606FB" w:rsidRPr="003C23AE" w:rsidRDefault="007606FB">
            <w:pPr>
              <w:spacing w:line="256" w:lineRule="auto"/>
              <w:ind w:left="-104" w:right="-106"/>
              <w:jc w:val="center"/>
              <w:rPr>
                <w:rFonts w:cs="Times New Roman"/>
                <w:sz w:val="22"/>
              </w:rPr>
            </w:pPr>
            <w:r w:rsidRPr="003C23AE">
              <w:rPr>
                <w:rFonts w:cs="Times New Roman"/>
                <w:sz w:val="22"/>
              </w:rPr>
              <w:t>428</w:t>
            </w:r>
          </w:p>
        </w:tc>
        <w:tc>
          <w:tcPr>
            <w:tcW w:w="704" w:type="pct"/>
            <w:tcBorders>
              <w:top w:val="single" w:sz="4" w:space="0" w:color="auto"/>
              <w:left w:val="single" w:sz="4" w:space="0" w:color="auto"/>
              <w:bottom w:val="single" w:sz="4" w:space="0" w:color="auto"/>
              <w:right w:val="single" w:sz="4" w:space="0" w:color="auto"/>
            </w:tcBorders>
            <w:vAlign w:val="center"/>
            <w:hideMark/>
          </w:tcPr>
          <w:p w14:paraId="2080A6E1" w14:textId="77777777" w:rsidR="007606FB" w:rsidRPr="003C23AE" w:rsidRDefault="007606FB">
            <w:pPr>
              <w:spacing w:line="256" w:lineRule="auto"/>
              <w:ind w:left="-110" w:right="-110"/>
              <w:jc w:val="center"/>
              <w:rPr>
                <w:rFonts w:cs="Times New Roman"/>
                <w:sz w:val="22"/>
              </w:rPr>
            </w:pPr>
            <w:r w:rsidRPr="003C23AE">
              <w:rPr>
                <w:rFonts w:cs="Times New Roman"/>
                <w:sz w:val="22"/>
              </w:rPr>
              <w:t>414</w:t>
            </w:r>
          </w:p>
        </w:tc>
        <w:tc>
          <w:tcPr>
            <w:tcW w:w="626" w:type="pct"/>
            <w:tcBorders>
              <w:top w:val="single" w:sz="4" w:space="0" w:color="auto"/>
              <w:left w:val="single" w:sz="4" w:space="0" w:color="auto"/>
              <w:bottom w:val="single" w:sz="4" w:space="0" w:color="auto"/>
              <w:right w:val="single" w:sz="4" w:space="0" w:color="auto"/>
            </w:tcBorders>
            <w:vAlign w:val="center"/>
            <w:hideMark/>
          </w:tcPr>
          <w:p w14:paraId="028ECF52" w14:textId="77777777" w:rsidR="007606FB" w:rsidRPr="003C23AE" w:rsidRDefault="007606FB">
            <w:pPr>
              <w:spacing w:line="256" w:lineRule="auto"/>
              <w:ind w:left="-106" w:right="-108"/>
              <w:jc w:val="center"/>
              <w:rPr>
                <w:rFonts w:cs="Times New Roman"/>
                <w:sz w:val="22"/>
              </w:rPr>
            </w:pPr>
            <w:r w:rsidRPr="003C23AE">
              <w:rPr>
                <w:rFonts w:cs="Times New Roman"/>
                <w:sz w:val="22"/>
              </w:rPr>
              <w:t>425</w:t>
            </w:r>
          </w:p>
        </w:tc>
        <w:tc>
          <w:tcPr>
            <w:tcW w:w="469" w:type="pct"/>
            <w:tcBorders>
              <w:top w:val="single" w:sz="4" w:space="0" w:color="auto"/>
              <w:left w:val="single" w:sz="4" w:space="0" w:color="auto"/>
              <w:bottom w:val="single" w:sz="4" w:space="0" w:color="auto"/>
              <w:right w:val="single" w:sz="4" w:space="0" w:color="auto"/>
            </w:tcBorders>
            <w:vAlign w:val="center"/>
            <w:hideMark/>
          </w:tcPr>
          <w:p w14:paraId="3BB43E80" w14:textId="77777777" w:rsidR="007606FB" w:rsidRPr="003C23AE" w:rsidRDefault="007606FB">
            <w:pPr>
              <w:spacing w:line="256" w:lineRule="auto"/>
              <w:ind w:left="-110" w:right="-110"/>
              <w:jc w:val="center"/>
              <w:rPr>
                <w:rFonts w:cs="Times New Roman"/>
                <w:sz w:val="22"/>
              </w:rPr>
            </w:pPr>
            <w:r w:rsidRPr="003C23AE">
              <w:rPr>
                <w:rFonts w:cs="Times New Roman"/>
                <w:sz w:val="22"/>
              </w:rPr>
              <w:t>390</w:t>
            </w:r>
          </w:p>
        </w:tc>
        <w:tc>
          <w:tcPr>
            <w:tcW w:w="704" w:type="pct"/>
            <w:tcBorders>
              <w:top w:val="single" w:sz="4" w:space="0" w:color="auto"/>
              <w:left w:val="single" w:sz="4" w:space="0" w:color="auto"/>
              <w:bottom w:val="single" w:sz="4" w:space="0" w:color="auto"/>
              <w:right w:val="single" w:sz="4" w:space="0" w:color="auto"/>
            </w:tcBorders>
            <w:vAlign w:val="center"/>
            <w:hideMark/>
          </w:tcPr>
          <w:p w14:paraId="0CCE99CF" w14:textId="77777777" w:rsidR="007606FB" w:rsidRPr="003C23AE" w:rsidRDefault="007606FB">
            <w:pPr>
              <w:spacing w:line="256" w:lineRule="auto"/>
              <w:ind w:left="-110" w:right="-109"/>
              <w:jc w:val="center"/>
              <w:rPr>
                <w:rFonts w:cs="Times New Roman"/>
                <w:sz w:val="22"/>
              </w:rPr>
            </w:pPr>
            <w:r w:rsidRPr="003C23AE">
              <w:rPr>
                <w:rFonts w:cs="Times New Roman"/>
                <w:sz w:val="22"/>
              </w:rPr>
              <w:t>387</w:t>
            </w:r>
          </w:p>
        </w:tc>
        <w:tc>
          <w:tcPr>
            <w:tcW w:w="470" w:type="pct"/>
            <w:tcBorders>
              <w:top w:val="single" w:sz="4" w:space="0" w:color="auto"/>
              <w:left w:val="single" w:sz="4" w:space="0" w:color="auto"/>
              <w:bottom w:val="single" w:sz="4" w:space="0" w:color="auto"/>
              <w:right w:val="single" w:sz="4" w:space="0" w:color="auto"/>
            </w:tcBorders>
            <w:vAlign w:val="center"/>
            <w:hideMark/>
          </w:tcPr>
          <w:p w14:paraId="6CEF547E" w14:textId="77777777" w:rsidR="007606FB" w:rsidRPr="003C23AE" w:rsidRDefault="007606FB">
            <w:pPr>
              <w:spacing w:line="256" w:lineRule="auto"/>
              <w:ind w:left="-110" w:right="-109"/>
              <w:jc w:val="center"/>
              <w:rPr>
                <w:rFonts w:cs="Times New Roman"/>
                <w:sz w:val="22"/>
              </w:rPr>
            </w:pPr>
            <w:r w:rsidRPr="003C23AE">
              <w:rPr>
                <w:rFonts w:cs="Times New Roman"/>
                <w:sz w:val="22"/>
              </w:rPr>
              <w:t>377</w:t>
            </w:r>
          </w:p>
        </w:tc>
        <w:tc>
          <w:tcPr>
            <w:tcW w:w="700" w:type="pct"/>
            <w:tcBorders>
              <w:top w:val="single" w:sz="4" w:space="0" w:color="auto"/>
              <w:left w:val="single" w:sz="4" w:space="0" w:color="auto"/>
              <w:bottom w:val="single" w:sz="4" w:space="0" w:color="auto"/>
              <w:right w:val="single" w:sz="4" w:space="0" w:color="auto"/>
            </w:tcBorders>
            <w:vAlign w:val="center"/>
            <w:hideMark/>
          </w:tcPr>
          <w:p w14:paraId="34894BC0" w14:textId="77777777" w:rsidR="007606FB" w:rsidRPr="003C23AE" w:rsidRDefault="007606FB">
            <w:pPr>
              <w:spacing w:line="256" w:lineRule="auto"/>
              <w:ind w:left="-107" w:right="-115"/>
              <w:jc w:val="center"/>
              <w:rPr>
                <w:rFonts w:cs="Times New Roman"/>
                <w:sz w:val="22"/>
              </w:rPr>
            </w:pPr>
            <w:r w:rsidRPr="003C23AE">
              <w:rPr>
                <w:rFonts w:cs="Times New Roman"/>
                <w:sz w:val="22"/>
              </w:rPr>
              <w:t>388</w:t>
            </w:r>
          </w:p>
        </w:tc>
      </w:tr>
      <w:tr w:rsidR="007606FB" w:rsidRPr="003C23AE" w14:paraId="29863FF1"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39434A4D" w14:textId="77777777" w:rsidR="007606FB" w:rsidRPr="003C23AE" w:rsidRDefault="007606FB">
            <w:pPr>
              <w:spacing w:line="256" w:lineRule="auto"/>
              <w:rPr>
                <w:rFonts w:cs="Times New Roman"/>
                <w:sz w:val="22"/>
              </w:rPr>
            </w:pPr>
            <w:r w:rsidRPr="003C23AE">
              <w:rPr>
                <w:rFonts w:cs="Times New Roman"/>
                <w:sz w:val="22"/>
              </w:rPr>
              <w:t>Mean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65864C67" w14:textId="77777777" w:rsidR="007606FB" w:rsidRPr="003C23AE" w:rsidRDefault="007606FB">
            <w:pPr>
              <w:spacing w:line="256" w:lineRule="auto"/>
              <w:ind w:left="-104" w:right="-106"/>
              <w:jc w:val="center"/>
              <w:rPr>
                <w:rFonts w:cs="Times New Roman"/>
                <w:sz w:val="22"/>
              </w:rPr>
            </w:pPr>
            <w:r w:rsidRPr="003C23AE">
              <w:rPr>
                <w:rFonts w:cs="Times New Roman"/>
                <w:sz w:val="22"/>
              </w:rPr>
              <w:t>4.11</w:t>
            </w:r>
          </w:p>
        </w:tc>
        <w:tc>
          <w:tcPr>
            <w:tcW w:w="704" w:type="pct"/>
            <w:tcBorders>
              <w:top w:val="single" w:sz="4" w:space="0" w:color="auto"/>
              <w:left w:val="single" w:sz="4" w:space="0" w:color="auto"/>
              <w:bottom w:val="single" w:sz="4" w:space="0" w:color="auto"/>
              <w:right w:val="single" w:sz="4" w:space="0" w:color="auto"/>
            </w:tcBorders>
            <w:vAlign w:val="center"/>
            <w:hideMark/>
          </w:tcPr>
          <w:p w14:paraId="6C2E02DA" w14:textId="77777777" w:rsidR="007606FB" w:rsidRPr="003C23AE" w:rsidRDefault="007606FB">
            <w:pPr>
              <w:spacing w:line="256" w:lineRule="auto"/>
              <w:ind w:left="-110" w:right="-110"/>
              <w:jc w:val="center"/>
              <w:rPr>
                <w:rFonts w:cs="Times New Roman"/>
                <w:sz w:val="22"/>
              </w:rPr>
            </w:pPr>
            <w:r w:rsidRPr="003C23AE">
              <w:rPr>
                <w:rFonts w:cs="Times New Roman"/>
                <w:sz w:val="22"/>
              </w:rPr>
              <w:t>3.95</w:t>
            </w:r>
          </w:p>
        </w:tc>
        <w:tc>
          <w:tcPr>
            <w:tcW w:w="626" w:type="pct"/>
            <w:tcBorders>
              <w:top w:val="single" w:sz="4" w:space="0" w:color="auto"/>
              <w:left w:val="single" w:sz="4" w:space="0" w:color="auto"/>
              <w:bottom w:val="single" w:sz="4" w:space="0" w:color="auto"/>
              <w:right w:val="single" w:sz="4" w:space="0" w:color="auto"/>
            </w:tcBorders>
            <w:vAlign w:val="center"/>
            <w:hideMark/>
          </w:tcPr>
          <w:p w14:paraId="3C305391" w14:textId="77777777" w:rsidR="007606FB" w:rsidRPr="003C23AE" w:rsidRDefault="007606FB">
            <w:pPr>
              <w:spacing w:line="256" w:lineRule="auto"/>
              <w:ind w:left="-106" w:right="-108"/>
              <w:jc w:val="center"/>
              <w:rPr>
                <w:rFonts w:cs="Times New Roman"/>
                <w:sz w:val="22"/>
              </w:rPr>
            </w:pPr>
            <w:r w:rsidRPr="003C23AE">
              <w:rPr>
                <w:rFonts w:cs="Times New Roman"/>
                <w:sz w:val="22"/>
              </w:rPr>
              <w:t>3.87</w:t>
            </w:r>
          </w:p>
        </w:tc>
        <w:tc>
          <w:tcPr>
            <w:tcW w:w="469" w:type="pct"/>
            <w:tcBorders>
              <w:top w:val="single" w:sz="4" w:space="0" w:color="auto"/>
              <w:left w:val="single" w:sz="4" w:space="0" w:color="auto"/>
              <w:bottom w:val="single" w:sz="4" w:space="0" w:color="auto"/>
              <w:right w:val="single" w:sz="4" w:space="0" w:color="auto"/>
            </w:tcBorders>
            <w:vAlign w:val="center"/>
            <w:hideMark/>
          </w:tcPr>
          <w:p w14:paraId="2502AA95" w14:textId="77777777" w:rsidR="007606FB" w:rsidRPr="003C23AE" w:rsidRDefault="007606FB">
            <w:pPr>
              <w:spacing w:line="256" w:lineRule="auto"/>
              <w:ind w:left="-110" w:right="-110"/>
              <w:jc w:val="center"/>
              <w:rPr>
                <w:rFonts w:cs="Times New Roman"/>
                <w:sz w:val="22"/>
              </w:rPr>
            </w:pPr>
            <w:r w:rsidRPr="003C23AE">
              <w:rPr>
                <w:rFonts w:cs="Times New Roman"/>
                <w:sz w:val="22"/>
              </w:rPr>
              <w:t>5.5</w:t>
            </w:r>
          </w:p>
        </w:tc>
        <w:tc>
          <w:tcPr>
            <w:tcW w:w="704" w:type="pct"/>
            <w:tcBorders>
              <w:top w:val="single" w:sz="4" w:space="0" w:color="auto"/>
              <w:left w:val="single" w:sz="4" w:space="0" w:color="auto"/>
              <w:bottom w:val="single" w:sz="4" w:space="0" w:color="auto"/>
              <w:right w:val="single" w:sz="4" w:space="0" w:color="auto"/>
            </w:tcBorders>
            <w:vAlign w:val="center"/>
            <w:hideMark/>
          </w:tcPr>
          <w:p w14:paraId="7256E5DA" w14:textId="77777777" w:rsidR="007606FB" w:rsidRPr="003C23AE" w:rsidRDefault="007606FB">
            <w:pPr>
              <w:spacing w:line="256" w:lineRule="auto"/>
              <w:ind w:left="-110" w:right="-109"/>
              <w:jc w:val="center"/>
              <w:rPr>
                <w:rFonts w:cs="Times New Roman"/>
                <w:sz w:val="22"/>
              </w:rPr>
            </w:pPr>
            <w:r w:rsidRPr="003C23AE">
              <w:rPr>
                <w:rFonts w:cs="Times New Roman"/>
                <w:sz w:val="22"/>
              </w:rPr>
              <w:t>5.4</w:t>
            </w:r>
          </w:p>
        </w:tc>
        <w:tc>
          <w:tcPr>
            <w:tcW w:w="470" w:type="pct"/>
            <w:tcBorders>
              <w:top w:val="single" w:sz="4" w:space="0" w:color="auto"/>
              <w:left w:val="single" w:sz="4" w:space="0" w:color="auto"/>
              <w:bottom w:val="single" w:sz="4" w:space="0" w:color="auto"/>
              <w:right w:val="single" w:sz="4" w:space="0" w:color="auto"/>
            </w:tcBorders>
            <w:vAlign w:val="center"/>
            <w:hideMark/>
          </w:tcPr>
          <w:p w14:paraId="0ABCC03A" w14:textId="77777777" w:rsidR="007606FB" w:rsidRPr="003C23AE" w:rsidRDefault="007606FB">
            <w:pPr>
              <w:spacing w:line="256" w:lineRule="auto"/>
              <w:ind w:left="-110" w:right="-109"/>
              <w:jc w:val="center"/>
              <w:rPr>
                <w:rFonts w:cs="Times New Roman"/>
                <w:sz w:val="22"/>
              </w:rPr>
            </w:pPr>
            <w:r w:rsidRPr="003C23AE">
              <w:rPr>
                <w:rFonts w:cs="Times New Roman"/>
                <w:sz w:val="22"/>
              </w:rPr>
              <w:t>5.13</w:t>
            </w:r>
          </w:p>
        </w:tc>
        <w:tc>
          <w:tcPr>
            <w:tcW w:w="700" w:type="pct"/>
            <w:tcBorders>
              <w:top w:val="single" w:sz="4" w:space="0" w:color="auto"/>
              <w:left w:val="single" w:sz="4" w:space="0" w:color="auto"/>
              <w:bottom w:val="single" w:sz="4" w:space="0" w:color="auto"/>
              <w:right w:val="single" w:sz="4" w:space="0" w:color="auto"/>
            </w:tcBorders>
            <w:vAlign w:val="center"/>
            <w:hideMark/>
          </w:tcPr>
          <w:p w14:paraId="0627376F" w14:textId="77777777" w:rsidR="007606FB" w:rsidRPr="003C23AE" w:rsidRDefault="007606FB">
            <w:pPr>
              <w:spacing w:line="256" w:lineRule="auto"/>
              <w:ind w:left="-107" w:right="-115"/>
              <w:jc w:val="center"/>
              <w:rPr>
                <w:rFonts w:cs="Times New Roman"/>
                <w:sz w:val="22"/>
              </w:rPr>
            </w:pPr>
            <w:r w:rsidRPr="003C23AE">
              <w:rPr>
                <w:rFonts w:cs="Times New Roman"/>
                <w:sz w:val="22"/>
              </w:rPr>
              <w:t>5.13</w:t>
            </w:r>
          </w:p>
        </w:tc>
      </w:tr>
      <w:tr w:rsidR="007606FB" w:rsidRPr="003C23AE" w14:paraId="37126CEF"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1E4FD73F" w14:textId="77777777" w:rsidR="007606FB" w:rsidRPr="003C23AE" w:rsidRDefault="007606FB">
            <w:pPr>
              <w:spacing w:line="256" w:lineRule="auto"/>
              <w:rPr>
                <w:rFonts w:cs="Times New Roman"/>
                <w:sz w:val="22"/>
              </w:rPr>
            </w:pPr>
            <w:r w:rsidRPr="003C23AE">
              <w:rPr>
                <w:rFonts w:cs="Times New Roman"/>
                <w:sz w:val="22"/>
              </w:rPr>
              <w:t>Mean change from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7801456E" w14:textId="77777777" w:rsidR="007606FB" w:rsidRPr="003C23AE" w:rsidRDefault="007606FB">
            <w:pPr>
              <w:spacing w:line="256" w:lineRule="auto"/>
              <w:ind w:left="-104" w:right="-106"/>
              <w:jc w:val="center"/>
              <w:rPr>
                <w:rFonts w:cs="Times New Roman"/>
                <w:sz w:val="22"/>
              </w:rPr>
            </w:pPr>
            <w:r w:rsidRPr="003C23AE">
              <w:rPr>
                <w:rFonts w:cs="Times New Roman"/>
                <w:sz w:val="22"/>
              </w:rPr>
              <w:t>1.89</w:t>
            </w:r>
          </w:p>
        </w:tc>
        <w:tc>
          <w:tcPr>
            <w:tcW w:w="704" w:type="pct"/>
            <w:tcBorders>
              <w:top w:val="single" w:sz="4" w:space="0" w:color="auto"/>
              <w:left w:val="single" w:sz="4" w:space="0" w:color="auto"/>
              <w:bottom w:val="single" w:sz="4" w:space="0" w:color="auto"/>
              <w:right w:val="single" w:sz="4" w:space="0" w:color="auto"/>
            </w:tcBorders>
            <w:vAlign w:val="center"/>
            <w:hideMark/>
          </w:tcPr>
          <w:p w14:paraId="63D179FB" w14:textId="77777777" w:rsidR="007606FB" w:rsidRPr="003C23AE" w:rsidRDefault="007606FB">
            <w:pPr>
              <w:spacing w:line="256" w:lineRule="auto"/>
              <w:ind w:left="-110" w:right="-110"/>
              <w:jc w:val="center"/>
              <w:rPr>
                <w:rFonts w:cs="Times New Roman"/>
                <w:sz w:val="22"/>
              </w:rPr>
            </w:pPr>
            <w:r w:rsidRPr="003C23AE">
              <w:rPr>
                <w:rFonts w:cs="Times New Roman"/>
                <w:sz w:val="22"/>
              </w:rPr>
              <w:t>2.55</w:t>
            </w:r>
          </w:p>
        </w:tc>
        <w:tc>
          <w:tcPr>
            <w:tcW w:w="626" w:type="pct"/>
            <w:tcBorders>
              <w:top w:val="single" w:sz="4" w:space="0" w:color="auto"/>
              <w:left w:val="single" w:sz="4" w:space="0" w:color="auto"/>
              <w:bottom w:val="single" w:sz="4" w:space="0" w:color="auto"/>
              <w:right w:val="single" w:sz="4" w:space="0" w:color="auto"/>
            </w:tcBorders>
            <w:vAlign w:val="center"/>
            <w:hideMark/>
          </w:tcPr>
          <w:p w14:paraId="7641771C" w14:textId="77777777" w:rsidR="007606FB" w:rsidRPr="003C23AE" w:rsidRDefault="007606FB">
            <w:pPr>
              <w:spacing w:line="256" w:lineRule="auto"/>
              <w:ind w:left="-106" w:right="-108"/>
              <w:jc w:val="center"/>
              <w:rPr>
                <w:rFonts w:cs="Times New Roman"/>
                <w:sz w:val="22"/>
              </w:rPr>
            </w:pPr>
            <w:r w:rsidRPr="003C23AE">
              <w:rPr>
                <w:rFonts w:cs="Times New Roman"/>
                <w:sz w:val="22"/>
              </w:rPr>
              <w:t>2.44</w:t>
            </w:r>
          </w:p>
        </w:tc>
        <w:tc>
          <w:tcPr>
            <w:tcW w:w="469" w:type="pct"/>
            <w:tcBorders>
              <w:top w:val="single" w:sz="4" w:space="0" w:color="auto"/>
              <w:left w:val="single" w:sz="4" w:space="0" w:color="auto"/>
              <w:bottom w:val="single" w:sz="4" w:space="0" w:color="auto"/>
              <w:right w:val="single" w:sz="4" w:space="0" w:color="auto"/>
            </w:tcBorders>
            <w:vAlign w:val="center"/>
            <w:hideMark/>
          </w:tcPr>
          <w:p w14:paraId="488360B6" w14:textId="77777777" w:rsidR="007606FB" w:rsidRPr="003C23AE" w:rsidRDefault="007606FB">
            <w:pPr>
              <w:spacing w:line="256" w:lineRule="auto"/>
              <w:ind w:left="-110" w:right="-110"/>
              <w:jc w:val="center"/>
              <w:rPr>
                <w:rFonts w:cs="Times New Roman"/>
                <w:sz w:val="22"/>
              </w:rPr>
            </w:pPr>
            <w:r w:rsidRPr="003C23AE">
              <w:rPr>
                <w:rFonts w:cs="Times New Roman"/>
                <w:sz w:val="22"/>
              </w:rPr>
              <w:t>0.7</w:t>
            </w:r>
          </w:p>
        </w:tc>
        <w:tc>
          <w:tcPr>
            <w:tcW w:w="704" w:type="pct"/>
            <w:tcBorders>
              <w:top w:val="single" w:sz="4" w:space="0" w:color="auto"/>
              <w:left w:val="single" w:sz="4" w:space="0" w:color="auto"/>
              <w:bottom w:val="single" w:sz="4" w:space="0" w:color="auto"/>
              <w:right w:val="single" w:sz="4" w:space="0" w:color="auto"/>
            </w:tcBorders>
            <w:vAlign w:val="center"/>
            <w:hideMark/>
          </w:tcPr>
          <w:p w14:paraId="7322038D" w14:textId="77777777" w:rsidR="007606FB" w:rsidRPr="003C23AE" w:rsidRDefault="007606FB">
            <w:pPr>
              <w:spacing w:line="256" w:lineRule="auto"/>
              <w:ind w:left="-110" w:right="-109"/>
              <w:jc w:val="center"/>
              <w:rPr>
                <w:rFonts w:cs="Times New Roman"/>
                <w:sz w:val="22"/>
              </w:rPr>
            </w:pPr>
            <w:r w:rsidRPr="003C23AE">
              <w:rPr>
                <w:rFonts w:cs="Times New Roman"/>
                <w:sz w:val="22"/>
              </w:rPr>
              <w:t>1.5</w:t>
            </w:r>
          </w:p>
        </w:tc>
        <w:tc>
          <w:tcPr>
            <w:tcW w:w="470" w:type="pct"/>
            <w:tcBorders>
              <w:top w:val="single" w:sz="4" w:space="0" w:color="auto"/>
              <w:left w:val="single" w:sz="4" w:space="0" w:color="auto"/>
              <w:bottom w:val="single" w:sz="4" w:space="0" w:color="auto"/>
              <w:right w:val="single" w:sz="4" w:space="0" w:color="auto"/>
            </w:tcBorders>
            <w:vAlign w:val="center"/>
            <w:hideMark/>
          </w:tcPr>
          <w:p w14:paraId="7AEF2577" w14:textId="77777777" w:rsidR="007606FB" w:rsidRPr="003C23AE" w:rsidRDefault="007606FB">
            <w:pPr>
              <w:spacing w:line="256" w:lineRule="auto"/>
              <w:ind w:left="-110" w:right="-109"/>
              <w:jc w:val="center"/>
              <w:rPr>
                <w:rFonts w:cs="Times New Roman"/>
                <w:sz w:val="22"/>
              </w:rPr>
            </w:pPr>
            <w:r w:rsidRPr="003C23AE">
              <w:rPr>
                <w:rFonts w:cs="Times New Roman"/>
                <w:sz w:val="22"/>
              </w:rPr>
              <w:t>1.05</w:t>
            </w:r>
          </w:p>
        </w:tc>
        <w:tc>
          <w:tcPr>
            <w:tcW w:w="700" w:type="pct"/>
            <w:tcBorders>
              <w:top w:val="single" w:sz="4" w:space="0" w:color="auto"/>
              <w:left w:val="single" w:sz="4" w:space="0" w:color="auto"/>
              <w:bottom w:val="single" w:sz="4" w:space="0" w:color="auto"/>
              <w:right w:val="single" w:sz="4" w:space="0" w:color="auto"/>
            </w:tcBorders>
            <w:vAlign w:val="center"/>
            <w:hideMark/>
          </w:tcPr>
          <w:p w14:paraId="437D4024" w14:textId="77777777" w:rsidR="007606FB" w:rsidRPr="003C23AE" w:rsidRDefault="007606FB">
            <w:pPr>
              <w:spacing w:line="256" w:lineRule="auto"/>
              <w:ind w:left="-107" w:right="-115"/>
              <w:jc w:val="center"/>
              <w:rPr>
                <w:rFonts w:cs="Times New Roman"/>
                <w:sz w:val="22"/>
              </w:rPr>
            </w:pPr>
            <w:r w:rsidRPr="003C23AE">
              <w:rPr>
                <w:rFonts w:cs="Times New Roman"/>
                <w:sz w:val="22"/>
              </w:rPr>
              <w:t>1.88</w:t>
            </w:r>
          </w:p>
        </w:tc>
      </w:tr>
      <w:tr w:rsidR="007606FB" w:rsidRPr="003C23AE" w14:paraId="55118D37"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58E9EE14" w14:textId="77777777" w:rsidR="007606FB" w:rsidRPr="003C23AE" w:rsidRDefault="007606FB">
            <w:pPr>
              <w:spacing w:line="256" w:lineRule="auto"/>
              <w:rPr>
                <w:rFonts w:cs="Times New Roman"/>
                <w:sz w:val="22"/>
              </w:rPr>
            </w:pPr>
            <w:r w:rsidRPr="003C23AE">
              <w:rPr>
                <w:rFonts w:cs="Times New Roman"/>
                <w:sz w:val="22"/>
              </w:rPr>
              <w:t>Mean difference from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215F6CA1" w14:textId="77777777" w:rsidR="007606FB" w:rsidRPr="003C23AE" w:rsidRDefault="007606FB">
            <w:pPr>
              <w:spacing w:line="256" w:lineRule="auto"/>
              <w:ind w:left="-104" w:right="-106"/>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64D71D86" w14:textId="77777777" w:rsidR="007606FB" w:rsidRPr="003C23AE" w:rsidRDefault="007606FB">
            <w:pPr>
              <w:spacing w:line="256" w:lineRule="auto"/>
              <w:ind w:left="-110" w:right="-110"/>
              <w:jc w:val="center"/>
              <w:rPr>
                <w:rFonts w:cs="Times New Roman"/>
                <w:sz w:val="22"/>
              </w:rPr>
            </w:pPr>
            <w:r w:rsidRPr="003C23AE">
              <w:rPr>
                <w:rFonts w:cs="Times New Roman"/>
                <w:sz w:val="22"/>
              </w:rPr>
              <w:t>0.66</w:t>
            </w:r>
          </w:p>
        </w:tc>
        <w:tc>
          <w:tcPr>
            <w:tcW w:w="626" w:type="pct"/>
            <w:tcBorders>
              <w:top w:val="single" w:sz="4" w:space="0" w:color="auto"/>
              <w:left w:val="single" w:sz="4" w:space="0" w:color="auto"/>
              <w:bottom w:val="single" w:sz="4" w:space="0" w:color="auto"/>
              <w:right w:val="single" w:sz="4" w:space="0" w:color="auto"/>
            </w:tcBorders>
            <w:vAlign w:val="center"/>
            <w:hideMark/>
          </w:tcPr>
          <w:p w14:paraId="2B9490FF" w14:textId="77777777" w:rsidR="007606FB" w:rsidRPr="003C23AE" w:rsidRDefault="007606FB">
            <w:pPr>
              <w:spacing w:line="256" w:lineRule="auto"/>
              <w:ind w:left="-106" w:right="-108"/>
              <w:jc w:val="center"/>
              <w:rPr>
                <w:rFonts w:cs="Times New Roman"/>
                <w:sz w:val="22"/>
              </w:rPr>
            </w:pPr>
            <w:r w:rsidRPr="003C23AE">
              <w:rPr>
                <w:rFonts w:cs="Times New Roman"/>
                <w:sz w:val="22"/>
              </w:rPr>
              <w:t>0.55</w:t>
            </w:r>
          </w:p>
        </w:tc>
        <w:tc>
          <w:tcPr>
            <w:tcW w:w="469" w:type="pct"/>
            <w:tcBorders>
              <w:top w:val="single" w:sz="4" w:space="0" w:color="auto"/>
              <w:left w:val="single" w:sz="4" w:space="0" w:color="auto"/>
              <w:bottom w:val="single" w:sz="4" w:space="0" w:color="auto"/>
              <w:right w:val="single" w:sz="4" w:space="0" w:color="auto"/>
            </w:tcBorders>
            <w:vAlign w:val="center"/>
            <w:hideMark/>
          </w:tcPr>
          <w:p w14:paraId="7D8B4F04" w14:textId="77777777" w:rsidR="007606FB" w:rsidRPr="003C23AE" w:rsidRDefault="007606FB">
            <w:pPr>
              <w:spacing w:line="256" w:lineRule="auto"/>
              <w:ind w:left="-110" w:right="-110"/>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64633820" w14:textId="77777777" w:rsidR="007606FB" w:rsidRPr="003C23AE" w:rsidRDefault="007606FB">
            <w:pPr>
              <w:spacing w:line="256" w:lineRule="auto"/>
              <w:ind w:left="-110" w:right="-109"/>
              <w:jc w:val="center"/>
              <w:rPr>
                <w:rFonts w:cs="Times New Roman"/>
                <w:sz w:val="22"/>
              </w:rPr>
            </w:pPr>
            <w:r w:rsidRPr="003C23AE">
              <w:rPr>
                <w:rFonts w:cs="Times New Roman"/>
                <w:sz w:val="22"/>
              </w:rPr>
              <w:t>0.8</w:t>
            </w:r>
          </w:p>
        </w:tc>
        <w:tc>
          <w:tcPr>
            <w:tcW w:w="470" w:type="pct"/>
            <w:tcBorders>
              <w:top w:val="single" w:sz="4" w:space="0" w:color="auto"/>
              <w:left w:val="single" w:sz="4" w:space="0" w:color="auto"/>
              <w:bottom w:val="single" w:sz="4" w:space="0" w:color="auto"/>
              <w:right w:val="single" w:sz="4" w:space="0" w:color="auto"/>
            </w:tcBorders>
            <w:vAlign w:val="center"/>
            <w:hideMark/>
          </w:tcPr>
          <w:p w14:paraId="4D6CFE36" w14:textId="77777777" w:rsidR="007606FB" w:rsidRPr="003C23AE" w:rsidRDefault="007606FB">
            <w:pPr>
              <w:spacing w:line="256" w:lineRule="auto"/>
              <w:ind w:left="-110" w:right="-109"/>
              <w:jc w:val="center"/>
              <w:rPr>
                <w:rFonts w:cs="Times New Roman"/>
                <w:sz w:val="22"/>
              </w:rPr>
            </w:pPr>
            <w:r w:rsidRPr="003C23AE">
              <w:rPr>
                <w:rFonts w:cs="Times New Roman"/>
                <w:sz w:val="22"/>
              </w:rPr>
              <w:t>--</w:t>
            </w:r>
          </w:p>
        </w:tc>
        <w:tc>
          <w:tcPr>
            <w:tcW w:w="700" w:type="pct"/>
            <w:tcBorders>
              <w:top w:val="single" w:sz="4" w:space="0" w:color="auto"/>
              <w:left w:val="single" w:sz="4" w:space="0" w:color="auto"/>
              <w:bottom w:val="single" w:sz="4" w:space="0" w:color="auto"/>
              <w:right w:val="single" w:sz="4" w:space="0" w:color="auto"/>
            </w:tcBorders>
            <w:vAlign w:val="center"/>
            <w:hideMark/>
          </w:tcPr>
          <w:p w14:paraId="69614E9B" w14:textId="77777777" w:rsidR="007606FB" w:rsidRPr="003C23AE" w:rsidRDefault="007606FB">
            <w:pPr>
              <w:spacing w:line="256" w:lineRule="auto"/>
              <w:ind w:left="-107" w:right="-115"/>
              <w:jc w:val="center"/>
              <w:rPr>
                <w:rFonts w:cs="Times New Roman"/>
                <w:sz w:val="22"/>
              </w:rPr>
            </w:pPr>
            <w:r w:rsidRPr="003C23AE">
              <w:rPr>
                <w:rFonts w:cs="Times New Roman"/>
                <w:sz w:val="22"/>
              </w:rPr>
              <w:t>0.83</w:t>
            </w:r>
          </w:p>
        </w:tc>
      </w:tr>
      <w:tr w:rsidR="007606FB" w:rsidRPr="003C23AE" w14:paraId="3E9987B9"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1D6348F4" w14:textId="77777777" w:rsidR="007606FB" w:rsidRPr="003C23AE" w:rsidRDefault="007606FB">
            <w:pPr>
              <w:spacing w:line="256" w:lineRule="auto"/>
              <w:rPr>
                <w:rFonts w:cs="Times New Roman"/>
                <w:sz w:val="22"/>
              </w:rPr>
            </w:pPr>
            <w:r w:rsidRPr="003C23AE">
              <w:rPr>
                <w:rFonts w:cs="Times New Roman"/>
                <w:sz w:val="22"/>
              </w:rPr>
              <w:t>95% Confidence Interval</w:t>
            </w:r>
          </w:p>
        </w:tc>
        <w:tc>
          <w:tcPr>
            <w:tcW w:w="469" w:type="pct"/>
            <w:tcBorders>
              <w:top w:val="single" w:sz="4" w:space="0" w:color="auto"/>
              <w:left w:val="single" w:sz="4" w:space="0" w:color="auto"/>
              <w:bottom w:val="single" w:sz="4" w:space="0" w:color="auto"/>
              <w:right w:val="single" w:sz="4" w:space="0" w:color="auto"/>
            </w:tcBorders>
            <w:vAlign w:val="center"/>
            <w:hideMark/>
          </w:tcPr>
          <w:p w14:paraId="04F2878B" w14:textId="77777777" w:rsidR="007606FB" w:rsidRPr="003C23AE" w:rsidRDefault="007606FB">
            <w:pPr>
              <w:spacing w:line="256" w:lineRule="auto"/>
              <w:ind w:left="-104" w:right="-106"/>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67469D3C" w14:textId="77777777" w:rsidR="007606FB" w:rsidRPr="003C23AE" w:rsidRDefault="007606FB">
            <w:pPr>
              <w:spacing w:line="256" w:lineRule="auto"/>
              <w:ind w:left="-110" w:right="-110"/>
              <w:jc w:val="center"/>
              <w:rPr>
                <w:rFonts w:cs="Times New Roman"/>
                <w:sz w:val="22"/>
              </w:rPr>
            </w:pPr>
            <w:r w:rsidRPr="003C23AE">
              <w:rPr>
                <w:rFonts w:cs="Times New Roman"/>
                <w:sz w:val="22"/>
              </w:rPr>
              <w:t>(0.25, 1.07)</w:t>
            </w:r>
          </w:p>
        </w:tc>
        <w:tc>
          <w:tcPr>
            <w:tcW w:w="626" w:type="pct"/>
            <w:tcBorders>
              <w:top w:val="single" w:sz="4" w:space="0" w:color="auto"/>
              <w:left w:val="single" w:sz="4" w:space="0" w:color="auto"/>
              <w:bottom w:val="single" w:sz="4" w:space="0" w:color="auto"/>
              <w:right w:val="single" w:sz="4" w:space="0" w:color="auto"/>
            </w:tcBorders>
            <w:vAlign w:val="center"/>
            <w:hideMark/>
          </w:tcPr>
          <w:p w14:paraId="1B0AFA6A" w14:textId="77777777" w:rsidR="007606FB" w:rsidRPr="003C23AE" w:rsidRDefault="007606FB">
            <w:pPr>
              <w:spacing w:line="256" w:lineRule="auto"/>
              <w:ind w:left="-106" w:right="-108"/>
              <w:jc w:val="center"/>
              <w:rPr>
                <w:rFonts w:cs="Times New Roman"/>
                <w:sz w:val="22"/>
              </w:rPr>
            </w:pPr>
            <w:r w:rsidRPr="003C23AE">
              <w:rPr>
                <w:rFonts w:cs="Times New Roman"/>
                <w:sz w:val="22"/>
              </w:rPr>
              <w:t>(0.14, 0.95)</w:t>
            </w:r>
          </w:p>
        </w:tc>
        <w:tc>
          <w:tcPr>
            <w:tcW w:w="469" w:type="pct"/>
            <w:tcBorders>
              <w:top w:val="single" w:sz="4" w:space="0" w:color="auto"/>
              <w:left w:val="single" w:sz="4" w:space="0" w:color="auto"/>
              <w:bottom w:val="single" w:sz="4" w:space="0" w:color="auto"/>
              <w:right w:val="single" w:sz="4" w:space="0" w:color="auto"/>
            </w:tcBorders>
            <w:vAlign w:val="center"/>
            <w:hideMark/>
          </w:tcPr>
          <w:p w14:paraId="0F357267" w14:textId="77777777" w:rsidR="007606FB" w:rsidRPr="003C23AE" w:rsidRDefault="007606FB">
            <w:pPr>
              <w:spacing w:line="256" w:lineRule="auto"/>
              <w:ind w:left="-110" w:right="-110"/>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10728E3F" w14:textId="77777777" w:rsidR="007606FB" w:rsidRPr="003C23AE" w:rsidRDefault="007606FB">
            <w:pPr>
              <w:spacing w:line="256" w:lineRule="auto"/>
              <w:ind w:left="-110" w:right="-109"/>
              <w:jc w:val="center"/>
              <w:rPr>
                <w:rFonts w:cs="Times New Roman"/>
                <w:sz w:val="22"/>
              </w:rPr>
            </w:pPr>
            <w:r w:rsidRPr="003C23AE">
              <w:rPr>
                <w:rFonts w:cs="Times New Roman"/>
                <w:sz w:val="22"/>
              </w:rPr>
              <w:t>(0.4, 1.3)</w:t>
            </w:r>
          </w:p>
        </w:tc>
        <w:tc>
          <w:tcPr>
            <w:tcW w:w="470" w:type="pct"/>
            <w:tcBorders>
              <w:top w:val="single" w:sz="4" w:space="0" w:color="auto"/>
              <w:left w:val="single" w:sz="4" w:space="0" w:color="auto"/>
              <w:bottom w:val="single" w:sz="4" w:space="0" w:color="auto"/>
              <w:right w:val="single" w:sz="4" w:space="0" w:color="auto"/>
            </w:tcBorders>
            <w:vAlign w:val="center"/>
            <w:hideMark/>
          </w:tcPr>
          <w:p w14:paraId="15C7BC8A" w14:textId="77777777" w:rsidR="007606FB" w:rsidRPr="003C23AE" w:rsidRDefault="007606FB">
            <w:pPr>
              <w:spacing w:line="256" w:lineRule="auto"/>
              <w:ind w:left="-110" w:right="-109"/>
              <w:jc w:val="center"/>
              <w:rPr>
                <w:rFonts w:cs="Times New Roman"/>
                <w:sz w:val="22"/>
              </w:rPr>
            </w:pPr>
            <w:r w:rsidRPr="003C23AE">
              <w:rPr>
                <w:rFonts w:cs="Times New Roman"/>
                <w:sz w:val="22"/>
              </w:rPr>
              <w:t>--</w:t>
            </w:r>
          </w:p>
        </w:tc>
        <w:tc>
          <w:tcPr>
            <w:tcW w:w="700" w:type="pct"/>
            <w:tcBorders>
              <w:top w:val="single" w:sz="4" w:space="0" w:color="auto"/>
              <w:left w:val="single" w:sz="4" w:space="0" w:color="auto"/>
              <w:bottom w:val="single" w:sz="4" w:space="0" w:color="auto"/>
              <w:right w:val="single" w:sz="4" w:space="0" w:color="auto"/>
            </w:tcBorders>
            <w:vAlign w:val="center"/>
            <w:hideMark/>
          </w:tcPr>
          <w:p w14:paraId="2A98AFB5" w14:textId="77777777" w:rsidR="007606FB" w:rsidRPr="003C23AE" w:rsidRDefault="007606FB">
            <w:pPr>
              <w:spacing w:line="256" w:lineRule="auto"/>
              <w:ind w:left="-107" w:right="-115"/>
              <w:jc w:val="center"/>
              <w:rPr>
                <w:rFonts w:cs="Times New Roman"/>
                <w:sz w:val="22"/>
              </w:rPr>
            </w:pPr>
            <w:r w:rsidRPr="003C23AE">
              <w:rPr>
                <w:rFonts w:cs="Times New Roman"/>
                <w:sz w:val="22"/>
              </w:rPr>
              <w:t>(0.41, 1.25)</w:t>
            </w:r>
          </w:p>
        </w:tc>
      </w:tr>
      <w:tr w:rsidR="007606FB" w:rsidRPr="003C23AE" w14:paraId="2797A046" w14:textId="77777777" w:rsidTr="007606FB">
        <w:tc>
          <w:tcPr>
            <w:tcW w:w="858" w:type="pct"/>
            <w:tcBorders>
              <w:top w:val="single" w:sz="4" w:space="0" w:color="auto"/>
              <w:left w:val="single" w:sz="4" w:space="0" w:color="auto"/>
              <w:bottom w:val="single" w:sz="4" w:space="0" w:color="auto"/>
              <w:right w:val="single" w:sz="4" w:space="0" w:color="auto"/>
            </w:tcBorders>
            <w:vAlign w:val="center"/>
            <w:hideMark/>
          </w:tcPr>
          <w:p w14:paraId="22F89D4D" w14:textId="77777777" w:rsidR="007606FB" w:rsidRPr="003C23AE" w:rsidRDefault="007606FB">
            <w:pPr>
              <w:keepNext/>
              <w:spacing w:line="256" w:lineRule="auto"/>
              <w:rPr>
                <w:rFonts w:cs="Times New Roman"/>
                <w:sz w:val="22"/>
              </w:rPr>
            </w:pPr>
            <w:r w:rsidRPr="003C23AE">
              <w:rPr>
                <w:rFonts w:cs="Times New Roman"/>
                <w:sz w:val="22"/>
              </w:rPr>
              <w:t>p-value</w:t>
            </w:r>
          </w:p>
        </w:tc>
        <w:tc>
          <w:tcPr>
            <w:tcW w:w="469" w:type="pct"/>
            <w:tcBorders>
              <w:top w:val="single" w:sz="4" w:space="0" w:color="auto"/>
              <w:left w:val="single" w:sz="4" w:space="0" w:color="auto"/>
              <w:bottom w:val="single" w:sz="4" w:space="0" w:color="auto"/>
              <w:right w:val="single" w:sz="4" w:space="0" w:color="auto"/>
            </w:tcBorders>
            <w:vAlign w:val="center"/>
            <w:hideMark/>
          </w:tcPr>
          <w:p w14:paraId="36B74553" w14:textId="77777777" w:rsidR="007606FB" w:rsidRPr="003C23AE" w:rsidRDefault="007606FB">
            <w:pPr>
              <w:keepNext/>
              <w:spacing w:line="256" w:lineRule="auto"/>
              <w:ind w:left="-104" w:right="-106"/>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2FEB5D64" w14:textId="77777777" w:rsidR="007606FB" w:rsidRPr="003C23AE" w:rsidRDefault="007606FB">
            <w:pPr>
              <w:keepNext/>
              <w:spacing w:line="256" w:lineRule="auto"/>
              <w:ind w:left="-110" w:right="-110"/>
              <w:jc w:val="center"/>
              <w:rPr>
                <w:rFonts w:cs="Times New Roman"/>
                <w:sz w:val="22"/>
              </w:rPr>
            </w:pPr>
            <w:r w:rsidRPr="003C23AE">
              <w:rPr>
                <w:rFonts w:cs="Times New Roman"/>
                <w:sz w:val="22"/>
              </w:rPr>
              <w:t>0.001*</w:t>
            </w:r>
          </w:p>
        </w:tc>
        <w:tc>
          <w:tcPr>
            <w:tcW w:w="626" w:type="pct"/>
            <w:tcBorders>
              <w:top w:val="single" w:sz="4" w:space="0" w:color="auto"/>
              <w:left w:val="single" w:sz="4" w:space="0" w:color="auto"/>
              <w:bottom w:val="single" w:sz="4" w:space="0" w:color="auto"/>
              <w:right w:val="single" w:sz="4" w:space="0" w:color="auto"/>
            </w:tcBorders>
            <w:vAlign w:val="center"/>
            <w:hideMark/>
          </w:tcPr>
          <w:p w14:paraId="736A8FCE" w14:textId="77777777" w:rsidR="007606FB" w:rsidRPr="003C23AE" w:rsidRDefault="007606FB">
            <w:pPr>
              <w:keepNext/>
              <w:spacing w:line="256" w:lineRule="auto"/>
              <w:ind w:left="-106" w:right="-108"/>
              <w:jc w:val="center"/>
              <w:rPr>
                <w:rFonts w:cs="Times New Roman"/>
                <w:sz w:val="22"/>
              </w:rPr>
            </w:pPr>
            <w:r w:rsidRPr="003C23AE">
              <w:rPr>
                <w:rFonts w:cs="Times New Roman"/>
                <w:sz w:val="22"/>
              </w:rPr>
              <w:t>0.008*</w:t>
            </w:r>
          </w:p>
        </w:tc>
        <w:tc>
          <w:tcPr>
            <w:tcW w:w="469" w:type="pct"/>
            <w:tcBorders>
              <w:top w:val="single" w:sz="4" w:space="0" w:color="auto"/>
              <w:left w:val="single" w:sz="4" w:space="0" w:color="auto"/>
              <w:bottom w:val="single" w:sz="4" w:space="0" w:color="auto"/>
              <w:right w:val="single" w:sz="4" w:space="0" w:color="auto"/>
            </w:tcBorders>
            <w:vAlign w:val="center"/>
            <w:hideMark/>
          </w:tcPr>
          <w:p w14:paraId="5A1BC0CE" w14:textId="77777777" w:rsidR="007606FB" w:rsidRPr="003C23AE" w:rsidRDefault="007606FB">
            <w:pPr>
              <w:keepNext/>
              <w:spacing w:line="256" w:lineRule="auto"/>
              <w:ind w:left="-110" w:right="-110"/>
              <w:jc w:val="center"/>
              <w:rPr>
                <w:rFonts w:cs="Times New Roman"/>
                <w:sz w:val="22"/>
              </w:rPr>
            </w:pPr>
            <w:r w:rsidRPr="003C23AE">
              <w:rPr>
                <w:rFonts w:cs="Times New Roman"/>
                <w:sz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75C0791F" w14:textId="77777777" w:rsidR="007606FB" w:rsidRPr="003C23AE" w:rsidRDefault="007606FB">
            <w:pPr>
              <w:keepNext/>
              <w:spacing w:line="256" w:lineRule="auto"/>
              <w:ind w:left="-110" w:right="-109"/>
              <w:jc w:val="center"/>
              <w:rPr>
                <w:rFonts w:cs="Times New Roman"/>
                <w:sz w:val="22"/>
              </w:rPr>
            </w:pPr>
            <w:r w:rsidRPr="003C23AE">
              <w:rPr>
                <w:rFonts w:cs="Times New Roman"/>
                <w:sz w:val="22"/>
              </w:rPr>
              <w:t>&lt;0.001*</w:t>
            </w:r>
          </w:p>
        </w:tc>
        <w:tc>
          <w:tcPr>
            <w:tcW w:w="470" w:type="pct"/>
            <w:tcBorders>
              <w:top w:val="single" w:sz="4" w:space="0" w:color="auto"/>
              <w:left w:val="single" w:sz="4" w:space="0" w:color="auto"/>
              <w:bottom w:val="single" w:sz="4" w:space="0" w:color="auto"/>
              <w:right w:val="single" w:sz="4" w:space="0" w:color="auto"/>
            </w:tcBorders>
            <w:vAlign w:val="center"/>
            <w:hideMark/>
          </w:tcPr>
          <w:p w14:paraId="73F395BE" w14:textId="77777777" w:rsidR="007606FB" w:rsidRPr="003C23AE" w:rsidRDefault="007606FB">
            <w:pPr>
              <w:keepNext/>
              <w:spacing w:line="256" w:lineRule="auto"/>
              <w:ind w:left="-110" w:right="-109"/>
              <w:jc w:val="center"/>
              <w:rPr>
                <w:rFonts w:cs="Times New Roman"/>
                <w:sz w:val="22"/>
              </w:rPr>
            </w:pPr>
            <w:r w:rsidRPr="003C23AE">
              <w:rPr>
                <w:rFonts w:cs="Times New Roman"/>
                <w:sz w:val="22"/>
              </w:rPr>
              <w:t>--</w:t>
            </w:r>
          </w:p>
        </w:tc>
        <w:tc>
          <w:tcPr>
            <w:tcW w:w="700" w:type="pct"/>
            <w:tcBorders>
              <w:top w:val="single" w:sz="4" w:space="0" w:color="auto"/>
              <w:left w:val="single" w:sz="4" w:space="0" w:color="auto"/>
              <w:bottom w:val="single" w:sz="4" w:space="0" w:color="auto"/>
              <w:right w:val="single" w:sz="4" w:space="0" w:color="auto"/>
            </w:tcBorders>
            <w:vAlign w:val="center"/>
            <w:hideMark/>
          </w:tcPr>
          <w:p w14:paraId="62C4810C" w14:textId="77777777" w:rsidR="007606FB" w:rsidRPr="003C23AE" w:rsidRDefault="007606FB">
            <w:pPr>
              <w:keepNext/>
              <w:spacing w:line="256" w:lineRule="auto"/>
              <w:ind w:left="-107" w:right="-115"/>
              <w:jc w:val="center"/>
              <w:rPr>
                <w:rFonts w:cs="Times New Roman"/>
                <w:sz w:val="22"/>
              </w:rPr>
            </w:pPr>
            <w:r w:rsidRPr="003C23AE">
              <w:rPr>
                <w:rFonts w:cs="Times New Roman"/>
                <w:sz w:val="22"/>
              </w:rPr>
              <w:t>&lt;0.001*</w:t>
            </w:r>
          </w:p>
        </w:tc>
      </w:tr>
    </w:tbl>
    <w:p w14:paraId="7EEC5B04" w14:textId="77777777" w:rsidR="007606FB" w:rsidRPr="003C23AE" w:rsidRDefault="007606FB" w:rsidP="007606FB">
      <w:pPr>
        <w:rPr>
          <w:sz w:val="20"/>
          <w:lang w:val="en-US" w:eastAsia="en-US"/>
        </w:rPr>
      </w:pPr>
      <w:r w:rsidRPr="003C23AE">
        <w:rPr>
          <w:sz w:val="20"/>
          <w:lang w:val="en-US"/>
        </w:rPr>
        <w:t>† Least squares mean adjusted for baseline, gender and geographical region.</w:t>
      </w:r>
    </w:p>
    <w:p w14:paraId="4C6CB47E" w14:textId="77777777" w:rsidR="007606FB" w:rsidRPr="003C23AE" w:rsidRDefault="007606FB" w:rsidP="007606FB">
      <w:pPr>
        <w:rPr>
          <w:sz w:val="20"/>
          <w:lang w:val="en-US"/>
        </w:rPr>
      </w:pPr>
      <w:r w:rsidRPr="003C23AE">
        <w:rPr>
          <w:sz w:val="20"/>
          <w:lang w:val="en-US"/>
        </w:rPr>
        <w:t>* Statistically significantly superior compared with placebo at the 0.05 level without multiplicity adjustment.</w:t>
      </w:r>
    </w:p>
    <w:p w14:paraId="01553259" w14:textId="77777777" w:rsidR="007606FB" w:rsidRPr="003C23AE" w:rsidRDefault="007606FB" w:rsidP="007606FB">
      <w:pPr>
        <w:rPr>
          <w:sz w:val="20"/>
          <w:lang w:val="en-US"/>
        </w:rPr>
      </w:pPr>
      <w:r w:rsidRPr="003C23AE">
        <w:rPr>
          <w:sz w:val="20"/>
          <w:lang w:val="en-US"/>
        </w:rPr>
        <w:t># Statistically significantly superior compared with placebo at the 0.05 level with multiplicity adjustment.</w:t>
      </w:r>
    </w:p>
    <w:p w14:paraId="3C793B60" w14:textId="77777777" w:rsidR="007606FB" w:rsidRPr="003C23AE" w:rsidRDefault="007606FB" w:rsidP="007606FB">
      <w:pPr>
        <w:rPr>
          <w:sz w:val="20"/>
          <w:lang w:val="en-US"/>
        </w:rPr>
      </w:pPr>
      <w:r w:rsidRPr="003C23AE">
        <w:rPr>
          <w:sz w:val="20"/>
          <w:lang w:val="en-US"/>
        </w:rPr>
        <w:t>‡ Not statistically significantly superior compared to placebo at the 0.05 level with multiplicity adjustment.</w:t>
      </w:r>
    </w:p>
    <w:p w14:paraId="11E7B0D0" w14:textId="77777777" w:rsidR="007606FB" w:rsidRPr="003C23AE" w:rsidRDefault="007606FB" w:rsidP="007606FB">
      <w:pPr>
        <w:rPr>
          <w:sz w:val="20"/>
          <w:lang w:val="en-US"/>
        </w:rPr>
      </w:pPr>
      <w:r w:rsidRPr="003C23AE">
        <w:rPr>
          <w:sz w:val="20"/>
          <w:lang w:val="en-US"/>
        </w:rPr>
        <w:t xml:space="preserve">FAS: Full analysis set, all randomized patients who took at least 1 dose of </w:t>
      </w:r>
      <w:proofErr w:type="gramStart"/>
      <w:r w:rsidRPr="003C23AE">
        <w:rPr>
          <w:sz w:val="20"/>
          <w:lang w:val="en-US"/>
        </w:rPr>
        <w:t>double blind</w:t>
      </w:r>
      <w:proofErr w:type="gramEnd"/>
      <w:r w:rsidRPr="003C23AE">
        <w:rPr>
          <w:sz w:val="20"/>
          <w:lang w:val="en-US"/>
        </w:rPr>
        <w:t xml:space="preserve"> study drug and who had a micturition measurement in the baseline diary and at least 1 post-baseline visit diary with a micturition measurement.</w:t>
      </w:r>
    </w:p>
    <w:p w14:paraId="0076DFD4" w14:textId="77777777" w:rsidR="007606FB" w:rsidRPr="003C23AE" w:rsidRDefault="007606FB" w:rsidP="007606FB">
      <w:pPr>
        <w:rPr>
          <w:sz w:val="20"/>
          <w:lang w:val="en-US"/>
        </w:rPr>
      </w:pPr>
      <w:r w:rsidRPr="003C23AE">
        <w:rPr>
          <w:sz w:val="20"/>
          <w:lang w:val="en-US"/>
        </w:rPr>
        <w:t>FAS</w:t>
      </w:r>
      <w:r w:rsidRPr="003C23AE">
        <w:rPr>
          <w:sz w:val="20"/>
          <w:lang w:val="en-US"/>
        </w:rPr>
        <w:noBreakHyphen/>
        <w:t>I: Subset of FAS who also had at least 1 incontinence episode in the baseline diary.</w:t>
      </w:r>
    </w:p>
    <w:p w14:paraId="6B756755" w14:textId="77777777" w:rsidR="007606FB" w:rsidRPr="00A86B5B" w:rsidRDefault="007606FB" w:rsidP="007606FB">
      <w:pPr>
        <w:rPr>
          <w:sz w:val="24"/>
          <w:szCs w:val="24"/>
          <w:lang w:val="en-US"/>
        </w:rPr>
      </w:pPr>
    </w:p>
    <w:p w14:paraId="120A253D" w14:textId="77777777" w:rsidR="007606FB" w:rsidRPr="00A86B5B" w:rsidRDefault="007606FB" w:rsidP="00591653">
      <w:pPr>
        <w:ind w:left="851"/>
        <w:rPr>
          <w:sz w:val="24"/>
          <w:szCs w:val="24"/>
          <w:lang w:val="en-US"/>
        </w:rPr>
      </w:pPr>
      <w:r w:rsidRPr="00A86B5B">
        <w:rPr>
          <w:sz w:val="24"/>
          <w:szCs w:val="24"/>
          <w:lang w:val="en-US"/>
        </w:rPr>
        <w:t>Mirabegron 50 mg once daily was effective at the first measured time point of week 4, and efficacy was maintained throughout the 12</w:t>
      </w:r>
      <w:r w:rsidRPr="00A86B5B">
        <w:rPr>
          <w:sz w:val="24"/>
          <w:szCs w:val="24"/>
          <w:lang w:val="en-US"/>
        </w:rPr>
        <w:noBreakHyphen/>
        <w:t>week treatment period. A randomized, active controlled, long term study demonstrated that efficacy was maintained throughout a 1</w:t>
      </w:r>
      <w:r w:rsidRPr="00A86B5B">
        <w:rPr>
          <w:sz w:val="24"/>
          <w:szCs w:val="24"/>
          <w:lang w:val="en-US"/>
        </w:rPr>
        <w:noBreakHyphen/>
        <w:t>year treatment period.</w:t>
      </w:r>
    </w:p>
    <w:p w14:paraId="2A434FD5" w14:textId="77777777" w:rsidR="007606FB" w:rsidRPr="00A86B5B" w:rsidRDefault="007606FB" w:rsidP="00591653">
      <w:pPr>
        <w:ind w:left="851"/>
        <w:rPr>
          <w:sz w:val="24"/>
          <w:szCs w:val="24"/>
          <w:lang w:val="en-US"/>
        </w:rPr>
      </w:pPr>
    </w:p>
    <w:p w14:paraId="735A5A78" w14:textId="77777777" w:rsidR="007606FB" w:rsidRPr="00A86B5B" w:rsidRDefault="007606FB" w:rsidP="00591653">
      <w:pPr>
        <w:ind w:left="851"/>
        <w:rPr>
          <w:i/>
          <w:sz w:val="24"/>
          <w:szCs w:val="24"/>
          <w:lang w:val="en-US"/>
        </w:rPr>
      </w:pPr>
      <w:r w:rsidRPr="00A86B5B">
        <w:rPr>
          <w:i/>
          <w:sz w:val="24"/>
          <w:szCs w:val="24"/>
          <w:lang w:val="en-US"/>
        </w:rPr>
        <w:t>Subjective improvement in health-related quality of life measurements</w:t>
      </w:r>
    </w:p>
    <w:p w14:paraId="6C4DA15B" w14:textId="77777777" w:rsidR="007606FB" w:rsidRPr="00A86B5B" w:rsidRDefault="007606FB" w:rsidP="00591653">
      <w:pPr>
        <w:ind w:left="851"/>
        <w:rPr>
          <w:sz w:val="24"/>
          <w:szCs w:val="24"/>
          <w:lang w:val="en-US"/>
        </w:rPr>
      </w:pPr>
      <w:r w:rsidRPr="00A86B5B">
        <w:rPr>
          <w:sz w:val="24"/>
          <w:szCs w:val="24"/>
          <w:lang w:val="en-US"/>
        </w:rPr>
        <w:t>In the three 12</w:t>
      </w:r>
      <w:r w:rsidRPr="00A86B5B">
        <w:rPr>
          <w:sz w:val="24"/>
          <w:szCs w:val="24"/>
          <w:lang w:val="en-US"/>
        </w:rPr>
        <w:noBreakHyphen/>
        <w:t xml:space="preserve">week phase 3 double blind, </w:t>
      </w:r>
      <w:proofErr w:type="gramStart"/>
      <w:r w:rsidRPr="00A86B5B">
        <w:rPr>
          <w:sz w:val="24"/>
          <w:szCs w:val="24"/>
          <w:lang w:val="en-US"/>
        </w:rPr>
        <w:t>placebo controlled</w:t>
      </w:r>
      <w:proofErr w:type="gramEnd"/>
      <w:r w:rsidRPr="00A86B5B">
        <w:rPr>
          <w:sz w:val="24"/>
          <w:szCs w:val="24"/>
          <w:lang w:val="en-US"/>
        </w:rPr>
        <w:t xml:space="preserve"> studies, treatment of the symptoms of OAB with mirabegron once daily resulted in a statistically significant improvement over placebo on the following health-related quality of life measures: treatment satisfaction and symptom bother.</w:t>
      </w:r>
    </w:p>
    <w:p w14:paraId="79341252" w14:textId="77777777" w:rsidR="007606FB" w:rsidRPr="00A86B5B" w:rsidRDefault="007606FB" w:rsidP="00591653">
      <w:pPr>
        <w:ind w:left="851"/>
        <w:rPr>
          <w:sz w:val="24"/>
          <w:szCs w:val="24"/>
          <w:lang w:val="en-US"/>
        </w:rPr>
      </w:pPr>
    </w:p>
    <w:p w14:paraId="5DAFD424" w14:textId="77777777" w:rsidR="007606FB" w:rsidRPr="00A86B5B" w:rsidRDefault="007606FB" w:rsidP="00591653">
      <w:pPr>
        <w:ind w:left="851"/>
        <w:rPr>
          <w:i/>
          <w:sz w:val="24"/>
          <w:szCs w:val="24"/>
          <w:lang w:val="en-US"/>
        </w:rPr>
      </w:pPr>
      <w:r w:rsidRPr="00A86B5B">
        <w:rPr>
          <w:i/>
          <w:sz w:val="24"/>
          <w:szCs w:val="24"/>
          <w:lang w:val="en-US"/>
        </w:rPr>
        <w:t>Efficacy in patients with or without prior OAB antimuscarinic therapy</w:t>
      </w:r>
    </w:p>
    <w:p w14:paraId="3D6A48C3" w14:textId="63BD43B1" w:rsidR="007606FB" w:rsidRPr="00A86B5B" w:rsidRDefault="007606FB" w:rsidP="00591653">
      <w:pPr>
        <w:ind w:left="851"/>
        <w:rPr>
          <w:sz w:val="24"/>
          <w:szCs w:val="24"/>
          <w:lang w:val="en-US"/>
        </w:rPr>
      </w:pPr>
      <w:r w:rsidRPr="00A86B5B">
        <w:rPr>
          <w:sz w:val="24"/>
          <w:szCs w:val="24"/>
          <w:lang w:val="en-US"/>
        </w:rPr>
        <w:t>Efficacy was demonstrated in patients with and without prior OAB antimuscarinic therapy. In addition</w:t>
      </w:r>
      <w:r w:rsidR="001F3F63">
        <w:rPr>
          <w:sz w:val="24"/>
          <w:szCs w:val="24"/>
          <w:lang w:val="en-US"/>
        </w:rPr>
        <w:t>,</w:t>
      </w:r>
      <w:r w:rsidRPr="00A86B5B">
        <w:rPr>
          <w:sz w:val="24"/>
          <w:szCs w:val="24"/>
          <w:lang w:val="en-US"/>
        </w:rPr>
        <w:t xml:space="preserve"> mirabegron showed efficacy in patients who previously discontinued OAB antimuscarinic therapy due to insufficient effect (see Table 4).</w:t>
      </w:r>
    </w:p>
    <w:p w14:paraId="317638F5" w14:textId="77777777" w:rsidR="007606FB" w:rsidRPr="00A86B5B" w:rsidRDefault="007606FB" w:rsidP="007606FB">
      <w:pPr>
        <w:rPr>
          <w:sz w:val="24"/>
          <w:szCs w:val="24"/>
          <w:lang w:val="en-US"/>
        </w:rPr>
      </w:pPr>
    </w:p>
    <w:p w14:paraId="1F73D9DC" w14:textId="77777777" w:rsidR="007606FB" w:rsidRPr="00A86B5B" w:rsidRDefault="007606FB" w:rsidP="007606FB">
      <w:pPr>
        <w:keepNext/>
        <w:keepLines/>
        <w:tabs>
          <w:tab w:val="left" w:pos="567"/>
        </w:tabs>
        <w:ind w:left="1134" w:hanging="1134"/>
        <w:rPr>
          <w:b/>
          <w:sz w:val="24"/>
          <w:szCs w:val="24"/>
          <w:lang w:val="en-US"/>
        </w:rPr>
      </w:pPr>
      <w:r w:rsidRPr="00A86B5B">
        <w:rPr>
          <w:b/>
          <w:sz w:val="24"/>
          <w:szCs w:val="24"/>
          <w:lang w:val="en-US"/>
        </w:rPr>
        <w:lastRenderedPageBreak/>
        <w:t>Table 4:</w:t>
      </w:r>
      <w:r w:rsidRPr="00A86B5B">
        <w:rPr>
          <w:b/>
          <w:sz w:val="24"/>
          <w:szCs w:val="24"/>
          <w:lang w:val="en-US"/>
        </w:rPr>
        <w:tab/>
        <w:t>Co-primary efficacy endpoints for patients with prior OAB antimuscarinic therapy</w:t>
      </w:r>
    </w:p>
    <w:tbl>
      <w:tblPr>
        <w:tblStyle w:val="Tabel-Gitter"/>
        <w:tblW w:w="5000" w:type="pct"/>
        <w:tblInd w:w="0" w:type="dxa"/>
        <w:tblLook w:val="04A0" w:firstRow="1" w:lastRow="0" w:firstColumn="1" w:lastColumn="0" w:noHBand="0" w:noVBand="1"/>
      </w:tblPr>
      <w:tblGrid>
        <w:gridCol w:w="3112"/>
        <w:gridCol w:w="1111"/>
        <w:gridCol w:w="1406"/>
        <w:gridCol w:w="50"/>
        <w:gridCol w:w="1076"/>
        <w:gridCol w:w="1456"/>
        <w:gridCol w:w="1417"/>
      </w:tblGrid>
      <w:tr w:rsidR="007606FB" w:rsidRPr="00F137C6" w14:paraId="2594DFC3" w14:textId="77777777" w:rsidTr="00F137C6">
        <w:trPr>
          <w:tblHeader/>
        </w:trPr>
        <w:tc>
          <w:tcPr>
            <w:tcW w:w="1616" w:type="pct"/>
            <w:vMerge w:val="restart"/>
            <w:tcBorders>
              <w:top w:val="single" w:sz="4" w:space="0" w:color="auto"/>
              <w:left w:val="single" w:sz="4" w:space="0" w:color="auto"/>
              <w:bottom w:val="single" w:sz="4" w:space="0" w:color="auto"/>
              <w:right w:val="single" w:sz="4" w:space="0" w:color="auto"/>
            </w:tcBorders>
            <w:vAlign w:val="bottom"/>
            <w:hideMark/>
          </w:tcPr>
          <w:p w14:paraId="3A799202" w14:textId="77777777" w:rsidR="007606FB" w:rsidRPr="00F137C6" w:rsidRDefault="007606FB">
            <w:pPr>
              <w:tabs>
                <w:tab w:val="left" w:pos="567"/>
              </w:tabs>
              <w:ind w:left="-112" w:right="-152"/>
              <w:jc w:val="center"/>
              <w:rPr>
                <w:rFonts w:cs="Times New Roman"/>
                <w:sz w:val="22"/>
              </w:rPr>
            </w:pPr>
            <w:r w:rsidRPr="00F137C6">
              <w:rPr>
                <w:rFonts w:cs="Times New Roman"/>
                <w:b/>
                <w:sz w:val="22"/>
              </w:rPr>
              <w:t>Parameter</w:t>
            </w:r>
          </w:p>
        </w:tc>
        <w:tc>
          <w:tcPr>
            <w:tcW w:w="1307" w:type="pct"/>
            <w:gridSpan w:val="2"/>
            <w:tcBorders>
              <w:top w:val="single" w:sz="4" w:space="0" w:color="auto"/>
              <w:left w:val="single" w:sz="4" w:space="0" w:color="auto"/>
              <w:bottom w:val="single" w:sz="4" w:space="0" w:color="auto"/>
              <w:right w:val="single" w:sz="4" w:space="0" w:color="auto"/>
            </w:tcBorders>
            <w:vAlign w:val="center"/>
            <w:hideMark/>
          </w:tcPr>
          <w:p w14:paraId="64E31C55" w14:textId="77777777" w:rsidR="007606FB" w:rsidRPr="00F137C6" w:rsidRDefault="007606FB">
            <w:pPr>
              <w:tabs>
                <w:tab w:val="left" w:pos="567"/>
              </w:tabs>
              <w:jc w:val="center"/>
              <w:rPr>
                <w:rFonts w:cs="Times New Roman"/>
                <w:b/>
                <w:sz w:val="22"/>
              </w:rPr>
            </w:pPr>
            <w:r w:rsidRPr="00F137C6">
              <w:rPr>
                <w:rFonts w:cs="Times New Roman"/>
                <w:b/>
                <w:sz w:val="22"/>
              </w:rPr>
              <w:t>Pooled studies</w:t>
            </w:r>
          </w:p>
          <w:p w14:paraId="77C2DF43" w14:textId="77777777" w:rsidR="007606FB" w:rsidRPr="00F137C6" w:rsidRDefault="007606FB">
            <w:pPr>
              <w:tabs>
                <w:tab w:val="left" w:pos="567"/>
              </w:tabs>
              <w:jc w:val="center"/>
              <w:rPr>
                <w:rFonts w:cs="Times New Roman"/>
                <w:sz w:val="22"/>
              </w:rPr>
            </w:pPr>
            <w:r w:rsidRPr="00F137C6">
              <w:rPr>
                <w:rFonts w:cs="Times New Roman"/>
                <w:b/>
                <w:sz w:val="22"/>
              </w:rPr>
              <w:t>(046, 047, 074)</w:t>
            </w:r>
          </w:p>
        </w:tc>
        <w:tc>
          <w:tcPr>
            <w:tcW w:w="2078" w:type="pct"/>
            <w:gridSpan w:val="4"/>
            <w:tcBorders>
              <w:top w:val="single" w:sz="4" w:space="0" w:color="auto"/>
              <w:left w:val="single" w:sz="4" w:space="0" w:color="auto"/>
              <w:bottom w:val="single" w:sz="4" w:space="0" w:color="auto"/>
              <w:right w:val="single" w:sz="4" w:space="0" w:color="auto"/>
            </w:tcBorders>
            <w:vAlign w:val="bottom"/>
            <w:hideMark/>
          </w:tcPr>
          <w:p w14:paraId="09FC0D3F" w14:textId="77777777" w:rsidR="007606FB" w:rsidRPr="00F137C6" w:rsidRDefault="007606FB">
            <w:pPr>
              <w:tabs>
                <w:tab w:val="left" w:pos="567"/>
              </w:tabs>
              <w:jc w:val="center"/>
              <w:rPr>
                <w:rFonts w:cs="Times New Roman"/>
                <w:sz w:val="22"/>
              </w:rPr>
            </w:pPr>
            <w:r w:rsidRPr="00F137C6">
              <w:rPr>
                <w:rFonts w:cs="Times New Roman"/>
                <w:b/>
                <w:sz w:val="22"/>
              </w:rPr>
              <w:t>Study 046</w:t>
            </w:r>
          </w:p>
        </w:tc>
      </w:tr>
      <w:tr w:rsidR="007606FB" w:rsidRPr="00F137C6" w14:paraId="742424CA" w14:textId="77777777" w:rsidTr="00F137C6">
        <w:trPr>
          <w:tblHeader/>
        </w:trPr>
        <w:tc>
          <w:tcPr>
            <w:tcW w:w="1616" w:type="pct"/>
            <w:vMerge/>
            <w:tcBorders>
              <w:top w:val="single" w:sz="4" w:space="0" w:color="auto"/>
              <w:left w:val="single" w:sz="4" w:space="0" w:color="auto"/>
              <w:bottom w:val="single" w:sz="4" w:space="0" w:color="auto"/>
              <w:right w:val="single" w:sz="4" w:space="0" w:color="auto"/>
            </w:tcBorders>
            <w:vAlign w:val="center"/>
            <w:hideMark/>
          </w:tcPr>
          <w:p w14:paraId="5B590651" w14:textId="77777777" w:rsidR="007606FB" w:rsidRPr="00F137C6" w:rsidRDefault="007606FB">
            <w:pPr>
              <w:rPr>
                <w:rFonts w:cs="Times New Roman"/>
                <w:sz w:val="22"/>
              </w:rPr>
            </w:pPr>
          </w:p>
        </w:tc>
        <w:tc>
          <w:tcPr>
            <w:tcW w:w="577" w:type="pct"/>
            <w:tcBorders>
              <w:top w:val="single" w:sz="4" w:space="0" w:color="auto"/>
              <w:left w:val="single" w:sz="4" w:space="0" w:color="auto"/>
              <w:bottom w:val="single" w:sz="4" w:space="0" w:color="auto"/>
              <w:right w:val="single" w:sz="4" w:space="0" w:color="auto"/>
            </w:tcBorders>
            <w:hideMark/>
          </w:tcPr>
          <w:p w14:paraId="01544066" w14:textId="77777777" w:rsidR="007606FB" w:rsidRPr="00F137C6" w:rsidRDefault="007606FB">
            <w:pPr>
              <w:spacing w:line="256" w:lineRule="auto"/>
              <w:ind w:left="43"/>
              <w:rPr>
                <w:rFonts w:cs="Times New Roman"/>
                <w:sz w:val="22"/>
              </w:rPr>
            </w:pPr>
            <w:r w:rsidRPr="00F137C6">
              <w:rPr>
                <w:rFonts w:cs="Times New Roman"/>
                <w:b/>
                <w:sz w:val="22"/>
              </w:rPr>
              <w:t>Placebo</w:t>
            </w:r>
          </w:p>
        </w:tc>
        <w:tc>
          <w:tcPr>
            <w:tcW w:w="756" w:type="pct"/>
            <w:gridSpan w:val="2"/>
            <w:tcBorders>
              <w:top w:val="single" w:sz="4" w:space="0" w:color="auto"/>
              <w:left w:val="single" w:sz="4" w:space="0" w:color="auto"/>
              <w:bottom w:val="single" w:sz="4" w:space="0" w:color="auto"/>
              <w:right w:val="single" w:sz="4" w:space="0" w:color="auto"/>
            </w:tcBorders>
            <w:hideMark/>
          </w:tcPr>
          <w:p w14:paraId="18373CE8" w14:textId="77777777" w:rsidR="007606FB" w:rsidRPr="00F137C6" w:rsidRDefault="007606FB">
            <w:pPr>
              <w:spacing w:line="256" w:lineRule="auto"/>
              <w:jc w:val="center"/>
              <w:rPr>
                <w:rFonts w:cs="Times New Roman"/>
                <w:sz w:val="22"/>
              </w:rPr>
            </w:pPr>
            <w:r w:rsidRPr="00F137C6">
              <w:rPr>
                <w:rFonts w:cs="Times New Roman"/>
                <w:b/>
                <w:sz w:val="22"/>
              </w:rPr>
              <w:t>Mirabegron 50 mg</w:t>
            </w:r>
          </w:p>
        </w:tc>
        <w:tc>
          <w:tcPr>
            <w:tcW w:w="559" w:type="pct"/>
            <w:tcBorders>
              <w:top w:val="single" w:sz="4" w:space="0" w:color="auto"/>
              <w:left w:val="single" w:sz="4" w:space="0" w:color="auto"/>
              <w:bottom w:val="single" w:sz="4" w:space="0" w:color="auto"/>
              <w:right w:val="single" w:sz="4" w:space="0" w:color="auto"/>
            </w:tcBorders>
            <w:hideMark/>
          </w:tcPr>
          <w:p w14:paraId="1A285E6F" w14:textId="77777777" w:rsidR="007606FB" w:rsidRPr="00F137C6" w:rsidRDefault="007606FB">
            <w:pPr>
              <w:spacing w:line="256" w:lineRule="auto"/>
              <w:ind w:left="21"/>
              <w:rPr>
                <w:rFonts w:cs="Times New Roman"/>
                <w:sz w:val="22"/>
              </w:rPr>
            </w:pPr>
            <w:r w:rsidRPr="00F137C6">
              <w:rPr>
                <w:rFonts w:cs="Times New Roman"/>
                <w:b/>
                <w:sz w:val="22"/>
              </w:rPr>
              <w:t>Placebo</w:t>
            </w:r>
          </w:p>
        </w:tc>
        <w:tc>
          <w:tcPr>
            <w:tcW w:w="756" w:type="pct"/>
            <w:tcBorders>
              <w:top w:val="single" w:sz="4" w:space="0" w:color="auto"/>
              <w:left w:val="single" w:sz="4" w:space="0" w:color="auto"/>
              <w:bottom w:val="single" w:sz="4" w:space="0" w:color="auto"/>
              <w:right w:val="single" w:sz="4" w:space="0" w:color="auto"/>
            </w:tcBorders>
            <w:hideMark/>
          </w:tcPr>
          <w:p w14:paraId="19BB989D" w14:textId="77777777" w:rsidR="007606FB" w:rsidRPr="00F137C6" w:rsidRDefault="007606FB">
            <w:pPr>
              <w:spacing w:line="256" w:lineRule="auto"/>
              <w:jc w:val="center"/>
              <w:rPr>
                <w:rFonts w:cs="Times New Roman"/>
                <w:sz w:val="22"/>
              </w:rPr>
            </w:pPr>
            <w:r w:rsidRPr="00F137C6">
              <w:rPr>
                <w:rFonts w:cs="Times New Roman"/>
                <w:b/>
                <w:sz w:val="22"/>
              </w:rPr>
              <w:t>Mirabegron 50 mg</w:t>
            </w:r>
          </w:p>
        </w:tc>
        <w:tc>
          <w:tcPr>
            <w:tcW w:w="735" w:type="pct"/>
            <w:tcBorders>
              <w:top w:val="single" w:sz="4" w:space="0" w:color="auto"/>
              <w:left w:val="single" w:sz="4" w:space="0" w:color="auto"/>
              <w:bottom w:val="single" w:sz="4" w:space="0" w:color="auto"/>
              <w:right w:val="single" w:sz="4" w:space="0" w:color="auto"/>
            </w:tcBorders>
            <w:hideMark/>
          </w:tcPr>
          <w:p w14:paraId="4CDA776B" w14:textId="77777777" w:rsidR="007606FB" w:rsidRPr="00F137C6" w:rsidRDefault="007606FB">
            <w:pPr>
              <w:spacing w:line="256" w:lineRule="auto"/>
              <w:jc w:val="center"/>
              <w:rPr>
                <w:rFonts w:cs="Times New Roman"/>
                <w:sz w:val="22"/>
              </w:rPr>
            </w:pPr>
            <w:r w:rsidRPr="00F137C6">
              <w:rPr>
                <w:rFonts w:cs="Times New Roman"/>
                <w:b/>
                <w:sz w:val="22"/>
              </w:rPr>
              <w:t>Tolterodine ER 4 mg</w:t>
            </w:r>
          </w:p>
        </w:tc>
      </w:tr>
      <w:tr w:rsidR="007606FB" w:rsidRPr="00531029" w14:paraId="1DE5E5A8" w14:textId="77777777" w:rsidTr="00F137C6">
        <w:trPr>
          <w:trHeight w:val="554"/>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9A44488" w14:textId="77777777" w:rsidR="007606FB" w:rsidRPr="00F137C6" w:rsidRDefault="007606FB">
            <w:pPr>
              <w:spacing w:line="256" w:lineRule="auto"/>
              <w:rPr>
                <w:rFonts w:cs="Times New Roman"/>
                <w:sz w:val="22"/>
              </w:rPr>
            </w:pPr>
            <w:r w:rsidRPr="00F137C6">
              <w:rPr>
                <w:rFonts w:cs="Times New Roman"/>
                <w:b/>
                <w:sz w:val="22"/>
              </w:rPr>
              <w:t>Patients with prior OAB antimuscarinic therapy</w:t>
            </w:r>
          </w:p>
        </w:tc>
      </w:tr>
      <w:tr w:rsidR="007606FB" w:rsidRPr="00531029" w14:paraId="28CAF656" w14:textId="77777777" w:rsidTr="00F137C6">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7A8261D" w14:textId="77777777" w:rsidR="007606FB" w:rsidRPr="00F137C6" w:rsidRDefault="007606FB">
            <w:pPr>
              <w:tabs>
                <w:tab w:val="left" w:pos="567"/>
              </w:tabs>
              <w:rPr>
                <w:rFonts w:cs="Times New Roman"/>
                <w:sz w:val="22"/>
              </w:rPr>
            </w:pPr>
            <w:r w:rsidRPr="00F137C6">
              <w:rPr>
                <w:rFonts w:cs="Times New Roman"/>
                <w:b/>
                <w:sz w:val="22"/>
              </w:rPr>
              <w:t>Mean number of incontinence episodes per 24 hours (FAS</w:t>
            </w:r>
            <w:r w:rsidRPr="00F137C6">
              <w:rPr>
                <w:rFonts w:cs="Times New Roman"/>
                <w:b/>
                <w:sz w:val="22"/>
              </w:rPr>
              <w:noBreakHyphen/>
              <w:t>I)</w:t>
            </w:r>
          </w:p>
        </w:tc>
      </w:tr>
      <w:tr w:rsidR="007606FB" w:rsidRPr="00F137C6" w14:paraId="1D8051AA" w14:textId="77777777" w:rsidTr="00F137C6">
        <w:tc>
          <w:tcPr>
            <w:tcW w:w="1616" w:type="pct"/>
            <w:tcBorders>
              <w:top w:val="single" w:sz="4" w:space="0" w:color="auto"/>
              <w:left w:val="single" w:sz="4" w:space="0" w:color="auto"/>
              <w:bottom w:val="single" w:sz="4" w:space="0" w:color="auto"/>
              <w:right w:val="single" w:sz="4" w:space="0" w:color="auto"/>
            </w:tcBorders>
            <w:hideMark/>
          </w:tcPr>
          <w:p w14:paraId="0D5905E1" w14:textId="77777777" w:rsidR="007606FB" w:rsidRPr="00F137C6" w:rsidRDefault="007606FB">
            <w:pPr>
              <w:spacing w:line="256" w:lineRule="auto"/>
              <w:rPr>
                <w:rFonts w:cs="Times New Roman"/>
                <w:sz w:val="22"/>
              </w:rPr>
            </w:pPr>
            <w:r w:rsidRPr="00F137C6">
              <w:rPr>
                <w:rFonts w:cs="Times New Roman"/>
                <w:sz w:val="22"/>
              </w:rPr>
              <w:t>n</w:t>
            </w:r>
          </w:p>
        </w:tc>
        <w:tc>
          <w:tcPr>
            <w:tcW w:w="577" w:type="pct"/>
            <w:tcBorders>
              <w:top w:val="single" w:sz="4" w:space="0" w:color="auto"/>
              <w:left w:val="single" w:sz="4" w:space="0" w:color="auto"/>
              <w:bottom w:val="single" w:sz="4" w:space="0" w:color="auto"/>
              <w:right w:val="single" w:sz="4" w:space="0" w:color="auto"/>
            </w:tcBorders>
            <w:vAlign w:val="center"/>
            <w:hideMark/>
          </w:tcPr>
          <w:p w14:paraId="2B434AE7" w14:textId="77777777" w:rsidR="007606FB" w:rsidRPr="00F137C6" w:rsidRDefault="007606FB">
            <w:pPr>
              <w:spacing w:line="256" w:lineRule="auto"/>
              <w:ind w:left="-103" w:right="-65"/>
              <w:jc w:val="center"/>
              <w:rPr>
                <w:rFonts w:cs="Times New Roman"/>
                <w:sz w:val="22"/>
              </w:rPr>
            </w:pPr>
            <w:r w:rsidRPr="00F137C6">
              <w:rPr>
                <w:rFonts w:cs="Times New Roman"/>
                <w:sz w:val="22"/>
              </w:rPr>
              <w:t>518</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4F9D424E" w14:textId="77777777" w:rsidR="007606FB" w:rsidRPr="00F137C6" w:rsidRDefault="007606FB">
            <w:pPr>
              <w:spacing w:line="256" w:lineRule="auto"/>
              <w:ind w:left="-49" w:right="-91"/>
              <w:jc w:val="center"/>
              <w:rPr>
                <w:rFonts w:cs="Times New Roman"/>
                <w:sz w:val="22"/>
              </w:rPr>
            </w:pPr>
            <w:r w:rsidRPr="00F137C6">
              <w:rPr>
                <w:rFonts w:cs="Times New Roman"/>
                <w:sz w:val="22"/>
              </w:rPr>
              <w:t>506</w:t>
            </w:r>
          </w:p>
        </w:tc>
        <w:tc>
          <w:tcPr>
            <w:tcW w:w="559" w:type="pct"/>
            <w:tcBorders>
              <w:top w:val="single" w:sz="4" w:space="0" w:color="auto"/>
              <w:left w:val="single" w:sz="4" w:space="0" w:color="auto"/>
              <w:bottom w:val="single" w:sz="4" w:space="0" w:color="auto"/>
              <w:right w:val="single" w:sz="4" w:space="0" w:color="auto"/>
            </w:tcBorders>
            <w:vAlign w:val="center"/>
            <w:hideMark/>
          </w:tcPr>
          <w:p w14:paraId="5F0581A0" w14:textId="77777777" w:rsidR="007606FB" w:rsidRPr="00F137C6" w:rsidRDefault="007606FB">
            <w:pPr>
              <w:spacing w:line="256" w:lineRule="auto"/>
              <w:ind w:left="-125" w:right="-91"/>
              <w:jc w:val="center"/>
              <w:rPr>
                <w:rFonts w:cs="Times New Roman"/>
                <w:sz w:val="22"/>
              </w:rPr>
            </w:pPr>
            <w:r w:rsidRPr="00F137C6">
              <w:rPr>
                <w:rFonts w:cs="Times New Roman"/>
                <w:sz w:val="22"/>
              </w:rPr>
              <w:t>167</w:t>
            </w:r>
          </w:p>
        </w:tc>
        <w:tc>
          <w:tcPr>
            <w:tcW w:w="756" w:type="pct"/>
            <w:tcBorders>
              <w:top w:val="single" w:sz="4" w:space="0" w:color="auto"/>
              <w:left w:val="single" w:sz="4" w:space="0" w:color="auto"/>
              <w:bottom w:val="single" w:sz="4" w:space="0" w:color="auto"/>
              <w:right w:val="single" w:sz="4" w:space="0" w:color="auto"/>
            </w:tcBorders>
            <w:vAlign w:val="center"/>
            <w:hideMark/>
          </w:tcPr>
          <w:p w14:paraId="714AC86A" w14:textId="77777777" w:rsidR="007606FB" w:rsidRPr="00F137C6" w:rsidRDefault="007606FB">
            <w:pPr>
              <w:spacing w:line="256" w:lineRule="auto"/>
              <w:ind w:left="-39" w:right="-101"/>
              <w:jc w:val="center"/>
              <w:rPr>
                <w:rFonts w:cs="Times New Roman"/>
                <w:sz w:val="22"/>
              </w:rPr>
            </w:pPr>
            <w:r w:rsidRPr="00F137C6">
              <w:rPr>
                <w:rFonts w:cs="Times New Roman"/>
                <w:sz w:val="22"/>
              </w:rPr>
              <w:t>164</w:t>
            </w:r>
          </w:p>
        </w:tc>
        <w:tc>
          <w:tcPr>
            <w:tcW w:w="735" w:type="pct"/>
            <w:tcBorders>
              <w:top w:val="single" w:sz="4" w:space="0" w:color="auto"/>
              <w:left w:val="single" w:sz="4" w:space="0" w:color="auto"/>
              <w:bottom w:val="single" w:sz="4" w:space="0" w:color="auto"/>
              <w:right w:val="single" w:sz="4" w:space="0" w:color="auto"/>
            </w:tcBorders>
            <w:vAlign w:val="center"/>
            <w:hideMark/>
          </w:tcPr>
          <w:p w14:paraId="5CF77CEC" w14:textId="77777777" w:rsidR="007606FB" w:rsidRPr="00F137C6" w:rsidRDefault="007606FB">
            <w:pPr>
              <w:spacing w:line="256" w:lineRule="auto"/>
              <w:ind w:left="-59" w:right="-112"/>
              <w:jc w:val="center"/>
              <w:rPr>
                <w:rFonts w:cs="Times New Roman"/>
                <w:sz w:val="22"/>
              </w:rPr>
            </w:pPr>
            <w:r w:rsidRPr="00F137C6">
              <w:rPr>
                <w:rFonts w:cs="Times New Roman"/>
                <w:sz w:val="22"/>
              </w:rPr>
              <w:t>160</w:t>
            </w:r>
          </w:p>
        </w:tc>
      </w:tr>
      <w:tr w:rsidR="007606FB" w:rsidRPr="00F137C6" w14:paraId="4E531302" w14:textId="77777777" w:rsidTr="00F137C6">
        <w:tc>
          <w:tcPr>
            <w:tcW w:w="1616" w:type="pct"/>
            <w:tcBorders>
              <w:top w:val="single" w:sz="4" w:space="0" w:color="auto"/>
              <w:left w:val="single" w:sz="4" w:space="0" w:color="auto"/>
              <w:bottom w:val="single" w:sz="4" w:space="0" w:color="auto"/>
              <w:right w:val="single" w:sz="4" w:space="0" w:color="auto"/>
            </w:tcBorders>
            <w:hideMark/>
          </w:tcPr>
          <w:p w14:paraId="5EC997C2" w14:textId="77777777" w:rsidR="007606FB" w:rsidRPr="00F137C6" w:rsidRDefault="007606FB">
            <w:pPr>
              <w:spacing w:line="256" w:lineRule="auto"/>
              <w:rPr>
                <w:rFonts w:cs="Times New Roman"/>
                <w:sz w:val="22"/>
              </w:rPr>
            </w:pPr>
            <w:r w:rsidRPr="00F137C6">
              <w:rPr>
                <w:rFonts w:cs="Times New Roman"/>
                <w:sz w:val="22"/>
              </w:rPr>
              <w:t>Mean baseline</w:t>
            </w:r>
          </w:p>
        </w:tc>
        <w:tc>
          <w:tcPr>
            <w:tcW w:w="577" w:type="pct"/>
            <w:tcBorders>
              <w:top w:val="single" w:sz="4" w:space="0" w:color="auto"/>
              <w:left w:val="single" w:sz="4" w:space="0" w:color="auto"/>
              <w:bottom w:val="single" w:sz="4" w:space="0" w:color="auto"/>
              <w:right w:val="single" w:sz="4" w:space="0" w:color="auto"/>
            </w:tcBorders>
            <w:vAlign w:val="center"/>
            <w:hideMark/>
          </w:tcPr>
          <w:p w14:paraId="76CFE5BC" w14:textId="77777777" w:rsidR="007606FB" w:rsidRPr="00F137C6" w:rsidRDefault="007606FB">
            <w:pPr>
              <w:spacing w:line="256" w:lineRule="auto"/>
              <w:ind w:left="-103" w:right="-65"/>
              <w:jc w:val="center"/>
              <w:rPr>
                <w:rFonts w:cs="Times New Roman"/>
                <w:sz w:val="22"/>
              </w:rPr>
            </w:pPr>
            <w:r w:rsidRPr="00F137C6">
              <w:rPr>
                <w:rFonts w:cs="Times New Roman"/>
                <w:sz w:val="22"/>
              </w:rPr>
              <w:t>2.93</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20AD4B98" w14:textId="77777777" w:rsidR="007606FB" w:rsidRPr="00F137C6" w:rsidRDefault="007606FB">
            <w:pPr>
              <w:spacing w:line="256" w:lineRule="auto"/>
              <w:ind w:left="-49" w:right="-91"/>
              <w:jc w:val="center"/>
              <w:rPr>
                <w:rFonts w:cs="Times New Roman"/>
                <w:sz w:val="22"/>
              </w:rPr>
            </w:pPr>
            <w:r w:rsidRPr="00F137C6">
              <w:rPr>
                <w:rFonts w:cs="Times New Roman"/>
                <w:sz w:val="22"/>
              </w:rPr>
              <w:t>2.98</w:t>
            </w:r>
          </w:p>
        </w:tc>
        <w:tc>
          <w:tcPr>
            <w:tcW w:w="559" w:type="pct"/>
            <w:tcBorders>
              <w:top w:val="single" w:sz="4" w:space="0" w:color="auto"/>
              <w:left w:val="single" w:sz="4" w:space="0" w:color="auto"/>
              <w:bottom w:val="single" w:sz="4" w:space="0" w:color="auto"/>
              <w:right w:val="single" w:sz="4" w:space="0" w:color="auto"/>
            </w:tcBorders>
            <w:vAlign w:val="center"/>
            <w:hideMark/>
          </w:tcPr>
          <w:p w14:paraId="3339C815" w14:textId="77777777" w:rsidR="007606FB" w:rsidRPr="00F137C6" w:rsidRDefault="007606FB">
            <w:pPr>
              <w:spacing w:line="256" w:lineRule="auto"/>
              <w:ind w:left="-125" w:right="-91"/>
              <w:jc w:val="center"/>
              <w:rPr>
                <w:rFonts w:cs="Times New Roman"/>
                <w:sz w:val="22"/>
              </w:rPr>
            </w:pPr>
            <w:r w:rsidRPr="00F137C6">
              <w:rPr>
                <w:rFonts w:cs="Times New Roman"/>
                <w:sz w:val="22"/>
              </w:rPr>
              <w:t>2.97</w:t>
            </w:r>
          </w:p>
        </w:tc>
        <w:tc>
          <w:tcPr>
            <w:tcW w:w="756" w:type="pct"/>
            <w:tcBorders>
              <w:top w:val="single" w:sz="4" w:space="0" w:color="auto"/>
              <w:left w:val="single" w:sz="4" w:space="0" w:color="auto"/>
              <w:bottom w:val="single" w:sz="4" w:space="0" w:color="auto"/>
              <w:right w:val="single" w:sz="4" w:space="0" w:color="auto"/>
            </w:tcBorders>
            <w:vAlign w:val="center"/>
            <w:hideMark/>
          </w:tcPr>
          <w:p w14:paraId="4ABD9A81" w14:textId="77777777" w:rsidR="007606FB" w:rsidRPr="00F137C6" w:rsidRDefault="007606FB">
            <w:pPr>
              <w:spacing w:line="256" w:lineRule="auto"/>
              <w:ind w:left="-39" w:right="-101"/>
              <w:jc w:val="center"/>
              <w:rPr>
                <w:rFonts w:cs="Times New Roman"/>
                <w:sz w:val="22"/>
              </w:rPr>
            </w:pPr>
            <w:r w:rsidRPr="00F137C6">
              <w:rPr>
                <w:rFonts w:cs="Times New Roman"/>
                <w:sz w:val="22"/>
              </w:rPr>
              <w:t>3.31</w:t>
            </w:r>
          </w:p>
        </w:tc>
        <w:tc>
          <w:tcPr>
            <w:tcW w:w="735" w:type="pct"/>
            <w:tcBorders>
              <w:top w:val="single" w:sz="4" w:space="0" w:color="auto"/>
              <w:left w:val="single" w:sz="4" w:space="0" w:color="auto"/>
              <w:bottom w:val="single" w:sz="4" w:space="0" w:color="auto"/>
              <w:right w:val="single" w:sz="4" w:space="0" w:color="auto"/>
            </w:tcBorders>
            <w:vAlign w:val="center"/>
            <w:hideMark/>
          </w:tcPr>
          <w:p w14:paraId="66DD2EA3" w14:textId="77777777" w:rsidR="007606FB" w:rsidRPr="00F137C6" w:rsidRDefault="007606FB">
            <w:pPr>
              <w:spacing w:line="256" w:lineRule="auto"/>
              <w:ind w:left="-59" w:right="-112"/>
              <w:jc w:val="center"/>
              <w:rPr>
                <w:rFonts w:cs="Times New Roman"/>
                <w:sz w:val="22"/>
              </w:rPr>
            </w:pPr>
            <w:r w:rsidRPr="00F137C6">
              <w:rPr>
                <w:rFonts w:cs="Times New Roman"/>
                <w:sz w:val="22"/>
              </w:rPr>
              <w:t>2.86</w:t>
            </w:r>
          </w:p>
        </w:tc>
      </w:tr>
      <w:tr w:rsidR="007606FB" w:rsidRPr="00F137C6" w14:paraId="10C72C07" w14:textId="77777777" w:rsidTr="00F137C6">
        <w:tc>
          <w:tcPr>
            <w:tcW w:w="1616" w:type="pct"/>
            <w:tcBorders>
              <w:top w:val="single" w:sz="4" w:space="0" w:color="auto"/>
              <w:left w:val="single" w:sz="4" w:space="0" w:color="auto"/>
              <w:bottom w:val="single" w:sz="4" w:space="0" w:color="auto"/>
              <w:right w:val="single" w:sz="4" w:space="0" w:color="auto"/>
            </w:tcBorders>
            <w:hideMark/>
          </w:tcPr>
          <w:p w14:paraId="640D0DDD" w14:textId="77777777" w:rsidR="007606FB" w:rsidRPr="00F137C6" w:rsidRDefault="007606FB">
            <w:pPr>
              <w:spacing w:line="256" w:lineRule="auto"/>
              <w:rPr>
                <w:rFonts w:cs="Times New Roman"/>
                <w:sz w:val="22"/>
              </w:rPr>
            </w:pPr>
            <w:r w:rsidRPr="00F137C6">
              <w:rPr>
                <w:rFonts w:cs="Times New Roman"/>
                <w:sz w:val="22"/>
              </w:rPr>
              <w:t>Mean change from baseline†</w:t>
            </w:r>
          </w:p>
        </w:tc>
        <w:tc>
          <w:tcPr>
            <w:tcW w:w="577" w:type="pct"/>
            <w:tcBorders>
              <w:top w:val="single" w:sz="4" w:space="0" w:color="auto"/>
              <w:left w:val="single" w:sz="4" w:space="0" w:color="auto"/>
              <w:bottom w:val="single" w:sz="4" w:space="0" w:color="auto"/>
              <w:right w:val="single" w:sz="4" w:space="0" w:color="auto"/>
            </w:tcBorders>
            <w:vAlign w:val="center"/>
            <w:hideMark/>
          </w:tcPr>
          <w:p w14:paraId="63D9C4D4" w14:textId="77777777" w:rsidR="007606FB" w:rsidRPr="00F137C6" w:rsidRDefault="007606FB">
            <w:pPr>
              <w:spacing w:line="256" w:lineRule="auto"/>
              <w:ind w:left="-103" w:right="-65"/>
              <w:jc w:val="center"/>
              <w:rPr>
                <w:rFonts w:cs="Times New Roman"/>
                <w:sz w:val="22"/>
              </w:rPr>
            </w:pPr>
            <w:r w:rsidRPr="00F137C6">
              <w:rPr>
                <w:rFonts w:cs="Times New Roman"/>
                <w:sz w:val="22"/>
              </w:rPr>
              <w:t>-0.92</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3460E849" w14:textId="77777777" w:rsidR="007606FB" w:rsidRPr="00F137C6" w:rsidRDefault="007606FB">
            <w:pPr>
              <w:spacing w:line="256" w:lineRule="auto"/>
              <w:ind w:left="-49" w:right="-91"/>
              <w:jc w:val="center"/>
              <w:rPr>
                <w:rFonts w:cs="Times New Roman"/>
                <w:sz w:val="22"/>
              </w:rPr>
            </w:pPr>
            <w:r w:rsidRPr="00F137C6">
              <w:rPr>
                <w:rFonts w:cs="Times New Roman"/>
                <w:sz w:val="22"/>
              </w:rPr>
              <w:t>-1.49</w:t>
            </w:r>
          </w:p>
        </w:tc>
        <w:tc>
          <w:tcPr>
            <w:tcW w:w="559" w:type="pct"/>
            <w:tcBorders>
              <w:top w:val="single" w:sz="4" w:space="0" w:color="auto"/>
              <w:left w:val="single" w:sz="4" w:space="0" w:color="auto"/>
              <w:bottom w:val="single" w:sz="4" w:space="0" w:color="auto"/>
              <w:right w:val="single" w:sz="4" w:space="0" w:color="auto"/>
            </w:tcBorders>
            <w:vAlign w:val="center"/>
            <w:hideMark/>
          </w:tcPr>
          <w:p w14:paraId="04BC083F" w14:textId="77777777" w:rsidR="007606FB" w:rsidRPr="00F137C6" w:rsidRDefault="007606FB">
            <w:pPr>
              <w:spacing w:line="256" w:lineRule="auto"/>
              <w:ind w:left="-125" w:right="-91"/>
              <w:jc w:val="center"/>
              <w:rPr>
                <w:rFonts w:cs="Times New Roman"/>
                <w:sz w:val="22"/>
              </w:rPr>
            </w:pPr>
            <w:r w:rsidRPr="00F137C6">
              <w:rPr>
                <w:rFonts w:cs="Times New Roman"/>
                <w:sz w:val="22"/>
              </w:rPr>
              <w:t>-1.00</w:t>
            </w:r>
          </w:p>
        </w:tc>
        <w:tc>
          <w:tcPr>
            <w:tcW w:w="756" w:type="pct"/>
            <w:tcBorders>
              <w:top w:val="single" w:sz="4" w:space="0" w:color="auto"/>
              <w:left w:val="single" w:sz="4" w:space="0" w:color="auto"/>
              <w:bottom w:val="single" w:sz="4" w:space="0" w:color="auto"/>
              <w:right w:val="single" w:sz="4" w:space="0" w:color="auto"/>
            </w:tcBorders>
            <w:vAlign w:val="center"/>
            <w:hideMark/>
          </w:tcPr>
          <w:p w14:paraId="3C95168E" w14:textId="77777777" w:rsidR="007606FB" w:rsidRPr="00F137C6" w:rsidRDefault="007606FB">
            <w:pPr>
              <w:spacing w:line="256" w:lineRule="auto"/>
              <w:ind w:left="-39" w:right="-101"/>
              <w:jc w:val="center"/>
              <w:rPr>
                <w:rFonts w:cs="Times New Roman"/>
                <w:sz w:val="22"/>
              </w:rPr>
            </w:pPr>
            <w:r w:rsidRPr="00F137C6">
              <w:rPr>
                <w:rFonts w:cs="Times New Roman"/>
                <w:sz w:val="22"/>
              </w:rPr>
              <w:t>-1.48</w:t>
            </w:r>
          </w:p>
        </w:tc>
        <w:tc>
          <w:tcPr>
            <w:tcW w:w="735" w:type="pct"/>
            <w:tcBorders>
              <w:top w:val="single" w:sz="4" w:space="0" w:color="auto"/>
              <w:left w:val="single" w:sz="4" w:space="0" w:color="auto"/>
              <w:bottom w:val="single" w:sz="4" w:space="0" w:color="auto"/>
              <w:right w:val="single" w:sz="4" w:space="0" w:color="auto"/>
            </w:tcBorders>
            <w:vAlign w:val="center"/>
            <w:hideMark/>
          </w:tcPr>
          <w:p w14:paraId="3E8F0BDE" w14:textId="77777777" w:rsidR="007606FB" w:rsidRPr="00F137C6" w:rsidRDefault="007606FB">
            <w:pPr>
              <w:spacing w:line="256" w:lineRule="auto"/>
              <w:ind w:left="-59" w:right="-112"/>
              <w:jc w:val="center"/>
              <w:rPr>
                <w:rFonts w:cs="Times New Roman"/>
                <w:sz w:val="22"/>
              </w:rPr>
            </w:pPr>
            <w:r w:rsidRPr="00F137C6">
              <w:rPr>
                <w:rFonts w:cs="Times New Roman"/>
                <w:sz w:val="22"/>
              </w:rPr>
              <w:t>-1.10</w:t>
            </w:r>
          </w:p>
        </w:tc>
      </w:tr>
      <w:tr w:rsidR="007606FB" w:rsidRPr="00F137C6" w14:paraId="51C036BE" w14:textId="77777777" w:rsidTr="00F137C6">
        <w:tc>
          <w:tcPr>
            <w:tcW w:w="1616" w:type="pct"/>
            <w:tcBorders>
              <w:top w:val="single" w:sz="4" w:space="0" w:color="auto"/>
              <w:left w:val="single" w:sz="4" w:space="0" w:color="auto"/>
              <w:bottom w:val="single" w:sz="4" w:space="0" w:color="auto"/>
              <w:right w:val="single" w:sz="4" w:space="0" w:color="auto"/>
            </w:tcBorders>
            <w:hideMark/>
          </w:tcPr>
          <w:p w14:paraId="43F0BCFE" w14:textId="77777777" w:rsidR="007606FB" w:rsidRPr="00F137C6" w:rsidRDefault="007606FB">
            <w:pPr>
              <w:spacing w:line="256" w:lineRule="auto"/>
              <w:ind w:right="-167"/>
              <w:rPr>
                <w:rFonts w:cs="Times New Roman"/>
                <w:sz w:val="22"/>
              </w:rPr>
            </w:pPr>
            <w:r w:rsidRPr="00F137C6">
              <w:rPr>
                <w:rFonts w:cs="Times New Roman"/>
                <w:sz w:val="22"/>
              </w:rPr>
              <w:t>Mean difference from placebo†</w:t>
            </w:r>
          </w:p>
        </w:tc>
        <w:tc>
          <w:tcPr>
            <w:tcW w:w="577" w:type="pct"/>
            <w:tcBorders>
              <w:top w:val="single" w:sz="4" w:space="0" w:color="auto"/>
              <w:left w:val="single" w:sz="4" w:space="0" w:color="auto"/>
              <w:bottom w:val="single" w:sz="4" w:space="0" w:color="auto"/>
              <w:right w:val="single" w:sz="4" w:space="0" w:color="auto"/>
            </w:tcBorders>
            <w:vAlign w:val="center"/>
            <w:hideMark/>
          </w:tcPr>
          <w:p w14:paraId="058F3BD0" w14:textId="77777777" w:rsidR="007606FB" w:rsidRPr="00F137C6" w:rsidRDefault="007606FB">
            <w:pPr>
              <w:spacing w:line="256" w:lineRule="auto"/>
              <w:ind w:left="-103" w:right="-65"/>
              <w:jc w:val="center"/>
              <w:rPr>
                <w:rFonts w:cs="Times New Roman"/>
                <w:sz w:val="22"/>
              </w:rPr>
            </w:pPr>
            <w:r w:rsidRPr="00F137C6">
              <w:rPr>
                <w:rFonts w:cs="Times New Roman"/>
                <w:sz w:val="22"/>
              </w:rPr>
              <w:t>--</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62F63E60" w14:textId="77777777" w:rsidR="007606FB" w:rsidRPr="00F137C6" w:rsidRDefault="007606FB">
            <w:pPr>
              <w:spacing w:line="256" w:lineRule="auto"/>
              <w:ind w:left="-49" w:right="-91"/>
              <w:jc w:val="center"/>
              <w:rPr>
                <w:rFonts w:cs="Times New Roman"/>
                <w:sz w:val="22"/>
              </w:rPr>
            </w:pPr>
            <w:r w:rsidRPr="00F137C6">
              <w:rPr>
                <w:rFonts w:cs="Times New Roman"/>
                <w:sz w:val="22"/>
              </w:rPr>
              <w:t>-0.57</w:t>
            </w:r>
          </w:p>
        </w:tc>
        <w:tc>
          <w:tcPr>
            <w:tcW w:w="559" w:type="pct"/>
            <w:tcBorders>
              <w:top w:val="single" w:sz="4" w:space="0" w:color="auto"/>
              <w:left w:val="single" w:sz="4" w:space="0" w:color="auto"/>
              <w:bottom w:val="single" w:sz="4" w:space="0" w:color="auto"/>
              <w:right w:val="single" w:sz="4" w:space="0" w:color="auto"/>
            </w:tcBorders>
            <w:vAlign w:val="center"/>
            <w:hideMark/>
          </w:tcPr>
          <w:p w14:paraId="1BC3E256" w14:textId="77777777" w:rsidR="007606FB" w:rsidRPr="00F137C6" w:rsidRDefault="007606FB">
            <w:pPr>
              <w:spacing w:line="256" w:lineRule="auto"/>
              <w:ind w:left="-125" w:right="-91"/>
              <w:jc w:val="center"/>
              <w:rPr>
                <w:rFonts w:cs="Times New Roman"/>
                <w:sz w:val="22"/>
              </w:rPr>
            </w:pPr>
            <w:r w:rsidRPr="00F137C6">
              <w:rPr>
                <w:rFonts w:cs="Times New Roman"/>
                <w:sz w:val="22"/>
              </w:rPr>
              <w:t>--</w:t>
            </w:r>
          </w:p>
        </w:tc>
        <w:tc>
          <w:tcPr>
            <w:tcW w:w="756" w:type="pct"/>
            <w:tcBorders>
              <w:top w:val="single" w:sz="4" w:space="0" w:color="auto"/>
              <w:left w:val="single" w:sz="4" w:space="0" w:color="auto"/>
              <w:bottom w:val="single" w:sz="4" w:space="0" w:color="auto"/>
              <w:right w:val="single" w:sz="4" w:space="0" w:color="auto"/>
            </w:tcBorders>
            <w:vAlign w:val="center"/>
            <w:hideMark/>
          </w:tcPr>
          <w:p w14:paraId="44CEC194" w14:textId="77777777" w:rsidR="007606FB" w:rsidRPr="00F137C6" w:rsidRDefault="007606FB">
            <w:pPr>
              <w:spacing w:line="256" w:lineRule="auto"/>
              <w:ind w:left="-39" w:right="-101"/>
              <w:jc w:val="center"/>
              <w:rPr>
                <w:rFonts w:cs="Times New Roman"/>
                <w:sz w:val="22"/>
              </w:rPr>
            </w:pPr>
            <w:r w:rsidRPr="00F137C6">
              <w:rPr>
                <w:rFonts w:cs="Times New Roman"/>
                <w:sz w:val="22"/>
              </w:rPr>
              <w:t>-0.48</w:t>
            </w:r>
          </w:p>
        </w:tc>
        <w:tc>
          <w:tcPr>
            <w:tcW w:w="735" w:type="pct"/>
            <w:tcBorders>
              <w:top w:val="single" w:sz="4" w:space="0" w:color="auto"/>
              <w:left w:val="single" w:sz="4" w:space="0" w:color="auto"/>
              <w:bottom w:val="single" w:sz="4" w:space="0" w:color="auto"/>
              <w:right w:val="single" w:sz="4" w:space="0" w:color="auto"/>
            </w:tcBorders>
            <w:vAlign w:val="center"/>
            <w:hideMark/>
          </w:tcPr>
          <w:p w14:paraId="4AE5176B" w14:textId="77777777" w:rsidR="007606FB" w:rsidRPr="00F137C6" w:rsidRDefault="007606FB">
            <w:pPr>
              <w:spacing w:line="256" w:lineRule="auto"/>
              <w:ind w:left="-59" w:right="-112"/>
              <w:jc w:val="center"/>
              <w:rPr>
                <w:rFonts w:cs="Times New Roman"/>
                <w:sz w:val="22"/>
              </w:rPr>
            </w:pPr>
            <w:r w:rsidRPr="00F137C6">
              <w:rPr>
                <w:rFonts w:cs="Times New Roman"/>
                <w:sz w:val="22"/>
              </w:rPr>
              <w:t>-0.10</w:t>
            </w:r>
          </w:p>
        </w:tc>
      </w:tr>
      <w:tr w:rsidR="007606FB" w:rsidRPr="00F137C6" w14:paraId="2160A56F" w14:textId="77777777" w:rsidTr="00F137C6">
        <w:tc>
          <w:tcPr>
            <w:tcW w:w="1616" w:type="pct"/>
            <w:tcBorders>
              <w:top w:val="single" w:sz="4" w:space="0" w:color="auto"/>
              <w:left w:val="single" w:sz="4" w:space="0" w:color="auto"/>
              <w:bottom w:val="single" w:sz="4" w:space="0" w:color="auto"/>
              <w:right w:val="single" w:sz="4" w:space="0" w:color="auto"/>
            </w:tcBorders>
            <w:hideMark/>
          </w:tcPr>
          <w:p w14:paraId="5600ECD1" w14:textId="77777777" w:rsidR="007606FB" w:rsidRPr="00F137C6" w:rsidRDefault="007606FB">
            <w:pPr>
              <w:spacing w:line="256" w:lineRule="auto"/>
              <w:rPr>
                <w:rFonts w:cs="Times New Roman"/>
                <w:sz w:val="22"/>
              </w:rPr>
            </w:pPr>
            <w:r w:rsidRPr="00F137C6">
              <w:rPr>
                <w:rFonts w:cs="Times New Roman"/>
                <w:sz w:val="22"/>
              </w:rPr>
              <w:t>95% Confidence Interval</w:t>
            </w:r>
          </w:p>
        </w:tc>
        <w:tc>
          <w:tcPr>
            <w:tcW w:w="577" w:type="pct"/>
            <w:tcBorders>
              <w:top w:val="single" w:sz="4" w:space="0" w:color="auto"/>
              <w:left w:val="single" w:sz="4" w:space="0" w:color="auto"/>
              <w:bottom w:val="single" w:sz="4" w:space="0" w:color="auto"/>
              <w:right w:val="single" w:sz="4" w:space="0" w:color="auto"/>
            </w:tcBorders>
            <w:vAlign w:val="center"/>
            <w:hideMark/>
          </w:tcPr>
          <w:p w14:paraId="7C89E6F0" w14:textId="77777777" w:rsidR="007606FB" w:rsidRPr="00F137C6" w:rsidRDefault="007606FB">
            <w:pPr>
              <w:spacing w:line="256" w:lineRule="auto"/>
              <w:ind w:left="-103" w:right="-65"/>
              <w:jc w:val="center"/>
              <w:rPr>
                <w:rFonts w:cs="Times New Roman"/>
                <w:sz w:val="22"/>
              </w:rPr>
            </w:pPr>
            <w:r w:rsidRPr="00F137C6">
              <w:rPr>
                <w:rFonts w:cs="Times New Roman"/>
                <w:sz w:val="22"/>
              </w:rPr>
              <w:t>--</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516D7D4C" w14:textId="77777777" w:rsidR="007606FB" w:rsidRPr="00F137C6" w:rsidRDefault="007606FB">
            <w:pPr>
              <w:spacing w:line="256" w:lineRule="auto"/>
              <w:ind w:left="-49" w:right="-91"/>
              <w:jc w:val="center"/>
              <w:rPr>
                <w:rFonts w:cs="Times New Roman"/>
                <w:sz w:val="22"/>
              </w:rPr>
            </w:pPr>
            <w:r w:rsidRPr="00F137C6">
              <w:rPr>
                <w:rFonts w:cs="Times New Roman"/>
                <w:sz w:val="22"/>
              </w:rPr>
              <w:t>(-0.81, -0.33)</w:t>
            </w:r>
          </w:p>
        </w:tc>
        <w:tc>
          <w:tcPr>
            <w:tcW w:w="559" w:type="pct"/>
            <w:tcBorders>
              <w:top w:val="single" w:sz="4" w:space="0" w:color="auto"/>
              <w:left w:val="single" w:sz="4" w:space="0" w:color="auto"/>
              <w:bottom w:val="single" w:sz="4" w:space="0" w:color="auto"/>
              <w:right w:val="single" w:sz="4" w:space="0" w:color="auto"/>
            </w:tcBorders>
            <w:vAlign w:val="center"/>
            <w:hideMark/>
          </w:tcPr>
          <w:p w14:paraId="706CAD0A" w14:textId="77777777" w:rsidR="007606FB" w:rsidRPr="00F137C6" w:rsidRDefault="007606FB">
            <w:pPr>
              <w:spacing w:line="256" w:lineRule="auto"/>
              <w:ind w:left="-125" w:right="-91"/>
              <w:jc w:val="center"/>
              <w:rPr>
                <w:rFonts w:cs="Times New Roman"/>
                <w:sz w:val="22"/>
              </w:rPr>
            </w:pPr>
            <w:r w:rsidRPr="00F137C6">
              <w:rPr>
                <w:rFonts w:cs="Times New Roman"/>
                <w:sz w:val="22"/>
              </w:rPr>
              <w:t>--</w:t>
            </w:r>
          </w:p>
        </w:tc>
        <w:tc>
          <w:tcPr>
            <w:tcW w:w="756" w:type="pct"/>
            <w:tcBorders>
              <w:top w:val="single" w:sz="4" w:space="0" w:color="auto"/>
              <w:left w:val="single" w:sz="4" w:space="0" w:color="auto"/>
              <w:bottom w:val="single" w:sz="4" w:space="0" w:color="auto"/>
              <w:right w:val="single" w:sz="4" w:space="0" w:color="auto"/>
            </w:tcBorders>
            <w:vAlign w:val="center"/>
            <w:hideMark/>
          </w:tcPr>
          <w:p w14:paraId="14375012" w14:textId="77777777" w:rsidR="007606FB" w:rsidRPr="00F137C6" w:rsidRDefault="007606FB">
            <w:pPr>
              <w:spacing w:line="256" w:lineRule="auto"/>
              <w:ind w:left="-39" w:right="-101"/>
              <w:jc w:val="center"/>
              <w:rPr>
                <w:rFonts w:cs="Times New Roman"/>
                <w:sz w:val="22"/>
              </w:rPr>
            </w:pPr>
            <w:r w:rsidRPr="00F137C6">
              <w:rPr>
                <w:rFonts w:cs="Times New Roman"/>
                <w:sz w:val="22"/>
              </w:rPr>
              <w:t>(-0.90, -0.06)</w:t>
            </w:r>
          </w:p>
        </w:tc>
        <w:tc>
          <w:tcPr>
            <w:tcW w:w="735" w:type="pct"/>
            <w:tcBorders>
              <w:top w:val="single" w:sz="4" w:space="0" w:color="auto"/>
              <w:left w:val="single" w:sz="4" w:space="0" w:color="auto"/>
              <w:bottom w:val="single" w:sz="4" w:space="0" w:color="auto"/>
              <w:right w:val="single" w:sz="4" w:space="0" w:color="auto"/>
            </w:tcBorders>
            <w:vAlign w:val="center"/>
            <w:hideMark/>
          </w:tcPr>
          <w:p w14:paraId="29078AB2" w14:textId="77777777" w:rsidR="007606FB" w:rsidRPr="00F137C6" w:rsidRDefault="007606FB">
            <w:pPr>
              <w:spacing w:line="256" w:lineRule="auto"/>
              <w:ind w:left="-59" w:right="-112"/>
              <w:jc w:val="center"/>
              <w:rPr>
                <w:rFonts w:cs="Times New Roman"/>
                <w:sz w:val="22"/>
              </w:rPr>
            </w:pPr>
            <w:r w:rsidRPr="00F137C6">
              <w:rPr>
                <w:rFonts w:cs="Times New Roman"/>
                <w:sz w:val="22"/>
              </w:rPr>
              <w:t>(-0.52, 0.32)</w:t>
            </w:r>
          </w:p>
        </w:tc>
      </w:tr>
      <w:tr w:rsidR="007606FB" w:rsidRPr="00531029" w14:paraId="7B1821A3" w14:textId="77777777" w:rsidTr="00F137C6">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3B753D7" w14:textId="77777777" w:rsidR="007606FB" w:rsidRPr="00F137C6" w:rsidRDefault="007606FB">
            <w:pPr>
              <w:tabs>
                <w:tab w:val="left" w:pos="567"/>
              </w:tabs>
              <w:ind w:left="-59" w:right="-101"/>
              <w:rPr>
                <w:rFonts w:cs="Times New Roman"/>
                <w:sz w:val="22"/>
              </w:rPr>
            </w:pPr>
            <w:r w:rsidRPr="00F137C6">
              <w:rPr>
                <w:rFonts w:cs="Times New Roman"/>
                <w:b/>
                <w:sz w:val="22"/>
              </w:rPr>
              <w:t xml:space="preserve">Mean number of </w:t>
            </w:r>
            <w:proofErr w:type="spellStart"/>
            <w:r w:rsidRPr="00F137C6">
              <w:rPr>
                <w:rFonts w:cs="Times New Roman"/>
                <w:b/>
                <w:sz w:val="22"/>
              </w:rPr>
              <w:t>micturitions</w:t>
            </w:r>
            <w:proofErr w:type="spellEnd"/>
            <w:r w:rsidRPr="00F137C6">
              <w:rPr>
                <w:rFonts w:cs="Times New Roman"/>
                <w:b/>
                <w:sz w:val="22"/>
              </w:rPr>
              <w:t xml:space="preserve"> per 24 hours (FAS)</w:t>
            </w:r>
          </w:p>
        </w:tc>
      </w:tr>
      <w:tr w:rsidR="007606FB" w:rsidRPr="00F137C6" w14:paraId="2E2120F9" w14:textId="77777777" w:rsidTr="00F137C6">
        <w:tc>
          <w:tcPr>
            <w:tcW w:w="1616" w:type="pct"/>
            <w:tcBorders>
              <w:top w:val="single" w:sz="4" w:space="0" w:color="auto"/>
              <w:left w:val="single" w:sz="4" w:space="0" w:color="auto"/>
              <w:bottom w:val="single" w:sz="4" w:space="0" w:color="auto"/>
              <w:right w:val="single" w:sz="4" w:space="0" w:color="auto"/>
            </w:tcBorders>
            <w:hideMark/>
          </w:tcPr>
          <w:p w14:paraId="67CF75CE" w14:textId="77777777" w:rsidR="007606FB" w:rsidRPr="00F137C6" w:rsidRDefault="007606FB">
            <w:pPr>
              <w:spacing w:line="256" w:lineRule="auto"/>
              <w:rPr>
                <w:rFonts w:cs="Times New Roman"/>
                <w:sz w:val="22"/>
              </w:rPr>
            </w:pPr>
            <w:r w:rsidRPr="00F137C6">
              <w:rPr>
                <w:rFonts w:cs="Times New Roman"/>
                <w:sz w:val="22"/>
              </w:rPr>
              <w:t>n</w:t>
            </w:r>
          </w:p>
        </w:tc>
        <w:tc>
          <w:tcPr>
            <w:tcW w:w="577" w:type="pct"/>
            <w:tcBorders>
              <w:top w:val="single" w:sz="4" w:space="0" w:color="auto"/>
              <w:left w:val="single" w:sz="4" w:space="0" w:color="auto"/>
              <w:bottom w:val="single" w:sz="4" w:space="0" w:color="auto"/>
              <w:right w:val="single" w:sz="4" w:space="0" w:color="auto"/>
            </w:tcBorders>
            <w:vAlign w:val="center"/>
            <w:hideMark/>
          </w:tcPr>
          <w:p w14:paraId="1CE748F6" w14:textId="77777777" w:rsidR="007606FB" w:rsidRPr="00F137C6" w:rsidRDefault="007606FB">
            <w:pPr>
              <w:spacing w:line="256" w:lineRule="auto"/>
              <w:ind w:left="-79" w:right="-65"/>
              <w:jc w:val="center"/>
              <w:rPr>
                <w:rFonts w:cs="Times New Roman"/>
                <w:sz w:val="22"/>
              </w:rPr>
            </w:pPr>
            <w:r w:rsidRPr="00F137C6">
              <w:rPr>
                <w:rFonts w:cs="Times New Roman"/>
                <w:sz w:val="22"/>
              </w:rPr>
              <w:t>704</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6FE6D922" w14:textId="77777777" w:rsidR="007606FB" w:rsidRPr="00F137C6" w:rsidRDefault="007606FB">
            <w:pPr>
              <w:spacing w:line="256" w:lineRule="auto"/>
              <w:ind w:left="-151" w:right="-131"/>
              <w:jc w:val="center"/>
              <w:rPr>
                <w:rFonts w:cs="Times New Roman"/>
                <w:sz w:val="22"/>
              </w:rPr>
            </w:pPr>
            <w:r w:rsidRPr="00F137C6">
              <w:rPr>
                <w:rFonts w:cs="Times New Roman"/>
                <w:sz w:val="22"/>
              </w:rPr>
              <w:t>688</w:t>
            </w:r>
          </w:p>
        </w:tc>
        <w:tc>
          <w:tcPr>
            <w:tcW w:w="559" w:type="pct"/>
            <w:tcBorders>
              <w:top w:val="single" w:sz="4" w:space="0" w:color="auto"/>
              <w:left w:val="single" w:sz="4" w:space="0" w:color="auto"/>
              <w:bottom w:val="single" w:sz="4" w:space="0" w:color="auto"/>
              <w:right w:val="single" w:sz="4" w:space="0" w:color="auto"/>
            </w:tcBorders>
            <w:vAlign w:val="center"/>
            <w:hideMark/>
          </w:tcPr>
          <w:p w14:paraId="0624F068" w14:textId="77777777" w:rsidR="007606FB" w:rsidRPr="00F137C6" w:rsidRDefault="007606FB">
            <w:pPr>
              <w:spacing w:line="256" w:lineRule="auto"/>
              <w:ind w:left="-125" w:right="-91"/>
              <w:jc w:val="center"/>
              <w:rPr>
                <w:rFonts w:cs="Times New Roman"/>
                <w:sz w:val="22"/>
              </w:rPr>
            </w:pPr>
            <w:r w:rsidRPr="00F137C6">
              <w:rPr>
                <w:rFonts w:cs="Times New Roman"/>
                <w:sz w:val="22"/>
              </w:rPr>
              <w:t>238</w:t>
            </w:r>
          </w:p>
        </w:tc>
        <w:tc>
          <w:tcPr>
            <w:tcW w:w="756" w:type="pct"/>
            <w:tcBorders>
              <w:top w:val="single" w:sz="4" w:space="0" w:color="auto"/>
              <w:left w:val="single" w:sz="4" w:space="0" w:color="auto"/>
              <w:bottom w:val="single" w:sz="4" w:space="0" w:color="auto"/>
              <w:right w:val="single" w:sz="4" w:space="0" w:color="auto"/>
            </w:tcBorders>
            <w:vAlign w:val="center"/>
            <w:hideMark/>
          </w:tcPr>
          <w:p w14:paraId="52276D6B" w14:textId="77777777" w:rsidR="007606FB" w:rsidRPr="00F137C6" w:rsidRDefault="007606FB">
            <w:pPr>
              <w:spacing w:line="256" w:lineRule="auto"/>
              <w:ind w:left="-125" w:right="-101"/>
              <w:jc w:val="center"/>
              <w:rPr>
                <w:rFonts w:cs="Times New Roman"/>
                <w:sz w:val="22"/>
              </w:rPr>
            </w:pPr>
            <w:r w:rsidRPr="00F137C6">
              <w:rPr>
                <w:rFonts w:cs="Times New Roman"/>
                <w:sz w:val="22"/>
              </w:rPr>
              <w:t>240</w:t>
            </w:r>
          </w:p>
        </w:tc>
        <w:tc>
          <w:tcPr>
            <w:tcW w:w="735" w:type="pct"/>
            <w:tcBorders>
              <w:top w:val="single" w:sz="4" w:space="0" w:color="auto"/>
              <w:left w:val="single" w:sz="4" w:space="0" w:color="auto"/>
              <w:bottom w:val="single" w:sz="4" w:space="0" w:color="auto"/>
              <w:right w:val="single" w:sz="4" w:space="0" w:color="auto"/>
            </w:tcBorders>
            <w:vAlign w:val="center"/>
            <w:hideMark/>
          </w:tcPr>
          <w:p w14:paraId="4D9D7F15" w14:textId="77777777" w:rsidR="007606FB" w:rsidRPr="00F137C6" w:rsidRDefault="007606FB">
            <w:pPr>
              <w:spacing w:line="256" w:lineRule="auto"/>
              <w:ind w:left="-59"/>
              <w:jc w:val="center"/>
              <w:rPr>
                <w:rFonts w:cs="Times New Roman"/>
                <w:sz w:val="22"/>
              </w:rPr>
            </w:pPr>
            <w:r w:rsidRPr="00F137C6">
              <w:rPr>
                <w:rFonts w:cs="Times New Roman"/>
                <w:sz w:val="22"/>
              </w:rPr>
              <w:t>231</w:t>
            </w:r>
          </w:p>
        </w:tc>
      </w:tr>
      <w:tr w:rsidR="007606FB" w:rsidRPr="00F137C6" w14:paraId="731186C9" w14:textId="77777777" w:rsidTr="00F137C6">
        <w:tc>
          <w:tcPr>
            <w:tcW w:w="1616" w:type="pct"/>
            <w:tcBorders>
              <w:top w:val="single" w:sz="4" w:space="0" w:color="auto"/>
              <w:left w:val="single" w:sz="4" w:space="0" w:color="auto"/>
              <w:bottom w:val="single" w:sz="4" w:space="0" w:color="auto"/>
              <w:right w:val="single" w:sz="4" w:space="0" w:color="auto"/>
            </w:tcBorders>
            <w:hideMark/>
          </w:tcPr>
          <w:p w14:paraId="47FAA9DA" w14:textId="77777777" w:rsidR="007606FB" w:rsidRPr="00F137C6" w:rsidRDefault="007606FB">
            <w:pPr>
              <w:spacing w:line="256" w:lineRule="auto"/>
              <w:rPr>
                <w:rFonts w:cs="Times New Roman"/>
                <w:sz w:val="22"/>
              </w:rPr>
            </w:pPr>
            <w:r w:rsidRPr="00F137C6">
              <w:rPr>
                <w:rFonts w:cs="Times New Roman"/>
                <w:sz w:val="22"/>
              </w:rPr>
              <w:t>Mean baseline</w:t>
            </w:r>
          </w:p>
        </w:tc>
        <w:tc>
          <w:tcPr>
            <w:tcW w:w="577" w:type="pct"/>
            <w:tcBorders>
              <w:top w:val="single" w:sz="4" w:space="0" w:color="auto"/>
              <w:left w:val="single" w:sz="4" w:space="0" w:color="auto"/>
              <w:bottom w:val="single" w:sz="4" w:space="0" w:color="auto"/>
              <w:right w:val="single" w:sz="4" w:space="0" w:color="auto"/>
            </w:tcBorders>
            <w:vAlign w:val="center"/>
            <w:hideMark/>
          </w:tcPr>
          <w:p w14:paraId="7652EF47" w14:textId="77777777" w:rsidR="007606FB" w:rsidRPr="00F137C6" w:rsidRDefault="007606FB">
            <w:pPr>
              <w:spacing w:line="256" w:lineRule="auto"/>
              <w:ind w:left="-79" w:right="-65"/>
              <w:jc w:val="center"/>
              <w:rPr>
                <w:rFonts w:cs="Times New Roman"/>
                <w:sz w:val="22"/>
              </w:rPr>
            </w:pPr>
            <w:r w:rsidRPr="00F137C6">
              <w:rPr>
                <w:rFonts w:cs="Times New Roman"/>
                <w:sz w:val="22"/>
              </w:rPr>
              <w:t>11.53</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66B263E3" w14:textId="77777777" w:rsidR="007606FB" w:rsidRPr="00F137C6" w:rsidRDefault="007606FB">
            <w:pPr>
              <w:spacing w:line="256" w:lineRule="auto"/>
              <w:ind w:left="-151" w:right="-131"/>
              <w:jc w:val="center"/>
              <w:rPr>
                <w:rFonts w:cs="Times New Roman"/>
                <w:sz w:val="22"/>
              </w:rPr>
            </w:pPr>
            <w:r w:rsidRPr="00F137C6">
              <w:rPr>
                <w:rFonts w:cs="Times New Roman"/>
                <w:sz w:val="22"/>
              </w:rPr>
              <w:t>11.78</w:t>
            </w:r>
          </w:p>
        </w:tc>
        <w:tc>
          <w:tcPr>
            <w:tcW w:w="559" w:type="pct"/>
            <w:tcBorders>
              <w:top w:val="single" w:sz="4" w:space="0" w:color="auto"/>
              <w:left w:val="single" w:sz="4" w:space="0" w:color="auto"/>
              <w:bottom w:val="single" w:sz="4" w:space="0" w:color="auto"/>
              <w:right w:val="single" w:sz="4" w:space="0" w:color="auto"/>
            </w:tcBorders>
            <w:vAlign w:val="center"/>
            <w:hideMark/>
          </w:tcPr>
          <w:p w14:paraId="64AEE749" w14:textId="77777777" w:rsidR="007606FB" w:rsidRPr="00F137C6" w:rsidRDefault="007606FB">
            <w:pPr>
              <w:spacing w:line="256" w:lineRule="auto"/>
              <w:ind w:left="-125" w:right="-91"/>
              <w:jc w:val="center"/>
              <w:rPr>
                <w:rFonts w:cs="Times New Roman"/>
                <w:sz w:val="22"/>
              </w:rPr>
            </w:pPr>
            <w:r w:rsidRPr="00F137C6">
              <w:rPr>
                <w:rFonts w:cs="Times New Roman"/>
                <w:sz w:val="22"/>
              </w:rPr>
              <w:t>11.90</w:t>
            </w:r>
          </w:p>
        </w:tc>
        <w:tc>
          <w:tcPr>
            <w:tcW w:w="756" w:type="pct"/>
            <w:tcBorders>
              <w:top w:val="single" w:sz="4" w:space="0" w:color="auto"/>
              <w:left w:val="single" w:sz="4" w:space="0" w:color="auto"/>
              <w:bottom w:val="single" w:sz="4" w:space="0" w:color="auto"/>
              <w:right w:val="single" w:sz="4" w:space="0" w:color="auto"/>
            </w:tcBorders>
            <w:vAlign w:val="center"/>
            <w:hideMark/>
          </w:tcPr>
          <w:p w14:paraId="24EBC3F9" w14:textId="77777777" w:rsidR="007606FB" w:rsidRPr="00F137C6" w:rsidRDefault="007606FB">
            <w:pPr>
              <w:spacing w:line="256" w:lineRule="auto"/>
              <w:ind w:left="-125" w:right="-101"/>
              <w:jc w:val="center"/>
              <w:rPr>
                <w:rFonts w:cs="Times New Roman"/>
                <w:sz w:val="22"/>
              </w:rPr>
            </w:pPr>
            <w:r w:rsidRPr="00F137C6">
              <w:rPr>
                <w:rFonts w:cs="Times New Roman"/>
                <w:sz w:val="22"/>
              </w:rPr>
              <w:t>11.85</w:t>
            </w:r>
          </w:p>
        </w:tc>
        <w:tc>
          <w:tcPr>
            <w:tcW w:w="735" w:type="pct"/>
            <w:tcBorders>
              <w:top w:val="single" w:sz="4" w:space="0" w:color="auto"/>
              <w:left w:val="single" w:sz="4" w:space="0" w:color="auto"/>
              <w:bottom w:val="single" w:sz="4" w:space="0" w:color="auto"/>
              <w:right w:val="single" w:sz="4" w:space="0" w:color="auto"/>
            </w:tcBorders>
            <w:vAlign w:val="center"/>
            <w:hideMark/>
          </w:tcPr>
          <w:p w14:paraId="03C9E2E1" w14:textId="77777777" w:rsidR="007606FB" w:rsidRPr="00F137C6" w:rsidRDefault="007606FB">
            <w:pPr>
              <w:spacing w:line="256" w:lineRule="auto"/>
              <w:ind w:left="-59"/>
              <w:jc w:val="center"/>
              <w:rPr>
                <w:rFonts w:cs="Times New Roman"/>
                <w:sz w:val="22"/>
              </w:rPr>
            </w:pPr>
            <w:r w:rsidRPr="00F137C6">
              <w:rPr>
                <w:rFonts w:cs="Times New Roman"/>
                <w:sz w:val="22"/>
              </w:rPr>
              <w:t>11.76</w:t>
            </w:r>
          </w:p>
        </w:tc>
      </w:tr>
      <w:tr w:rsidR="007606FB" w:rsidRPr="00F137C6" w14:paraId="022FCB77" w14:textId="77777777" w:rsidTr="00F137C6">
        <w:tc>
          <w:tcPr>
            <w:tcW w:w="1616" w:type="pct"/>
            <w:tcBorders>
              <w:top w:val="single" w:sz="4" w:space="0" w:color="auto"/>
              <w:left w:val="single" w:sz="4" w:space="0" w:color="auto"/>
              <w:bottom w:val="single" w:sz="4" w:space="0" w:color="auto"/>
              <w:right w:val="single" w:sz="4" w:space="0" w:color="auto"/>
            </w:tcBorders>
            <w:hideMark/>
          </w:tcPr>
          <w:p w14:paraId="026CBDF1" w14:textId="77777777" w:rsidR="007606FB" w:rsidRPr="00F137C6" w:rsidRDefault="007606FB">
            <w:pPr>
              <w:spacing w:line="256" w:lineRule="auto"/>
              <w:rPr>
                <w:rFonts w:cs="Times New Roman"/>
                <w:sz w:val="22"/>
              </w:rPr>
            </w:pPr>
            <w:r w:rsidRPr="00F137C6">
              <w:rPr>
                <w:rFonts w:cs="Times New Roman"/>
                <w:sz w:val="22"/>
              </w:rPr>
              <w:t>Mean change from baseline†</w:t>
            </w:r>
          </w:p>
        </w:tc>
        <w:tc>
          <w:tcPr>
            <w:tcW w:w="577" w:type="pct"/>
            <w:tcBorders>
              <w:top w:val="single" w:sz="4" w:space="0" w:color="auto"/>
              <w:left w:val="single" w:sz="4" w:space="0" w:color="auto"/>
              <w:bottom w:val="single" w:sz="4" w:space="0" w:color="auto"/>
              <w:right w:val="single" w:sz="4" w:space="0" w:color="auto"/>
            </w:tcBorders>
            <w:vAlign w:val="center"/>
            <w:hideMark/>
          </w:tcPr>
          <w:p w14:paraId="20BF6FD7" w14:textId="77777777" w:rsidR="007606FB" w:rsidRPr="00F137C6" w:rsidRDefault="007606FB">
            <w:pPr>
              <w:spacing w:line="256" w:lineRule="auto"/>
              <w:ind w:left="-79" w:right="-65"/>
              <w:jc w:val="center"/>
              <w:rPr>
                <w:rFonts w:cs="Times New Roman"/>
                <w:sz w:val="22"/>
              </w:rPr>
            </w:pPr>
            <w:r w:rsidRPr="00F137C6">
              <w:rPr>
                <w:rFonts w:cs="Times New Roman"/>
                <w:sz w:val="22"/>
              </w:rPr>
              <w:t>-0.93</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6B3241CE" w14:textId="77777777" w:rsidR="007606FB" w:rsidRPr="00F137C6" w:rsidRDefault="007606FB">
            <w:pPr>
              <w:spacing w:line="256" w:lineRule="auto"/>
              <w:ind w:left="-151" w:right="-131"/>
              <w:jc w:val="center"/>
              <w:rPr>
                <w:rFonts w:cs="Times New Roman"/>
                <w:sz w:val="22"/>
              </w:rPr>
            </w:pPr>
            <w:r w:rsidRPr="00F137C6">
              <w:rPr>
                <w:rFonts w:cs="Times New Roman"/>
                <w:sz w:val="22"/>
              </w:rPr>
              <w:t>-1.67</w:t>
            </w:r>
          </w:p>
        </w:tc>
        <w:tc>
          <w:tcPr>
            <w:tcW w:w="559" w:type="pct"/>
            <w:tcBorders>
              <w:top w:val="single" w:sz="4" w:space="0" w:color="auto"/>
              <w:left w:val="single" w:sz="4" w:space="0" w:color="auto"/>
              <w:bottom w:val="single" w:sz="4" w:space="0" w:color="auto"/>
              <w:right w:val="single" w:sz="4" w:space="0" w:color="auto"/>
            </w:tcBorders>
            <w:vAlign w:val="center"/>
            <w:hideMark/>
          </w:tcPr>
          <w:p w14:paraId="02135D3F" w14:textId="77777777" w:rsidR="007606FB" w:rsidRPr="00F137C6" w:rsidRDefault="007606FB">
            <w:pPr>
              <w:spacing w:line="256" w:lineRule="auto"/>
              <w:ind w:left="-125" w:right="-91"/>
              <w:jc w:val="center"/>
              <w:rPr>
                <w:rFonts w:cs="Times New Roman"/>
                <w:sz w:val="22"/>
              </w:rPr>
            </w:pPr>
            <w:r w:rsidRPr="00F137C6">
              <w:rPr>
                <w:rFonts w:cs="Times New Roman"/>
                <w:sz w:val="22"/>
              </w:rPr>
              <w:t>-1.06</w:t>
            </w:r>
          </w:p>
        </w:tc>
        <w:tc>
          <w:tcPr>
            <w:tcW w:w="756" w:type="pct"/>
            <w:tcBorders>
              <w:top w:val="single" w:sz="4" w:space="0" w:color="auto"/>
              <w:left w:val="single" w:sz="4" w:space="0" w:color="auto"/>
              <w:bottom w:val="single" w:sz="4" w:space="0" w:color="auto"/>
              <w:right w:val="single" w:sz="4" w:space="0" w:color="auto"/>
            </w:tcBorders>
            <w:vAlign w:val="center"/>
            <w:hideMark/>
          </w:tcPr>
          <w:p w14:paraId="3BECF275" w14:textId="77777777" w:rsidR="007606FB" w:rsidRPr="00F137C6" w:rsidRDefault="007606FB">
            <w:pPr>
              <w:spacing w:line="256" w:lineRule="auto"/>
              <w:ind w:left="-125" w:right="-101"/>
              <w:jc w:val="center"/>
              <w:rPr>
                <w:rFonts w:cs="Times New Roman"/>
                <w:sz w:val="22"/>
              </w:rPr>
            </w:pPr>
            <w:r w:rsidRPr="00F137C6">
              <w:rPr>
                <w:rFonts w:cs="Times New Roman"/>
                <w:sz w:val="22"/>
              </w:rPr>
              <w:t>-1.74</w:t>
            </w:r>
          </w:p>
        </w:tc>
        <w:tc>
          <w:tcPr>
            <w:tcW w:w="735" w:type="pct"/>
            <w:tcBorders>
              <w:top w:val="single" w:sz="4" w:space="0" w:color="auto"/>
              <w:left w:val="single" w:sz="4" w:space="0" w:color="auto"/>
              <w:bottom w:val="single" w:sz="4" w:space="0" w:color="auto"/>
              <w:right w:val="single" w:sz="4" w:space="0" w:color="auto"/>
            </w:tcBorders>
            <w:vAlign w:val="center"/>
            <w:hideMark/>
          </w:tcPr>
          <w:p w14:paraId="0C1E51AB" w14:textId="77777777" w:rsidR="007606FB" w:rsidRPr="00F137C6" w:rsidRDefault="007606FB">
            <w:pPr>
              <w:spacing w:line="256" w:lineRule="auto"/>
              <w:ind w:left="-59"/>
              <w:jc w:val="center"/>
              <w:rPr>
                <w:rFonts w:cs="Times New Roman"/>
                <w:sz w:val="22"/>
              </w:rPr>
            </w:pPr>
            <w:r w:rsidRPr="00F137C6">
              <w:rPr>
                <w:rFonts w:cs="Times New Roman"/>
                <w:sz w:val="22"/>
              </w:rPr>
              <w:t>-1.26</w:t>
            </w:r>
          </w:p>
        </w:tc>
      </w:tr>
      <w:tr w:rsidR="007606FB" w:rsidRPr="00F137C6" w14:paraId="00C0FA8E" w14:textId="77777777" w:rsidTr="00F137C6">
        <w:tc>
          <w:tcPr>
            <w:tcW w:w="1616" w:type="pct"/>
            <w:tcBorders>
              <w:top w:val="single" w:sz="4" w:space="0" w:color="auto"/>
              <w:left w:val="single" w:sz="4" w:space="0" w:color="auto"/>
              <w:bottom w:val="single" w:sz="4" w:space="0" w:color="auto"/>
              <w:right w:val="single" w:sz="4" w:space="0" w:color="auto"/>
            </w:tcBorders>
            <w:hideMark/>
          </w:tcPr>
          <w:p w14:paraId="7E9D4C80" w14:textId="77777777" w:rsidR="007606FB" w:rsidRPr="00F137C6" w:rsidRDefault="007606FB">
            <w:pPr>
              <w:spacing w:line="256" w:lineRule="auto"/>
              <w:ind w:right="-113"/>
              <w:rPr>
                <w:rFonts w:cs="Times New Roman"/>
                <w:sz w:val="22"/>
              </w:rPr>
            </w:pPr>
            <w:r w:rsidRPr="00F137C6">
              <w:rPr>
                <w:rFonts w:cs="Times New Roman"/>
                <w:sz w:val="22"/>
              </w:rPr>
              <w:t>Mean difference from placebo†</w:t>
            </w:r>
          </w:p>
        </w:tc>
        <w:tc>
          <w:tcPr>
            <w:tcW w:w="577" w:type="pct"/>
            <w:tcBorders>
              <w:top w:val="single" w:sz="4" w:space="0" w:color="auto"/>
              <w:left w:val="single" w:sz="4" w:space="0" w:color="auto"/>
              <w:bottom w:val="single" w:sz="4" w:space="0" w:color="auto"/>
              <w:right w:val="single" w:sz="4" w:space="0" w:color="auto"/>
            </w:tcBorders>
            <w:vAlign w:val="center"/>
            <w:hideMark/>
          </w:tcPr>
          <w:p w14:paraId="738CB426" w14:textId="77777777" w:rsidR="007606FB" w:rsidRPr="00F137C6" w:rsidRDefault="007606FB">
            <w:pPr>
              <w:spacing w:line="256" w:lineRule="auto"/>
              <w:ind w:left="-79" w:right="-65"/>
              <w:jc w:val="center"/>
              <w:rPr>
                <w:rFonts w:cs="Times New Roman"/>
                <w:sz w:val="22"/>
              </w:rPr>
            </w:pPr>
            <w:r w:rsidRPr="00F137C6">
              <w:rPr>
                <w:rFonts w:cs="Times New Roman"/>
                <w:sz w:val="22"/>
              </w:rPr>
              <w:t>--</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77E80B10" w14:textId="77777777" w:rsidR="007606FB" w:rsidRPr="00F137C6" w:rsidRDefault="007606FB">
            <w:pPr>
              <w:spacing w:line="256" w:lineRule="auto"/>
              <w:ind w:left="-151" w:right="-131"/>
              <w:jc w:val="center"/>
              <w:rPr>
                <w:rFonts w:cs="Times New Roman"/>
                <w:sz w:val="22"/>
              </w:rPr>
            </w:pPr>
            <w:r w:rsidRPr="00F137C6">
              <w:rPr>
                <w:rFonts w:cs="Times New Roman"/>
                <w:sz w:val="22"/>
              </w:rPr>
              <w:t>-0.74</w:t>
            </w:r>
          </w:p>
        </w:tc>
        <w:tc>
          <w:tcPr>
            <w:tcW w:w="559" w:type="pct"/>
            <w:tcBorders>
              <w:top w:val="single" w:sz="4" w:space="0" w:color="auto"/>
              <w:left w:val="single" w:sz="4" w:space="0" w:color="auto"/>
              <w:bottom w:val="single" w:sz="4" w:space="0" w:color="auto"/>
              <w:right w:val="single" w:sz="4" w:space="0" w:color="auto"/>
            </w:tcBorders>
            <w:vAlign w:val="center"/>
            <w:hideMark/>
          </w:tcPr>
          <w:p w14:paraId="1BFD6F5C" w14:textId="77777777" w:rsidR="007606FB" w:rsidRPr="00F137C6" w:rsidRDefault="007606FB">
            <w:pPr>
              <w:spacing w:line="256" w:lineRule="auto"/>
              <w:ind w:left="-125" w:right="-91"/>
              <w:jc w:val="center"/>
              <w:rPr>
                <w:rFonts w:cs="Times New Roman"/>
                <w:sz w:val="22"/>
              </w:rPr>
            </w:pPr>
            <w:r w:rsidRPr="00F137C6">
              <w:rPr>
                <w:rFonts w:cs="Times New Roman"/>
                <w:sz w:val="22"/>
              </w:rPr>
              <w:t>--</w:t>
            </w:r>
          </w:p>
        </w:tc>
        <w:tc>
          <w:tcPr>
            <w:tcW w:w="756" w:type="pct"/>
            <w:tcBorders>
              <w:top w:val="single" w:sz="4" w:space="0" w:color="auto"/>
              <w:left w:val="single" w:sz="4" w:space="0" w:color="auto"/>
              <w:bottom w:val="single" w:sz="4" w:space="0" w:color="auto"/>
              <w:right w:val="single" w:sz="4" w:space="0" w:color="auto"/>
            </w:tcBorders>
            <w:vAlign w:val="center"/>
            <w:hideMark/>
          </w:tcPr>
          <w:p w14:paraId="64A5CA5A" w14:textId="77777777" w:rsidR="007606FB" w:rsidRPr="00F137C6" w:rsidRDefault="007606FB">
            <w:pPr>
              <w:spacing w:line="256" w:lineRule="auto"/>
              <w:ind w:left="-125" w:right="-101"/>
              <w:jc w:val="center"/>
              <w:rPr>
                <w:rFonts w:cs="Times New Roman"/>
                <w:sz w:val="22"/>
              </w:rPr>
            </w:pPr>
            <w:r w:rsidRPr="00F137C6">
              <w:rPr>
                <w:rFonts w:cs="Times New Roman"/>
                <w:sz w:val="22"/>
              </w:rPr>
              <w:t>-0.68</w:t>
            </w:r>
          </w:p>
        </w:tc>
        <w:tc>
          <w:tcPr>
            <w:tcW w:w="735" w:type="pct"/>
            <w:tcBorders>
              <w:top w:val="single" w:sz="4" w:space="0" w:color="auto"/>
              <w:left w:val="single" w:sz="4" w:space="0" w:color="auto"/>
              <w:bottom w:val="single" w:sz="4" w:space="0" w:color="auto"/>
              <w:right w:val="single" w:sz="4" w:space="0" w:color="auto"/>
            </w:tcBorders>
            <w:vAlign w:val="center"/>
            <w:hideMark/>
          </w:tcPr>
          <w:p w14:paraId="4750C5CC" w14:textId="77777777" w:rsidR="007606FB" w:rsidRPr="00F137C6" w:rsidRDefault="007606FB">
            <w:pPr>
              <w:spacing w:line="256" w:lineRule="auto"/>
              <w:ind w:left="-59"/>
              <w:jc w:val="center"/>
              <w:rPr>
                <w:rFonts w:cs="Times New Roman"/>
                <w:sz w:val="22"/>
              </w:rPr>
            </w:pPr>
            <w:r w:rsidRPr="00F137C6">
              <w:rPr>
                <w:rFonts w:cs="Times New Roman"/>
                <w:sz w:val="22"/>
              </w:rPr>
              <w:t>-0.20</w:t>
            </w:r>
          </w:p>
        </w:tc>
      </w:tr>
      <w:tr w:rsidR="007606FB" w:rsidRPr="00F137C6" w14:paraId="2B9ADF8A" w14:textId="77777777" w:rsidTr="00F137C6">
        <w:tc>
          <w:tcPr>
            <w:tcW w:w="1616" w:type="pct"/>
            <w:tcBorders>
              <w:top w:val="single" w:sz="4" w:space="0" w:color="auto"/>
              <w:left w:val="single" w:sz="4" w:space="0" w:color="auto"/>
              <w:bottom w:val="single" w:sz="4" w:space="0" w:color="auto"/>
              <w:right w:val="single" w:sz="4" w:space="0" w:color="auto"/>
            </w:tcBorders>
            <w:hideMark/>
          </w:tcPr>
          <w:p w14:paraId="0658CC17" w14:textId="77777777" w:rsidR="007606FB" w:rsidRPr="00F137C6" w:rsidRDefault="007606FB">
            <w:pPr>
              <w:spacing w:line="256" w:lineRule="auto"/>
              <w:rPr>
                <w:rFonts w:cs="Times New Roman"/>
                <w:sz w:val="22"/>
              </w:rPr>
            </w:pPr>
            <w:r w:rsidRPr="00F137C6">
              <w:rPr>
                <w:rFonts w:cs="Times New Roman"/>
                <w:sz w:val="22"/>
              </w:rPr>
              <w:t>95% Confidence Interval</w:t>
            </w:r>
          </w:p>
        </w:tc>
        <w:tc>
          <w:tcPr>
            <w:tcW w:w="577" w:type="pct"/>
            <w:tcBorders>
              <w:top w:val="single" w:sz="4" w:space="0" w:color="auto"/>
              <w:left w:val="single" w:sz="4" w:space="0" w:color="auto"/>
              <w:bottom w:val="single" w:sz="4" w:space="0" w:color="auto"/>
              <w:right w:val="single" w:sz="4" w:space="0" w:color="auto"/>
            </w:tcBorders>
            <w:vAlign w:val="center"/>
            <w:hideMark/>
          </w:tcPr>
          <w:p w14:paraId="179A522B" w14:textId="77777777" w:rsidR="007606FB" w:rsidRPr="00F137C6" w:rsidRDefault="007606FB">
            <w:pPr>
              <w:spacing w:line="256" w:lineRule="auto"/>
              <w:ind w:left="-79" w:right="-65"/>
              <w:jc w:val="center"/>
              <w:rPr>
                <w:rFonts w:cs="Times New Roman"/>
                <w:sz w:val="22"/>
              </w:rPr>
            </w:pPr>
            <w:r w:rsidRPr="00F137C6">
              <w:rPr>
                <w:rFonts w:cs="Times New Roman"/>
                <w:sz w:val="22"/>
              </w:rPr>
              <w:t>--</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164F095B" w14:textId="77777777" w:rsidR="007606FB" w:rsidRPr="00F137C6" w:rsidRDefault="007606FB">
            <w:pPr>
              <w:spacing w:line="256" w:lineRule="auto"/>
              <w:ind w:left="-151" w:right="-131"/>
              <w:jc w:val="center"/>
              <w:rPr>
                <w:rFonts w:cs="Times New Roman"/>
                <w:sz w:val="22"/>
              </w:rPr>
            </w:pPr>
            <w:r w:rsidRPr="00F137C6">
              <w:rPr>
                <w:rFonts w:cs="Times New Roman"/>
                <w:sz w:val="22"/>
              </w:rPr>
              <w:t>(-1.01, -0.47)</w:t>
            </w:r>
          </w:p>
        </w:tc>
        <w:tc>
          <w:tcPr>
            <w:tcW w:w="559" w:type="pct"/>
            <w:tcBorders>
              <w:top w:val="single" w:sz="4" w:space="0" w:color="auto"/>
              <w:left w:val="single" w:sz="4" w:space="0" w:color="auto"/>
              <w:bottom w:val="single" w:sz="4" w:space="0" w:color="auto"/>
              <w:right w:val="single" w:sz="4" w:space="0" w:color="auto"/>
            </w:tcBorders>
            <w:vAlign w:val="center"/>
            <w:hideMark/>
          </w:tcPr>
          <w:p w14:paraId="7126B86F" w14:textId="77777777" w:rsidR="007606FB" w:rsidRPr="00F137C6" w:rsidRDefault="007606FB">
            <w:pPr>
              <w:spacing w:line="256" w:lineRule="auto"/>
              <w:ind w:left="-125" w:right="-91"/>
              <w:jc w:val="center"/>
              <w:rPr>
                <w:rFonts w:cs="Times New Roman"/>
                <w:sz w:val="22"/>
              </w:rPr>
            </w:pPr>
            <w:r w:rsidRPr="00F137C6">
              <w:rPr>
                <w:rFonts w:cs="Times New Roman"/>
                <w:sz w:val="22"/>
              </w:rPr>
              <w:t>--</w:t>
            </w:r>
          </w:p>
        </w:tc>
        <w:tc>
          <w:tcPr>
            <w:tcW w:w="756" w:type="pct"/>
            <w:tcBorders>
              <w:top w:val="single" w:sz="4" w:space="0" w:color="auto"/>
              <w:left w:val="single" w:sz="4" w:space="0" w:color="auto"/>
              <w:bottom w:val="single" w:sz="4" w:space="0" w:color="auto"/>
              <w:right w:val="single" w:sz="4" w:space="0" w:color="auto"/>
            </w:tcBorders>
            <w:vAlign w:val="center"/>
            <w:hideMark/>
          </w:tcPr>
          <w:p w14:paraId="757E7E8D" w14:textId="77777777" w:rsidR="007606FB" w:rsidRPr="00F137C6" w:rsidRDefault="007606FB">
            <w:pPr>
              <w:spacing w:line="256" w:lineRule="auto"/>
              <w:ind w:left="-125" w:right="-101"/>
              <w:jc w:val="center"/>
              <w:rPr>
                <w:rFonts w:cs="Times New Roman"/>
                <w:sz w:val="22"/>
              </w:rPr>
            </w:pPr>
            <w:r w:rsidRPr="00F137C6">
              <w:rPr>
                <w:rFonts w:cs="Times New Roman"/>
                <w:sz w:val="22"/>
              </w:rPr>
              <w:t>(-1.12, -0.25)</w:t>
            </w:r>
          </w:p>
        </w:tc>
        <w:tc>
          <w:tcPr>
            <w:tcW w:w="735" w:type="pct"/>
            <w:tcBorders>
              <w:top w:val="single" w:sz="4" w:space="0" w:color="auto"/>
              <w:left w:val="single" w:sz="4" w:space="0" w:color="auto"/>
              <w:bottom w:val="single" w:sz="4" w:space="0" w:color="auto"/>
              <w:right w:val="single" w:sz="4" w:space="0" w:color="auto"/>
            </w:tcBorders>
            <w:vAlign w:val="center"/>
            <w:hideMark/>
          </w:tcPr>
          <w:p w14:paraId="10C9DFC9" w14:textId="77777777" w:rsidR="007606FB" w:rsidRPr="00F137C6" w:rsidRDefault="007606FB">
            <w:pPr>
              <w:spacing w:line="256" w:lineRule="auto"/>
              <w:ind w:left="-59"/>
              <w:jc w:val="center"/>
              <w:rPr>
                <w:rFonts w:cs="Times New Roman"/>
                <w:sz w:val="22"/>
              </w:rPr>
            </w:pPr>
            <w:r w:rsidRPr="00F137C6">
              <w:rPr>
                <w:rFonts w:cs="Times New Roman"/>
                <w:sz w:val="22"/>
              </w:rPr>
              <w:t>(-0.64, 0.23)</w:t>
            </w:r>
          </w:p>
        </w:tc>
      </w:tr>
      <w:tr w:rsidR="007606FB" w:rsidRPr="00531029" w14:paraId="5FA15DF0" w14:textId="77777777" w:rsidTr="00F137C6">
        <w:trPr>
          <w:trHeight w:val="519"/>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6F7E697A" w14:textId="77777777" w:rsidR="007606FB" w:rsidRPr="00F137C6" w:rsidRDefault="007606FB">
            <w:pPr>
              <w:spacing w:line="256" w:lineRule="auto"/>
              <w:ind w:left="-125" w:right="-91"/>
              <w:rPr>
                <w:rFonts w:cs="Times New Roman"/>
                <w:sz w:val="22"/>
              </w:rPr>
            </w:pPr>
            <w:r w:rsidRPr="00F137C6">
              <w:rPr>
                <w:rFonts w:cs="Times New Roman"/>
                <w:b/>
                <w:sz w:val="22"/>
              </w:rPr>
              <w:t xml:space="preserve">Patients with prior OAB antimuscarinic therapy who discontinued due to insufficient effect </w:t>
            </w:r>
          </w:p>
        </w:tc>
      </w:tr>
      <w:tr w:rsidR="007606FB" w:rsidRPr="00531029" w14:paraId="55364FB2" w14:textId="77777777" w:rsidTr="00F137C6">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4C9D9A53" w14:textId="77777777" w:rsidR="007606FB" w:rsidRPr="00F137C6" w:rsidRDefault="007606FB">
            <w:pPr>
              <w:tabs>
                <w:tab w:val="left" w:pos="567"/>
              </w:tabs>
              <w:ind w:left="-125" w:right="-91"/>
              <w:rPr>
                <w:rFonts w:cs="Times New Roman"/>
                <w:sz w:val="22"/>
              </w:rPr>
            </w:pPr>
            <w:r w:rsidRPr="00F137C6">
              <w:rPr>
                <w:rFonts w:cs="Times New Roman"/>
                <w:b/>
                <w:sz w:val="22"/>
              </w:rPr>
              <w:t>Mean number of incontinence episodes per 24 hours (FAS</w:t>
            </w:r>
            <w:r w:rsidRPr="00F137C6">
              <w:rPr>
                <w:rFonts w:cs="Times New Roman"/>
                <w:b/>
                <w:sz w:val="22"/>
              </w:rPr>
              <w:noBreakHyphen/>
              <w:t>I)</w:t>
            </w:r>
          </w:p>
        </w:tc>
      </w:tr>
      <w:tr w:rsidR="007606FB" w:rsidRPr="00F137C6" w14:paraId="5E012204" w14:textId="77777777" w:rsidTr="00F137C6">
        <w:tc>
          <w:tcPr>
            <w:tcW w:w="1616" w:type="pct"/>
            <w:tcBorders>
              <w:top w:val="single" w:sz="4" w:space="0" w:color="auto"/>
              <w:left w:val="single" w:sz="4" w:space="0" w:color="auto"/>
              <w:bottom w:val="single" w:sz="4" w:space="0" w:color="auto"/>
              <w:right w:val="single" w:sz="4" w:space="0" w:color="auto"/>
            </w:tcBorders>
            <w:hideMark/>
          </w:tcPr>
          <w:p w14:paraId="1F9C4EEF" w14:textId="77777777" w:rsidR="007606FB" w:rsidRPr="00F137C6" w:rsidRDefault="007606FB">
            <w:pPr>
              <w:spacing w:line="256" w:lineRule="auto"/>
              <w:rPr>
                <w:rFonts w:cs="Times New Roman"/>
                <w:sz w:val="22"/>
              </w:rPr>
            </w:pPr>
            <w:r w:rsidRPr="00F137C6">
              <w:rPr>
                <w:rFonts w:cs="Times New Roman"/>
                <w:sz w:val="22"/>
              </w:rPr>
              <w:t>n</w:t>
            </w:r>
          </w:p>
        </w:tc>
        <w:tc>
          <w:tcPr>
            <w:tcW w:w="577" w:type="pct"/>
            <w:tcBorders>
              <w:top w:val="single" w:sz="4" w:space="0" w:color="auto"/>
              <w:left w:val="single" w:sz="4" w:space="0" w:color="auto"/>
              <w:bottom w:val="single" w:sz="4" w:space="0" w:color="auto"/>
              <w:right w:val="single" w:sz="4" w:space="0" w:color="auto"/>
            </w:tcBorders>
            <w:vAlign w:val="center"/>
            <w:hideMark/>
          </w:tcPr>
          <w:p w14:paraId="4A8CF68C" w14:textId="77777777" w:rsidR="007606FB" w:rsidRPr="00F137C6" w:rsidRDefault="007606FB">
            <w:pPr>
              <w:spacing w:line="256" w:lineRule="auto"/>
              <w:ind w:left="-79" w:right="-65"/>
              <w:jc w:val="center"/>
              <w:rPr>
                <w:rFonts w:cs="Times New Roman"/>
                <w:sz w:val="22"/>
              </w:rPr>
            </w:pPr>
            <w:r w:rsidRPr="00F137C6">
              <w:rPr>
                <w:rFonts w:cs="Times New Roman"/>
                <w:sz w:val="22"/>
              </w:rPr>
              <w:t>336</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1CDB3CE4" w14:textId="77777777" w:rsidR="007606FB" w:rsidRPr="00F137C6" w:rsidRDefault="007606FB">
            <w:pPr>
              <w:spacing w:line="256" w:lineRule="auto"/>
              <w:ind w:left="-151" w:right="-131"/>
              <w:jc w:val="center"/>
              <w:rPr>
                <w:rFonts w:cs="Times New Roman"/>
                <w:sz w:val="22"/>
              </w:rPr>
            </w:pPr>
            <w:r w:rsidRPr="00F137C6">
              <w:rPr>
                <w:rFonts w:cs="Times New Roman"/>
                <w:sz w:val="22"/>
              </w:rPr>
              <w:t>335</w:t>
            </w:r>
          </w:p>
        </w:tc>
        <w:tc>
          <w:tcPr>
            <w:tcW w:w="559" w:type="pct"/>
            <w:tcBorders>
              <w:top w:val="single" w:sz="4" w:space="0" w:color="auto"/>
              <w:left w:val="single" w:sz="4" w:space="0" w:color="auto"/>
              <w:bottom w:val="single" w:sz="4" w:space="0" w:color="auto"/>
              <w:right w:val="single" w:sz="4" w:space="0" w:color="auto"/>
            </w:tcBorders>
            <w:vAlign w:val="center"/>
            <w:hideMark/>
          </w:tcPr>
          <w:p w14:paraId="21BBBD1D" w14:textId="77777777" w:rsidR="007606FB" w:rsidRPr="00F137C6" w:rsidRDefault="007606FB">
            <w:pPr>
              <w:spacing w:line="256" w:lineRule="auto"/>
              <w:ind w:left="-125" w:right="-91"/>
              <w:jc w:val="center"/>
              <w:rPr>
                <w:rFonts w:cs="Times New Roman"/>
                <w:sz w:val="22"/>
              </w:rPr>
            </w:pPr>
            <w:r w:rsidRPr="00F137C6">
              <w:rPr>
                <w:rFonts w:cs="Times New Roman"/>
                <w:sz w:val="22"/>
              </w:rPr>
              <w:t>112</w:t>
            </w:r>
          </w:p>
        </w:tc>
        <w:tc>
          <w:tcPr>
            <w:tcW w:w="756" w:type="pct"/>
            <w:tcBorders>
              <w:top w:val="single" w:sz="4" w:space="0" w:color="auto"/>
              <w:left w:val="single" w:sz="4" w:space="0" w:color="auto"/>
              <w:bottom w:val="single" w:sz="4" w:space="0" w:color="auto"/>
              <w:right w:val="single" w:sz="4" w:space="0" w:color="auto"/>
            </w:tcBorders>
            <w:vAlign w:val="center"/>
            <w:hideMark/>
          </w:tcPr>
          <w:p w14:paraId="3A52C38C" w14:textId="77777777" w:rsidR="007606FB" w:rsidRPr="00F137C6" w:rsidRDefault="007606FB">
            <w:pPr>
              <w:spacing w:line="256" w:lineRule="auto"/>
              <w:ind w:left="-125" w:right="-15"/>
              <w:jc w:val="center"/>
              <w:rPr>
                <w:rFonts w:cs="Times New Roman"/>
                <w:sz w:val="22"/>
              </w:rPr>
            </w:pPr>
            <w:r w:rsidRPr="00F137C6">
              <w:rPr>
                <w:rFonts w:cs="Times New Roman"/>
                <w:sz w:val="22"/>
              </w:rPr>
              <w:t>105</w:t>
            </w:r>
          </w:p>
        </w:tc>
        <w:tc>
          <w:tcPr>
            <w:tcW w:w="735" w:type="pct"/>
            <w:tcBorders>
              <w:top w:val="single" w:sz="4" w:space="0" w:color="auto"/>
              <w:left w:val="single" w:sz="4" w:space="0" w:color="auto"/>
              <w:bottom w:val="single" w:sz="4" w:space="0" w:color="auto"/>
              <w:right w:val="single" w:sz="4" w:space="0" w:color="auto"/>
            </w:tcBorders>
            <w:vAlign w:val="center"/>
            <w:hideMark/>
          </w:tcPr>
          <w:p w14:paraId="1424ACAD" w14:textId="77777777" w:rsidR="007606FB" w:rsidRPr="00F137C6" w:rsidRDefault="007606FB">
            <w:pPr>
              <w:tabs>
                <w:tab w:val="left" w:pos="1066"/>
              </w:tabs>
              <w:spacing w:line="256" w:lineRule="auto"/>
              <w:ind w:left="-59" w:right="38"/>
              <w:jc w:val="center"/>
              <w:rPr>
                <w:rFonts w:cs="Times New Roman"/>
                <w:sz w:val="22"/>
              </w:rPr>
            </w:pPr>
            <w:r w:rsidRPr="00F137C6">
              <w:rPr>
                <w:rFonts w:cs="Times New Roman"/>
                <w:sz w:val="22"/>
              </w:rPr>
              <w:t>102</w:t>
            </w:r>
          </w:p>
        </w:tc>
      </w:tr>
      <w:tr w:rsidR="007606FB" w:rsidRPr="00F137C6" w14:paraId="2ED99B05" w14:textId="77777777" w:rsidTr="00F137C6">
        <w:tc>
          <w:tcPr>
            <w:tcW w:w="1616" w:type="pct"/>
            <w:tcBorders>
              <w:top w:val="single" w:sz="4" w:space="0" w:color="auto"/>
              <w:left w:val="single" w:sz="4" w:space="0" w:color="auto"/>
              <w:bottom w:val="single" w:sz="4" w:space="0" w:color="auto"/>
              <w:right w:val="single" w:sz="4" w:space="0" w:color="auto"/>
            </w:tcBorders>
            <w:hideMark/>
          </w:tcPr>
          <w:p w14:paraId="6C82E3FE" w14:textId="77777777" w:rsidR="007606FB" w:rsidRPr="00F137C6" w:rsidRDefault="007606FB">
            <w:pPr>
              <w:spacing w:line="256" w:lineRule="auto"/>
              <w:rPr>
                <w:rFonts w:cs="Times New Roman"/>
                <w:sz w:val="22"/>
              </w:rPr>
            </w:pPr>
            <w:r w:rsidRPr="00F137C6">
              <w:rPr>
                <w:rFonts w:cs="Times New Roman"/>
                <w:sz w:val="22"/>
              </w:rPr>
              <w:t>Mean baseline</w:t>
            </w:r>
          </w:p>
        </w:tc>
        <w:tc>
          <w:tcPr>
            <w:tcW w:w="577" w:type="pct"/>
            <w:tcBorders>
              <w:top w:val="single" w:sz="4" w:space="0" w:color="auto"/>
              <w:left w:val="single" w:sz="4" w:space="0" w:color="auto"/>
              <w:bottom w:val="single" w:sz="4" w:space="0" w:color="auto"/>
              <w:right w:val="single" w:sz="4" w:space="0" w:color="auto"/>
            </w:tcBorders>
            <w:vAlign w:val="center"/>
            <w:hideMark/>
          </w:tcPr>
          <w:p w14:paraId="747180BB" w14:textId="77777777" w:rsidR="007606FB" w:rsidRPr="00F137C6" w:rsidRDefault="007606FB">
            <w:pPr>
              <w:spacing w:line="256" w:lineRule="auto"/>
              <w:ind w:left="-79" w:right="-65"/>
              <w:jc w:val="center"/>
              <w:rPr>
                <w:rFonts w:cs="Times New Roman"/>
                <w:sz w:val="22"/>
              </w:rPr>
            </w:pPr>
            <w:r w:rsidRPr="00F137C6">
              <w:rPr>
                <w:rFonts w:cs="Times New Roman"/>
                <w:sz w:val="22"/>
              </w:rPr>
              <w:t>3.03</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416470B5" w14:textId="77777777" w:rsidR="007606FB" w:rsidRPr="00F137C6" w:rsidRDefault="007606FB">
            <w:pPr>
              <w:spacing w:line="256" w:lineRule="auto"/>
              <w:ind w:left="-151" w:right="-131"/>
              <w:jc w:val="center"/>
              <w:rPr>
                <w:rFonts w:cs="Times New Roman"/>
                <w:sz w:val="22"/>
              </w:rPr>
            </w:pPr>
            <w:r w:rsidRPr="00F137C6">
              <w:rPr>
                <w:rFonts w:cs="Times New Roman"/>
                <w:sz w:val="22"/>
              </w:rPr>
              <w:t>2.94</w:t>
            </w:r>
          </w:p>
        </w:tc>
        <w:tc>
          <w:tcPr>
            <w:tcW w:w="559" w:type="pct"/>
            <w:tcBorders>
              <w:top w:val="single" w:sz="4" w:space="0" w:color="auto"/>
              <w:left w:val="single" w:sz="4" w:space="0" w:color="auto"/>
              <w:bottom w:val="single" w:sz="4" w:space="0" w:color="auto"/>
              <w:right w:val="single" w:sz="4" w:space="0" w:color="auto"/>
            </w:tcBorders>
            <w:vAlign w:val="center"/>
            <w:hideMark/>
          </w:tcPr>
          <w:p w14:paraId="4544A373" w14:textId="77777777" w:rsidR="007606FB" w:rsidRPr="00F137C6" w:rsidRDefault="007606FB">
            <w:pPr>
              <w:spacing w:line="256" w:lineRule="auto"/>
              <w:ind w:left="-125" w:right="-91"/>
              <w:jc w:val="center"/>
              <w:rPr>
                <w:rFonts w:cs="Times New Roman"/>
                <w:sz w:val="22"/>
              </w:rPr>
            </w:pPr>
            <w:r w:rsidRPr="00F137C6">
              <w:rPr>
                <w:rFonts w:cs="Times New Roman"/>
                <w:sz w:val="22"/>
              </w:rPr>
              <w:t>3.15</w:t>
            </w:r>
          </w:p>
        </w:tc>
        <w:tc>
          <w:tcPr>
            <w:tcW w:w="756" w:type="pct"/>
            <w:tcBorders>
              <w:top w:val="single" w:sz="4" w:space="0" w:color="auto"/>
              <w:left w:val="single" w:sz="4" w:space="0" w:color="auto"/>
              <w:bottom w:val="single" w:sz="4" w:space="0" w:color="auto"/>
              <w:right w:val="single" w:sz="4" w:space="0" w:color="auto"/>
            </w:tcBorders>
            <w:vAlign w:val="center"/>
            <w:hideMark/>
          </w:tcPr>
          <w:p w14:paraId="753F487E" w14:textId="77777777" w:rsidR="007606FB" w:rsidRPr="00F137C6" w:rsidRDefault="007606FB">
            <w:pPr>
              <w:spacing w:line="256" w:lineRule="auto"/>
              <w:ind w:left="-125" w:right="-15"/>
              <w:jc w:val="center"/>
              <w:rPr>
                <w:rFonts w:cs="Times New Roman"/>
                <w:sz w:val="22"/>
              </w:rPr>
            </w:pPr>
            <w:r w:rsidRPr="00F137C6">
              <w:rPr>
                <w:rFonts w:cs="Times New Roman"/>
                <w:sz w:val="22"/>
              </w:rPr>
              <w:t>3.50</w:t>
            </w:r>
          </w:p>
        </w:tc>
        <w:tc>
          <w:tcPr>
            <w:tcW w:w="735" w:type="pct"/>
            <w:tcBorders>
              <w:top w:val="single" w:sz="4" w:space="0" w:color="auto"/>
              <w:left w:val="single" w:sz="4" w:space="0" w:color="auto"/>
              <w:bottom w:val="single" w:sz="4" w:space="0" w:color="auto"/>
              <w:right w:val="single" w:sz="4" w:space="0" w:color="auto"/>
            </w:tcBorders>
            <w:vAlign w:val="center"/>
            <w:hideMark/>
          </w:tcPr>
          <w:p w14:paraId="17CD0230" w14:textId="77777777" w:rsidR="007606FB" w:rsidRPr="00F137C6" w:rsidRDefault="007606FB">
            <w:pPr>
              <w:tabs>
                <w:tab w:val="left" w:pos="1066"/>
              </w:tabs>
              <w:spacing w:line="256" w:lineRule="auto"/>
              <w:ind w:left="-59" w:right="36"/>
              <w:jc w:val="center"/>
              <w:rPr>
                <w:rFonts w:cs="Times New Roman"/>
                <w:sz w:val="22"/>
              </w:rPr>
            </w:pPr>
            <w:r w:rsidRPr="00F137C6">
              <w:rPr>
                <w:rFonts w:cs="Times New Roman"/>
                <w:sz w:val="22"/>
              </w:rPr>
              <w:t>2.63</w:t>
            </w:r>
          </w:p>
        </w:tc>
      </w:tr>
      <w:tr w:rsidR="007606FB" w:rsidRPr="00F137C6" w14:paraId="104623F9" w14:textId="77777777" w:rsidTr="00F137C6">
        <w:tc>
          <w:tcPr>
            <w:tcW w:w="1616" w:type="pct"/>
            <w:tcBorders>
              <w:top w:val="single" w:sz="4" w:space="0" w:color="auto"/>
              <w:left w:val="single" w:sz="4" w:space="0" w:color="auto"/>
              <w:bottom w:val="single" w:sz="4" w:space="0" w:color="auto"/>
              <w:right w:val="single" w:sz="4" w:space="0" w:color="auto"/>
            </w:tcBorders>
            <w:hideMark/>
          </w:tcPr>
          <w:p w14:paraId="6D1CCF67" w14:textId="77777777" w:rsidR="007606FB" w:rsidRPr="00F137C6" w:rsidRDefault="007606FB">
            <w:pPr>
              <w:spacing w:line="256" w:lineRule="auto"/>
              <w:rPr>
                <w:rFonts w:cs="Times New Roman"/>
                <w:sz w:val="22"/>
              </w:rPr>
            </w:pPr>
            <w:r w:rsidRPr="00F137C6">
              <w:rPr>
                <w:rFonts w:cs="Times New Roman"/>
                <w:sz w:val="22"/>
              </w:rPr>
              <w:t>Mean change from baseline†</w:t>
            </w:r>
          </w:p>
        </w:tc>
        <w:tc>
          <w:tcPr>
            <w:tcW w:w="577" w:type="pct"/>
            <w:tcBorders>
              <w:top w:val="single" w:sz="4" w:space="0" w:color="auto"/>
              <w:left w:val="single" w:sz="4" w:space="0" w:color="auto"/>
              <w:bottom w:val="single" w:sz="4" w:space="0" w:color="auto"/>
              <w:right w:val="single" w:sz="4" w:space="0" w:color="auto"/>
            </w:tcBorders>
            <w:vAlign w:val="center"/>
            <w:hideMark/>
          </w:tcPr>
          <w:p w14:paraId="054D924A" w14:textId="77777777" w:rsidR="007606FB" w:rsidRPr="00F137C6" w:rsidRDefault="007606FB">
            <w:pPr>
              <w:spacing w:line="256" w:lineRule="auto"/>
              <w:ind w:left="-79" w:right="-65"/>
              <w:jc w:val="center"/>
              <w:rPr>
                <w:rFonts w:cs="Times New Roman"/>
                <w:sz w:val="22"/>
              </w:rPr>
            </w:pPr>
            <w:r w:rsidRPr="00F137C6">
              <w:rPr>
                <w:rFonts w:cs="Times New Roman"/>
                <w:sz w:val="22"/>
              </w:rPr>
              <w:t>-0.86</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0BF1DBB4" w14:textId="77777777" w:rsidR="007606FB" w:rsidRPr="00F137C6" w:rsidRDefault="007606FB">
            <w:pPr>
              <w:spacing w:line="256" w:lineRule="auto"/>
              <w:ind w:left="-151" w:right="-131"/>
              <w:jc w:val="center"/>
              <w:rPr>
                <w:rFonts w:cs="Times New Roman"/>
                <w:sz w:val="22"/>
              </w:rPr>
            </w:pPr>
            <w:r w:rsidRPr="00F137C6">
              <w:rPr>
                <w:rFonts w:cs="Times New Roman"/>
                <w:sz w:val="22"/>
              </w:rPr>
              <w:t>-1.56</w:t>
            </w:r>
          </w:p>
        </w:tc>
        <w:tc>
          <w:tcPr>
            <w:tcW w:w="559" w:type="pct"/>
            <w:tcBorders>
              <w:top w:val="single" w:sz="4" w:space="0" w:color="auto"/>
              <w:left w:val="single" w:sz="4" w:space="0" w:color="auto"/>
              <w:bottom w:val="single" w:sz="4" w:space="0" w:color="auto"/>
              <w:right w:val="single" w:sz="4" w:space="0" w:color="auto"/>
            </w:tcBorders>
            <w:vAlign w:val="center"/>
            <w:hideMark/>
          </w:tcPr>
          <w:p w14:paraId="5886526B" w14:textId="77777777" w:rsidR="007606FB" w:rsidRPr="00F137C6" w:rsidRDefault="007606FB">
            <w:pPr>
              <w:spacing w:line="256" w:lineRule="auto"/>
              <w:ind w:left="-125" w:right="-91"/>
              <w:jc w:val="center"/>
              <w:rPr>
                <w:rFonts w:cs="Times New Roman"/>
                <w:sz w:val="22"/>
              </w:rPr>
            </w:pPr>
            <w:r w:rsidRPr="00F137C6">
              <w:rPr>
                <w:rFonts w:cs="Times New Roman"/>
                <w:sz w:val="22"/>
              </w:rPr>
              <w:t>-0.87</w:t>
            </w:r>
          </w:p>
        </w:tc>
        <w:tc>
          <w:tcPr>
            <w:tcW w:w="756" w:type="pct"/>
            <w:tcBorders>
              <w:top w:val="single" w:sz="4" w:space="0" w:color="auto"/>
              <w:left w:val="single" w:sz="4" w:space="0" w:color="auto"/>
              <w:bottom w:val="single" w:sz="4" w:space="0" w:color="auto"/>
              <w:right w:val="single" w:sz="4" w:space="0" w:color="auto"/>
            </w:tcBorders>
            <w:vAlign w:val="center"/>
            <w:hideMark/>
          </w:tcPr>
          <w:p w14:paraId="3414BE65" w14:textId="77777777" w:rsidR="007606FB" w:rsidRPr="00F137C6" w:rsidRDefault="007606FB">
            <w:pPr>
              <w:spacing w:line="256" w:lineRule="auto"/>
              <w:ind w:left="-125" w:right="-15"/>
              <w:jc w:val="center"/>
              <w:rPr>
                <w:rFonts w:cs="Times New Roman"/>
                <w:sz w:val="22"/>
              </w:rPr>
            </w:pPr>
            <w:r w:rsidRPr="00F137C6">
              <w:rPr>
                <w:rFonts w:cs="Times New Roman"/>
                <w:sz w:val="22"/>
              </w:rPr>
              <w:t>-1.63</w:t>
            </w:r>
          </w:p>
        </w:tc>
        <w:tc>
          <w:tcPr>
            <w:tcW w:w="735" w:type="pct"/>
            <w:tcBorders>
              <w:top w:val="single" w:sz="4" w:space="0" w:color="auto"/>
              <w:left w:val="single" w:sz="4" w:space="0" w:color="auto"/>
              <w:bottom w:val="single" w:sz="4" w:space="0" w:color="auto"/>
              <w:right w:val="single" w:sz="4" w:space="0" w:color="auto"/>
            </w:tcBorders>
            <w:vAlign w:val="center"/>
            <w:hideMark/>
          </w:tcPr>
          <w:p w14:paraId="1AD8F545" w14:textId="77777777" w:rsidR="007606FB" w:rsidRPr="00F137C6" w:rsidRDefault="007606FB">
            <w:pPr>
              <w:tabs>
                <w:tab w:val="left" w:pos="1066"/>
              </w:tabs>
              <w:spacing w:line="256" w:lineRule="auto"/>
              <w:ind w:left="-59" w:right="43"/>
              <w:jc w:val="center"/>
              <w:rPr>
                <w:rFonts w:cs="Times New Roman"/>
                <w:sz w:val="22"/>
              </w:rPr>
            </w:pPr>
            <w:r w:rsidRPr="00F137C6">
              <w:rPr>
                <w:rFonts w:cs="Times New Roman"/>
                <w:sz w:val="22"/>
              </w:rPr>
              <w:t>-0.93</w:t>
            </w:r>
          </w:p>
        </w:tc>
      </w:tr>
      <w:tr w:rsidR="007606FB" w:rsidRPr="00F137C6" w14:paraId="7256111B" w14:textId="77777777" w:rsidTr="00F137C6">
        <w:tc>
          <w:tcPr>
            <w:tcW w:w="1616" w:type="pct"/>
            <w:tcBorders>
              <w:top w:val="single" w:sz="4" w:space="0" w:color="auto"/>
              <w:left w:val="single" w:sz="4" w:space="0" w:color="auto"/>
              <w:bottom w:val="single" w:sz="4" w:space="0" w:color="auto"/>
              <w:right w:val="single" w:sz="4" w:space="0" w:color="auto"/>
            </w:tcBorders>
            <w:hideMark/>
          </w:tcPr>
          <w:p w14:paraId="6DDEBB01" w14:textId="77777777" w:rsidR="007606FB" w:rsidRPr="00F137C6" w:rsidRDefault="007606FB">
            <w:pPr>
              <w:spacing w:line="256" w:lineRule="auto"/>
              <w:ind w:right="-113"/>
              <w:rPr>
                <w:rFonts w:cs="Times New Roman"/>
                <w:sz w:val="22"/>
              </w:rPr>
            </w:pPr>
            <w:r w:rsidRPr="00F137C6">
              <w:rPr>
                <w:rFonts w:cs="Times New Roman"/>
                <w:sz w:val="22"/>
              </w:rPr>
              <w:t>Mean difference from placebo†</w:t>
            </w:r>
          </w:p>
        </w:tc>
        <w:tc>
          <w:tcPr>
            <w:tcW w:w="577" w:type="pct"/>
            <w:tcBorders>
              <w:top w:val="single" w:sz="4" w:space="0" w:color="auto"/>
              <w:left w:val="single" w:sz="4" w:space="0" w:color="auto"/>
              <w:bottom w:val="single" w:sz="4" w:space="0" w:color="auto"/>
              <w:right w:val="single" w:sz="4" w:space="0" w:color="auto"/>
            </w:tcBorders>
            <w:vAlign w:val="center"/>
            <w:hideMark/>
          </w:tcPr>
          <w:p w14:paraId="14B9145F" w14:textId="77777777" w:rsidR="007606FB" w:rsidRPr="00F137C6" w:rsidRDefault="007606FB">
            <w:pPr>
              <w:spacing w:line="256" w:lineRule="auto"/>
              <w:ind w:left="-79" w:right="-65"/>
              <w:jc w:val="center"/>
              <w:rPr>
                <w:rFonts w:cs="Times New Roman"/>
                <w:sz w:val="22"/>
              </w:rPr>
            </w:pPr>
            <w:r w:rsidRPr="00F137C6">
              <w:rPr>
                <w:rFonts w:cs="Times New Roman"/>
                <w:sz w:val="22"/>
              </w:rPr>
              <w:t>--</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1B4F2F7F" w14:textId="77777777" w:rsidR="007606FB" w:rsidRPr="00F137C6" w:rsidRDefault="007606FB">
            <w:pPr>
              <w:spacing w:line="256" w:lineRule="auto"/>
              <w:ind w:left="-151" w:right="-131"/>
              <w:jc w:val="center"/>
              <w:rPr>
                <w:rFonts w:cs="Times New Roman"/>
                <w:sz w:val="22"/>
              </w:rPr>
            </w:pPr>
            <w:r w:rsidRPr="00F137C6">
              <w:rPr>
                <w:rFonts w:cs="Times New Roman"/>
                <w:sz w:val="22"/>
              </w:rPr>
              <w:t>-0.70</w:t>
            </w:r>
          </w:p>
        </w:tc>
        <w:tc>
          <w:tcPr>
            <w:tcW w:w="559" w:type="pct"/>
            <w:tcBorders>
              <w:top w:val="single" w:sz="4" w:space="0" w:color="auto"/>
              <w:left w:val="single" w:sz="4" w:space="0" w:color="auto"/>
              <w:bottom w:val="single" w:sz="4" w:space="0" w:color="auto"/>
              <w:right w:val="single" w:sz="4" w:space="0" w:color="auto"/>
            </w:tcBorders>
            <w:vAlign w:val="center"/>
            <w:hideMark/>
          </w:tcPr>
          <w:p w14:paraId="47DDCA57" w14:textId="77777777" w:rsidR="007606FB" w:rsidRPr="00F137C6" w:rsidRDefault="007606FB">
            <w:pPr>
              <w:spacing w:line="256" w:lineRule="auto"/>
              <w:ind w:left="-125" w:right="-91"/>
              <w:jc w:val="center"/>
              <w:rPr>
                <w:rFonts w:cs="Times New Roman"/>
                <w:sz w:val="22"/>
              </w:rPr>
            </w:pPr>
            <w:r w:rsidRPr="00F137C6">
              <w:rPr>
                <w:rFonts w:cs="Times New Roman"/>
                <w:sz w:val="22"/>
              </w:rPr>
              <w:t>--</w:t>
            </w:r>
          </w:p>
        </w:tc>
        <w:tc>
          <w:tcPr>
            <w:tcW w:w="756" w:type="pct"/>
            <w:tcBorders>
              <w:top w:val="single" w:sz="4" w:space="0" w:color="auto"/>
              <w:left w:val="single" w:sz="4" w:space="0" w:color="auto"/>
              <w:bottom w:val="single" w:sz="4" w:space="0" w:color="auto"/>
              <w:right w:val="single" w:sz="4" w:space="0" w:color="auto"/>
            </w:tcBorders>
            <w:vAlign w:val="center"/>
            <w:hideMark/>
          </w:tcPr>
          <w:p w14:paraId="22A85615" w14:textId="77777777" w:rsidR="007606FB" w:rsidRPr="00F137C6" w:rsidRDefault="007606FB">
            <w:pPr>
              <w:spacing w:line="256" w:lineRule="auto"/>
              <w:ind w:left="-125" w:right="-15"/>
              <w:jc w:val="center"/>
              <w:rPr>
                <w:rFonts w:cs="Times New Roman"/>
                <w:sz w:val="22"/>
              </w:rPr>
            </w:pPr>
            <w:r w:rsidRPr="00F137C6">
              <w:rPr>
                <w:rFonts w:cs="Times New Roman"/>
                <w:sz w:val="22"/>
              </w:rPr>
              <w:t>-0.76</w:t>
            </w:r>
          </w:p>
        </w:tc>
        <w:tc>
          <w:tcPr>
            <w:tcW w:w="735" w:type="pct"/>
            <w:tcBorders>
              <w:top w:val="single" w:sz="4" w:space="0" w:color="auto"/>
              <w:left w:val="single" w:sz="4" w:space="0" w:color="auto"/>
              <w:bottom w:val="single" w:sz="4" w:space="0" w:color="auto"/>
              <w:right w:val="single" w:sz="4" w:space="0" w:color="auto"/>
            </w:tcBorders>
            <w:vAlign w:val="center"/>
            <w:hideMark/>
          </w:tcPr>
          <w:p w14:paraId="2EFB1B60" w14:textId="77777777" w:rsidR="007606FB" w:rsidRPr="00F137C6" w:rsidRDefault="007606FB">
            <w:pPr>
              <w:tabs>
                <w:tab w:val="left" w:pos="1066"/>
              </w:tabs>
              <w:spacing w:line="256" w:lineRule="auto"/>
              <w:ind w:left="-59" w:right="43"/>
              <w:jc w:val="center"/>
              <w:rPr>
                <w:rFonts w:cs="Times New Roman"/>
                <w:sz w:val="22"/>
              </w:rPr>
            </w:pPr>
            <w:r w:rsidRPr="00F137C6">
              <w:rPr>
                <w:rFonts w:cs="Times New Roman"/>
                <w:sz w:val="22"/>
              </w:rPr>
              <w:t>-0.06</w:t>
            </w:r>
          </w:p>
        </w:tc>
      </w:tr>
      <w:tr w:rsidR="007606FB" w:rsidRPr="00F137C6" w14:paraId="18855629" w14:textId="77777777" w:rsidTr="00F137C6">
        <w:tc>
          <w:tcPr>
            <w:tcW w:w="1616" w:type="pct"/>
            <w:tcBorders>
              <w:top w:val="single" w:sz="4" w:space="0" w:color="auto"/>
              <w:left w:val="single" w:sz="4" w:space="0" w:color="auto"/>
              <w:bottom w:val="single" w:sz="4" w:space="0" w:color="auto"/>
              <w:right w:val="single" w:sz="4" w:space="0" w:color="auto"/>
            </w:tcBorders>
            <w:hideMark/>
          </w:tcPr>
          <w:p w14:paraId="6ADB33D7" w14:textId="77777777" w:rsidR="007606FB" w:rsidRPr="00F137C6" w:rsidRDefault="007606FB">
            <w:pPr>
              <w:spacing w:line="256" w:lineRule="auto"/>
              <w:rPr>
                <w:rFonts w:cs="Times New Roman"/>
                <w:sz w:val="22"/>
              </w:rPr>
            </w:pPr>
            <w:r w:rsidRPr="00F137C6">
              <w:rPr>
                <w:rFonts w:cs="Times New Roman"/>
                <w:sz w:val="22"/>
              </w:rPr>
              <w:t>95% Confidence Interval</w:t>
            </w:r>
          </w:p>
        </w:tc>
        <w:tc>
          <w:tcPr>
            <w:tcW w:w="577" w:type="pct"/>
            <w:tcBorders>
              <w:top w:val="single" w:sz="4" w:space="0" w:color="auto"/>
              <w:left w:val="single" w:sz="4" w:space="0" w:color="auto"/>
              <w:bottom w:val="single" w:sz="4" w:space="0" w:color="auto"/>
              <w:right w:val="single" w:sz="4" w:space="0" w:color="auto"/>
            </w:tcBorders>
            <w:vAlign w:val="center"/>
            <w:hideMark/>
          </w:tcPr>
          <w:p w14:paraId="7660A2D5" w14:textId="77777777" w:rsidR="007606FB" w:rsidRPr="00F137C6" w:rsidRDefault="007606FB">
            <w:pPr>
              <w:spacing w:line="256" w:lineRule="auto"/>
              <w:ind w:left="-79" w:right="-65"/>
              <w:jc w:val="center"/>
              <w:rPr>
                <w:rFonts w:cs="Times New Roman"/>
                <w:sz w:val="22"/>
              </w:rPr>
            </w:pPr>
            <w:r w:rsidRPr="00F137C6">
              <w:rPr>
                <w:rFonts w:cs="Times New Roman"/>
                <w:sz w:val="22"/>
              </w:rPr>
              <w:t>--</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7453BC96" w14:textId="77777777" w:rsidR="007606FB" w:rsidRPr="00F137C6" w:rsidRDefault="007606FB">
            <w:pPr>
              <w:spacing w:line="256" w:lineRule="auto"/>
              <w:ind w:left="-151" w:right="-131"/>
              <w:jc w:val="center"/>
              <w:rPr>
                <w:rFonts w:cs="Times New Roman"/>
                <w:sz w:val="22"/>
              </w:rPr>
            </w:pPr>
            <w:r w:rsidRPr="00F137C6">
              <w:rPr>
                <w:rFonts w:cs="Times New Roman"/>
                <w:sz w:val="22"/>
              </w:rPr>
              <w:t>(-1.01, -0.38)</w:t>
            </w:r>
          </w:p>
        </w:tc>
        <w:tc>
          <w:tcPr>
            <w:tcW w:w="559" w:type="pct"/>
            <w:tcBorders>
              <w:top w:val="single" w:sz="4" w:space="0" w:color="auto"/>
              <w:left w:val="single" w:sz="4" w:space="0" w:color="auto"/>
              <w:bottom w:val="single" w:sz="4" w:space="0" w:color="auto"/>
              <w:right w:val="single" w:sz="4" w:space="0" w:color="auto"/>
            </w:tcBorders>
            <w:vAlign w:val="center"/>
            <w:hideMark/>
          </w:tcPr>
          <w:p w14:paraId="4B76C665" w14:textId="77777777" w:rsidR="007606FB" w:rsidRPr="00F137C6" w:rsidRDefault="007606FB">
            <w:pPr>
              <w:spacing w:line="256" w:lineRule="auto"/>
              <w:ind w:left="-125" w:right="-91"/>
              <w:jc w:val="center"/>
              <w:rPr>
                <w:rFonts w:cs="Times New Roman"/>
                <w:sz w:val="22"/>
              </w:rPr>
            </w:pPr>
            <w:r w:rsidRPr="00F137C6">
              <w:rPr>
                <w:rFonts w:cs="Times New Roman"/>
                <w:sz w:val="22"/>
              </w:rPr>
              <w:t>--</w:t>
            </w:r>
          </w:p>
        </w:tc>
        <w:tc>
          <w:tcPr>
            <w:tcW w:w="756" w:type="pct"/>
            <w:tcBorders>
              <w:top w:val="single" w:sz="4" w:space="0" w:color="auto"/>
              <w:left w:val="single" w:sz="4" w:space="0" w:color="auto"/>
              <w:bottom w:val="single" w:sz="4" w:space="0" w:color="auto"/>
              <w:right w:val="single" w:sz="4" w:space="0" w:color="auto"/>
            </w:tcBorders>
            <w:vAlign w:val="center"/>
            <w:hideMark/>
          </w:tcPr>
          <w:p w14:paraId="26A5ECEE" w14:textId="77777777" w:rsidR="007606FB" w:rsidRPr="00F137C6" w:rsidRDefault="007606FB">
            <w:pPr>
              <w:spacing w:line="256" w:lineRule="auto"/>
              <w:ind w:left="-125" w:right="-15"/>
              <w:jc w:val="center"/>
              <w:rPr>
                <w:rFonts w:cs="Times New Roman"/>
                <w:sz w:val="22"/>
              </w:rPr>
            </w:pPr>
            <w:r w:rsidRPr="00F137C6">
              <w:rPr>
                <w:rFonts w:cs="Times New Roman"/>
                <w:sz w:val="22"/>
              </w:rPr>
              <w:t>(-1.32, -0.19)</w:t>
            </w:r>
          </w:p>
        </w:tc>
        <w:tc>
          <w:tcPr>
            <w:tcW w:w="735" w:type="pct"/>
            <w:tcBorders>
              <w:top w:val="single" w:sz="4" w:space="0" w:color="auto"/>
              <w:left w:val="single" w:sz="4" w:space="0" w:color="auto"/>
              <w:bottom w:val="single" w:sz="4" w:space="0" w:color="auto"/>
              <w:right w:val="single" w:sz="4" w:space="0" w:color="auto"/>
            </w:tcBorders>
            <w:vAlign w:val="center"/>
            <w:hideMark/>
          </w:tcPr>
          <w:p w14:paraId="467F30F1" w14:textId="77777777" w:rsidR="007606FB" w:rsidRPr="00F137C6" w:rsidRDefault="007606FB">
            <w:pPr>
              <w:tabs>
                <w:tab w:val="left" w:pos="1066"/>
              </w:tabs>
              <w:spacing w:line="256" w:lineRule="auto"/>
              <w:ind w:left="-59"/>
              <w:jc w:val="center"/>
              <w:rPr>
                <w:rFonts w:cs="Times New Roman"/>
                <w:sz w:val="22"/>
              </w:rPr>
            </w:pPr>
            <w:r w:rsidRPr="00F137C6">
              <w:rPr>
                <w:rFonts w:cs="Times New Roman"/>
                <w:sz w:val="22"/>
              </w:rPr>
              <w:t>(-0.63, 0.50)</w:t>
            </w:r>
          </w:p>
        </w:tc>
      </w:tr>
      <w:tr w:rsidR="007606FB" w:rsidRPr="00531029" w14:paraId="18406B8A" w14:textId="77777777" w:rsidTr="00F137C6">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4E4716BF" w14:textId="77777777" w:rsidR="007606FB" w:rsidRPr="00F137C6" w:rsidRDefault="007606FB">
            <w:pPr>
              <w:tabs>
                <w:tab w:val="left" w:pos="567"/>
                <w:tab w:val="left" w:pos="1066"/>
              </w:tabs>
              <w:ind w:left="-79" w:right="-65"/>
              <w:rPr>
                <w:rFonts w:cs="Times New Roman"/>
                <w:sz w:val="22"/>
              </w:rPr>
            </w:pPr>
            <w:r w:rsidRPr="00F137C6">
              <w:rPr>
                <w:rFonts w:cs="Times New Roman"/>
                <w:b/>
                <w:sz w:val="22"/>
              </w:rPr>
              <w:t xml:space="preserve">Mean number of </w:t>
            </w:r>
            <w:proofErr w:type="spellStart"/>
            <w:r w:rsidRPr="00F137C6">
              <w:rPr>
                <w:rFonts w:cs="Times New Roman"/>
                <w:b/>
                <w:sz w:val="22"/>
              </w:rPr>
              <w:t>micturitions</w:t>
            </w:r>
            <w:proofErr w:type="spellEnd"/>
            <w:r w:rsidRPr="00F137C6">
              <w:rPr>
                <w:rFonts w:cs="Times New Roman"/>
                <w:b/>
                <w:sz w:val="22"/>
              </w:rPr>
              <w:t xml:space="preserve"> per 24 hours (FAS)</w:t>
            </w:r>
          </w:p>
        </w:tc>
      </w:tr>
      <w:tr w:rsidR="007606FB" w:rsidRPr="00F137C6" w14:paraId="6C185287" w14:textId="77777777" w:rsidTr="00F137C6">
        <w:tc>
          <w:tcPr>
            <w:tcW w:w="1616" w:type="pct"/>
            <w:tcBorders>
              <w:top w:val="single" w:sz="4" w:space="0" w:color="auto"/>
              <w:left w:val="single" w:sz="4" w:space="0" w:color="auto"/>
              <w:bottom w:val="single" w:sz="4" w:space="0" w:color="auto"/>
              <w:right w:val="single" w:sz="4" w:space="0" w:color="auto"/>
            </w:tcBorders>
            <w:hideMark/>
          </w:tcPr>
          <w:p w14:paraId="7A6A51EA" w14:textId="77777777" w:rsidR="007606FB" w:rsidRPr="00F137C6" w:rsidRDefault="007606FB">
            <w:pPr>
              <w:spacing w:line="256" w:lineRule="auto"/>
              <w:rPr>
                <w:rFonts w:cs="Times New Roman"/>
                <w:sz w:val="22"/>
              </w:rPr>
            </w:pPr>
            <w:r w:rsidRPr="00F137C6">
              <w:rPr>
                <w:rFonts w:cs="Times New Roman"/>
                <w:sz w:val="22"/>
              </w:rPr>
              <w:t>n</w:t>
            </w:r>
          </w:p>
        </w:tc>
        <w:tc>
          <w:tcPr>
            <w:tcW w:w="577" w:type="pct"/>
            <w:tcBorders>
              <w:top w:val="single" w:sz="4" w:space="0" w:color="auto"/>
              <w:left w:val="single" w:sz="4" w:space="0" w:color="auto"/>
              <w:bottom w:val="single" w:sz="4" w:space="0" w:color="auto"/>
              <w:right w:val="single" w:sz="4" w:space="0" w:color="auto"/>
            </w:tcBorders>
            <w:vAlign w:val="center"/>
            <w:hideMark/>
          </w:tcPr>
          <w:p w14:paraId="5BD57478" w14:textId="77777777" w:rsidR="007606FB" w:rsidRPr="00F137C6" w:rsidRDefault="007606FB">
            <w:pPr>
              <w:spacing w:line="256" w:lineRule="auto"/>
              <w:ind w:left="-79" w:right="-65"/>
              <w:jc w:val="center"/>
              <w:rPr>
                <w:rFonts w:cs="Times New Roman"/>
                <w:sz w:val="22"/>
              </w:rPr>
            </w:pPr>
            <w:r w:rsidRPr="00F137C6">
              <w:rPr>
                <w:rFonts w:cs="Times New Roman"/>
                <w:sz w:val="22"/>
              </w:rPr>
              <w:t>466</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26E2002E" w14:textId="77777777" w:rsidR="007606FB" w:rsidRPr="00F137C6" w:rsidRDefault="007606FB">
            <w:pPr>
              <w:spacing w:line="256" w:lineRule="auto"/>
              <w:ind w:left="-151" w:right="-131"/>
              <w:jc w:val="center"/>
              <w:rPr>
                <w:rFonts w:cs="Times New Roman"/>
                <w:sz w:val="22"/>
              </w:rPr>
            </w:pPr>
            <w:r w:rsidRPr="00F137C6">
              <w:rPr>
                <w:rFonts w:cs="Times New Roman"/>
                <w:sz w:val="22"/>
              </w:rPr>
              <w:t>464</w:t>
            </w:r>
          </w:p>
        </w:tc>
        <w:tc>
          <w:tcPr>
            <w:tcW w:w="559" w:type="pct"/>
            <w:tcBorders>
              <w:top w:val="single" w:sz="4" w:space="0" w:color="auto"/>
              <w:left w:val="single" w:sz="4" w:space="0" w:color="auto"/>
              <w:bottom w:val="single" w:sz="4" w:space="0" w:color="auto"/>
              <w:right w:val="single" w:sz="4" w:space="0" w:color="auto"/>
            </w:tcBorders>
            <w:vAlign w:val="center"/>
            <w:hideMark/>
          </w:tcPr>
          <w:p w14:paraId="472D9D5B" w14:textId="77777777" w:rsidR="007606FB" w:rsidRPr="00F137C6" w:rsidRDefault="007606FB">
            <w:pPr>
              <w:spacing w:line="256" w:lineRule="auto"/>
              <w:ind w:left="-125" w:right="-91"/>
              <w:jc w:val="center"/>
              <w:rPr>
                <w:rFonts w:cs="Times New Roman"/>
                <w:sz w:val="22"/>
              </w:rPr>
            </w:pPr>
            <w:r w:rsidRPr="00F137C6">
              <w:rPr>
                <w:rFonts w:cs="Times New Roman"/>
                <w:sz w:val="22"/>
              </w:rPr>
              <w:t>159</w:t>
            </w:r>
          </w:p>
        </w:tc>
        <w:tc>
          <w:tcPr>
            <w:tcW w:w="756" w:type="pct"/>
            <w:tcBorders>
              <w:top w:val="single" w:sz="4" w:space="0" w:color="auto"/>
              <w:left w:val="single" w:sz="4" w:space="0" w:color="auto"/>
              <w:bottom w:val="single" w:sz="4" w:space="0" w:color="auto"/>
              <w:right w:val="single" w:sz="4" w:space="0" w:color="auto"/>
            </w:tcBorders>
            <w:vAlign w:val="center"/>
            <w:hideMark/>
          </w:tcPr>
          <w:p w14:paraId="3BFA9230" w14:textId="77777777" w:rsidR="007606FB" w:rsidRPr="00F137C6" w:rsidRDefault="007606FB">
            <w:pPr>
              <w:spacing w:line="256" w:lineRule="auto"/>
              <w:ind w:left="-125" w:right="-15"/>
              <w:jc w:val="center"/>
              <w:rPr>
                <w:rFonts w:cs="Times New Roman"/>
                <w:sz w:val="22"/>
              </w:rPr>
            </w:pPr>
            <w:r w:rsidRPr="00F137C6">
              <w:rPr>
                <w:rFonts w:cs="Times New Roman"/>
                <w:sz w:val="22"/>
              </w:rPr>
              <w:t>160</w:t>
            </w:r>
          </w:p>
        </w:tc>
        <w:tc>
          <w:tcPr>
            <w:tcW w:w="735" w:type="pct"/>
            <w:tcBorders>
              <w:top w:val="single" w:sz="4" w:space="0" w:color="auto"/>
              <w:left w:val="single" w:sz="4" w:space="0" w:color="auto"/>
              <w:bottom w:val="single" w:sz="4" w:space="0" w:color="auto"/>
              <w:right w:val="single" w:sz="4" w:space="0" w:color="auto"/>
            </w:tcBorders>
            <w:vAlign w:val="center"/>
            <w:hideMark/>
          </w:tcPr>
          <w:p w14:paraId="16C70505" w14:textId="77777777" w:rsidR="007606FB" w:rsidRPr="00F137C6" w:rsidRDefault="007606FB">
            <w:pPr>
              <w:tabs>
                <w:tab w:val="left" w:pos="1216"/>
              </w:tabs>
              <w:spacing w:line="256" w:lineRule="auto"/>
              <w:ind w:left="-59" w:right="-112"/>
              <w:jc w:val="center"/>
              <w:rPr>
                <w:rFonts w:cs="Times New Roman"/>
                <w:sz w:val="22"/>
              </w:rPr>
            </w:pPr>
            <w:r w:rsidRPr="00F137C6">
              <w:rPr>
                <w:rFonts w:cs="Times New Roman"/>
                <w:sz w:val="22"/>
              </w:rPr>
              <w:t>155</w:t>
            </w:r>
          </w:p>
        </w:tc>
      </w:tr>
      <w:tr w:rsidR="007606FB" w:rsidRPr="00F137C6" w14:paraId="19C41B52" w14:textId="77777777" w:rsidTr="00F137C6">
        <w:tc>
          <w:tcPr>
            <w:tcW w:w="1616" w:type="pct"/>
            <w:tcBorders>
              <w:top w:val="single" w:sz="4" w:space="0" w:color="auto"/>
              <w:left w:val="single" w:sz="4" w:space="0" w:color="auto"/>
              <w:bottom w:val="single" w:sz="4" w:space="0" w:color="auto"/>
              <w:right w:val="single" w:sz="4" w:space="0" w:color="auto"/>
            </w:tcBorders>
            <w:hideMark/>
          </w:tcPr>
          <w:p w14:paraId="7C22EA58" w14:textId="77777777" w:rsidR="007606FB" w:rsidRPr="00F137C6" w:rsidRDefault="007606FB">
            <w:pPr>
              <w:spacing w:line="256" w:lineRule="auto"/>
              <w:rPr>
                <w:rFonts w:cs="Times New Roman"/>
                <w:sz w:val="22"/>
              </w:rPr>
            </w:pPr>
            <w:r w:rsidRPr="00F137C6">
              <w:rPr>
                <w:rFonts w:cs="Times New Roman"/>
                <w:sz w:val="22"/>
              </w:rPr>
              <w:t>Mean baseline</w:t>
            </w:r>
          </w:p>
        </w:tc>
        <w:tc>
          <w:tcPr>
            <w:tcW w:w="577" w:type="pct"/>
            <w:tcBorders>
              <w:top w:val="single" w:sz="4" w:space="0" w:color="auto"/>
              <w:left w:val="single" w:sz="4" w:space="0" w:color="auto"/>
              <w:bottom w:val="single" w:sz="4" w:space="0" w:color="auto"/>
              <w:right w:val="single" w:sz="4" w:space="0" w:color="auto"/>
            </w:tcBorders>
            <w:vAlign w:val="center"/>
            <w:hideMark/>
          </w:tcPr>
          <w:p w14:paraId="628521FC" w14:textId="77777777" w:rsidR="007606FB" w:rsidRPr="00F137C6" w:rsidRDefault="007606FB">
            <w:pPr>
              <w:spacing w:line="256" w:lineRule="auto"/>
              <w:ind w:left="-79" w:right="-65"/>
              <w:jc w:val="center"/>
              <w:rPr>
                <w:rFonts w:cs="Times New Roman"/>
                <w:sz w:val="22"/>
              </w:rPr>
            </w:pPr>
            <w:r w:rsidRPr="00F137C6">
              <w:rPr>
                <w:rFonts w:cs="Times New Roman"/>
                <w:sz w:val="22"/>
              </w:rPr>
              <w:t>11.60</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2875AFAB" w14:textId="77777777" w:rsidR="007606FB" w:rsidRPr="00F137C6" w:rsidRDefault="007606FB">
            <w:pPr>
              <w:spacing w:line="256" w:lineRule="auto"/>
              <w:ind w:left="-151" w:right="-131"/>
              <w:jc w:val="center"/>
              <w:rPr>
                <w:rFonts w:cs="Times New Roman"/>
                <w:sz w:val="22"/>
              </w:rPr>
            </w:pPr>
            <w:r w:rsidRPr="00F137C6">
              <w:rPr>
                <w:rFonts w:cs="Times New Roman"/>
                <w:sz w:val="22"/>
              </w:rPr>
              <w:t>11.67</w:t>
            </w:r>
          </w:p>
        </w:tc>
        <w:tc>
          <w:tcPr>
            <w:tcW w:w="559" w:type="pct"/>
            <w:tcBorders>
              <w:top w:val="single" w:sz="4" w:space="0" w:color="auto"/>
              <w:left w:val="single" w:sz="4" w:space="0" w:color="auto"/>
              <w:bottom w:val="single" w:sz="4" w:space="0" w:color="auto"/>
              <w:right w:val="single" w:sz="4" w:space="0" w:color="auto"/>
            </w:tcBorders>
            <w:vAlign w:val="center"/>
            <w:hideMark/>
          </w:tcPr>
          <w:p w14:paraId="45E0F4E8" w14:textId="77777777" w:rsidR="007606FB" w:rsidRPr="00F137C6" w:rsidRDefault="007606FB">
            <w:pPr>
              <w:spacing w:line="256" w:lineRule="auto"/>
              <w:ind w:left="-125" w:right="-91"/>
              <w:jc w:val="center"/>
              <w:rPr>
                <w:rFonts w:cs="Times New Roman"/>
                <w:sz w:val="22"/>
              </w:rPr>
            </w:pPr>
            <w:r w:rsidRPr="00F137C6">
              <w:rPr>
                <w:rFonts w:cs="Times New Roman"/>
                <w:sz w:val="22"/>
              </w:rPr>
              <w:t>11.89</w:t>
            </w:r>
          </w:p>
        </w:tc>
        <w:tc>
          <w:tcPr>
            <w:tcW w:w="756" w:type="pct"/>
            <w:tcBorders>
              <w:top w:val="single" w:sz="4" w:space="0" w:color="auto"/>
              <w:left w:val="single" w:sz="4" w:space="0" w:color="auto"/>
              <w:bottom w:val="single" w:sz="4" w:space="0" w:color="auto"/>
              <w:right w:val="single" w:sz="4" w:space="0" w:color="auto"/>
            </w:tcBorders>
            <w:vAlign w:val="center"/>
            <w:hideMark/>
          </w:tcPr>
          <w:p w14:paraId="6220548D" w14:textId="77777777" w:rsidR="007606FB" w:rsidRPr="00F137C6" w:rsidRDefault="007606FB">
            <w:pPr>
              <w:spacing w:line="256" w:lineRule="auto"/>
              <w:ind w:left="-125" w:right="-15"/>
              <w:jc w:val="center"/>
              <w:rPr>
                <w:rFonts w:cs="Times New Roman"/>
                <w:sz w:val="22"/>
              </w:rPr>
            </w:pPr>
            <w:r w:rsidRPr="00F137C6">
              <w:rPr>
                <w:rFonts w:cs="Times New Roman"/>
                <w:sz w:val="22"/>
              </w:rPr>
              <w:t>11.49</w:t>
            </w:r>
          </w:p>
        </w:tc>
        <w:tc>
          <w:tcPr>
            <w:tcW w:w="735" w:type="pct"/>
            <w:tcBorders>
              <w:top w:val="single" w:sz="4" w:space="0" w:color="auto"/>
              <w:left w:val="single" w:sz="4" w:space="0" w:color="auto"/>
              <w:bottom w:val="single" w:sz="4" w:space="0" w:color="auto"/>
              <w:right w:val="single" w:sz="4" w:space="0" w:color="auto"/>
            </w:tcBorders>
            <w:vAlign w:val="center"/>
            <w:hideMark/>
          </w:tcPr>
          <w:p w14:paraId="0D58911F" w14:textId="77777777" w:rsidR="007606FB" w:rsidRPr="00F137C6" w:rsidRDefault="007606FB">
            <w:pPr>
              <w:tabs>
                <w:tab w:val="left" w:pos="1216"/>
              </w:tabs>
              <w:spacing w:line="256" w:lineRule="auto"/>
              <w:ind w:left="-59" w:right="-112"/>
              <w:jc w:val="center"/>
              <w:rPr>
                <w:rFonts w:cs="Times New Roman"/>
                <w:sz w:val="22"/>
              </w:rPr>
            </w:pPr>
            <w:r w:rsidRPr="00F137C6">
              <w:rPr>
                <w:rFonts w:cs="Times New Roman"/>
                <w:sz w:val="22"/>
              </w:rPr>
              <w:t>11.99</w:t>
            </w:r>
          </w:p>
        </w:tc>
      </w:tr>
      <w:tr w:rsidR="007606FB" w:rsidRPr="00F137C6" w14:paraId="09EC82C5" w14:textId="77777777" w:rsidTr="00F137C6">
        <w:tc>
          <w:tcPr>
            <w:tcW w:w="1616" w:type="pct"/>
            <w:tcBorders>
              <w:top w:val="single" w:sz="4" w:space="0" w:color="auto"/>
              <w:left w:val="single" w:sz="4" w:space="0" w:color="auto"/>
              <w:bottom w:val="single" w:sz="4" w:space="0" w:color="auto"/>
              <w:right w:val="single" w:sz="4" w:space="0" w:color="auto"/>
            </w:tcBorders>
            <w:hideMark/>
          </w:tcPr>
          <w:p w14:paraId="1358D017" w14:textId="77777777" w:rsidR="007606FB" w:rsidRPr="00F137C6" w:rsidRDefault="007606FB">
            <w:pPr>
              <w:spacing w:line="256" w:lineRule="auto"/>
              <w:rPr>
                <w:rFonts w:cs="Times New Roman"/>
                <w:sz w:val="22"/>
              </w:rPr>
            </w:pPr>
            <w:r w:rsidRPr="00F137C6">
              <w:rPr>
                <w:rFonts w:cs="Times New Roman"/>
                <w:sz w:val="22"/>
              </w:rPr>
              <w:t>Mean change from baseline†</w:t>
            </w:r>
          </w:p>
        </w:tc>
        <w:tc>
          <w:tcPr>
            <w:tcW w:w="577" w:type="pct"/>
            <w:tcBorders>
              <w:top w:val="single" w:sz="4" w:space="0" w:color="auto"/>
              <w:left w:val="single" w:sz="4" w:space="0" w:color="auto"/>
              <w:bottom w:val="single" w:sz="4" w:space="0" w:color="auto"/>
              <w:right w:val="single" w:sz="4" w:space="0" w:color="auto"/>
            </w:tcBorders>
            <w:vAlign w:val="center"/>
            <w:hideMark/>
          </w:tcPr>
          <w:p w14:paraId="5133B7C7" w14:textId="77777777" w:rsidR="007606FB" w:rsidRPr="00F137C6" w:rsidRDefault="007606FB">
            <w:pPr>
              <w:spacing w:line="256" w:lineRule="auto"/>
              <w:ind w:left="-79" w:right="-65"/>
              <w:jc w:val="center"/>
              <w:rPr>
                <w:rFonts w:cs="Times New Roman"/>
                <w:sz w:val="22"/>
              </w:rPr>
            </w:pPr>
            <w:r w:rsidRPr="00F137C6">
              <w:rPr>
                <w:rFonts w:cs="Times New Roman"/>
                <w:sz w:val="22"/>
              </w:rPr>
              <w:t>-0.86</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481E3AB0" w14:textId="77777777" w:rsidR="007606FB" w:rsidRPr="00F137C6" w:rsidRDefault="007606FB">
            <w:pPr>
              <w:spacing w:line="256" w:lineRule="auto"/>
              <w:ind w:left="-151" w:right="-131"/>
              <w:jc w:val="center"/>
              <w:rPr>
                <w:rFonts w:cs="Times New Roman"/>
                <w:sz w:val="22"/>
              </w:rPr>
            </w:pPr>
            <w:r w:rsidRPr="00F137C6">
              <w:rPr>
                <w:rFonts w:cs="Times New Roman"/>
                <w:sz w:val="22"/>
              </w:rPr>
              <w:t>-1.54</w:t>
            </w:r>
          </w:p>
        </w:tc>
        <w:tc>
          <w:tcPr>
            <w:tcW w:w="559" w:type="pct"/>
            <w:tcBorders>
              <w:top w:val="single" w:sz="4" w:space="0" w:color="auto"/>
              <w:left w:val="single" w:sz="4" w:space="0" w:color="auto"/>
              <w:bottom w:val="single" w:sz="4" w:space="0" w:color="auto"/>
              <w:right w:val="single" w:sz="4" w:space="0" w:color="auto"/>
            </w:tcBorders>
            <w:vAlign w:val="center"/>
            <w:hideMark/>
          </w:tcPr>
          <w:p w14:paraId="4ABE5345" w14:textId="77777777" w:rsidR="007606FB" w:rsidRPr="00F137C6" w:rsidRDefault="007606FB">
            <w:pPr>
              <w:spacing w:line="256" w:lineRule="auto"/>
              <w:ind w:left="-125" w:right="-91"/>
              <w:jc w:val="center"/>
              <w:rPr>
                <w:rFonts w:cs="Times New Roman"/>
                <w:sz w:val="22"/>
              </w:rPr>
            </w:pPr>
            <w:r w:rsidRPr="00F137C6">
              <w:rPr>
                <w:rFonts w:cs="Times New Roman"/>
                <w:sz w:val="22"/>
              </w:rPr>
              <w:t>-1.03</w:t>
            </w:r>
          </w:p>
        </w:tc>
        <w:tc>
          <w:tcPr>
            <w:tcW w:w="756" w:type="pct"/>
            <w:tcBorders>
              <w:top w:val="single" w:sz="4" w:space="0" w:color="auto"/>
              <w:left w:val="single" w:sz="4" w:space="0" w:color="auto"/>
              <w:bottom w:val="single" w:sz="4" w:space="0" w:color="auto"/>
              <w:right w:val="single" w:sz="4" w:space="0" w:color="auto"/>
            </w:tcBorders>
            <w:vAlign w:val="center"/>
            <w:hideMark/>
          </w:tcPr>
          <w:p w14:paraId="028D5609" w14:textId="77777777" w:rsidR="007606FB" w:rsidRPr="00F137C6" w:rsidRDefault="007606FB">
            <w:pPr>
              <w:spacing w:line="256" w:lineRule="auto"/>
              <w:ind w:left="-125" w:right="-15"/>
              <w:jc w:val="center"/>
              <w:rPr>
                <w:rFonts w:cs="Times New Roman"/>
                <w:sz w:val="22"/>
              </w:rPr>
            </w:pPr>
            <w:r w:rsidRPr="00F137C6">
              <w:rPr>
                <w:rFonts w:cs="Times New Roman"/>
                <w:sz w:val="22"/>
              </w:rPr>
              <w:t>-1.62</w:t>
            </w:r>
          </w:p>
        </w:tc>
        <w:tc>
          <w:tcPr>
            <w:tcW w:w="735" w:type="pct"/>
            <w:tcBorders>
              <w:top w:val="single" w:sz="4" w:space="0" w:color="auto"/>
              <w:left w:val="single" w:sz="4" w:space="0" w:color="auto"/>
              <w:bottom w:val="single" w:sz="4" w:space="0" w:color="auto"/>
              <w:right w:val="single" w:sz="4" w:space="0" w:color="auto"/>
            </w:tcBorders>
            <w:vAlign w:val="center"/>
            <w:hideMark/>
          </w:tcPr>
          <w:p w14:paraId="032A5431" w14:textId="77777777" w:rsidR="007606FB" w:rsidRPr="00F137C6" w:rsidRDefault="007606FB">
            <w:pPr>
              <w:tabs>
                <w:tab w:val="left" w:pos="1216"/>
              </w:tabs>
              <w:spacing w:line="256" w:lineRule="auto"/>
              <w:ind w:left="-59" w:right="-112"/>
              <w:jc w:val="center"/>
              <w:rPr>
                <w:rFonts w:cs="Times New Roman"/>
                <w:sz w:val="22"/>
              </w:rPr>
            </w:pPr>
            <w:r w:rsidRPr="00F137C6">
              <w:rPr>
                <w:rFonts w:cs="Times New Roman"/>
                <w:sz w:val="22"/>
              </w:rPr>
              <w:t>-1.11</w:t>
            </w:r>
          </w:p>
        </w:tc>
      </w:tr>
      <w:tr w:rsidR="007606FB" w:rsidRPr="00F137C6" w14:paraId="3AE45AD2" w14:textId="77777777" w:rsidTr="00F137C6">
        <w:tc>
          <w:tcPr>
            <w:tcW w:w="1616" w:type="pct"/>
            <w:tcBorders>
              <w:top w:val="single" w:sz="4" w:space="0" w:color="auto"/>
              <w:left w:val="single" w:sz="4" w:space="0" w:color="auto"/>
              <w:bottom w:val="single" w:sz="4" w:space="0" w:color="auto"/>
              <w:right w:val="single" w:sz="4" w:space="0" w:color="auto"/>
            </w:tcBorders>
            <w:hideMark/>
          </w:tcPr>
          <w:p w14:paraId="5161750F" w14:textId="77777777" w:rsidR="007606FB" w:rsidRPr="00F137C6" w:rsidRDefault="007606FB">
            <w:pPr>
              <w:spacing w:line="256" w:lineRule="auto"/>
              <w:ind w:right="-113"/>
              <w:rPr>
                <w:rFonts w:cs="Times New Roman"/>
                <w:sz w:val="22"/>
              </w:rPr>
            </w:pPr>
            <w:r w:rsidRPr="00F137C6">
              <w:rPr>
                <w:rFonts w:cs="Times New Roman"/>
                <w:sz w:val="22"/>
              </w:rPr>
              <w:t>Mean difference from placebo†</w:t>
            </w:r>
          </w:p>
        </w:tc>
        <w:tc>
          <w:tcPr>
            <w:tcW w:w="577" w:type="pct"/>
            <w:tcBorders>
              <w:top w:val="single" w:sz="4" w:space="0" w:color="auto"/>
              <w:left w:val="single" w:sz="4" w:space="0" w:color="auto"/>
              <w:bottom w:val="single" w:sz="4" w:space="0" w:color="auto"/>
              <w:right w:val="single" w:sz="4" w:space="0" w:color="auto"/>
            </w:tcBorders>
            <w:vAlign w:val="center"/>
            <w:hideMark/>
          </w:tcPr>
          <w:p w14:paraId="22D4AD31" w14:textId="77777777" w:rsidR="007606FB" w:rsidRPr="00F137C6" w:rsidRDefault="007606FB">
            <w:pPr>
              <w:spacing w:line="256" w:lineRule="auto"/>
              <w:ind w:left="-79" w:right="-65"/>
              <w:jc w:val="center"/>
              <w:rPr>
                <w:rFonts w:cs="Times New Roman"/>
                <w:sz w:val="22"/>
              </w:rPr>
            </w:pPr>
            <w:r w:rsidRPr="00F137C6">
              <w:rPr>
                <w:rFonts w:cs="Times New Roman"/>
                <w:sz w:val="22"/>
              </w:rPr>
              <w:t>--</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5404F1EA" w14:textId="77777777" w:rsidR="007606FB" w:rsidRPr="00F137C6" w:rsidRDefault="007606FB">
            <w:pPr>
              <w:spacing w:line="256" w:lineRule="auto"/>
              <w:ind w:left="-151" w:right="-131"/>
              <w:jc w:val="center"/>
              <w:rPr>
                <w:rFonts w:cs="Times New Roman"/>
                <w:sz w:val="22"/>
              </w:rPr>
            </w:pPr>
            <w:r w:rsidRPr="00F137C6">
              <w:rPr>
                <w:rFonts w:cs="Times New Roman"/>
                <w:sz w:val="22"/>
              </w:rPr>
              <w:t>-0.67</w:t>
            </w:r>
          </w:p>
        </w:tc>
        <w:tc>
          <w:tcPr>
            <w:tcW w:w="559" w:type="pct"/>
            <w:tcBorders>
              <w:top w:val="single" w:sz="4" w:space="0" w:color="auto"/>
              <w:left w:val="single" w:sz="4" w:space="0" w:color="auto"/>
              <w:bottom w:val="single" w:sz="4" w:space="0" w:color="auto"/>
              <w:right w:val="single" w:sz="4" w:space="0" w:color="auto"/>
            </w:tcBorders>
            <w:vAlign w:val="center"/>
            <w:hideMark/>
          </w:tcPr>
          <w:p w14:paraId="5CC171ED" w14:textId="77777777" w:rsidR="007606FB" w:rsidRPr="00F137C6" w:rsidRDefault="007606FB">
            <w:pPr>
              <w:spacing w:line="256" w:lineRule="auto"/>
              <w:ind w:left="-125" w:right="-91"/>
              <w:jc w:val="center"/>
              <w:rPr>
                <w:rFonts w:cs="Times New Roman"/>
                <w:sz w:val="22"/>
              </w:rPr>
            </w:pPr>
            <w:r w:rsidRPr="00F137C6">
              <w:rPr>
                <w:rFonts w:cs="Times New Roman"/>
                <w:sz w:val="22"/>
              </w:rPr>
              <w:t>--</w:t>
            </w:r>
          </w:p>
        </w:tc>
        <w:tc>
          <w:tcPr>
            <w:tcW w:w="756" w:type="pct"/>
            <w:tcBorders>
              <w:top w:val="single" w:sz="4" w:space="0" w:color="auto"/>
              <w:left w:val="single" w:sz="4" w:space="0" w:color="auto"/>
              <w:bottom w:val="single" w:sz="4" w:space="0" w:color="auto"/>
              <w:right w:val="single" w:sz="4" w:space="0" w:color="auto"/>
            </w:tcBorders>
            <w:vAlign w:val="center"/>
            <w:hideMark/>
          </w:tcPr>
          <w:p w14:paraId="043C7BB9" w14:textId="77777777" w:rsidR="007606FB" w:rsidRPr="00F137C6" w:rsidRDefault="007606FB">
            <w:pPr>
              <w:spacing w:line="256" w:lineRule="auto"/>
              <w:ind w:left="-125" w:right="-15"/>
              <w:jc w:val="center"/>
              <w:rPr>
                <w:rFonts w:cs="Times New Roman"/>
                <w:sz w:val="22"/>
              </w:rPr>
            </w:pPr>
            <w:r w:rsidRPr="00F137C6">
              <w:rPr>
                <w:rFonts w:cs="Times New Roman"/>
                <w:sz w:val="22"/>
              </w:rPr>
              <w:t>-0.59</w:t>
            </w:r>
          </w:p>
        </w:tc>
        <w:tc>
          <w:tcPr>
            <w:tcW w:w="735" w:type="pct"/>
            <w:tcBorders>
              <w:top w:val="single" w:sz="4" w:space="0" w:color="auto"/>
              <w:left w:val="single" w:sz="4" w:space="0" w:color="auto"/>
              <w:bottom w:val="single" w:sz="4" w:space="0" w:color="auto"/>
              <w:right w:val="single" w:sz="4" w:space="0" w:color="auto"/>
            </w:tcBorders>
            <w:vAlign w:val="center"/>
            <w:hideMark/>
          </w:tcPr>
          <w:p w14:paraId="1F632DE5" w14:textId="77777777" w:rsidR="007606FB" w:rsidRPr="00F137C6" w:rsidRDefault="007606FB">
            <w:pPr>
              <w:tabs>
                <w:tab w:val="left" w:pos="1216"/>
              </w:tabs>
              <w:spacing w:line="256" w:lineRule="auto"/>
              <w:ind w:left="-59" w:right="-112"/>
              <w:jc w:val="center"/>
              <w:rPr>
                <w:rFonts w:cs="Times New Roman"/>
                <w:sz w:val="22"/>
              </w:rPr>
            </w:pPr>
            <w:r w:rsidRPr="00F137C6">
              <w:rPr>
                <w:rFonts w:cs="Times New Roman"/>
                <w:sz w:val="22"/>
              </w:rPr>
              <w:t>-0.08</w:t>
            </w:r>
          </w:p>
        </w:tc>
      </w:tr>
      <w:tr w:rsidR="007606FB" w:rsidRPr="00F137C6" w14:paraId="3BBFF66E" w14:textId="77777777" w:rsidTr="00F137C6">
        <w:tc>
          <w:tcPr>
            <w:tcW w:w="1616" w:type="pct"/>
            <w:tcBorders>
              <w:top w:val="single" w:sz="4" w:space="0" w:color="auto"/>
              <w:left w:val="single" w:sz="4" w:space="0" w:color="auto"/>
              <w:bottom w:val="single" w:sz="4" w:space="0" w:color="auto"/>
              <w:right w:val="single" w:sz="4" w:space="0" w:color="auto"/>
            </w:tcBorders>
            <w:hideMark/>
          </w:tcPr>
          <w:p w14:paraId="657CFFB5" w14:textId="77777777" w:rsidR="007606FB" w:rsidRPr="00F137C6" w:rsidRDefault="007606FB">
            <w:pPr>
              <w:keepNext/>
              <w:spacing w:line="256" w:lineRule="auto"/>
              <w:rPr>
                <w:rFonts w:cs="Times New Roman"/>
                <w:sz w:val="22"/>
              </w:rPr>
            </w:pPr>
            <w:r w:rsidRPr="00F137C6">
              <w:rPr>
                <w:rFonts w:cs="Times New Roman"/>
                <w:sz w:val="22"/>
              </w:rPr>
              <w:t>95% Confidence Interval</w:t>
            </w:r>
          </w:p>
        </w:tc>
        <w:tc>
          <w:tcPr>
            <w:tcW w:w="577" w:type="pct"/>
            <w:tcBorders>
              <w:top w:val="single" w:sz="4" w:space="0" w:color="auto"/>
              <w:left w:val="single" w:sz="4" w:space="0" w:color="auto"/>
              <w:bottom w:val="single" w:sz="4" w:space="0" w:color="auto"/>
              <w:right w:val="single" w:sz="4" w:space="0" w:color="auto"/>
            </w:tcBorders>
            <w:vAlign w:val="center"/>
            <w:hideMark/>
          </w:tcPr>
          <w:p w14:paraId="076A9F4B" w14:textId="77777777" w:rsidR="007606FB" w:rsidRPr="00F137C6" w:rsidRDefault="007606FB">
            <w:pPr>
              <w:keepNext/>
              <w:spacing w:line="256" w:lineRule="auto"/>
              <w:ind w:left="-79" w:right="-65"/>
              <w:jc w:val="center"/>
              <w:rPr>
                <w:rFonts w:cs="Times New Roman"/>
                <w:sz w:val="22"/>
              </w:rPr>
            </w:pPr>
            <w:r w:rsidRPr="00F137C6">
              <w:rPr>
                <w:rFonts w:cs="Times New Roman"/>
                <w:sz w:val="22"/>
              </w:rPr>
              <w:t>--</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14:paraId="206DC03D" w14:textId="77777777" w:rsidR="007606FB" w:rsidRPr="00F137C6" w:rsidRDefault="007606FB">
            <w:pPr>
              <w:keepNext/>
              <w:spacing w:line="256" w:lineRule="auto"/>
              <w:ind w:left="-151" w:right="-131"/>
              <w:jc w:val="center"/>
              <w:rPr>
                <w:rFonts w:cs="Times New Roman"/>
                <w:sz w:val="22"/>
              </w:rPr>
            </w:pPr>
            <w:r w:rsidRPr="00F137C6">
              <w:rPr>
                <w:rFonts w:cs="Times New Roman"/>
                <w:sz w:val="22"/>
              </w:rPr>
              <w:t>(-0.99, -0.36)</w:t>
            </w:r>
          </w:p>
        </w:tc>
        <w:tc>
          <w:tcPr>
            <w:tcW w:w="559" w:type="pct"/>
            <w:tcBorders>
              <w:top w:val="single" w:sz="4" w:space="0" w:color="auto"/>
              <w:left w:val="single" w:sz="4" w:space="0" w:color="auto"/>
              <w:bottom w:val="single" w:sz="4" w:space="0" w:color="auto"/>
              <w:right w:val="single" w:sz="4" w:space="0" w:color="auto"/>
            </w:tcBorders>
            <w:vAlign w:val="center"/>
            <w:hideMark/>
          </w:tcPr>
          <w:p w14:paraId="2D749C48" w14:textId="77777777" w:rsidR="007606FB" w:rsidRPr="00F137C6" w:rsidRDefault="007606FB">
            <w:pPr>
              <w:keepNext/>
              <w:spacing w:line="256" w:lineRule="auto"/>
              <w:ind w:left="-125" w:right="-91"/>
              <w:jc w:val="center"/>
              <w:rPr>
                <w:rFonts w:cs="Times New Roman"/>
                <w:sz w:val="22"/>
              </w:rPr>
            </w:pPr>
            <w:r w:rsidRPr="00F137C6">
              <w:rPr>
                <w:rFonts w:cs="Times New Roman"/>
                <w:sz w:val="22"/>
              </w:rPr>
              <w:t>--</w:t>
            </w:r>
          </w:p>
        </w:tc>
        <w:tc>
          <w:tcPr>
            <w:tcW w:w="756" w:type="pct"/>
            <w:tcBorders>
              <w:top w:val="single" w:sz="4" w:space="0" w:color="auto"/>
              <w:left w:val="single" w:sz="4" w:space="0" w:color="auto"/>
              <w:bottom w:val="single" w:sz="4" w:space="0" w:color="auto"/>
              <w:right w:val="single" w:sz="4" w:space="0" w:color="auto"/>
            </w:tcBorders>
            <w:vAlign w:val="center"/>
            <w:hideMark/>
          </w:tcPr>
          <w:p w14:paraId="6D9C51DE" w14:textId="77777777" w:rsidR="007606FB" w:rsidRPr="00F137C6" w:rsidRDefault="007606FB">
            <w:pPr>
              <w:keepNext/>
              <w:spacing w:line="256" w:lineRule="auto"/>
              <w:ind w:left="-125" w:right="-15"/>
              <w:jc w:val="center"/>
              <w:rPr>
                <w:rFonts w:cs="Times New Roman"/>
                <w:sz w:val="22"/>
              </w:rPr>
            </w:pPr>
            <w:r w:rsidRPr="00F137C6">
              <w:rPr>
                <w:rFonts w:cs="Times New Roman"/>
                <w:sz w:val="22"/>
              </w:rPr>
              <w:t>(-1.15, -0.04)</w:t>
            </w:r>
          </w:p>
        </w:tc>
        <w:tc>
          <w:tcPr>
            <w:tcW w:w="735" w:type="pct"/>
            <w:tcBorders>
              <w:top w:val="single" w:sz="4" w:space="0" w:color="auto"/>
              <w:left w:val="single" w:sz="4" w:space="0" w:color="auto"/>
              <w:bottom w:val="single" w:sz="4" w:space="0" w:color="auto"/>
              <w:right w:val="single" w:sz="4" w:space="0" w:color="auto"/>
            </w:tcBorders>
            <w:vAlign w:val="center"/>
            <w:hideMark/>
          </w:tcPr>
          <w:p w14:paraId="20FD9814" w14:textId="77777777" w:rsidR="007606FB" w:rsidRPr="00F137C6" w:rsidRDefault="007606FB">
            <w:pPr>
              <w:keepNext/>
              <w:tabs>
                <w:tab w:val="left" w:pos="1216"/>
              </w:tabs>
              <w:spacing w:line="256" w:lineRule="auto"/>
              <w:ind w:left="-59" w:right="-112"/>
              <w:jc w:val="center"/>
              <w:rPr>
                <w:rFonts w:cs="Times New Roman"/>
                <w:sz w:val="22"/>
              </w:rPr>
            </w:pPr>
            <w:r w:rsidRPr="00F137C6">
              <w:rPr>
                <w:rFonts w:cs="Times New Roman"/>
                <w:sz w:val="22"/>
              </w:rPr>
              <w:t>(-0.64, 0.47)</w:t>
            </w:r>
          </w:p>
        </w:tc>
      </w:tr>
    </w:tbl>
    <w:p w14:paraId="4E5DB885" w14:textId="77777777" w:rsidR="007606FB" w:rsidRPr="00F137C6" w:rsidRDefault="007606FB" w:rsidP="007606FB">
      <w:pPr>
        <w:rPr>
          <w:sz w:val="20"/>
          <w:lang w:val="en-US" w:eastAsia="en-US"/>
        </w:rPr>
      </w:pPr>
      <w:r w:rsidRPr="00F137C6">
        <w:rPr>
          <w:sz w:val="20"/>
          <w:lang w:val="en-US"/>
        </w:rPr>
        <w:t>Pooled studies consisted of 046 (Europe/Australia), 047 (North America [NA]) and 074 (Europe/NA).</w:t>
      </w:r>
    </w:p>
    <w:p w14:paraId="7C7CA8FE" w14:textId="77777777" w:rsidR="007606FB" w:rsidRPr="00F137C6" w:rsidRDefault="007606FB" w:rsidP="007606FB">
      <w:pPr>
        <w:rPr>
          <w:sz w:val="20"/>
          <w:lang w:val="en-US"/>
        </w:rPr>
      </w:pPr>
      <w:r w:rsidRPr="00F137C6">
        <w:rPr>
          <w:sz w:val="20"/>
          <w:lang w:val="en-US"/>
        </w:rPr>
        <w:t>† Least squares mean adjusted for baseline, gender, study, subgroup, and subgroup by treatment interaction for Pooled Studies and least squares mean adjusted for baseline, gender, geographical region, subgroup, and subgroup by treatment interaction for Study 046.</w:t>
      </w:r>
    </w:p>
    <w:p w14:paraId="556C20F1" w14:textId="77777777" w:rsidR="007606FB" w:rsidRPr="00F137C6" w:rsidRDefault="007606FB" w:rsidP="007606FB">
      <w:pPr>
        <w:rPr>
          <w:sz w:val="20"/>
          <w:lang w:val="en-US"/>
        </w:rPr>
      </w:pPr>
      <w:r w:rsidRPr="00F137C6">
        <w:rPr>
          <w:sz w:val="20"/>
          <w:lang w:val="en-US"/>
        </w:rPr>
        <w:t xml:space="preserve">FAS: Full analysis set, all randomized patients who took at least 1 dose of </w:t>
      </w:r>
      <w:proofErr w:type="gramStart"/>
      <w:r w:rsidRPr="00F137C6">
        <w:rPr>
          <w:sz w:val="20"/>
          <w:lang w:val="en-US"/>
        </w:rPr>
        <w:t>double blind</w:t>
      </w:r>
      <w:proofErr w:type="gramEnd"/>
      <w:r w:rsidRPr="00F137C6">
        <w:rPr>
          <w:sz w:val="20"/>
          <w:lang w:val="en-US"/>
        </w:rPr>
        <w:t xml:space="preserve"> study drug and who had a micturition measurement in the baseline diary and at least 1 post-baseline visit diary with a micturition measurement.</w:t>
      </w:r>
    </w:p>
    <w:p w14:paraId="3038A361" w14:textId="77777777" w:rsidR="007606FB" w:rsidRPr="00F137C6" w:rsidRDefault="007606FB" w:rsidP="007606FB">
      <w:pPr>
        <w:rPr>
          <w:sz w:val="20"/>
          <w:lang w:val="en-US"/>
        </w:rPr>
      </w:pPr>
      <w:r w:rsidRPr="00F137C6">
        <w:rPr>
          <w:sz w:val="20"/>
          <w:lang w:val="en-US"/>
        </w:rPr>
        <w:t>FAS</w:t>
      </w:r>
      <w:r w:rsidRPr="00F137C6">
        <w:rPr>
          <w:sz w:val="20"/>
          <w:lang w:val="en-US"/>
        </w:rPr>
        <w:noBreakHyphen/>
        <w:t>I: Subset of FAS who also had at least 1 incontinence episode in the baseline diary.</w:t>
      </w:r>
    </w:p>
    <w:p w14:paraId="07E09450" w14:textId="77777777" w:rsidR="007606FB" w:rsidRPr="00A86B5B" w:rsidRDefault="007606FB" w:rsidP="007606FB">
      <w:pPr>
        <w:rPr>
          <w:sz w:val="24"/>
          <w:szCs w:val="24"/>
          <w:lang w:val="en-US"/>
        </w:rPr>
      </w:pPr>
    </w:p>
    <w:p w14:paraId="4DA66CE5" w14:textId="77777777" w:rsidR="007606FB" w:rsidRPr="00F137C6" w:rsidRDefault="007606FB" w:rsidP="00591653">
      <w:pPr>
        <w:ind w:left="851"/>
        <w:rPr>
          <w:sz w:val="24"/>
          <w:szCs w:val="24"/>
          <w:u w:val="single"/>
          <w:lang w:val="en-US"/>
        </w:rPr>
      </w:pPr>
      <w:r w:rsidRPr="00F137C6">
        <w:rPr>
          <w:sz w:val="24"/>
          <w:szCs w:val="24"/>
          <w:u w:val="single"/>
          <w:lang w:val="en-US"/>
        </w:rPr>
        <w:t>Paediatric population</w:t>
      </w:r>
    </w:p>
    <w:p w14:paraId="04AC7100" w14:textId="77777777" w:rsidR="007606FB" w:rsidRPr="00A86B5B" w:rsidRDefault="007606FB" w:rsidP="00591653">
      <w:pPr>
        <w:ind w:left="851"/>
        <w:rPr>
          <w:sz w:val="24"/>
          <w:szCs w:val="24"/>
          <w:lang w:val="en-US"/>
        </w:rPr>
      </w:pPr>
    </w:p>
    <w:p w14:paraId="6677BE60" w14:textId="77777777" w:rsidR="007606FB" w:rsidRPr="00A86B5B" w:rsidRDefault="007606FB" w:rsidP="00591653">
      <w:pPr>
        <w:ind w:left="851"/>
        <w:rPr>
          <w:sz w:val="24"/>
          <w:szCs w:val="24"/>
          <w:lang w:val="en-US"/>
        </w:rPr>
      </w:pPr>
      <w:r w:rsidRPr="00A86B5B">
        <w:rPr>
          <w:sz w:val="24"/>
          <w:szCs w:val="24"/>
          <w:lang w:val="en-US"/>
        </w:rPr>
        <w:t xml:space="preserve">The European Medicines Agency has deferred the obligation to submit the results of studies with </w:t>
      </w:r>
      <w:r w:rsidRPr="00A86B5B">
        <w:rPr>
          <w:color w:val="000000"/>
          <w:sz w:val="24"/>
          <w:szCs w:val="24"/>
          <w:lang w:val="en-US"/>
        </w:rPr>
        <w:t>the reference medicinal product containing mirabegron</w:t>
      </w:r>
      <w:r w:rsidRPr="00A86B5B">
        <w:rPr>
          <w:sz w:val="24"/>
          <w:szCs w:val="24"/>
          <w:lang w:val="en-US"/>
        </w:rPr>
        <w:t xml:space="preserve"> in one or more subsets of the paediatric population in “Treatment of idiopathic overactive bladder” and “Treatment of neurogenic detrusor overactivity” (see section 4.2 for information on paediatric use).</w:t>
      </w:r>
    </w:p>
    <w:p w14:paraId="554C7A20" w14:textId="6EDAB770" w:rsidR="001F3F63" w:rsidRDefault="001F3F63">
      <w:pPr>
        <w:rPr>
          <w:sz w:val="24"/>
          <w:szCs w:val="24"/>
          <w:lang w:val="en-GB"/>
        </w:rPr>
      </w:pPr>
      <w:r>
        <w:rPr>
          <w:sz w:val="24"/>
          <w:szCs w:val="24"/>
          <w:lang w:val="en-GB"/>
        </w:rPr>
        <w:br w:type="page"/>
      </w:r>
    </w:p>
    <w:p w14:paraId="57BC313B" w14:textId="77777777" w:rsidR="007C5D2A" w:rsidRPr="00A86B5B" w:rsidRDefault="007C5D2A" w:rsidP="003E0341">
      <w:pPr>
        <w:tabs>
          <w:tab w:val="left" w:pos="851"/>
        </w:tabs>
        <w:ind w:left="851"/>
        <w:rPr>
          <w:sz w:val="24"/>
          <w:szCs w:val="24"/>
          <w:lang w:val="en-GB"/>
        </w:rPr>
      </w:pPr>
    </w:p>
    <w:p w14:paraId="71F60A91" w14:textId="6AEA2518" w:rsidR="007C5D2A" w:rsidRPr="00A86B5B" w:rsidRDefault="007C5D2A" w:rsidP="007C5D2A">
      <w:pPr>
        <w:tabs>
          <w:tab w:val="left" w:pos="851"/>
        </w:tabs>
        <w:ind w:left="851" w:hanging="851"/>
        <w:rPr>
          <w:b/>
          <w:sz w:val="24"/>
          <w:szCs w:val="24"/>
          <w:lang w:val="en-GB"/>
        </w:rPr>
      </w:pPr>
      <w:r w:rsidRPr="00A86B5B">
        <w:rPr>
          <w:b/>
          <w:sz w:val="24"/>
          <w:szCs w:val="24"/>
          <w:lang w:val="en-GB"/>
        </w:rPr>
        <w:t>5.2</w:t>
      </w:r>
      <w:r w:rsidRPr="00A86B5B">
        <w:rPr>
          <w:b/>
          <w:sz w:val="24"/>
          <w:szCs w:val="24"/>
          <w:lang w:val="en-GB"/>
        </w:rPr>
        <w:tab/>
        <w:t>Pharmacokinetic properties</w:t>
      </w:r>
    </w:p>
    <w:p w14:paraId="552DD17F" w14:textId="77777777" w:rsidR="00F137C6" w:rsidRDefault="00F137C6" w:rsidP="00591653">
      <w:pPr>
        <w:ind w:left="851"/>
        <w:rPr>
          <w:sz w:val="24"/>
          <w:szCs w:val="24"/>
          <w:lang w:val="en-US"/>
        </w:rPr>
      </w:pPr>
    </w:p>
    <w:p w14:paraId="5810DB25" w14:textId="030AECDF" w:rsidR="007606FB" w:rsidRPr="00F137C6" w:rsidRDefault="007606FB" w:rsidP="00591653">
      <w:pPr>
        <w:ind w:left="851"/>
        <w:rPr>
          <w:sz w:val="24"/>
          <w:szCs w:val="24"/>
          <w:u w:val="single"/>
          <w:lang w:val="en-US"/>
        </w:rPr>
      </w:pPr>
      <w:r w:rsidRPr="00F137C6">
        <w:rPr>
          <w:sz w:val="24"/>
          <w:szCs w:val="24"/>
          <w:u w:val="single"/>
          <w:lang w:val="en-US"/>
        </w:rPr>
        <w:t>Absorption</w:t>
      </w:r>
    </w:p>
    <w:p w14:paraId="19B3F0FC" w14:textId="77777777" w:rsidR="007606FB" w:rsidRPr="00A86B5B" w:rsidRDefault="007606FB" w:rsidP="00591653">
      <w:pPr>
        <w:ind w:left="851"/>
        <w:rPr>
          <w:sz w:val="24"/>
          <w:szCs w:val="24"/>
          <w:lang w:val="en-US"/>
        </w:rPr>
      </w:pPr>
      <w:r w:rsidRPr="00A86B5B">
        <w:rPr>
          <w:sz w:val="24"/>
          <w:szCs w:val="24"/>
          <w:lang w:val="en-US"/>
        </w:rPr>
        <w:t>After oral administration of mirabegron in healthy volunteers mirabegron is absorbed to reach peak plasma concentrations (</w:t>
      </w:r>
      <w:proofErr w:type="spellStart"/>
      <w:r w:rsidRPr="00A86B5B">
        <w:rPr>
          <w:sz w:val="24"/>
          <w:szCs w:val="24"/>
          <w:lang w:val="en-US"/>
        </w:rPr>
        <w:t>C</w:t>
      </w:r>
      <w:r w:rsidRPr="00A86B5B">
        <w:rPr>
          <w:sz w:val="24"/>
          <w:szCs w:val="24"/>
          <w:vertAlign w:val="subscript"/>
          <w:lang w:val="en-US"/>
        </w:rPr>
        <w:t>max</w:t>
      </w:r>
      <w:proofErr w:type="spellEnd"/>
      <w:r w:rsidRPr="00A86B5B">
        <w:rPr>
          <w:sz w:val="24"/>
          <w:szCs w:val="24"/>
          <w:lang w:val="en-US"/>
        </w:rPr>
        <w:t xml:space="preserve">) between 3 and 4 hours. The absolute bioavailability increased from 29% at a dose of 25 mg to 35% at a dose of 50 mg. Mean </w:t>
      </w:r>
      <w:proofErr w:type="spellStart"/>
      <w:r w:rsidRPr="00A86B5B">
        <w:rPr>
          <w:sz w:val="24"/>
          <w:szCs w:val="24"/>
          <w:lang w:val="en-US"/>
        </w:rPr>
        <w:t>C</w:t>
      </w:r>
      <w:r w:rsidRPr="00A86B5B">
        <w:rPr>
          <w:sz w:val="24"/>
          <w:szCs w:val="24"/>
          <w:vertAlign w:val="subscript"/>
          <w:lang w:val="en-US"/>
        </w:rPr>
        <w:t>max</w:t>
      </w:r>
      <w:proofErr w:type="spellEnd"/>
      <w:r w:rsidRPr="00A86B5B">
        <w:rPr>
          <w:sz w:val="24"/>
          <w:szCs w:val="24"/>
          <w:lang w:val="en-US"/>
        </w:rPr>
        <w:t xml:space="preserve"> and AUC increased more than dose proportionally over the dose range. In the overall population of males and females, a 2</w:t>
      </w:r>
      <w:r w:rsidRPr="00A86B5B">
        <w:rPr>
          <w:sz w:val="24"/>
          <w:szCs w:val="24"/>
          <w:lang w:val="en-US"/>
        </w:rPr>
        <w:noBreakHyphen/>
        <w:t xml:space="preserve">fold increase in dose from 50 mg to 100 mg mirabegron increased </w:t>
      </w:r>
      <w:proofErr w:type="spellStart"/>
      <w:r w:rsidRPr="00A86B5B">
        <w:rPr>
          <w:sz w:val="24"/>
          <w:szCs w:val="24"/>
          <w:lang w:val="en-US"/>
        </w:rPr>
        <w:t>C</w:t>
      </w:r>
      <w:r w:rsidRPr="00A86B5B">
        <w:rPr>
          <w:sz w:val="24"/>
          <w:szCs w:val="24"/>
          <w:vertAlign w:val="subscript"/>
          <w:lang w:val="en-US"/>
        </w:rPr>
        <w:t>max</w:t>
      </w:r>
      <w:proofErr w:type="spellEnd"/>
      <w:r w:rsidRPr="00A86B5B">
        <w:rPr>
          <w:sz w:val="24"/>
          <w:szCs w:val="24"/>
          <w:lang w:val="en-US"/>
        </w:rPr>
        <w:t xml:space="preserve"> and </w:t>
      </w:r>
      <w:proofErr w:type="spellStart"/>
      <w:r w:rsidRPr="00A86B5B">
        <w:rPr>
          <w:sz w:val="24"/>
          <w:szCs w:val="24"/>
          <w:lang w:val="en-US"/>
        </w:rPr>
        <w:t>AUC</w:t>
      </w:r>
      <w:r w:rsidRPr="00A86B5B">
        <w:rPr>
          <w:sz w:val="24"/>
          <w:szCs w:val="24"/>
          <w:vertAlign w:val="subscript"/>
          <w:lang w:val="en-US"/>
        </w:rPr>
        <w:t>tau</w:t>
      </w:r>
      <w:proofErr w:type="spellEnd"/>
      <w:r w:rsidRPr="00A86B5B">
        <w:rPr>
          <w:sz w:val="24"/>
          <w:szCs w:val="24"/>
          <w:lang w:val="en-US"/>
        </w:rPr>
        <w:t xml:space="preserve"> by approximately 2.9</w:t>
      </w:r>
      <w:r w:rsidRPr="00A86B5B">
        <w:rPr>
          <w:sz w:val="24"/>
          <w:szCs w:val="24"/>
          <w:lang w:val="en-US"/>
        </w:rPr>
        <w:noBreakHyphen/>
        <w:t xml:space="preserve"> and 2.6</w:t>
      </w:r>
      <w:r w:rsidRPr="00A86B5B">
        <w:rPr>
          <w:sz w:val="24"/>
          <w:szCs w:val="24"/>
          <w:lang w:val="en-US"/>
        </w:rPr>
        <w:noBreakHyphen/>
        <w:t>fold, respectively, whereas a 4</w:t>
      </w:r>
      <w:r w:rsidRPr="00A86B5B">
        <w:rPr>
          <w:sz w:val="24"/>
          <w:szCs w:val="24"/>
          <w:lang w:val="en-US"/>
        </w:rPr>
        <w:noBreakHyphen/>
        <w:t xml:space="preserve">fold increase in dose from 50 mg to 200 mg mirabegron increased </w:t>
      </w:r>
      <w:proofErr w:type="spellStart"/>
      <w:r w:rsidRPr="00A86B5B">
        <w:rPr>
          <w:sz w:val="24"/>
          <w:szCs w:val="24"/>
          <w:lang w:val="en-US"/>
        </w:rPr>
        <w:t>C</w:t>
      </w:r>
      <w:r w:rsidRPr="00A86B5B">
        <w:rPr>
          <w:sz w:val="24"/>
          <w:szCs w:val="24"/>
          <w:vertAlign w:val="subscript"/>
          <w:lang w:val="en-US"/>
        </w:rPr>
        <w:t>max</w:t>
      </w:r>
      <w:proofErr w:type="spellEnd"/>
      <w:r w:rsidRPr="00A86B5B">
        <w:rPr>
          <w:sz w:val="24"/>
          <w:szCs w:val="24"/>
          <w:lang w:val="en-US"/>
        </w:rPr>
        <w:t xml:space="preserve"> and </w:t>
      </w:r>
      <w:proofErr w:type="spellStart"/>
      <w:r w:rsidRPr="00A86B5B">
        <w:rPr>
          <w:sz w:val="24"/>
          <w:szCs w:val="24"/>
          <w:lang w:val="en-US"/>
        </w:rPr>
        <w:t>AUC</w:t>
      </w:r>
      <w:r w:rsidRPr="00A86B5B">
        <w:rPr>
          <w:sz w:val="24"/>
          <w:szCs w:val="24"/>
          <w:vertAlign w:val="subscript"/>
          <w:lang w:val="en-US"/>
        </w:rPr>
        <w:t>tau</w:t>
      </w:r>
      <w:proofErr w:type="spellEnd"/>
      <w:r w:rsidRPr="00A86B5B">
        <w:rPr>
          <w:sz w:val="24"/>
          <w:szCs w:val="24"/>
          <w:lang w:val="en-US"/>
        </w:rPr>
        <w:t xml:space="preserve"> by approximately 8.4</w:t>
      </w:r>
      <w:r w:rsidRPr="00A86B5B">
        <w:rPr>
          <w:sz w:val="24"/>
          <w:szCs w:val="24"/>
          <w:lang w:val="en-US"/>
        </w:rPr>
        <w:noBreakHyphen/>
        <w:t xml:space="preserve"> and 6.5</w:t>
      </w:r>
      <w:r w:rsidRPr="00A86B5B">
        <w:rPr>
          <w:sz w:val="24"/>
          <w:szCs w:val="24"/>
          <w:lang w:val="en-US"/>
        </w:rPr>
        <w:noBreakHyphen/>
        <w:t>fold. Steady state concentrations are achieved within 7 days of once daily dosing with mirabegron. After once daily administration, plasma exposure of mirabegron at steady state is approximately double that seen after a single dose.</w:t>
      </w:r>
    </w:p>
    <w:p w14:paraId="2730C585" w14:textId="77777777" w:rsidR="007606FB" w:rsidRPr="00A86B5B" w:rsidRDefault="007606FB" w:rsidP="00591653">
      <w:pPr>
        <w:ind w:left="851"/>
        <w:rPr>
          <w:sz w:val="24"/>
          <w:szCs w:val="24"/>
          <w:lang w:val="en-US"/>
        </w:rPr>
      </w:pPr>
    </w:p>
    <w:p w14:paraId="15164E38" w14:textId="77777777" w:rsidR="007606FB" w:rsidRPr="00F137C6" w:rsidRDefault="007606FB" w:rsidP="00591653">
      <w:pPr>
        <w:ind w:left="851"/>
        <w:rPr>
          <w:sz w:val="24"/>
          <w:szCs w:val="24"/>
          <w:u w:val="single"/>
          <w:lang w:val="en-US"/>
        </w:rPr>
      </w:pPr>
      <w:r w:rsidRPr="00F137C6">
        <w:rPr>
          <w:sz w:val="24"/>
          <w:szCs w:val="24"/>
          <w:u w:val="single"/>
          <w:lang w:val="en-US"/>
        </w:rPr>
        <w:t>Effect of food on absorption</w:t>
      </w:r>
    </w:p>
    <w:p w14:paraId="13C37816" w14:textId="77777777" w:rsidR="007606FB" w:rsidRPr="00A86B5B" w:rsidRDefault="007606FB" w:rsidP="00591653">
      <w:pPr>
        <w:ind w:left="851"/>
        <w:rPr>
          <w:sz w:val="24"/>
          <w:szCs w:val="24"/>
          <w:lang w:val="en-US"/>
        </w:rPr>
      </w:pPr>
      <w:r w:rsidRPr="00A86B5B">
        <w:rPr>
          <w:sz w:val="24"/>
          <w:szCs w:val="24"/>
          <w:lang w:val="en-US"/>
        </w:rPr>
        <w:t xml:space="preserve">Co-administration of a 50 mg tablet with a high-fat meal reduced mirabegron </w:t>
      </w:r>
      <w:proofErr w:type="spellStart"/>
      <w:r w:rsidRPr="00A86B5B">
        <w:rPr>
          <w:sz w:val="24"/>
          <w:szCs w:val="24"/>
          <w:lang w:val="en-US"/>
        </w:rPr>
        <w:t>C</w:t>
      </w:r>
      <w:r w:rsidRPr="00A86B5B">
        <w:rPr>
          <w:sz w:val="24"/>
          <w:szCs w:val="24"/>
          <w:vertAlign w:val="subscript"/>
          <w:lang w:val="en-US"/>
        </w:rPr>
        <w:t>max</w:t>
      </w:r>
      <w:proofErr w:type="spellEnd"/>
      <w:r w:rsidRPr="00A86B5B">
        <w:rPr>
          <w:sz w:val="24"/>
          <w:szCs w:val="24"/>
          <w:lang w:val="en-US"/>
        </w:rPr>
        <w:t xml:space="preserve"> and AUC by 45% and 17%, respectively. A low-fat meal decreased mirabegron </w:t>
      </w:r>
      <w:proofErr w:type="spellStart"/>
      <w:r w:rsidRPr="00A86B5B">
        <w:rPr>
          <w:sz w:val="24"/>
          <w:szCs w:val="24"/>
          <w:lang w:val="en-US"/>
        </w:rPr>
        <w:t>C</w:t>
      </w:r>
      <w:r w:rsidRPr="00A86B5B">
        <w:rPr>
          <w:sz w:val="24"/>
          <w:szCs w:val="24"/>
          <w:vertAlign w:val="subscript"/>
          <w:lang w:val="en-US"/>
        </w:rPr>
        <w:t>max</w:t>
      </w:r>
      <w:proofErr w:type="spellEnd"/>
      <w:r w:rsidRPr="00A86B5B">
        <w:rPr>
          <w:sz w:val="24"/>
          <w:szCs w:val="24"/>
          <w:lang w:val="en-US"/>
        </w:rPr>
        <w:t xml:space="preserve"> and AUC by 75% and 51%, respectively. In the phase 3 studies, mirabegron was administered with or without food and demonstrated both safety and efficacy. Therefore, mirabegron can be taken with or without food at the recommended dose.</w:t>
      </w:r>
    </w:p>
    <w:p w14:paraId="4CE2B13E" w14:textId="77777777" w:rsidR="007606FB" w:rsidRPr="00A86B5B" w:rsidRDefault="007606FB" w:rsidP="00591653">
      <w:pPr>
        <w:ind w:left="851"/>
        <w:rPr>
          <w:sz w:val="24"/>
          <w:szCs w:val="24"/>
          <w:lang w:val="en-US"/>
        </w:rPr>
      </w:pPr>
    </w:p>
    <w:p w14:paraId="2FB67BC7" w14:textId="77777777" w:rsidR="007606FB" w:rsidRPr="00F137C6" w:rsidRDefault="007606FB" w:rsidP="00591653">
      <w:pPr>
        <w:ind w:left="851"/>
        <w:rPr>
          <w:sz w:val="24"/>
          <w:szCs w:val="24"/>
          <w:u w:val="single"/>
          <w:lang w:val="en-US"/>
        </w:rPr>
      </w:pPr>
      <w:r w:rsidRPr="00F137C6">
        <w:rPr>
          <w:sz w:val="24"/>
          <w:szCs w:val="24"/>
          <w:u w:val="single"/>
          <w:lang w:val="en-US"/>
        </w:rPr>
        <w:t>Distribution</w:t>
      </w:r>
    </w:p>
    <w:p w14:paraId="06B75C7C" w14:textId="77777777" w:rsidR="007606FB" w:rsidRPr="00A86B5B" w:rsidRDefault="007606FB" w:rsidP="00591653">
      <w:pPr>
        <w:ind w:left="851"/>
        <w:rPr>
          <w:sz w:val="24"/>
          <w:szCs w:val="24"/>
          <w:lang w:val="en-US"/>
        </w:rPr>
      </w:pPr>
      <w:r w:rsidRPr="00A86B5B">
        <w:rPr>
          <w:sz w:val="24"/>
          <w:szCs w:val="24"/>
          <w:lang w:val="en-US"/>
        </w:rPr>
        <w:t>Mirabegron is extensively distributed. The volume of distribution at steady state (</w:t>
      </w:r>
      <w:proofErr w:type="spellStart"/>
      <w:r w:rsidRPr="00A86B5B">
        <w:rPr>
          <w:sz w:val="24"/>
          <w:szCs w:val="24"/>
          <w:lang w:val="en-US"/>
        </w:rPr>
        <w:t>V</w:t>
      </w:r>
      <w:r w:rsidRPr="00A86B5B">
        <w:rPr>
          <w:sz w:val="24"/>
          <w:szCs w:val="24"/>
          <w:vertAlign w:val="subscript"/>
          <w:lang w:val="en-US"/>
        </w:rPr>
        <w:t>ss</w:t>
      </w:r>
      <w:proofErr w:type="spellEnd"/>
      <w:r w:rsidRPr="00A86B5B">
        <w:rPr>
          <w:sz w:val="24"/>
          <w:szCs w:val="24"/>
          <w:lang w:val="en-US"/>
        </w:rPr>
        <w:t>) is approximately 1 670 L. Mirabegron is bound (approximately 71%) to human plasma proteins, and shows moderate affinity for albumin and alpha</w:t>
      </w:r>
      <w:r w:rsidRPr="00A86B5B">
        <w:rPr>
          <w:sz w:val="24"/>
          <w:szCs w:val="24"/>
          <w:lang w:val="en-US"/>
        </w:rPr>
        <w:noBreakHyphen/>
        <w:t xml:space="preserve">1 acid glycoprotein. Mirabegron distributes to erythrocytes. </w:t>
      </w:r>
      <w:r w:rsidRPr="00A86B5B">
        <w:rPr>
          <w:i/>
          <w:sz w:val="24"/>
          <w:szCs w:val="24"/>
          <w:lang w:val="en-US"/>
        </w:rPr>
        <w:t>In vitro</w:t>
      </w:r>
      <w:r w:rsidRPr="00A86B5B">
        <w:rPr>
          <w:sz w:val="24"/>
          <w:szCs w:val="24"/>
          <w:lang w:val="en-US"/>
        </w:rPr>
        <w:t xml:space="preserve"> erythrocyte concentrations of </w:t>
      </w:r>
      <w:r w:rsidRPr="00A86B5B">
        <w:rPr>
          <w:sz w:val="24"/>
          <w:szCs w:val="24"/>
          <w:vertAlign w:val="superscript"/>
          <w:lang w:val="en-US"/>
        </w:rPr>
        <w:t>14</w:t>
      </w:r>
      <w:r w:rsidRPr="00A86B5B">
        <w:rPr>
          <w:sz w:val="24"/>
          <w:szCs w:val="24"/>
          <w:lang w:val="en-US"/>
        </w:rPr>
        <w:t>C</w:t>
      </w:r>
      <w:r w:rsidRPr="00A86B5B">
        <w:rPr>
          <w:sz w:val="24"/>
          <w:szCs w:val="24"/>
          <w:lang w:val="en-US"/>
        </w:rPr>
        <w:noBreakHyphen/>
        <w:t>mirabegron were about 2</w:t>
      </w:r>
      <w:r w:rsidRPr="00A86B5B">
        <w:rPr>
          <w:sz w:val="24"/>
          <w:szCs w:val="24"/>
          <w:lang w:val="en-US"/>
        </w:rPr>
        <w:noBreakHyphen/>
        <w:t>fold higher than in plasma.</w:t>
      </w:r>
    </w:p>
    <w:p w14:paraId="4363B6B2" w14:textId="77777777" w:rsidR="007606FB" w:rsidRPr="00A86B5B" w:rsidRDefault="007606FB" w:rsidP="00591653">
      <w:pPr>
        <w:ind w:left="851"/>
        <w:rPr>
          <w:sz w:val="24"/>
          <w:szCs w:val="24"/>
          <w:lang w:val="en-US"/>
        </w:rPr>
      </w:pPr>
    </w:p>
    <w:p w14:paraId="6364A699" w14:textId="77777777" w:rsidR="007606FB" w:rsidRPr="00F137C6" w:rsidRDefault="007606FB" w:rsidP="00591653">
      <w:pPr>
        <w:ind w:left="851"/>
        <w:rPr>
          <w:sz w:val="24"/>
          <w:szCs w:val="24"/>
          <w:u w:val="single"/>
          <w:lang w:val="en-US"/>
        </w:rPr>
      </w:pPr>
      <w:r w:rsidRPr="00F137C6">
        <w:rPr>
          <w:sz w:val="24"/>
          <w:szCs w:val="24"/>
          <w:u w:val="single"/>
          <w:lang w:val="en-US"/>
        </w:rPr>
        <w:t>Biotransformation</w:t>
      </w:r>
    </w:p>
    <w:p w14:paraId="275836EA" w14:textId="77777777" w:rsidR="007606FB" w:rsidRPr="00A86B5B" w:rsidRDefault="007606FB" w:rsidP="00591653">
      <w:pPr>
        <w:ind w:left="851"/>
        <w:rPr>
          <w:sz w:val="24"/>
          <w:szCs w:val="24"/>
          <w:lang w:val="en-US"/>
        </w:rPr>
      </w:pPr>
      <w:r w:rsidRPr="00A86B5B">
        <w:rPr>
          <w:sz w:val="24"/>
          <w:szCs w:val="24"/>
          <w:lang w:val="en-US"/>
        </w:rPr>
        <w:t xml:space="preserve">Mirabegron is </w:t>
      </w:r>
      <w:proofErr w:type="spellStart"/>
      <w:r w:rsidRPr="00A86B5B">
        <w:rPr>
          <w:sz w:val="24"/>
          <w:szCs w:val="24"/>
          <w:lang w:val="en-US"/>
        </w:rPr>
        <w:t>metabolised</w:t>
      </w:r>
      <w:proofErr w:type="spellEnd"/>
      <w:r w:rsidRPr="00A86B5B">
        <w:rPr>
          <w:sz w:val="24"/>
          <w:szCs w:val="24"/>
          <w:lang w:val="en-US"/>
        </w:rPr>
        <w:t xml:space="preserve"> via multiple pathways involving dealkylation, oxidation, (direct) glucuronidation, and amide hydrolysis. Mirabegron is the major circulating component following a single dose of </w:t>
      </w:r>
      <w:r w:rsidRPr="00A86B5B">
        <w:rPr>
          <w:sz w:val="24"/>
          <w:szCs w:val="24"/>
          <w:vertAlign w:val="superscript"/>
          <w:lang w:val="en-US"/>
        </w:rPr>
        <w:t>14</w:t>
      </w:r>
      <w:r w:rsidRPr="00A86B5B">
        <w:rPr>
          <w:sz w:val="24"/>
          <w:szCs w:val="24"/>
          <w:lang w:val="en-US"/>
        </w:rPr>
        <w:t>C</w:t>
      </w:r>
      <w:r w:rsidRPr="00A86B5B">
        <w:rPr>
          <w:sz w:val="24"/>
          <w:szCs w:val="24"/>
          <w:lang w:val="en-US"/>
        </w:rPr>
        <w:noBreakHyphen/>
        <w:t>mirabegron. Two major metabolites were observed in human plasma; both are phase 2 glucuronides representing 16% and 11% of total exposure. These metabolites are not pharmacologically active.</w:t>
      </w:r>
    </w:p>
    <w:p w14:paraId="7E3F8818" w14:textId="77777777" w:rsidR="007606FB" w:rsidRPr="00A86B5B" w:rsidRDefault="007606FB" w:rsidP="00591653">
      <w:pPr>
        <w:ind w:left="851"/>
        <w:rPr>
          <w:sz w:val="24"/>
          <w:szCs w:val="24"/>
          <w:lang w:val="en-US"/>
        </w:rPr>
      </w:pPr>
    </w:p>
    <w:p w14:paraId="6654FFCC" w14:textId="77777777" w:rsidR="007606FB" w:rsidRPr="00A86B5B" w:rsidRDefault="007606FB" w:rsidP="00591653">
      <w:pPr>
        <w:ind w:left="851"/>
        <w:rPr>
          <w:sz w:val="24"/>
          <w:szCs w:val="24"/>
          <w:lang w:val="en-US"/>
        </w:rPr>
      </w:pPr>
      <w:r w:rsidRPr="00A86B5B">
        <w:rPr>
          <w:sz w:val="24"/>
          <w:szCs w:val="24"/>
          <w:lang w:val="en-US"/>
        </w:rPr>
        <w:t xml:space="preserve">Based on </w:t>
      </w:r>
      <w:r w:rsidRPr="00A86B5B">
        <w:rPr>
          <w:i/>
          <w:sz w:val="24"/>
          <w:szCs w:val="24"/>
          <w:lang w:val="en-US"/>
        </w:rPr>
        <w:t>in vitro</w:t>
      </w:r>
      <w:r w:rsidRPr="00A86B5B">
        <w:rPr>
          <w:sz w:val="24"/>
          <w:szCs w:val="24"/>
          <w:lang w:val="en-US"/>
        </w:rPr>
        <w:t xml:space="preserve"> studies, mirabegron is unlikely to inhibit the metabolism of co-administered medicinal products </w:t>
      </w:r>
      <w:proofErr w:type="spellStart"/>
      <w:r w:rsidRPr="00A86B5B">
        <w:rPr>
          <w:sz w:val="24"/>
          <w:szCs w:val="24"/>
          <w:lang w:val="en-US"/>
        </w:rPr>
        <w:t>metabolised</w:t>
      </w:r>
      <w:proofErr w:type="spellEnd"/>
      <w:r w:rsidRPr="00A86B5B">
        <w:rPr>
          <w:sz w:val="24"/>
          <w:szCs w:val="24"/>
          <w:lang w:val="en-US"/>
        </w:rPr>
        <w:t xml:space="preserve"> by the following cytochrome P450 enzymes: CYP1A2, CYP2B6, CYP2C8, CYP2C9, CYP2C19 and CYP2E1 because mirabegron did not inhibit the activity of these enzymes at clinically relevant concentrations. Mirabegron did not induce CYP1A2 or CYP3A. Mirabegron is predicted not to cause clinically relevant inhibition of OCT-mediated drug transport.</w:t>
      </w:r>
    </w:p>
    <w:p w14:paraId="65E61158" w14:textId="77777777" w:rsidR="007606FB" w:rsidRPr="00A86B5B" w:rsidRDefault="007606FB" w:rsidP="00591653">
      <w:pPr>
        <w:ind w:left="851"/>
        <w:rPr>
          <w:sz w:val="24"/>
          <w:szCs w:val="24"/>
          <w:lang w:val="en-US"/>
        </w:rPr>
      </w:pPr>
    </w:p>
    <w:p w14:paraId="46344DD0" w14:textId="77777777" w:rsidR="007606FB" w:rsidRPr="00A86B5B" w:rsidRDefault="007606FB" w:rsidP="00591653">
      <w:pPr>
        <w:ind w:left="851"/>
        <w:rPr>
          <w:sz w:val="24"/>
          <w:szCs w:val="24"/>
          <w:lang w:val="en-US"/>
        </w:rPr>
      </w:pPr>
      <w:r w:rsidRPr="00A86B5B">
        <w:rPr>
          <w:sz w:val="24"/>
          <w:szCs w:val="24"/>
          <w:lang w:val="en-US"/>
        </w:rPr>
        <w:t xml:space="preserve">Although </w:t>
      </w:r>
      <w:r w:rsidRPr="00A86B5B">
        <w:rPr>
          <w:i/>
          <w:sz w:val="24"/>
          <w:szCs w:val="24"/>
          <w:lang w:val="en-US"/>
        </w:rPr>
        <w:t>in vitro</w:t>
      </w:r>
      <w:r w:rsidRPr="00A86B5B">
        <w:rPr>
          <w:sz w:val="24"/>
          <w:szCs w:val="24"/>
          <w:lang w:val="en-US"/>
        </w:rPr>
        <w:t xml:space="preserve"> studies suggest a role for CYP2D6 and CYP3A4 in the oxidative metabolism of mirabegron, </w:t>
      </w:r>
      <w:r w:rsidRPr="00A86B5B">
        <w:rPr>
          <w:i/>
          <w:sz w:val="24"/>
          <w:szCs w:val="24"/>
          <w:lang w:val="en-US"/>
        </w:rPr>
        <w:t>in vivo</w:t>
      </w:r>
      <w:r w:rsidRPr="00A86B5B">
        <w:rPr>
          <w:sz w:val="24"/>
          <w:szCs w:val="24"/>
          <w:lang w:val="en-US"/>
        </w:rPr>
        <w:t xml:space="preserve"> results indicate that these isozymes play a limited role in the overall elimination. </w:t>
      </w:r>
      <w:r w:rsidRPr="00A86B5B">
        <w:rPr>
          <w:i/>
          <w:sz w:val="24"/>
          <w:szCs w:val="24"/>
          <w:lang w:val="en-US"/>
        </w:rPr>
        <w:t>In vitro</w:t>
      </w:r>
      <w:r w:rsidRPr="00A86B5B">
        <w:rPr>
          <w:sz w:val="24"/>
          <w:szCs w:val="24"/>
          <w:lang w:val="en-US"/>
        </w:rPr>
        <w:t xml:space="preserve"> and </w:t>
      </w:r>
      <w:r w:rsidRPr="00A86B5B">
        <w:rPr>
          <w:i/>
          <w:sz w:val="24"/>
          <w:szCs w:val="24"/>
          <w:lang w:val="en-US"/>
        </w:rPr>
        <w:t>ex vivo</w:t>
      </w:r>
      <w:r w:rsidRPr="00A86B5B">
        <w:rPr>
          <w:sz w:val="24"/>
          <w:szCs w:val="24"/>
          <w:lang w:val="en-US"/>
        </w:rPr>
        <w:t xml:space="preserve"> studies have shown the involvement from </w:t>
      </w:r>
      <w:proofErr w:type="spellStart"/>
      <w:r w:rsidRPr="00A86B5B">
        <w:rPr>
          <w:sz w:val="24"/>
          <w:szCs w:val="24"/>
          <w:lang w:val="en-US"/>
        </w:rPr>
        <w:t>butyrylcholinesterase</w:t>
      </w:r>
      <w:proofErr w:type="spellEnd"/>
      <w:r w:rsidRPr="00A86B5B">
        <w:rPr>
          <w:sz w:val="24"/>
          <w:szCs w:val="24"/>
          <w:lang w:val="en-US"/>
        </w:rPr>
        <w:t>, UGT and possibly alcohol dehydrogenase (ADH) in the metabolism of mirabegron, in addition to CYP3A4 and CYP2D6.</w:t>
      </w:r>
    </w:p>
    <w:p w14:paraId="5F99ED2B" w14:textId="69B993DA" w:rsidR="001F3F63" w:rsidRDefault="001F3F63">
      <w:pPr>
        <w:rPr>
          <w:sz w:val="24"/>
          <w:szCs w:val="24"/>
          <w:lang w:val="en-US"/>
        </w:rPr>
      </w:pPr>
      <w:r>
        <w:rPr>
          <w:sz w:val="24"/>
          <w:szCs w:val="24"/>
          <w:lang w:val="en-US"/>
        </w:rPr>
        <w:br w:type="page"/>
      </w:r>
    </w:p>
    <w:p w14:paraId="0F69EFDC" w14:textId="77777777" w:rsidR="007606FB" w:rsidRPr="00A86B5B" w:rsidRDefault="007606FB" w:rsidP="00591653">
      <w:pPr>
        <w:ind w:left="851"/>
        <w:rPr>
          <w:sz w:val="24"/>
          <w:szCs w:val="24"/>
          <w:lang w:val="en-US"/>
        </w:rPr>
      </w:pPr>
    </w:p>
    <w:p w14:paraId="2F2C64D6" w14:textId="77777777" w:rsidR="007606FB" w:rsidRPr="00A86B5B" w:rsidRDefault="007606FB" w:rsidP="00591653">
      <w:pPr>
        <w:ind w:left="851"/>
        <w:rPr>
          <w:i/>
          <w:sz w:val="24"/>
          <w:szCs w:val="24"/>
          <w:lang w:val="en-US"/>
        </w:rPr>
      </w:pPr>
      <w:r w:rsidRPr="00A86B5B">
        <w:rPr>
          <w:i/>
          <w:sz w:val="24"/>
          <w:szCs w:val="24"/>
          <w:lang w:val="en-US"/>
        </w:rPr>
        <w:t>CYP2D6 polymorphism</w:t>
      </w:r>
    </w:p>
    <w:p w14:paraId="552533E4" w14:textId="77777777" w:rsidR="007606FB" w:rsidRPr="00A86B5B" w:rsidRDefault="007606FB" w:rsidP="00591653">
      <w:pPr>
        <w:ind w:left="851"/>
        <w:rPr>
          <w:sz w:val="24"/>
          <w:szCs w:val="24"/>
          <w:lang w:val="en-US"/>
        </w:rPr>
      </w:pPr>
      <w:r w:rsidRPr="00A86B5B">
        <w:rPr>
          <w:sz w:val="24"/>
          <w:szCs w:val="24"/>
          <w:lang w:val="en-US"/>
        </w:rPr>
        <w:t xml:space="preserve">In healthy subjects who are genotypically poor </w:t>
      </w:r>
      <w:proofErr w:type="spellStart"/>
      <w:r w:rsidRPr="00A86B5B">
        <w:rPr>
          <w:sz w:val="24"/>
          <w:szCs w:val="24"/>
          <w:lang w:val="en-US"/>
        </w:rPr>
        <w:t>metabolisers</w:t>
      </w:r>
      <w:proofErr w:type="spellEnd"/>
      <w:r w:rsidRPr="00A86B5B">
        <w:rPr>
          <w:sz w:val="24"/>
          <w:szCs w:val="24"/>
          <w:lang w:val="en-US"/>
        </w:rPr>
        <w:t xml:space="preserve"> of CYP2D6 substrates (used as a surrogate for CYP2D6 inhibition), mean </w:t>
      </w:r>
      <w:proofErr w:type="spellStart"/>
      <w:r w:rsidRPr="00A86B5B">
        <w:rPr>
          <w:sz w:val="24"/>
          <w:szCs w:val="24"/>
          <w:lang w:val="en-US"/>
        </w:rPr>
        <w:t>C</w:t>
      </w:r>
      <w:r w:rsidRPr="00A86B5B">
        <w:rPr>
          <w:sz w:val="24"/>
          <w:szCs w:val="24"/>
          <w:vertAlign w:val="subscript"/>
          <w:lang w:val="en-US"/>
        </w:rPr>
        <w:t>max</w:t>
      </w:r>
      <w:proofErr w:type="spellEnd"/>
      <w:r w:rsidRPr="00A86B5B">
        <w:rPr>
          <w:sz w:val="24"/>
          <w:szCs w:val="24"/>
          <w:lang w:val="en-US"/>
        </w:rPr>
        <w:t xml:space="preserve"> and </w:t>
      </w:r>
      <w:proofErr w:type="spellStart"/>
      <w:r w:rsidRPr="00A86B5B">
        <w:rPr>
          <w:sz w:val="24"/>
          <w:szCs w:val="24"/>
          <w:lang w:val="en-US"/>
        </w:rPr>
        <w:t>AUC</w:t>
      </w:r>
      <w:r w:rsidRPr="00A86B5B">
        <w:rPr>
          <w:sz w:val="24"/>
          <w:szCs w:val="24"/>
          <w:vertAlign w:val="subscript"/>
          <w:lang w:val="en-US"/>
        </w:rPr>
        <w:t>inf</w:t>
      </w:r>
      <w:proofErr w:type="spellEnd"/>
      <w:r w:rsidRPr="00A86B5B">
        <w:rPr>
          <w:sz w:val="24"/>
          <w:szCs w:val="24"/>
          <w:lang w:val="en-US"/>
        </w:rPr>
        <w:t xml:space="preserve"> of a single 160 mg dose of a mirabegron IR formulation were 14% and 19% higher than in extensive </w:t>
      </w:r>
      <w:proofErr w:type="spellStart"/>
      <w:r w:rsidRPr="00A86B5B">
        <w:rPr>
          <w:sz w:val="24"/>
          <w:szCs w:val="24"/>
          <w:lang w:val="en-US"/>
        </w:rPr>
        <w:t>metabolisers</w:t>
      </w:r>
      <w:proofErr w:type="spellEnd"/>
      <w:r w:rsidRPr="00A86B5B">
        <w:rPr>
          <w:sz w:val="24"/>
          <w:szCs w:val="24"/>
          <w:lang w:val="en-US"/>
        </w:rPr>
        <w:t xml:space="preserve">, indicating that CYP2D6 genetic polymorphism has minimal impact on the mean plasma exposure to mirabegron. Interaction of mirabegron with a known CYP2D6 inhibitor is not expected and was not studied. No dose adjustment is needed for mirabegron when administered with CYP2D6 inhibitors or in patients who are CYP2D6 poor </w:t>
      </w:r>
      <w:proofErr w:type="spellStart"/>
      <w:r w:rsidRPr="00A86B5B">
        <w:rPr>
          <w:sz w:val="24"/>
          <w:szCs w:val="24"/>
          <w:lang w:val="en-US"/>
        </w:rPr>
        <w:t>metabolisers</w:t>
      </w:r>
      <w:proofErr w:type="spellEnd"/>
      <w:r w:rsidRPr="00A86B5B">
        <w:rPr>
          <w:sz w:val="24"/>
          <w:szCs w:val="24"/>
          <w:lang w:val="en-US"/>
        </w:rPr>
        <w:t>.</w:t>
      </w:r>
    </w:p>
    <w:p w14:paraId="0F449CFB" w14:textId="77777777" w:rsidR="007606FB" w:rsidRPr="00A86B5B" w:rsidRDefault="007606FB" w:rsidP="00591653">
      <w:pPr>
        <w:ind w:left="851"/>
        <w:rPr>
          <w:sz w:val="24"/>
          <w:szCs w:val="24"/>
          <w:lang w:val="en-US"/>
        </w:rPr>
      </w:pPr>
    </w:p>
    <w:p w14:paraId="5646F2EB" w14:textId="77777777" w:rsidR="007606FB" w:rsidRPr="00F137C6" w:rsidRDefault="007606FB" w:rsidP="00591653">
      <w:pPr>
        <w:ind w:left="851"/>
        <w:rPr>
          <w:sz w:val="24"/>
          <w:szCs w:val="24"/>
          <w:u w:val="single"/>
          <w:lang w:val="en-US"/>
        </w:rPr>
      </w:pPr>
      <w:r w:rsidRPr="00F137C6">
        <w:rPr>
          <w:sz w:val="24"/>
          <w:szCs w:val="24"/>
          <w:u w:val="single"/>
          <w:lang w:val="en-US"/>
        </w:rPr>
        <w:t>Elimination</w:t>
      </w:r>
    </w:p>
    <w:p w14:paraId="4B6EECC7" w14:textId="77777777" w:rsidR="007606FB" w:rsidRPr="00A86B5B" w:rsidRDefault="007606FB" w:rsidP="00591653">
      <w:pPr>
        <w:ind w:left="851"/>
        <w:rPr>
          <w:sz w:val="24"/>
          <w:szCs w:val="24"/>
          <w:lang w:val="en-US"/>
        </w:rPr>
      </w:pPr>
      <w:r w:rsidRPr="00A86B5B">
        <w:rPr>
          <w:sz w:val="24"/>
          <w:szCs w:val="24"/>
          <w:lang w:val="en-US"/>
        </w:rPr>
        <w:t>Total body clearance (</w:t>
      </w:r>
      <w:proofErr w:type="spellStart"/>
      <w:r w:rsidRPr="00A86B5B">
        <w:rPr>
          <w:sz w:val="24"/>
          <w:szCs w:val="24"/>
          <w:lang w:val="en-US"/>
        </w:rPr>
        <w:t>CL</w:t>
      </w:r>
      <w:r w:rsidRPr="00A86B5B">
        <w:rPr>
          <w:sz w:val="24"/>
          <w:szCs w:val="24"/>
          <w:vertAlign w:val="subscript"/>
          <w:lang w:val="en-US"/>
        </w:rPr>
        <w:t>tot</w:t>
      </w:r>
      <w:proofErr w:type="spellEnd"/>
      <w:r w:rsidRPr="00A86B5B">
        <w:rPr>
          <w:sz w:val="24"/>
          <w:szCs w:val="24"/>
          <w:lang w:val="en-US"/>
        </w:rPr>
        <w:t>) from plasma is approximately 57 L/h. The terminal elimination half-life (t</w:t>
      </w:r>
      <w:r w:rsidRPr="00A86B5B">
        <w:rPr>
          <w:sz w:val="24"/>
          <w:szCs w:val="24"/>
          <w:vertAlign w:val="subscript"/>
          <w:lang w:val="en-US"/>
        </w:rPr>
        <w:t>1/2</w:t>
      </w:r>
      <w:r w:rsidRPr="00A86B5B">
        <w:rPr>
          <w:sz w:val="24"/>
          <w:szCs w:val="24"/>
          <w:lang w:val="en-US"/>
        </w:rPr>
        <w:t xml:space="preserve">) is approximately 50 hours. Renal clearance (CLR) is approximately 13 L/h, which corresponds to nearly 25% of </w:t>
      </w:r>
      <w:proofErr w:type="spellStart"/>
      <w:r w:rsidRPr="00A86B5B">
        <w:rPr>
          <w:sz w:val="24"/>
          <w:szCs w:val="24"/>
          <w:lang w:val="en-US"/>
        </w:rPr>
        <w:t>CL</w:t>
      </w:r>
      <w:r w:rsidRPr="00A86B5B">
        <w:rPr>
          <w:sz w:val="24"/>
          <w:szCs w:val="24"/>
          <w:vertAlign w:val="subscript"/>
          <w:lang w:val="en-US"/>
        </w:rPr>
        <w:t>tot</w:t>
      </w:r>
      <w:proofErr w:type="spellEnd"/>
      <w:r w:rsidRPr="00A86B5B">
        <w:rPr>
          <w:sz w:val="24"/>
          <w:szCs w:val="24"/>
          <w:lang w:val="en-US"/>
        </w:rPr>
        <w:t xml:space="preserve">. Renal elimination of mirabegron is primarily through active tubular secretion along with glomerular filtration. The urinary excretion of unchanged mirabegron is dose-dependent and ranges from approximately 6.0% after a daily dose of 25 mg to 12.2% after a daily dose of 100 mg. Following the administration of 160 mg </w:t>
      </w:r>
      <w:r w:rsidRPr="00A86B5B">
        <w:rPr>
          <w:sz w:val="24"/>
          <w:szCs w:val="24"/>
          <w:vertAlign w:val="superscript"/>
          <w:lang w:val="en-US"/>
        </w:rPr>
        <w:t>14</w:t>
      </w:r>
      <w:r w:rsidRPr="00A86B5B">
        <w:rPr>
          <w:sz w:val="24"/>
          <w:szCs w:val="24"/>
          <w:lang w:val="en-US"/>
        </w:rPr>
        <w:t>C</w:t>
      </w:r>
      <w:r w:rsidRPr="00A86B5B">
        <w:rPr>
          <w:sz w:val="24"/>
          <w:szCs w:val="24"/>
          <w:lang w:val="en-US"/>
        </w:rPr>
        <w:noBreakHyphen/>
        <w:t xml:space="preserve">mirabegron to healthy volunteers, approximately 55% of the radiolabel was recovered in the urine and 34% in the </w:t>
      </w:r>
      <w:proofErr w:type="spellStart"/>
      <w:r w:rsidRPr="00A86B5B">
        <w:rPr>
          <w:sz w:val="24"/>
          <w:szCs w:val="24"/>
          <w:lang w:val="en-US"/>
        </w:rPr>
        <w:t>faeces</w:t>
      </w:r>
      <w:proofErr w:type="spellEnd"/>
      <w:r w:rsidRPr="00A86B5B">
        <w:rPr>
          <w:sz w:val="24"/>
          <w:szCs w:val="24"/>
          <w:lang w:val="en-US"/>
        </w:rPr>
        <w:t xml:space="preserve">. Unchanged mirabegron accounted for 45% of the urinary radioactivity, indicating the presence of metabolites. Unchanged mirabegron accounted for the majority of the </w:t>
      </w:r>
      <w:proofErr w:type="spellStart"/>
      <w:r w:rsidRPr="00A86B5B">
        <w:rPr>
          <w:sz w:val="24"/>
          <w:szCs w:val="24"/>
          <w:lang w:val="en-US"/>
        </w:rPr>
        <w:t>faecal</w:t>
      </w:r>
      <w:proofErr w:type="spellEnd"/>
      <w:r w:rsidRPr="00A86B5B">
        <w:rPr>
          <w:sz w:val="24"/>
          <w:szCs w:val="24"/>
          <w:lang w:val="en-US"/>
        </w:rPr>
        <w:t xml:space="preserve"> radioactivity.</w:t>
      </w:r>
    </w:p>
    <w:p w14:paraId="797E789D" w14:textId="77777777" w:rsidR="007606FB" w:rsidRPr="00A86B5B" w:rsidRDefault="007606FB" w:rsidP="00591653">
      <w:pPr>
        <w:ind w:left="851"/>
        <w:rPr>
          <w:sz w:val="24"/>
          <w:szCs w:val="24"/>
          <w:lang w:val="en-US"/>
        </w:rPr>
      </w:pPr>
    </w:p>
    <w:p w14:paraId="03E61593" w14:textId="77777777" w:rsidR="007606FB" w:rsidRPr="00F137C6" w:rsidRDefault="007606FB" w:rsidP="00591653">
      <w:pPr>
        <w:ind w:left="851"/>
        <w:rPr>
          <w:sz w:val="24"/>
          <w:szCs w:val="24"/>
          <w:u w:val="single"/>
          <w:lang w:val="en-US"/>
        </w:rPr>
      </w:pPr>
      <w:r w:rsidRPr="00F137C6">
        <w:rPr>
          <w:sz w:val="24"/>
          <w:szCs w:val="24"/>
          <w:u w:val="single"/>
          <w:lang w:val="en-US"/>
        </w:rPr>
        <w:t>Age</w:t>
      </w:r>
    </w:p>
    <w:p w14:paraId="38A0809D" w14:textId="77777777" w:rsidR="007606FB" w:rsidRPr="00A86B5B" w:rsidRDefault="007606FB" w:rsidP="00591653">
      <w:pPr>
        <w:ind w:left="851"/>
        <w:rPr>
          <w:sz w:val="24"/>
          <w:szCs w:val="24"/>
          <w:lang w:val="en-US"/>
        </w:rPr>
      </w:pPr>
      <w:r w:rsidRPr="00A86B5B">
        <w:rPr>
          <w:sz w:val="24"/>
          <w:szCs w:val="24"/>
          <w:lang w:val="en-US"/>
        </w:rPr>
        <w:t xml:space="preserve">The </w:t>
      </w:r>
      <w:proofErr w:type="spellStart"/>
      <w:r w:rsidRPr="00A86B5B">
        <w:rPr>
          <w:sz w:val="24"/>
          <w:szCs w:val="24"/>
          <w:lang w:val="en-US"/>
        </w:rPr>
        <w:t>C</w:t>
      </w:r>
      <w:r w:rsidRPr="00A86B5B">
        <w:rPr>
          <w:sz w:val="24"/>
          <w:szCs w:val="24"/>
          <w:vertAlign w:val="subscript"/>
          <w:lang w:val="en-US"/>
        </w:rPr>
        <w:t>max</w:t>
      </w:r>
      <w:proofErr w:type="spellEnd"/>
      <w:r w:rsidRPr="00A86B5B">
        <w:rPr>
          <w:sz w:val="24"/>
          <w:szCs w:val="24"/>
          <w:lang w:val="en-US"/>
        </w:rPr>
        <w:t xml:space="preserve"> and AUC of mirabegron and its metabolites following multiple oral doses in elderly volunteers (≥65 years) were similar to those in younger volunteers (18 - 45 years).</w:t>
      </w:r>
    </w:p>
    <w:p w14:paraId="0072E96C" w14:textId="77777777" w:rsidR="007606FB" w:rsidRPr="00A86B5B" w:rsidRDefault="007606FB" w:rsidP="00591653">
      <w:pPr>
        <w:ind w:left="851"/>
        <w:rPr>
          <w:sz w:val="24"/>
          <w:szCs w:val="24"/>
          <w:lang w:val="en-US"/>
        </w:rPr>
      </w:pPr>
    </w:p>
    <w:p w14:paraId="5371744E" w14:textId="77777777" w:rsidR="007606FB" w:rsidRPr="00F137C6" w:rsidRDefault="007606FB" w:rsidP="00591653">
      <w:pPr>
        <w:ind w:left="851"/>
        <w:rPr>
          <w:sz w:val="24"/>
          <w:szCs w:val="24"/>
          <w:u w:val="single"/>
          <w:lang w:val="en-US"/>
        </w:rPr>
      </w:pPr>
      <w:r w:rsidRPr="00F137C6">
        <w:rPr>
          <w:sz w:val="24"/>
          <w:szCs w:val="24"/>
          <w:u w:val="single"/>
          <w:lang w:val="en-US"/>
        </w:rPr>
        <w:t>Gender</w:t>
      </w:r>
    </w:p>
    <w:p w14:paraId="68B6628D" w14:textId="77777777" w:rsidR="007606FB" w:rsidRPr="00A86B5B" w:rsidRDefault="007606FB" w:rsidP="00591653">
      <w:pPr>
        <w:ind w:left="851"/>
        <w:rPr>
          <w:sz w:val="24"/>
          <w:szCs w:val="24"/>
          <w:lang w:val="en-US"/>
        </w:rPr>
      </w:pPr>
      <w:r w:rsidRPr="00A86B5B">
        <w:rPr>
          <w:sz w:val="24"/>
          <w:szCs w:val="24"/>
          <w:lang w:val="en-US"/>
        </w:rPr>
        <w:t xml:space="preserve">The </w:t>
      </w:r>
      <w:proofErr w:type="spellStart"/>
      <w:r w:rsidRPr="00A86B5B">
        <w:rPr>
          <w:sz w:val="24"/>
          <w:szCs w:val="24"/>
          <w:lang w:val="en-US"/>
        </w:rPr>
        <w:t>C</w:t>
      </w:r>
      <w:r w:rsidRPr="00A86B5B">
        <w:rPr>
          <w:sz w:val="24"/>
          <w:szCs w:val="24"/>
          <w:vertAlign w:val="subscript"/>
          <w:lang w:val="en-US"/>
        </w:rPr>
        <w:t>max</w:t>
      </w:r>
      <w:proofErr w:type="spellEnd"/>
      <w:r w:rsidRPr="00A86B5B">
        <w:rPr>
          <w:sz w:val="24"/>
          <w:szCs w:val="24"/>
          <w:vertAlign w:val="subscript"/>
          <w:lang w:val="en-US"/>
        </w:rPr>
        <w:t xml:space="preserve"> </w:t>
      </w:r>
      <w:r w:rsidRPr="00A86B5B">
        <w:rPr>
          <w:sz w:val="24"/>
          <w:szCs w:val="24"/>
          <w:lang w:val="en-US"/>
        </w:rPr>
        <w:t xml:space="preserve">and AUC are approximately 40% to 50% higher in females than in males. Gender differences in </w:t>
      </w:r>
      <w:proofErr w:type="spellStart"/>
      <w:r w:rsidRPr="00A86B5B">
        <w:rPr>
          <w:sz w:val="24"/>
          <w:szCs w:val="24"/>
          <w:lang w:val="en-US"/>
        </w:rPr>
        <w:t>C</w:t>
      </w:r>
      <w:r w:rsidRPr="00A86B5B">
        <w:rPr>
          <w:sz w:val="24"/>
          <w:szCs w:val="24"/>
          <w:vertAlign w:val="subscript"/>
          <w:lang w:val="en-US"/>
        </w:rPr>
        <w:t>max</w:t>
      </w:r>
      <w:proofErr w:type="spellEnd"/>
      <w:r w:rsidRPr="00A86B5B">
        <w:rPr>
          <w:sz w:val="24"/>
          <w:szCs w:val="24"/>
          <w:lang w:val="en-US"/>
        </w:rPr>
        <w:t xml:space="preserve"> and AUC are attributed to differences in body weight and bioavailability.</w:t>
      </w:r>
    </w:p>
    <w:p w14:paraId="37EFB9DA" w14:textId="77777777" w:rsidR="007606FB" w:rsidRPr="00A86B5B" w:rsidRDefault="007606FB" w:rsidP="00591653">
      <w:pPr>
        <w:ind w:left="851"/>
        <w:rPr>
          <w:sz w:val="24"/>
          <w:szCs w:val="24"/>
          <w:lang w:val="en-US"/>
        </w:rPr>
      </w:pPr>
    </w:p>
    <w:p w14:paraId="02B9B8FD" w14:textId="77777777" w:rsidR="007606FB" w:rsidRPr="00F137C6" w:rsidRDefault="007606FB" w:rsidP="00591653">
      <w:pPr>
        <w:ind w:left="851"/>
        <w:rPr>
          <w:sz w:val="24"/>
          <w:szCs w:val="24"/>
          <w:u w:val="single"/>
          <w:lang w:val="en-US"/>
        </w:rPr>
      </w:pPr>
      <w:r w:rsidRPr="00F137C6">
        <w:rPr>
          <w:sz w:val="24"/>
          <w:szCs w:val="24"/>
          <w:u w:val="single"/>
          <w:lang w:val="en-US"/>
        </w:rPr>
        <w:t>Race</w:t>
      </w:r>
    </w:p>
    <w:p w14:paraId="09DD787A" w14:textId="77777777" w:rsidR="007606FB" w:rsidRPr="00A86B5B" w:rsidRDefault="007606FB" w:rsidP="00591653">
      <w:pPr>
        <w:ind w:left="851"/>
        <w:rPr>
          <w:sz w:val="24"/>
          <w:szCs w:val="24"/>
          <w:lang w:val="en-US"/>
        </w:rPr>
      </w:pPr>
      <w:r w:rsidRPr="00A86B5B">
        <w:rPr>
          <w:sz w:val="24"/>
          <w:szCs w:val="24"/>
          <w:lang w:val="en-US"/>
        </w:rPr>
        <w:t>The pharmacokinetics of mirabegron are not influenced by race.</w:t>
      </w:r>
    </w:p>
    <w:p w14:paraId="106399F2" w14:textId="77777777" w:rsidR="007606FB" w:rsidRPr="00A86B5B" w:rsidRDefault="007606FB" w:rsidP="00591653">
      <w:pPr>
        <w:ind w:left="851"/>
        <w:rPr>
          <w:sz w:val="24"/>
          <w:szCs w:val="24"/>
          <w:lang w:val="en-US"/>
        </w:rPr>
      </w:pPr>
    </w:p>
    <w:p w14:paraId="5815802D" w14:textId="77777777" w:rsidR="007606FB" w:rsidRPr="00F137C6" w:rsidRDefault="007606FB" w:rsidP="00591653">
      <w:pPr>
        <w:ind w:left="851"/>
        <w:rPr>
          <w:sz w:val="24"/>
          <w:szCs w:val="24"/>
          <w:u w:val="single"/>
          <w:lang w:val="en-US"/>
        </w:rPr>
      </w:pPr>
      <w:r w:rsidRPr="00F137C6">
        <w:rPr>
          <w:sz w:val="24"/>
          <w:szCs w:val="24"/>
          <w:u w:val="single"/>
          <w:lang w:val="en-US"/>
        </w:rPr>
        <w:t>Renal impairment</w:t>
      </w:r>
    </w:p>
    <w:p w14:paraId="632C2F36" w14:textId="77777777" w:rsidR="007606FB" w:rsidRPr="00A86B5B" w:rsidRDefault="007606FB" w:rsidP="00591653">
      <w:pPr>
        <w:ind w:left="851"/>
        <w:rPr>
          <w:sz w:val="24"/>
          <w:szCs w:val="24"/>
          <w:lang w:val="en-US"/>
        </w:rPr>
      </w:pPr>
      <w:r w:rsidRPr="00A86B5B">
        <w:rPr>
          <w:sz w:val="24"/>
          <w:szCs w:val="24"/>
          <w:lang w:val="en-US"/>
        </w:rPr>
        <w:t>Following single dose administration of 100 mg mirabegron in volunteers with mild renal impairment (eGFR</w:t>
      </w:r>
      <w:r w:rsidRPr="00A86B5B">
        <w:rPr>
          <w:sz w:val="24"/>
          <w:szCs w:val="24"/>
          <w:lang w:val="en-US"/>
        </w:rPr>
        <w:noBreakHyphen/>
        <w:t>MDRD 60 to 89 mL/min/1.73 m</w:t>
      </w:r>
      <w:r w:rsidRPr="00A86B5B">
        <w:rPr>
          <w:sz w:val="24"/>
          <w:szCs w:val="24"/>
          <w:vertAlign w:val="superscript"/>
          <w:lang w:val="en-US"/>
        </w:rPr>
        <w:t>2</w:t>
      </w:r>
      <w:r w:rsidRPr="00A86B5B">
        <w:rPr>
          <w:sz w:val="24"/>
          <w:szCs w:val="24"/>
          <w:lang w:val="en-US"/>
        </w:rPr>
        <w:t xml:space="preserve">), mean mirabegron </w:t>
      </w:r>
      <w:proofErr w:type="spellStart"/>
      <w:r w:rsidRPr="00A86B5B">
        <w:rPr>
          <w:sz w:val="24"/>
          <w:szCs w:val="24"/>
          <w:lang w:val="en-US"/>
        </w:rPr>
        <w:t>C</w:t>
      </w:r>
      <w:r w:rsidRPr="00A86B5B">
        <w:rPr>
          <w:sz w:val="24"/>
          <w:szCs w:val="24"/>
          <w:vertAlign w:val="subscript"/>
          <w:lang w:val="en-US"/>
        </w:rPr>
        <w:t>max</w:t>
      </w:r>
      <w:proofErr w:type="spellEnd"/>
      <w:r w:rsidRPr="00A86B5B">
        <w:rPr>
          <w:sz w:val="24"/>
          <w:szCs w:val="24"/>
          <w:lang w:val="en-US"/>
        </w:rPr>
        <w:t xml:space="preserve"> and AUC were increased by 6% and 31% relative to volunteers with normal renal function. In volunteers with moderate renal impairment (eGFR</w:t>
      </w:r>
      <w:r w:rsidRPr="00A86B5B">
        <w:rPr>
          <w:sz w:val="24"/>
          <w:szCs w:val="24"/>
          <w:lang w:val="en-US"/>
        </w:rPr>
        <w:noBreakHyphen/>
        <w:t>MDRD 30 to 59 mL/min/1.73 m</w:t>
      </w:r>
      <w:r w:rsidRPr="00A86B5B">
        <w:rPr>
          <w:sz w:val="24"/>
          <w:szCs w:val="24"/>
          <w:vertAlign w:val="superscript"/>
          <w:lang w:val="en-US"/>
        </w:rPr>
        <w:t>2</w:t>
      </w:r>
      <w:r w:rsidRPr="00A86B5B">
        <w:rPr>
          <w:sz w:val="24"/>
          <w:szCs w:val="24"/>
          <w:lang w:val="en-US"/>
        </w:rPr>
        <w:t xml:space="preserve">), </w:t>
      </w:r>
      <w:proofErr w:type="spellStart"/>
      <w:r w:rsidRPr="00A86B5B">
        <w:rPr>
          <w:sz w:val="24"/>
          <w:szCs w:val="24"/>
          <w:lang w:val="en-US"/>
        </w:rPr>
        <w:t>C</w:t>
      </w:r>
      <w:r w:rsidRPr="00A86B5B">
        <w:rPr>
          <w:sz w:val="24"/>
          <w:szCs w:val="24"/>
          <w:vertAlign w:val="subscript"/>
          <w:lang w:val="en-US"/>
        </w:rPr>
        <w:t>max</w:t>
      </w:r>
      <w:proofErr w:type="spellEnd"/>
      <w:r w:rsidRPr="00A86B5B">
        <w:rPr>
          <w:sz w:val="24"/>
          <w:szCs w:val="24"/>
          <w:lang w:val="en-US"/>
        </w:rPr>
        <w:t xml:space="preserve"> and AUC were increased by 23% and 66%, respectively. In volunteers with severe renal impairment (eGFR</w:t>
      </w:r>
      <w:r w:rsidRPr="00A86B5B">
        <w:rPr>
          <w:sz w:val="24"/>
          <w:szCs w:val="24"/>
          <w:lang w:val="en-US"/>
        </w:rPr>
        <w:noBreakHyphen/>
        <w:t>MDRD 15 to 29 mL/min/1.73 m</w:t>
      </w:r>
      <w:r w:rsidRPr="00A86B5B">
        <w:rPr>
          <w:sz w:val="24"/>
          <w:szCs w:val="24"/>
          <w:vertAlign w:val="superscript"/>
          <w:lang w:val="en-US"/>
        </w:rPr>
        <w:t>2</w:t>
      </w:r>
      <w:r w:rsidRPr="00A86B5B">
        <w:rPr>
          <w:sz w:val="24"/>
          <w:szCs w:val="24"/>
          <w:lang w:val="en-US"/>
        </w:rPr>
        <w:t xml:space="preserve">), mean </w:t>
      </w:r>
      <w:proofErr w:type="spellStart"/>
      <w:r w:rsidRPr="00A86B5B">
        <w:rPr>
          <w:sz w:val="24"/>
          <w:szCs w:val="24"/>
          <w:lang w:val="en-US"/>
        </w:rPr>
        <w:t>C</w:t>
      </w:r>
      <w:r w:rsidRPr="00A86B5B">
        <w:rPr>
          <w:sz w:val="24"/>
          <w:szCs w:val="24"/>
          <w:vertAlign w:val="subscript"/>
          <w:lang w:val="en-US"/>
        </w:rPr>
        <w:t>max</w:t>
      </w:r>
      <w:proofErr w:type="spellEnd"/>
      <w:r w:rsidRPr="00A86B5B">
        <w:rPr>
          <w:sz w:val="24"/>
          <w:szCs w:val="24"/>
          <w:lang w:val="en-US"/>
        </w:rPr>
        <w:t xml:space="preserve"> and AUC values were 92% and 118% higher. Mirabegron has not been studied in patients with end stage renal disease (GFR &lt;15 mL/min/1.73 m</w:t>
      </w:r>
      <w:r w:rsidRPr="00A86B5B">
        <w:rPr>
          <w:sz w:val="24"/>
          <w:szCs w:val="24"/>
          <w:vertAlign w:val="superscript"/>
          <w:lang w:val="en-US"/>
        </w:rPr>
        <w:t>2</w:t>
      </w:r>
      <w:r w:rsidRPr="00A86B5B">
        <w:rPr>
          <w:sz w:val="24"/>
          <w:szCs w:val="24"/>
          <w:lang w:val="en-US"/>
        </w:rPr>
        <w:t xml:space="preserve"> or patients requiring </w:t>
      </w:r>
      <w:proofErr w:type="spellStart"/>
      <w:r w:rsidRPr="00A86B5B">
        <w:rPr>
          <w:sz w:val="24"/>
          <w:szCs w:val="24"/>
          <w:lang w:val="en-US"/>
        </w:rPr>
        <w:t>haemodialysis</w:t>
      </w:r>
      <w:proofErr w:type="spellEnd"/>
      <w:r w:rsidRPr="00A86B5B">
        <w:rPr>
          <w:sz w:val="24"/>
          <w:szCs w:val="24"/>
          <w:lang w:val="en-US"/>
        </w:rPr>
        <w:t>).</w:t>
      </w:r>
    </w:p>
    <w:p w14:paraId="311C0881" w14:textId="77777777" w:rsidR="007606FB" w:rsidRPr="00A86B5B" w:rsidRDefault="007606FB" w:rsidP="00591653">
      <w:pPr>
        <w:ind w:left="851"/>
        <w:rPr>
          <w:sz w:val="24"/>
          <w:szCs w:val="24"/>
          <w:lang w:val="en-US"/>
        </w:rPr>
      </w:pPr>
    </w:p>
    <w:p w14:paraId="1B7F0732" w14:textId="77777777" w:rsidR="007606FB" w:rsidRPr="00F137C6" w:rsidRDefault="007606FB" w:rsidP="00591653">
      <w:pPr>
        <w:ind w:left="851"/>
        <w:rPr>
          <w:sz w:val="24"/>
          <w:szCs w:val="24"/>
          <w:u w:val="single"/>
          <w:lang w:val="en-US"/>
        </w:rPr>
      </w:pPr>
      <w:r w:rsidRPr="00F137C6">
        <w:rPr>
          <w:sz w:val="24"/>
          <w:szCs w:val="24"/>
          <w:u w:val="single"/>
          <w:lang w:val="en-US"/>
        </w:rPr>
        <w:t>Hepatic impairment</w:t>
      </w:r>
    </w:p>
    <w:p w14:paraId="09BCA4D7" w14:textId="77777777" w:rsidR="007606FB" w:rsidRPr="00A86B5B" w:rsidRDefault="007606FB" w:rsidP="00591653">
      <w:pPr>
        <w:ind w:left="851"/>
        <w:rPr>
          <w:sz w:val="24"/>
          <w:szCs w:val="24"/>
          <w:lang w:val="en-US"/>
        </w:rPr>
      </w:pPr>
      <w:r w:rsidRPr="00A86B5B">
        <w:rPr>
          <w:sz w:val="24"/>
          <w:szCs w:val="24"/>
          <w:lang w:val="en-US"/>
        </w:rPr>
        <w:t xml:space="preserve">Following single dose administration of 100 mg mirabegron in volunteers with mild hepatic impairment (Child-Pugh Class A), mean mirabegron </w:t>
      </w:r>
      <w:proofErr w:type="spellStart"/>
      <w:r w:rsidRPr="00A86B5B">
        <w:rPr>
          <w:sz w:val="24"/>
          <w:szCs w:val="24"/>
          <w:lang w:val="en-US"/>
        </w:rPr>
        <w:t>C</w:t>
      </w:r>
      <w:r w:rsidRPr="00A86B5B">
        <w:rPr>
          <w:sz w:val="24"/>
          <w:szCs w:val="24"/>
          <w:vertAlign w:val="subscript"/>
          <w:lang w:val="en-US"/>
        </w:rPr>
        <w:t>max</w:t>
      </w:r>
      <w:proofErr w:type="spellEnd"/>
      <w:r w:rsidRPr="00A86B5B">
        <w:rPr>
          <w:sz w:val="24"/>
          <w:szCs w:val="24"/>
          <w:lang w:val="en-US"/>
        </w:rPr>
        <w:t xml:space="preserve"> and AUC were increased by 9% and 19% relative to volunteers with normal hepatic function. In volunteers with moderate hepatic impairment (Child-Pugh Class B), mean </w:t>
      </w:r>
      <w:proofErr w:type="spellStart"/>
      <w:r w:rsidRPr="00A86B5B">
        <w:rPr>
          <w:sz w:val="24"/>
          <w:szCs w:val="24"/>
          <w:lang w:val="en-US"/>
        </w:rPr>
        <w:t>C</w:t>
      </w:r>
      <w:r w:rsidRPr="00A86B5B">
        <w:rPr>
          <w:sz w:val="24"/>
          <w:szCs w:val="24"/>
          <w:vertAlign w:val="subscript"/>
          <w:lang w:val="en-US"/>
        </w:rPr>
        <w:t>max</w:t>
      </w:r>
      <w:proofErr w:type="spellEnd"/>
      <w:r w:rsidRPr="00A86B5B">
        <w:rPr>
          <w:sz w:val="24"/>
          <w:szCs w:val="24"/>
          <w:lang w:val="en-US"/>
        </w:rPr>
        <w:t xml:space="preserve"> and AUC values were </w:t>
      </w:r>
      <w:r w:rsidRPr="00A86B5B">
        <w:rPr>
          <w:sz w:val="24"/>
          <w:szCs w:val="24"/>
          <w:lang w:val="en-US"/>
        </w:rPr>
        <w:lastRenderedPageBreak/>
        <w:t>175% and 65% higher. Mirabegron has not been studied in patients with severe hepatic impairment (Child-Pugh Class C).</w:t>
      </w:r>
    </w:p>
    <w:p w14:paraId="34932E81" w14:textId="77777777" w:rsidR="007C5D2A" w:rsidRPr="00A86B5B" w:rsidRDefault="007C5D2A" w:rsidP="003E0341">
      <w:pPr>
        <w:tabs>
          <w:tab w:val="left" w:pos="851"/>
        </w:tabs>
        <w:ind w:left="851"/>
        <w:rPr>
          <w:sz w:val="24"/>
          <w:szCs w:val="24"/>
          <w:lang w:val="en-GB"/>
        </w:rPr>
      </w:pPr>
    </w:p>
    <w:p w14:paraId="0D6BCC81" w14:textId="77777777" w:rsidR="007C5D2A" w:rsidRPr="00A86B5B" w:rsidRDefault="00180A12" w:rsidP="007C5D2A">
      <w:pPr>
        <w:tabs>
          <w:tab w:val="left" w:pos="851"/>
        </w:tabs>
        <w:ind w:left="851" w:hanging="851"/>
        <w:rPr>
          <w:b/>
          <w:sz w:val="24"/>
          <w:szCs w:val="24"/>
          <w:lang w:val="en-GB"/>
        </w:rPr>
      </w:pPr>
      <w:r w:rsidRPr="00A86B5B">
        <w:rPr>
          <w:b/>
          <w:sz w:val="24"/>
          <w:szCs w:val="24"/>
          <w:lang w:val="en-GB"/>
        </w:rPr>
        <w:t>5.3</w:t>
      </w:r>
      <w:r w:rsidRPr="00A86B5B">
        <w:rPr>
          <w:b/>
          <w:sz w:val="24"/>
          <w:szCs w:val="24"/>
          <w:lang w:val="en-GB"/>
        </w:rPr>
        <w:tab/>
        <w:t>Preclinical safety data</w:t>
      </w:r>
    </w:p>
    <w:p w14:paraId="09F5191B" w14:textId="77777777" w:rsidR="007606FB" w:rsidRPr="00A86B5B" w:rsidRDefault="007606FB" w:rsidP="00591653">
      <w:pPr>
        <w:ind w:left="851"/>
        <w:rPr>
          <w:sz w:val="24"/>
          <w:szCs w:val="24"/>
          <w:lang w:val="en-US"/>
        </w:rPr>
      </w:pPr>
      <w:r w:rsidRPr="00A86B5B">
        <w:rPr>
          <w:sz w:val="24"/>
          <w:szCs w:val="24"/>
          <w:lang w:val="en-US"/>
        </w:rPr>
        <w:t xml:space="preserve">Pre-clinical studies have identified target organs of toxicity that are consistent with clinical observations. Transient increases in liver enzymes and hepatocyte changes (necrosis and decrease in glycogen particles) were seen in rats. An increase in heart rate was observed in rats, rabbits, dogs and monkeys. Genotoxicity and carcinogenicity studies have shown no genotoxic or carcinogenic potential </w:t>
      </w:r>
      <w:r w:rsidRPr="00A86B5B">
        <w:rPr>
          <w:i/>
          <w:sz w:val="24"/>
          <w:szCs w:val="24"/>
          <w:lang w:val="en-US"/>
        </w:rPr>
        <w:t>in vivo</w:t>
      </w:r>
      <w:r w:rsidRPr="00A86B5B">
        <w:rPr>
          <w:sz w:val="24"/>
          <w:szCs w:val="24"/>
          <w:lang w:val="en-US"/>
        </w:rPr>
        <w:t>.</w:t>
      </w:r>
    </w:p>
    <w:p w14:paraId="1AD0E37F" w14:textId="77777777" w:rsidR="007606FB" w:rsidRPr="00A86B5B" w:rsidRDefault="007606FB" w:rsidP="00591653">
      <w:pPr>
        <w:ind w:left="851"/>
        <w:rPr>
          <w:sz w:val="24"/>
          <w:szCs w:val="24"/>
          <w:lang w:val="en-US"/>
        </w:rPr>
      </w:pPr>
    </w:p>
    <w:p w14:paraId="5AB44BF0" w14:textId="77777777" w:rsidR="007606FB" w:rsidRPr="00A86B5B" w:rsidRDefault="007606FB" w:rsidP="00591653">
      <w:pPr>
        <w:ind w:left="851"/>
        <w:rPr>
          <w:sz w:val="24"/>
          <w:szCs w:val="24"/>
          <w:lang w:val="en-US"/>
        </w:rPr>
      </w:pPr>
      <w:r w:rsidRPr="00A86B5B">
        <w:rPr>
          <w:sz w:val="24"/>
          <w:szCs w:val="24"/>
          <w:lang w:val="en-US"/>
        </w:rPr>
        <w:t>No effects on fertility were seen at sub-lethal doses (human equivalent dose was 19</w:t>
      </w:r>
      <w:r w:rsidRPr="00A86B5B">
        <w:rPr>
          <w:sz w:val="24"/>
          <w:szCs w:val="24"/>
          <w:lang w:val="en-US"/>
        </w:rPr>
        <w:noBreakHyphen/>
        <w:t>fold higher than the maximum human recommended dose (MHRD)). The main findings in rabbit embryofetal development studies included malformations of the heart (dilated aorta, cardiomegaly) at systemic exposures 36</w:t>
      </w:r>
      <w:r w:rsidRPr="00A86B5B">
        <w:rPr>
          <w:sz w:val="24"/>
          <w:szCs w:val="24"/>
          <w:lang w:val="en-US"/>
        </w:rPr>
        <w:noBreakHyphen/>
        <w:t>fold higher than observed at the MHRD. In addition, malformations of the lung (absent accessory lobe of the lung) and increased post-implantation loss were observed in the rabbit at systemic exposures 14</w:t>
      </w:r>
      <w:r w:rsidRPr="00A86B5B">
        <w:rPr>
          <w:sz w:val="24"/>
          <w:szCs w:val="24"/>
          <w:lang w:val="en-US"/>
        </w:rPr>
        <w:noBreakHyphen/>
        <w:t xml:space="preserve">fold higher than observed at the MHRD, while in the rat reversible effects on ossification were noted (wavy ribs, delayed ossification, decreased number of ossified </w:t>
      </w:r>
      <w:proofErr w:type="spellStart"/>
      <w:r w:rsidRPr="00A86B5B">
        <w:rPr>
          <w:sz w:val="24"/>
          <w:szCs w:val="24"/>
          <w:lang w:val="en-US"/>
        </w:rPr>
        <w:t>sternebrae</w:t>
      </w:r>
      <w:proofErr w:type="spellEnd"/>
      <w:r w:rsidRPr="00A86B5B">
        <w:rPr>
          <w:sz w:val="24"/>
          <w:szCs w:val="24"/>
          <w:lang w:val="en-US"/>
        </w:rPr>
        <w:t>, metacarpi or metatarsi) at systemic exposures 22</w:t>
      </w:r>
      <w:r w:rsidRPr="00A86B5B">
        <w:rPr>
          <w:sz w:val="24"/>
          <w:szCs w:val="24"/>
          <w:lang w:val="en-US"/>
        </w:rPr>
        <w:noBreakHyphen/>
        <w:t>fold higher than observed at the MHRD. The observed embryofetal toxicity occurred at doses associated with maternal toxicity. The cardiovascular malformations observed in the rabbit were shown to be mediated via activation of the beta 1-adrenoceptor.</w:t>
      </w:r>
    </w:p>
    <w:p w14:paraId="51D216FE" w14:textId="77777777" w:rsidR="007606FB" w:rsidRPr="00A86B5B" w:rsidRDefault="007606FB" w:rsidP="00591653">
      <w:pPr>
        <w:ind w:left="851"/>
        <w:rPr>
          <w:sz w:val="24"/>
          <w:szCs w:val="24"/>
          <w:lang w:val="en-US"/>
        </w:rPr>
      </w:pPr>
    </w:p>
    <w:p w14:paraId="03C90231" w14:textId="77777777" w:rsidR="007606FB" w:rsidRPr="00A86B5B" w:rsidRDefault="007606FB" w:rsidP="00591653">
      <w:pPr>
        <w:ind w:left="851"/>
        <w:rPr>
          <w:sz w:val="24"/>
          <w:szCs w:val="24"/>
          <w:lang w:val="en-US"/>
        </w:rPr>
      </w:pPr>
      <w:r w:rsidRPr="00A86B5B">
        <w:rPr>
          <w:sz w:val="24"/>
          <w:szCs w:val="24"/>
          <w:lang w:val="en-US"/>
        </w:rPr>
        <w:t>Pharmacokinetic studies performed with radio-labelled mirabegron have shown that the parent compound and/or its metabolites are excreted in the milk of rats at levels that were approximately 1.7</w:t>
      </w:r>
      <w:r w:rsidRPr="00A86B5B">
        <w:rPr>
          <w:sz w:val="24"/>
          <w:szCs w:val="24"/>
          <w:lang w:val="en-US"/>
        </w:rPr>
        <w:noBreakHyphen/>
        <w:t>fold higher than plasma levels at 4 hours post administration (see section 4.6).</w:t>
      </w:r>
    </w:p>
    <w:p w14:paraId="0AD86785" w14:textId="77777777" w:rsidR="007C5D2A" w:rsidRPr="00A86B5B" w:rsidRDefault="007C5D2A" w:rsidP="003E0341">
      <w:pPr>
        <w:tabs>
          <w:tab w:val="left" w:pos="851"/>
        </w:tabs>
        <w:ind w:left="851"/>
        <w:rPr>
          <w:sz w:val="24"/>
          <w:szCs w:val="24"/>
          <w:lang w:val="en-GB"/>
        </w:rPr>
      </w:pPr>
    </w:p>
    <w:p w14:paraId="2B0821C6" w14:textId="77777777" w:rsidR="007C5D2A" w:rsidRPr="00A86B5B" w:rsidRDefault="007C5D2A" w:rsidP="003E0341">
      <w:pPr>
        <w:tabs>
          <w:tab w:val="left" w:pos="851"/>
        </w:tabs>
        <w:ind w:left="851"/>
        <w:rPr>
          <w:sz w:val="24"/>
          <w:szCs w:val="24"/>
          <w:lang w:val="en-GB"/>
        </w:rPr>
      </w:pPr>
    </w:p>
    <w:p w14:paraId="72047534" w14:textId="77777777" w:rsidR="007C5D2A" w:rsidRPr="00A86B5B" w:rsidRDefault="009925C9" w:rsidP="007C5D2A">
      <w:pPr>
        <w:ind w:left="851" w:hanging="851"/>
        <w:rPr>
          <w:b/>
          <w:sz w:val="24"/>
          <w:szCs w:val="24"/>
          <w:lang w:val="en-GB"/>
        </w:rPr>
      </w:pPr>
      <w:r w:rsidRPr="00A86B5B">
        <w:rPr>
          <w:b/>
          <w:sz w:val="24"/>
          <w:szCs w:val="24"/>
          <w:lang w:val="en-GB"/>
        </w:rPr>
        <w:t>6.</w:t>
      </w:r>
      <w:r w:rsidR="007C5D2A" w:rsidRPr="00A86B5B">
        <w:rPr>
          <w:b/>
          <w:sz w:val="24"/>
          <w:szCs w:val="24"/>
          <w:lang w:val="en-GB"/>
        </w:rPr>
        <w:tab/>
        <w:t>PHARMACEUTICAL PARTICULARS</w:t>
      </w:r>
    </w:p>
    <w:p w14:paraId="301148A6" w14:textId="77777777" w:rsidR="007C5D2A" w:rsidRPr="00A86B5B" w:rsidRDefault="007C5D2A" w:rsidP="003E0341">
      <w:pPr>
        <w:tabs>
          <w:tab w:val="left" w:pos="851"/>
        </w:tabs>
        <w:ind w:left="851"/>
        <w:rPr>
          <w:sz w:val="24"/>
          <w:szCs w:val="24"/>
          <w:lang w:val="en-GB"/>
        </w:rPr>
      </w:pPr>
    </w:p>
    <w:p w14:paraId="221CCC6B" w14:textId="77777777" w:rsidR="007C5D2A" w:rsidRPr="00A86B5B" w:rsidRDefault="007C5D2A" w:rsidP="007C5D2A">
      <w:pPr>
        <w:ind w:left="851" w:hanging="851"/>
        <w:rPr>
          <w:b/>
          <w:sz w:val="24"/>
          <w:szCs w:val="24"/>
          <w:lang w:val="en-GB"/>
        </w:rPr>
      </w:pPr>
      <w:r w:rsidRPr="00A86B5B">
        <w:rPr>
          <w:b/>
          <w:sz w:val="24"/>
          <w:szCs w:val="24"/>
          <w:lang w:val="en-GB"/>
        </w:rPr>
        <w:t>6.1</w:t>
      </w:r>
      <w:r w:rsidRPr="00A86B5B">
        <w:rPr>
          <w:b/>
          <w:sz w:val="24"/>
          <w:szCs w:val="24"/>
          <w:lang w:val="en-GB"/>
        </w:rPr>
        <w:tab/>
        <w:t>List of excipients</w:t>
      </w:r>
    </w:p>
    <w:p w14:paraId="06D801E8" w14:textId="77777777" w:rsidR="00F137C6" w:rsidRDefault="00F137C6" w:rsidP="00591653">
      <w:pPr>
        <w:ind w:left="851"/>
        <w:rPr>
          <w:sz w:val="24"/>
          <w:szCs w:val="24"/>
          <w:lang w:val="en-US"/>
        </w:rPr>
      </w:pPr>
    </w:p>
    <w:p w14:paraId="63C5646C" w14:textId="3B780802" w:rsidR="007606FB" w:rsidRPr="00F137C6" w:rsidRDefault="007606FB" w:rsidP="00591653">
      <w:pPr>
        <w:ind w:left="851"/>
        <w:rPr>
          <w:sz w:val="24"/>
          <w:szCs w:val="24"/>
          <w:u w:val="single"/>
          <w:lang w:val="en-US"/>
        </w:rPr>
      </w:pPr>
      <w:r w:rsidRPr="00F137C6">
        <w:rPr>
          <w:sz w:val="24"/>
          <w:szCs w:val="24"/>
          <w:u w:val="single"/>
          <w:lang w:val="en-US"/>
        </w:rPr>
        <w:t>Tablet core</w:t>
      </w:r>
    </w:p>
    <w:p w14:paraId="26AA817E" w14:textId="77777777" w:rsidR="007606FB" w:rsidRPr="00A86B5B" w:rsidRDefault="007606FB" w:rsidP="00591653">
      <w:pPr>
        <w:ind w:left="851"/>
        <w:rPr>
          <w:sz w:val="24"/>
          <w:szCs w:val="24"/>
          <w:lang w:val="en-US"/>
        </w:rPr>
      </w:pPr>
      <w:r w:rsidRPr="00A86B5B">
        <w:rPr>
          <w:sz w:val="24"/>
          <w:szCs w:val="24"/>
          <w:lang w:val="en-US"/>
        </w:rPr>
        <w:t>Macrogol 2 000 000</w:t>
      </w:r>
    </w:p>
    <w:p w14:paraId="763674B8" w14:textId="77777777" w:rsidR="007606FB" w:rsidRPr="00A86B5B" w:rsidRDefault="007606FB" w:rsidP="00591653">
      <w:pPr>
        <w:ind w:left="851"/>
        <w:rPr>
          <w:sz w:val="24"/>
          <w:szCs w:val="24"/>
          <w:lang w:val="en-US"/>
        </w:rPr>
      </w:pPr>
      <w:r w:rsidRPr="00A86B5B">
        <w:rPr>
          <w:sz w:val="24"/>
          <w:szCs w:val="24"/>
          <w:lang w:val="en-US"/>
        </w:rPr>
        <w:t>Cellulose, microcrystalline (E460)</w:t>
      </w:r>
    </w:p>
    <w:p w14:paraId="2228AEA8" w14:textId="77777777" w:rsidR="007606FB" w:rsidRPr="00A86B5B" w:rsidRDefault="007606FB" w:rsidP="00591653">
      <w:pPr>
        <w:ind w:left="851"/>
        <w:rPr>
          <w:sz w:val="24"/>
          <w:szCs w:val="24"/>
          <w:lang w:val="en-US"/>
        </w:rPr>
      </w:pPr>
      <w:r w:rsidRPr="00A86B5B">
        <w:rPr>
          <w:sz w:val="24"/>
          <w:szCs w:val="24"/>
          <w:lang w:val="en-US"/>
        </w:rPr>
        <w:t>Hypromellose type 2 208, K100 (E464)</w:t>
      </w:r>
    </w:p>
    <w:p w14:paraId="0DC12798" w14:textId="77777777" w:rsidR="007606FB" w:rsidRPr="00A86B5B" w:rsidRDefault="007606FB" w:rsidP="00591653">
      <w:pPr>
        <w:ind w:left="851"/>
        <w:rPr>
          <w:sz w:val="24"/>
          <w:szCs w:val="24"/>
          <w:lang w:val="en-US"/>
        </w:rPr>
      </w:pPr>
      <w:proofErr w:type="spellStart"/>
      <w:r w:rsidRPr="00A86B5B">
        <w:rPr>
          <w:sz w:val="24"/>
          <w:szCs w:val="24"/>
          <w:lang w:val="en-US"/>
        </w:rPr>
        <w:t>Hydroxypropylcellulose</w:t>
      </w:r>
      <w:proofErr w:type="spellEnd"/>
      <w:r w:rsidRPr="00A86B5B">
        <w:rPr>
          <w:sz w:val="24"/>
          <w:szCs w:val="24"/>
          <w:lang w:val="en-US"/>
        </w:rPr>
        <w:t xml:space="preserve"> </w:t>
      </w:r>
    </w:p>
    <w:p w14:paraId="4618AD69" w14:textId="77777777" w:rsidR="007606FB" w:rsidRPr="00A86B5B" w:rsidRDefault="007606FB" w:rsidP="00591653">
      <w:pPr>
        <w:ind w:left="851"/>
        <w:rPr>
          <w:sz w:val="24"/>
          <w:szCs w:val="24"/>
          <w:highlight w:val="yellow"/>
          <w:lang w:val="en-US"/>
        </w:rPr>
      </w:pPr>
      <w:r w:rsidRPr="00A86B5B">
        <w:rPr>
          <w:sz w:val="24"/>
          <w:szCs w:val="24"/>
          <w:lang w:val="en-US"/>
        </w:rPr>
        <w:t>Butylhydroxytoluene</w:t>
      </w:r>
      <w:r w:rsidRPr="00A86B5B">
        <w:rPr>
          <w:sz w:val="24"/>
          <w:szCs w:val="24"/>
          <w:highlight w:val="yellow"/>
          <w:lang w:val="en-US"/>
        </w:rPr>
        <w:t xml:space="preserve"> </w:t>
      </w:r>
    </w:p>
    <w:p w14:paraId="3BC18204" w14:textId="77777777" w:rsidR="007606FB" w:rsidRPr="00A86B5B" w:rsidRDefault="007606FB" w:rsidP="00591653">
      <w:pPr>
        <w:ind w:left="851"/>
        <w:rPr>
          <w:sz w:val="24"/>
          <w:szCs w:val="24"/>
          <w:lang w:val="en-US"/>
        </w:rPr>
      </w:pPr>
      <w:r w:rsidRPr="00A86B5B">
        <w:rPr>
          <w:sz w:val="24"/>
          <w:szCs w:val="24"/>
          <w:lang w:val="en-US"/>
        </w:rPr>
        <w:t>Magnesium stearate (E572)</w:t>
      </w:r>
    </w:p>
    <w:p w14:paraId="09A5AA60" w14:textId="77777777" w:rsidR="007606FB" w:rsidRPr="00A86B5B" w:rsidRDefault="007606FB" w:rsidP="00591653">
      <w:pPr>
        <w:ind w:left="851"/>
        <w:rPr>
          <w:sz w:val="24"/>
          <w:szCs w:val="24"/>
          <w:lang w:val="en-US"/>
        </w:rPr>
      </w:pPr>
      <w:r w:rsidRPr="00A86B5B">
        <w:rPr>
          <w:sz w:val="24"/>
          <w:szCs w:val="24"/>
          <w:lang w:val="en-US"/>
        </w:rPr>
        <w:t>Silica, colloidal anhydrous</w:t>
      </w:r>
    </w:p>
    <w:p w14:paraId="3385CCF6" w14:textId="77777777" w:rsidR="007606FB" w:rsidRPr="00A86B5B" w:rsidRDefault="007606FB" w:rsidP="00591653">
      <w:pPr>
        <w:ind w:left="851"/>
        <w:rPr>
          <w:sz w:val="24"/>
          <w:szCs w:val="24"/>
          <w:lang w:val="en-US"/>
        </w:rPr>
      </w:pPr>
    </w:p>
    <w:p w14:paraId="2F14DA07" w14:textId="1EEC2234" w:rsidR="007606FB" w:rsidRPr="00F137C6" w:rsidRDefault="007606FB" w:rsidP="00591653">
      <w:pPr>
        <w:ind w:left="851"/>
        <w:rPr>
          <w:sz w:val="24"/>
          <w:szCs w:val="24"/>
          <w:u w:val="single"/>
          <w:lang w:val="en-US"/>
        </w:rPr>
      </w:pPr>
      <w:r w:rsidRPr="00F137C6">
        <w:rPr>
          <w:sz w:val="24"/>
          <w:szCs w:val="24"/>
          <w:u w:val="single"/>
          <w:lang w:val="en-US"/>
        </w:rPr>
        <w:t>Film</w:t>
      </w:r>
      <w:r w:rsidR="00F137C6">
        <w:rPr>
          <w:sz w:val="24"/>
          <w:szCs w:val="24"/>
          <w:u w:val="single"/>
          <w:lang w:val="en-US"/>
        </w:rPr>
        <w:t>-</w:t>
      </w:r>
      <w:r w:rsidRPr="00F137C6">
        <w:rPr>
          <w:sz w:val="24"/>
          <w:szCs w:val="24"/>
          <w:u w:val="single"/>
          <w:lang w:val="en-US"/>
        </w:rPr>
        <w:t>coating</w:t>
      </w:r>
    </w:p>
    <w:p w14:paraId="4DFCFE28" w14:textId="6E238058" w:rsidR="007606FB" w:rsidRPr="00A86B5B" w:rsidRDefault="007606FB" w:rsidP="00591653">
      <w:pPr>
        <w:ind w:left="851"/>
        <w:rPr>
          <w:sz w:val="24"/>
          <w:szCs w:val="24"/>
          <w:lang w:val="en-US"/>
        </w:rPr>
      </w:pPr>
      <w:proofErr w:type="gramStart"/>
      <w:r w:rsidRPr="00A86B5B">
        <w:rPr>
          <w:sz w:val="24"/>
          <w:szCs w:val="24"/>
          <w:lang w:val="en-US"/>
        </w:rPr>
        <w:t>Poly(</w:t>
      </w:r>
      <w:proofErr w:type="gramEnd"/>
      <w:r w:rsidRPr="00A86B5B">
        <w:rPr>
          <w:sz w:val="24"/>
          <w:szCs w:val="24"/>
          <w:lang w:val="en-US"/>
        </w:rPr>
        <w:t>vinyl alcohol)</w:t>
      </w:r>
    </w:p>
    <w:p w14:paraId="7DAF2689" w14:textId="77777777" w:rsidR="007606FB" w:rsidRPr="00A86B5B" w:rsidRDefault="007606FB" w:rsidP="00591653">
      <w:pPr>
        <w:ind w:left="851"/>
        <w:rPr>
          <w:sz w:val="24"/>
          <w:szCs w:val="24"/>
          <w:lang w:val="en-US"/>
        </w:rPr>
      </w:pPr>
      <w:r w:rsidRPr="00A86B5B">
        <w:rPr>
          <w:sz w:val="24"/>
          <w:szCs w:val="24"/>
          <w:lang w:val="en-US"/>
        </w:rPr>
        <w:t>Titanium dioxide (E171)</w:t>
      </w:r>
    </w:p>
    <w:p w14:paraId="43664616" w14:textId="77777777" w:rsidR="007606FB" w:rsidRPr="00A86B5B" w:rsidRDefault="007606FB" w:rsidP="00591653">
      <w:pPr>
        <w:ind w:left="851"/>
        <w:rPr>
          <w:sz w:val="24"/>
          <w:szCs w:val="24"/>
          <w:lang w:val="en-US"/>
        </w:rPr>
      </w:pPr>
      <w:r w:rsidRPr="00A86B5B">
        <w:rPr>
          <w:sz w:val="24"/>
          <w:szCs w:val="24"/>
          <w:lang w:val="en-US"/>
        </w:rPr>
        <w:t>Macrogol</w:t>
      </w:r>
    </w:p>
    <w:p w14:paraId="459B9E9F" w14:textId="77777777" w:rsidR="007606FB" w:rsidRPr="00A86B5B" w:rsidRDefault="007606FB" w:rsidP="00591653">
      <w:pPr>
        <w:ind w:left="851"/>
        <w:rPr>
          <w:sz w:val="24"/>
          <w:szCs w:val="24"/>
          <w:lang w:val="en-US"/>
        </w:rPr>
      </w:pPr>
      <w:r w:rsidRPr="00A86B5B">
        <w:rPr>
          <w:sz w:val="24"/>
          <w:szCs w:val="24"/>
          <w:lang w:val="en-US"/>
        </w:rPr>
        <w:t>Talc (E553b)</w:t>
      </w:r>
    </w:p>
    <w:p w14:paraId="7E21116D" w14:textId="77777777" w:rsidR="007606FB" w:rsidRPr="00A86B5B" w:rsidRDefault="007606FB" w:rsidP="00591653">
      <w:pPr>
        <w:ind w:left="851"/>
        <w:rPr>
          <w:sz w:val="24"/>
          <w:szCs w:val="24"/>
          <w:lang w:val="en-US"/>
        </w:rPr>
      </w:pPr>
      <w:r w:rsidRPr="00A86B5B">
        <w:rPr>
          <w:sz w:val="24"/>
          <w:szCs w:val="24"/>
          <w:lang w:val="en-US"/>
        </w:rPr>
        <w:t>Iron oxide yellow (E172)</w:t>
      </w:r>
    </w:p>
    <w:p w14:paraId="55A6705E" w14:textId="77777777" w:rsidR="007606FB" w:rsidRPr="00A86B5B" w:rsidRDefault="007606FB" w:rsidP="00591653">
      <w:pPr>
        <w:ind w:left="851"/>
        <w:rPr>
          <w:sz w:val="24"/>
          <w:szCs w:val="24"/>
          <w:lang w:val="en-US"/>
        </w:rPr>
      </w:pPr>
      <w:r w:rsidRPr="00A86B5B">
        <w:rPr>
          <w:sz w:val="24"/>
          <w:szCs w:val="24"/>
          <w:lang w:val="en-US"/>
        </w:rPr>
        <w:t>Iron oxide red (E172)</w:t>
      </w:r>
    </w:p>
    <w:p w14:paraId="784E78A1" w14:textId="62FF9D5D" w:rsidR="001F3F63" w:rsidRDefault="001F3F63">
      <w:pPr>
        <w:rPr>
          <w:sz w:val="24"/>
          <w:szCs w:val="24"/>
          <w:lang w:val="en-GB"/>
        </w:rPr>
      </w:pPr>
      <w:r>
        <w:rPr>
          <w:sz w:val="24"/>
          <w:szCs w:val="24"/>
          <w:lang w:val="en-GB"/>
        </w:rPr>
        <w:br w:type="page"/>
      </w:r>
    </w:p>
    <w:p w14:paraId="0344DA1F" w14:textId="77777777" w:rsidR="007C5D2A" w:rsidRPr="00A86B5B" w:rsidRDefault="007C5D2A" w:rsidP="003D727E">
      <w:pPr>
        <w:tabs>
          <w:tab w:val="left" w:pos="851"/>
        </w:tabs>
        <w:ind w:left="851"/>
        <w:rPr>
          <w:sz w:val="24"/>
          <w:szCs w:val="24"/>
          <w:lang w:val="en-GB"/>
        </w:rPr>
      </w:pPr>
    </w:p>
    <w:p w14:paraId="7576B385" w14:textId="77777777" w:rsidR="007C5D2A" w:rsidRPr="00A86B5B" w:rsidRDefault="007C5D2A" w:rsidP="007C5D2A">
      <w:pPr>
        <w:ind w:left="851" w:hanging="851"/>
        <w:rPr>
          <w:b/>
          <w:sz w:val="24"/>
          <w:szCs w:val="24"/>
          <w:lang w:val="en-GB"/>
        </w:rPr>
      </w:pPr>
      <w:r w:rsidRPr="00A86B5B">
        <w:rPr>
          <w:b/>
          <w:sz w:val="24"/>
          <w:szCs w:val="24"/>
          <w:lang w:val="en-GB"/>
        </w:rPr>
        <w:t>6.2</w:t>
      </w:r>
      <w:r w:rsidRPr="00A86B5B">
        <w:rPr>
          <w:b/>
          <w:sz w:val="24"/>
          <w:szCs w:val="24"/>
          <w:lang w:val="en-GB"/>
        </w:rPr>
        <w:tab/>
        <w:t>Incompatibilities</w:t>
      </w:r>
    </w:p>
    <w:p w14:paraId="782FDA01" w14:textId="77777777" w:rsidR="007606FB" w:rsidRPr="00A86B5B" w:rsidRDefault="007606FB" w:rsidP="00591653">
      <w:pPr>
        <w:ind w:left="851"/>
        <w:rPr>
          <w:sz w:val="24"/>
          <w:szCs w:val="24"/>
          <w:lang w:val="en-US"/>
        </w:rPr>
      </w:pPr>
      <w:r w:rsidRPr="00A86B5B">
        <w:rPr>
          <w:sz w:val="24"/>
          <w:szCs w:val="24"/>
          <w:lang w:val="en-US"/>
        </w:rPr>
        <w:t>Not applicable.</w:t>
      </w:r>
    </w:p>
    <w:p w14:paraId="3E807235" w14:textId="77777777" w:rsidR="007C5D2A" w:rsidRPr="00A86B5B" w:rsidRDefault="007C5D2A" w:rsidP="003E0341">
      <w:pPr>
        <w:tabs>
          <w:tab w:val="left" w:pos="851"/>
        </w:tabs>
        <w:ind w:left="851"/>
        <w:rPr>
          <w:sz w:val="24"/>
          <w:szCs w:val="24"/>
          <w:lang w:val="en-GB"/>
        </w:rPr>
      </w:pPr>
    </w:p>
    <w:p w14:paraId="60AA34B7" w14:textId="77777777" w:rsidR="007C5D2A" w:rsidRPr="00A86B5B" w:rsidRDefault="007C5D2A" w:rsidP="007C5D2A">
      <w:pPr>
        <w:ind w:left="851" w:hanging="851"/>
        <w:rPr>
          <w:b/>
          <w:sz w:val="24"/>
          <w:szCs w:val="24"/>
          <w:lang w:val="en-GB"/>
        </w:rPr>
      </w:pPr>
      <w:r w:rsidRPr="00A86B5B">
        <w:rPr>
          <w:b/>
          <w:sz w:val="24"/>
          <w:szCs w:val="24"/>
          <w:lang w:val="en-GB"/>
        </w:rPr>
        <w:t>6.3</w:t>
      </w:r>
      <w:r w:rsidRPr="00A86B5B">
        <w:rPr>
          <w:b/>
          <w:sz w:val="24"/>
          <w:szCs w:val="24"/>
          <w:lang w:val="en-GB"/>
        </w:rPr>
        <w:tab/>
        <w:t>Shelf</w:t>
      </w:r>
      <w:r w:rsidR="00B45DC5" w:rsidRPr="00A86B5B">
        <w:rPr>
          <w:b/>
          <w:sz w:val="24"/>
          <w:szCs w:val="24"/>
          <w:lang w:val="en-GB"/>
        </w:rPr>
        <w:t xml:space="preserve"> </w:t>
      </w:r>
      <w:r w:rsidRPr="00A86B5B">
        <w:rPr>
          <w:b/>
          <w:sz w:val="24"/>
          <w:szCs w:val="24"/>
          <w:lang w:val="en-GB"/>
        </w:rPr>
        <w:t>life</w:t>
      </w:r>
    </w:p>
    <w:p w14:paraId="420BF6DC" w14:textId="77777777" w:rsidR="007606FB" w:rsidRPr="00A86B5B" w:rsidRDefault="007606FB" w:rsidP="00591653">
      <w:pPr>
        <w:ind w:left="851"/>
        <w:rPr>
          <w:sz w:val="24"/>
          <w:szCs w:val="24"/>
          <w:lang w:val="en-US"/>
        </w:rPr>
      </w:pPr>
      <w:r w:rsidRPr="00A86B5B">
        <w:rPr>
          <w:sz w:val="24"/>
          <w:szCs w:val="24"/>
          <w:lang w:val="en-US"/>
        </w:rPr>
        <w:t>2 years</w:t>
      </w:r>
    </w:p>
    <w:p w14:paraId="5232E343" w14:textId="77777777" w:rsidR="007C5D2A" w:rsidRPr="00A86B5B" w:rsidRDefault="007C5D2A" w:rsidP="003E0341">
      <w:pPr>
        <w:tabs>
          <w:tab w:val="left" w:pos="851"/>
        </w:tabs>
        <w:ind w:left="851"/>
        <w:rPr>
          <w:sz w:val="24"/>
          <w:szCs w:val="24"/>
          <w:lang w:val="en-GB"/>
        </w:rPr>
      </w:pPr>
    </w:p>
    <w:p w14:paraId="0545740F" w14:textId="77777777" w:rsidR="007C5D2A" w:rsidRPr="00A86B5B" w:rsidRDefault="007C5D2A" w:rsidP="007C5D2A">
      <w:pPr>
        <w:ind w:left="851" w:hanging="851"/>
        <w:rPr>
          <w:b/>
          <w:sz w:val="24"/>
          <w:szCs w:val="24"/>
          <w:lang w:val="en-GB"/>
        </w:rPr>
      </w:pPr>
      <w:r w:rsidRPr="00A86B5B">
        <w:rPr>
          <w:b/>
          <w:sz w:val="24"/>
          <w:szCs w:val="24"/>
          <w:lang w:val="en-GB"/>
        </w:rPr>
        <w:t>6.4</w:t>
      </w:r>
      <w:r w:rsidRPr="00A86B5B">
        <w:rPr>
          <w:b/>
          <w:sz w:val="24"/>
          <w:szCs w:val="24"/>
          <w:lang w:val="en-GB"/>
        </w:rPr>
        <w:tab/>
        <w:t>Special precautions for storage</w:t>
      </w:r>
    </w:p>
    <w:p w14:paraId="63E39DCB" w14:textId="77777777" w:rsidR="007606FB" w:rsidRPr="00A86B5B" w:rsidRDefault="007606FB" w:rsidP="00591653">
      <w:pPr>
        <w:ind w:left="851"/>
        <w:rPr>
          <w:sz w:val="24"/>
          <w:szCs w:val="24"/>
          <w:lang w:val="en-US"/>
        </w:rPr>
      </w:pPr>
      <w:r w:rsidRPr="00A86B5B">
        <w:rPr>
          <w:sz w:val="24"/>
          <w:szCs w:val="24"/>
          <w:lang w:val="en-US"/>
        </w:rPr>
        <w:t>This medicinal product does not require any special storage conditions.</w:t>
      </w:r>
    </w:p>
    <w:p w14:paraId="1E3D6DB2" w14:textId="77777777" w:rsidR="007C5D2A" w:rsidRPr="00A86B5B" w:rsidRDefault="007C5D2A" w:rsidP="003E0341">
      <w:pPr>
        <w:tabs>
          <w:tab w:val="left" w:pos="851"/>
        </w:tabs>
        <w:ind w:left="851"/>
        <w:rPr>
          <w:sz w:val="24"/>
          <w:szCs w:val="24"/>
          <w:lang w:val="en-GB"/>
        </w:rPr>
      </w:pPr>
    </w:p>
    <w:p w14:paraId="35A5F6D1" w14:textId="77777777" w:rsidR="007C5D2A" w:rsidRPr="00A86B5B" w:rsidRDefault="007C5D2A" w:rsidP="007C5D2A">
      <w:pPr>
        <w:ind w:left="851" w:hanging="851"/>
        <w:rPr>
          <w:b/>
          <w:sz w:val="24"/>
          <w:szCs w:val="24"/>
          <w:lang w:val="en-GB"/>
        </w:rPr>
      </w:pPr>
      <w:r w:rsidRPr="00A86B5B">
        <w:rPr>
          <w:b/>
          <w:sz w:val="24"/>
          <w:szCs w:val="24"/>
          <w:lang w:val="en-GB"/>
        </w:rPr>
        <w:t>6.5</w:t>
      </w:r>
      <w:r w:rsidRPr="00A86B5B">
        <w:rPr>
          <w:b/>
          <w:sz w:val="24"/>
          <w:szCs w:val="24"/>
          <w:lang w:val="en-GB"/>
        </w:rPr>
        <w:tab/>
        <w:t>Nature and contents of container</w:t>
      </w:r>
    </w:p>
    <w:p w14:paraId="71739366" w14:textId="77777777" w:rsidR="007606FB" w:rsidRPr="00A86B5B" w:rsidRDefault="007606FB" w:rsidP="00591653">
      <w:pPr>
        <w:ind w:left="851"/>
        <w:rPr>
          <w:sz w:val="24"/>
          <w:szCs w:val="24"/>
          <w:lang w:val="en-US"/>
        </w:rPr>
      </w:pPr>
      <w:r w:rsidRPr="00A86B5B">
        <w:rPr>
          <w:sz w:val="24"/>
          <w:szCs w:val="24"/>
          <w:lang w:val="en-US"/>
        </w:rPr>
        <w:t xml:space="preserve">Alu-OPA/Alu/PVC blisters </w:t>
      </w:r>
    </w:p>
    <w:p w14:paraId="79EAA098" w14:textId="77777777" w:rsidR="007606FB" w:rsidRPr="00A86B5B" w:rsidRDefault="007606FB" w:rsidP="00591653">
      <w:pPr>
        <w:ind w:left="851"/>
        <w:rPr>
          <w:sz w:val="24"/>
          <w:szCs w:val="24"/>
          <w:lang w:val="en-US"/>
        </w:rPr>
      </w:pPr>
    </w:p>
    <w:p w14:paraId="391FE0D4" w14:textId="77777777" w:rsidR="007606FB" w:rsidRPr="00A86B5B" w:rsidRDefault="007606FB" w:rsidP="00591653">
      <w:pPr>
        <w:ind w:left="851"/>
        <w:rPr>
          <w:sz w:val="24"/>
          <w:szCs w:val="24"/>
          <w:lang w:val="en-US"/>
        </w:rPr>
      </w:pPr>
      <w:r w:rsidRPr="00A86B5B">
        <w:rPr>
          <w:sz w:val="24"/>
          <w:szCs w:val="24"/>
          <w:lang w:val="en-US"/>
        </w:rPr>
        <w:t>Pack sizes:</w:t>
      </w:r>
    </w:p>
    <w:p w14:paraId="1B1E762A" w14:textId="77777777" w:rsidR="007606FB" w:rsidRPr="00A86B5B" w:rsidRDefault="007606FB" w:rsidP="00591653">
      <w:pPr>
        <w:ind w:left="851"/>
        <w:rPr>
          <w:sz w:val="24"/>
          <w:szCs w:val="24"/>
          <w:lang w:val="en-US"/>
        </w:rPr>
      </w:pPr>
      <w:r w:rsidRPr="00A86B5B">
        <w:rPr>
          <w:sz w:val="24"/>
          <w:szCs w:val="24"/>
          <w:lang w:val="en-US"/>
        </w:rPr>
        <w:t xml:space="preserve">10, 20, 30, 50, 60, 90, 100 or 200 prolonged-release tablets, </w:t>
      </w:r>
    </w:p>
    <w:p w14:paraId="5EA7E780" w14:textId="77777777" w:rsidR="007606FB" w:rsidRPr="00A86B5B" w:rsidRDefault="007606FB" w:rsidP="00591653">
      <w:pPr>
        <w:ind w:left="851"/>
        <w:rPr>
          <w:sz w:val="24"/>
          <w:szCs w:val="24"/>
          <w:lang w:val="en-US"/>
        </w:rPr>
      </w:pPr>
    </w:p>
    <w:p w14:paraId="6A68FD88" w14:textId="77777777" w:rsidR="007606FB" w:rsidRPr="00A86B5B" w:rsidRDefault="007606FB" w:rsidP="00591653">
      <w:pPr>
        <w:ind w:left="851"/>
        <w:rPr>
          <w:sz w:val="24"/>
          <w:szCs w:val="24"/>
          <w:lang w:val="en-US"/>
        </w:rPr>
      </w:pPr>
      <w:r w:rsidRPr="00A86B5B">
        <w:rPr>
          <w:sz w:val="24"/>
          <w:szCs w:val="24"/>
          <w:lang w:val="en-US"/>
        </w:rPr>
        <w:t>Not all pack sizes may be marketed.</w:t>
      </w:r>
    </w:p>
    <w:p w14:paraId="3969EB88" w14:textId="77777777" w:rsidR="007C5D2A" w:rsidRPr="00A86B5B" w:rsidRDefault="007C5D2A" w:rsidP="003E0341">
      <w:pPr>
        <w:tabs>
          <w:tab w:val="left" w:pos="851"/>
        </w:tabs>
        <w:ind w:left="851"/>
        <w:rPr>
          <w:sz w:val="24"/>
          <w:szCs w:val="24"/>
          <w:lang w:val="en-GB"/>
        </w:rPr>
      </w:pPr>
    </w:p>
    <w:p w14:paraId="2F7D8305" w14:textId="77777777" w:rsidR="007C5D2A" w:rsidRPr="00A86B5B" w:rsidRDefault="007C5D2A" w:rsidP="007C5D2A">
      <w:pPr>
        <w:ind w:left="851" w:hanging="851"/>
        <w:rPr>
          <w:b/>
          <w:sz w:val="24"/>
          <w:szCs w:val="24"/>
          <w:lang w:val="en-GB"/>
        </w:rPr>
      </w:pPr>
      <w:r w:rsidRPr="00A86B5B">
        <w:rPr>
          <w:b/>
          <w:sz w:val="24"/>
          <w:szCs w:val="24"/>
          <w:lang w:val="en-GB"/>
        </w:rPr>
        <w:t>6.6</w:t>
      </w:r>
      <w:r w:rsidRPr="00A86B5B">
        <w:rPr>
          <w:b/>
          <w:sz w:val="24"/>
          <w:szCs w:val="24"/>
          <w:lang w:val="en-GB"/>
        </w:rPr>
        <w:tab/>
        <w:t>Special precautions for disposal and other handling</w:t>
      </w:r>
    </w:p>
    <w:p w14:paraId="0C5D2961" w14:textId="77777777" w:rsidR="007606FB" w:rsidRPr="00A86B5B" w:rsidRDefault="007606FB" w:rsidP="00591653">
      <w:pPr>
        <w:ind w:left="851"/>
        <w:rPr>
          <w:sz w:val="24"/>
          <w:szCs w:val="24"/>
          <w:lang w:val="en-US"/>
        </w:rPr>
      </w:pPr>
      <w:r w:rsidRPr="00A86B5B">
        <w:rPr>
          <w:sz w:val="24"/>
          <w:szCs w:val="24"/>
          <w:lang w:val="en-US"/>
        </w:rPr>
        <w:t>Any unused medicinal product or waste material should be disposed of in accordance with local requirements.</w:t>
      </w:r>
    </w:p>
    <w:p w14:paraId="210FF13C" w14:textId="77777777" w:rsidR="007C5D2A" w:rsidRPr="00A86B5B" w:rsidRDefault="007C5D2A" w:rsidP="00AB4376">
      <w:pPr>
        <w:tabs>
          <w:tab w:val="left" w:pos="851"/>
        </w:tabs>
        <w:ind w:left="851"/>
        <w:rPr>
          <w:sz w:val="24"/>
          <w:szCs w:val="24"/>
          <w:lang w:val="en-GB"/>
        </w:rPr>
      </w:pPr>
    </w:p>
    <w:p w14:paraId="7BA6580B" w14:textId="77777777" w:rsidR="007C5D2A" w:rsidRPr="00A86B5B" w:rsidRDefault="007C5D2A" w:rsidP="007C5D2A">
      <w:pPr>
        <w:tabs>
          <w:tab w:val="left" w:pos="851"/>
        </w:tabs>
        <w:ind w:left="851" w:hanging="851"/>
        <w:jc w:val="both"/>
        <w:rPr>
          <w:b/>
          <w:sz w:val="24"/>
          <w:szCs w:val="24"/>
          <w:lang w:val="en-GB"/>
        </w:rPr>
      </w:pPr>
      <w:r w:rsidRPr="00A86B5B">
        <w:rPr>
          <w:b/>
          <w:sz w:val="24"/>
          <w:szCs w:val="24"/>
          <w:lang w:val="en-GB"/>
        </w:rPr>
        <w:t>7.</w:t>
      </w:r>
      <w:r w:rsidRPr="00A86B5B">
        <w:rPr>
          <w:b/>
          <w:sz w:val="24"/>
          <w:szCs w:val="24"/>
          <w:lang w:val="en-GB"/>
        </w:rPr>
        <w:tab/>
        <w:t>MARKETING AUTHORISATION HOLDER</w:t>
      </w:r>
    </w:p>
    <w:p w14:paraId="378CA89D" w14:textId="69227CCC" w:rsidR="007C5D2A" w:rsidRPr="00A86B5B" w:rsidRDefault="009E4D47" w:rsidP="00A85D26">
      <w:pPr>
        <w:tabs>
          <w:tab w:val="left" w:pos="851"/>
        </w:tabs>
        <w:ind w:left="851"/>
        <w:jc w:val="both"/>
        <w:rPr>
          <w:sz w:val="24"/>
          <w:szCs w:val="24"/>
          <w:lang w:val="en-GB"/>
        </w:rPr>
      </w:pPr>
      <w:proofErr w:type="spellStart"/>
      <w:r w:rsidRPr="00A86B5B">
        <w:rPr>
          <w:sz w:val="24"/>
          <w:szCs w:val="24"/>
          <w:lang w:val="en-GB"/>
        </w:rPr>
        <w:t>Zentiva</w:t>
      </w:r>
      <w:proofErr w:type="spellEnd"/>
      <w:r w:rsidRPr="00A86B5B">
        <w:rPr>
          <w:sz w:val="24"/>
          <w:szCs w:val="24"/>
          <w:lang w:val="en-GB"/>
        </w:rPr>
        <w:t xml:space="preserve"> </w:t>
      </w:r>
      <w:proofErr w:type="spellStart"/>
      <w:r w:rsidRPr="00A86B5B">
        <w:rPr>
          <w:sz w:val="24"/>
          <w:szCs w:val="24"/>
          <w:lang w:val="en-GB"/>
        </w:rPr>
        <w:t>k.s.</w:t>
      </w:r>
      <w:proofErr w:type="spellEnd"/>
    </w:p>
    <w:p w14:paraId="6B1A897B" w14:textId="1FD39B9F" w:rsidR="009E4D47" w:rsidRPr="00A86B5B" w:rsidRDefault="009E4D47" w:rsidP="00A85D26">
      <w:pPr>
        <w:tabs>
          <w:tab w:val="left" w:pos="851"/>
        </w:tabs>
        <w:ind w:left="851"/>
        <w:jc w:val="both"/>
        <w:rPr>
          <w:sz w:val="24"/>
          <w:szCs w:val="24"/>
          <w:lang w:val="en-GB"/>
        </w:rPr>
      </w:pPr>
      <w:r w:rsidRPr="00A86B5B">
        <w:rPr>
          <w:sz w:val="24"/>
          <w:szCs w:val="24"/>
          <w:lang w:val="en-GB"/>
        </w:rPr>
        <w:t xml:space="preserve">U </w:t>
      </w:r>
      <w:proofErr w:type="spellStart"/>
      <w:r w:rsidRPr="00A86B5B">
        <w:rPr>
          <w:sz w:val="24"/>
          <w:szCs w:val="24"/>
          <w:lang w:val="en-GB"/>
        </w:rPr>
        <w:t>Kabelovny</w:t>
      </w:r>
      <w:proofErr w:type="spellEnd"/>
      <w:r w:rsidRPr="00A86B5B">
        <w:rPr>
          <w:sz w:val="24"/>
          <w:szCs w:val="24"/>
          <w:lang w:val="en-GB"/>
        </w:rPr>
        <w:t xml:space="preserve"> 130</w:t>
      </w:r>
    </w:p>
    <w:p w14:paraId="1405E527" w14:textId="17722BEE" w:rsidR="009E4D47" w:rsidRPr="00A86B5B" w:rsidRDefault="009E4D47" w:rsidP="00A85D26">
      <w:pPr>
        <w:tabs>
          <w:tab w:val="left" w:pos="851"/>
        </w:tabs>
        <w:ind w:left="851"/>
        <w:jc w:val="both"/>
        <w:rPr>
          <w:sz w:val="24"/>
          <w:szCs w:val="24"/>
          <w:lang w:val="en-GB"/>
        </w:rPr>
      </w:pPr>
      <w:proofErr w:type="spellStart"/>
      <w:r w:rsidRPr="00A86B5B">
        <w:rPr>
          <w:sz w:val="24"/>
          <w:szCs w:val="24"/>
          <w:lang w:val="en-GB"/>
        </w:rPr>
        <w:t>Dolní</w:t>
      </w:r>
      <w:proofErr w:type="spellEnd"/>
      <w:r w:rsidRPr="00A86B5B">
        <w:rPr>
          <w:sz w:val="24"/>
          <w:szCs w:val="24"/>
          <w:lang w:val="en-GB"/>
        </w:rPr>
        <w:t xml:space="preserve"> </w:t>
      </w:r>
      <w:proofErr w:type="spellStart"/>
      <w:r w:rsidRPr="00A86B5B">
        <w:rPr>
          <w:sz w:val="24"/>
          <w:szCs w:val="24"/>
          <w:lang w:val="en-GB"/>
        </w:rPr>
        <w:t>Měcholupy</w:t>
      </w:r>
      <w:proofErr w:type="spellEnd"/>
    </w:p>
    <w:p w14:paraId="120C19DD" w14:textId="68E8184E" w:rsidR="009E4D47" w:rsidRPr="00A86B5B" w:rsidRDefault="009E4D47" w:rsidP="00A85D26">
      <w:pPr>
        <w:tabs>
          <w:tab w:val="left" w:pos="851"/>
        </w:tabs>
        <w:ind w:left="851"/>
        <w:jc w:val="both"/>
        <w:rPr>
          <w:sz w:val="24"/>
          <w:szCs w:val="24"/>
          <w:lang w:val="en-GB"/>
        </w:rPr>
      </w:pPr>
      <w:r w:rsidRPr="00A86B5B">
        <w:rPr>
          <w:sz w:val="24"/>
          <w:szCs w:val="24"/>
          <w:lang w:val="en-GB"/>
        </w:rPr>
        <w:t>102 37 Prague 10</w:t>
      </w:r>
    </w:p>
    <w:p w14:paraId="2AF94566" w14:textId="1DA72733" w:rsidR="009E4D47" w:rsidRPr="00A86B5B" w:rsidRDefault="009E4D47" w:rsidP="00A85D26">
      <w:pPr>
        <w:tabs>
          <w:tab w:val="left" w:pos="851"/>
        </w:tabs>
        <w:ind w:left="851"/>
        <w:jc w:val="both"/>
        <w:rPr>
          <w:sz w:val="24"/>
          <w:szCs w:val="24"/>
          <w:lang w:val="en-GB"/>
        </w:rPr>
      </w:pPr>
      <w:r w:rsidRPr="00A86B5B">
        <w:rPr>
          <w:sz w:val="24"/>
          <w:szCs w:val="24"/>
          <w:lang w:val="en-GB"/>
        </w:rPr>
        <w:t>Czechia</w:t>
      </w:r>
    </w:p>
    <w:p w14:paraId="2A2D6A60" w14:textId="77777777" w:rsidR="007C5D2A" w:rsidRPr="00A86B5B" w:rsidRDefault="007C5D2A" w:rsidP="003E0341">
      <w:pPr>
        <w:tabs>
          <w:tab w:val="left" w:pos="851"/>
        </w:tabs>
        <w:ind w:left="851"/>
        <w:jc w:val="both"/>
        <w:rPr>
          <w:sz w:val="24"/>
          <w:szCs w:val="24"/>
          <w:lang w:val="en-GB"/>
        </w:rPr>
      </w:pPr>
    </w:p>
    <w:p w14:paraId="2B56A876" w14:textId="77777777" w:rsidR="008A24F6" w:rsidRPr="00A86B5B" w:rsidRDefault="005A498B" w:rsidP="003E0341">
      <w:pPr>
        <w:tabs>
          <w:tab w:val="left" w:pos="851"/>
        </w:tabs>
        <w:ind w:left="851"/>
        <w:jc w:val="both"/>
        <w:rPr>
          <w:b/>
          <w:sz w:val="24"/>
          <w:szCs w:val="24"/>
          <w:lang w:val="en-GB"/>
        </w:rPr>
      </w:pPr>
      <w:r w:rsidRPr="00A86B5B">
        <w:rPr>
          <w:b/>
          <w:sz w:val="24"/>
          <w:szCs w:val="24"/>
          <w:lang w:val="en-GB"/>
        </w:rPr>
        <w:t>Representative</w:t>
      </w:r>
    </w:p>
    <w:p w14:paraId="36898A90" w14:textId="50E2F408" w:rsidR="005A498B" w:rsidRPr="00A86B5B" w:rsidRDefault="009E4D47" w:rsidP="005A498B">
      <w:pPr>
        <w:tabs>
          <w:tab w:val="left" w:pos="851"/>
        </w:tabs>
        <w:ind w:left="851"/>
        <w:jc w:val="both"/>
        <w:rPr>
          <w:sz w:val="24"/>
          <w:szCs w:val="24"/>
          <w:lang w:val="en-GB"/>
        </w:rPr>
      </w:pPr>
      <w:proofErr w:type="spellStart"/>
      <w:r w:rsidRPr="00A86B5B">
        <w:rPr>
          <w:sz w:val="24"/>
          <w:szCs w:val="24"/>
          <w:lang w:val="en-GB"/>
        </w:rPr>
        <w:t>Zentiva</w:t>
      </w:r>
      <w:proofErr w:type="spellEnd"/>
      <w:r w:rsidRPr="00A86B5B">
        <w:rPr>
          <w:sz w:val="24"/>
          <w:szCs w:val="24"/>
          <w:lang w:val="en-GB"/>
        </w:rPr>
        <w:t xml:space="preserve"> Denmark </w:t>
      </w:r>
      <w:proofErr w:type="spellStart"/>
      <w:r w:rsidRPr="00A86B5B">
        <w:rPr>
          <w:sz w:val="24"/>
          <w:szCs w:val="24"/>
          <w:lang w:val="en-GB"/>
        </w:rPr>
        <w:t>ApS</w:t>
      </w:r>
      <w:proofErr w:type="spellEnd"/>
    </w:p>
    <w:p w14:paraId="2DB8B518" w14:textId="4E3F886F" w:rsidR="009E4D47" w:rsidRPr="00A86B5B" w:rsidRDefault="009E4D47" w:rsidP="005A498B">
      <w:pPr>
        <w:tabs>
          <w:tab w:val="left" w:pos="851"/>
        </w:tabs>
        <w:ind w:left="851"/>
        <w:jc w:val="both"/>
        <w:rPr>
          <w:sz w:val="24"/>
          <w:szCs w:val="24"/>
          <w:lang w:val="en-GB"/>
        </w:rPr>
      </w:pPr>
      <w:proofErr w:type="spellStart"/>
      <w:r w:rsidRPr="00A86B5B">
        <w:rPr>
          <w:sz w:val="24"/>
          <w:szCs w:val="24"/>
          <w:lang w:val="en-GB"/>
        </w:rPr>
        <w:t>H</w:t>
      </w:r>
      <w:r w:rsidR="006510AE" w:rsidRPr="00A86B5B">
        <w:rPr>
          <w:sz w:val="24"/>
          <w:szCs w:val="24"/>
          <w:lang w:val="en-GB"/>
        </w:rPr>
        <w:t>ø</w:t>
      </w:r>
      <w:r w:rsidRPr="00A86B5B">
        <w:rPr>
          <w:sz w:val="24"/>
          <w:szCs w:val="24"/>
          <w:lang w:val="en-GB"/>
        </w:rPr>
        <w:t>ffdingsvej</w:t>
      </w:r>
      <w:proofErr w:type="spellEnd"/>
      <w:r w:rsidRPr="00A86B5B">
        <w:rPr>
          <w:sz w:val="24"/>
          <w:szCs w:val="24"/>
          <w:lang w:val="en-GB"/>
        </w:rPr>
        <w:t xml:space="preserve"> 34</w:t>
      </w:r>
    </w:p>
    <w:p w14:paraId="7661DACB" w14:textId="2B6E82AF" w:rsidR="006510AE" w:rsidRPr="00A86B5B" w:rsidRDefault="006510AE" w:rsidP="005A498B">
      <w:pPr>
        <w:tabs>
          <w:tab w:val="left" w:pos="851"/>
        </w:tabs>
        <w:ind w:left="851"/>
        <w:jc w:val="both"/>
        <w:rPr>
          <w:sz w:val="24"/>
          <w:szCs w:val="24"/>
          <w:lang w:val="en-GB"/>
        </w:rPr>
      </w:pPr>
      <w:r w:rsidRPr="00A86B5B">
        <w:rPr>
          <w:sz w:val="24"/>
          <w:szCs w:val="24"/>
          <w:lang w:val="en-GB"/>
        </w:rPr>
        <w:t xml:space="preserve">2500 </w:t>
      </w:r>
      <w:proofErr w:type="spellStart"/>
      <w:r w:rsidRPr="00A86B5B">
        <w:rPr>
          <w:sz w:val="24"/>
          <w:szCs w:val="24"/>
          <w:lang w:val="en-GB"/>
        </w:rPr>
        <w:t>Valby</w:t>
      </w:r>
      <w:proofErr w:type="spellEnd"/>
    </w:p>
    <w:p w14:paraId="55958C08" w14:textId="77777777" w:rsidR="008A24F6" w:rsidRPr="00A86B5B" w:rsidRDefault="008A24F6" w:rsidP="003E0341">
      <w:pPr>
        <w:tabs>
          <w:tab w:val="left" w:pos="851"/>
        </w:tabs>
        <w:ind w:left="851"/>
        <w:jc w:val="both"/>
        <w:rPr>
          <w:sz w:val="24"/>
          <w:szCs w:val="24"/>
          <w:lang w:val="en-GB"/>
        </w:rPr>
      </w:pPr>
    </w:p>
    <w:p w14:paraId="6529E0F3" w14:textId="77777777" w:rsidR="007C5D2A" w:rsidRPr="00A86B5B" w:rsidRDefault="007C5D2A" w:rsidP="007C5D2A">
      <w:pPr>
        <w:ind w:left="851" w:hanging="851"/>
        <w:jc w:val="both"/>
        <w:rPr>
          <w:b/>
          <w:sz w:val="24"/>
          <w:szCs w:val="24"/>
          <w:lang w:val="en-GB"/>
        </w:rPr>
      </w:pPr>
      <w:r w:rsidRPr="00A86B5B">
        <w:rPr>
          <w:b/>
          <w:sz w:val="24"/>
          <w:szCs w:val="24"/>
          <w:lang w:val="en-GB"/>
        </w:rPr>
        <w:t>8.</w:t>
      </w:r>
      <w:r w:rsidRPr="00A86B5B">
        <w:rPr>
          <w:b/>
          <w:sz w:val="24"/>
          <w:szCs w:val="24"/>
          <w:lang w:val="en-GB"/>
        </w:rPr>
        <w:tab/>
        <w:t>MARKETING AUTHORISATION NUMBER(S)</w:t>
      </w:r>
    </w:p>
    <w:p w14:paraId="12A7C683" w14:textId="285B28F3" w:rsidR="007C5D2A" w:rsidRPr="00A86B5B" w:rsidRDefault="006510AE" w:rsidP="00A85D26">
      <w:pPr>
        <w:tabs>
          <w:tab w:val="left" w:pos="851"/>
        </w:tabs>
        <w:ind w:left="851"/>
        <w:jc w:val="both"/>
        <w:rPr>
          <w:sz w:val="24"/>
          <w:szCs w:val="24"/>
          <w:lang w:val="en-GB"/>
        </w:rPr>
      </w:pPr>
      <w:r w:rsidRPr="00A86B5B">
        <w:rPr>
          <w:sz w:val="24"/>
          <w:szCs w:val="24"/>
          <w:lang w:val="en-GB"/>
        </w:rPr>
        <w:t>69923</w:t>
      </w:r>
    </w:p>
    <w:p w14:paraId="49774936" w14:textId="77777777" w:rsidR="007C5D2A" w:rsidRPr="00A86B5B" w:rsidRDefault="007C5D2A" w:rsidP="00180A12">
      <w:pPr>
        <w:tabs>
          <w:tab w:val="left" w:pos="851"/>
        </w:tabs>
        <w:ind w:left="851"/>
        <w:jc w:val="both"/>
        <w:rPr>
          <w:sz w:val="24"/>
          <w:szCs w:val="24"/>
          <w:lang w:val="en-GB"/>
        </w:rPr>
      </w:pPr>
    </w:p>
    <w:p w14:paraId="00406A3F" w14:textId="77777777" w:rsidR="007C5D2A" w:rsidRPr="00A86B5B" w:rsidRDefault="007C5D2A" w:rsidP="007C5D2A">
      <w:pPr>
        <w:tabs>
          <w:tab w:val="left" w:pos="851"/>
        </w:tabs>
        <w:jc w:val="both"/>
        <w:rPr>
          <w:sz w:val="24"/>
          <w:szCs w:val="24"/>
          <w:lang w:val="en-GB"/>
        </w:rPr>
      </w:pPr>
      <w:r w:rsidRPr="00A86B5B">
        <w:rPr>
          <w:b/>
          <w:sz w:val="24"/>
          <w:szCs w:val="24"/>
          <w:lang w:val="en-GB"/>
        </w:rPr>
        <w:t>9.</w:t>
      </w:r>
      <w:r w:rsidRPr="00A86B5B">
        <w:rPr>
          <w:b/>
          <w:sz w:val="24"/>
          <w:szCs w:val="24"/>
          <w:lang w:val="en-GB"/>
        </w:rPr>
        <w:tab/>
        <w:t>DATE OF FIRST AUTHORISATION</w:t>
      </w:r>
    </w:p>
    <w:p w14:paraId="4238AD42" w14:textId="1CE417AC" w:rsidR="007C5D2A" w:rsidRPr="00A86B5B" w:rsidRDefault="00531029" w:rsidP="00A85D26">
      <w:pPr>
        <w:ind w:left="851"/>
        <w:jc w:val="both"/>
        <w:rPr>
          <w:sz w:val="24"/>
          <w:szCs w:val="24"/>
          <w:lang w:val="en-GB"/>
        </w:rPr>
      </w:pPr>
      <w:r>
        <w:rPr>
          <w:sz w:val="24"/>
          <w:szCs w:val="24"/>
          <w:lang w:val="en-GB"/>
        </w:rPr>
        <w:t>6 September 2024</w:t>
      </w:r>
      <w:bookmarkStart w:id="1" w:name="_GoBack"/>
      <w:bookmarkEnd w:id="1"/>
    </w:p>
    <w:p w14:paraId="135B8390" w14:textId="77777777" w:rsidR="007C5D2A" w:rsidRPr="00A86B5B" w:rsidRDefault="007C5D2A" w:rsidP="003E0341">
      <w:pPr>
        <w:tabs>
          <w:tab w:val="left" w:pos="851"/>
        </w:tabs>
        <w:ind w:left="851"/>
        <w:jc w:val="both"/>
        <w:rPr>
          <w:sz w:val="24"/>
          <w:szCs w:val="24"/>
          <w:lang w:val="en-GB"/>
        </w:rPr>
      </w:pPr>
    </w:p>
    <w:p w14:paraId="38D2F139" w14:textId="77777777" w:rsidR="007C5D2A" w:rsidRPr="00A86B5B" w:rsidRDefault="007C5D2A" w:rsidP="007C5D2A">
      <w:pPr>
        <w:tabs>
          <w:tab w:val="left" w:pos="851"/>
        </w:tabs>
        <w:jc w:val="both"/>
        <w:rPr>
          <w:sz w:val="24"/>
          <w:szCs w:val="24"/>
          <w:lang w:val="en-GB"/>
        </w:rPr>
      </w:pPr>
      <w:r w:rsidRPr="00A86B5B">
        <w:rPr>
          <w:b/>
          <w:sz w:val="24"/>
          <w:szCs w:val="24"/>
          <w:lang w:val="en-GB"/>
        </w:rPr>
        <w:t>10.</w:t>
      </w:r>
      <w:r w:rsidRPr="00A86B5B">
        <w:rPr>
          <w:b/>
          <w:sz w:val="24"/>
          <w:szCs w:val="24"/>
          <w:lang w:val="en-GB"/>
        </w:rPr>
        <w:tab/>
        <w:t>DATE OF REVISION OF THE TEXT</w:t>
      </w:r>
    </w:p>
    <w:p w14:paraId="0F7CDD3E" w14:textId="7225B3AE" w:rsidR="007C5D2A" w:rsidRPr="00A86B5B" w:rsidRDefault="006510AE" w:rsidP="003E0341">
      <w:pPr>
        <w:tabs>
          <w:tab w:val="left" w:pos="851"/>
        </w:tabs>
        <w:ind w:left="851"/>
        <w:jc w:val="both"/>
        <w:rPr>
          <w:sz w:val="24"/>
          <w:szCs w:val="24"/>
          <w:lang w:val="en-GB"/>
        </w:rPr>
      </w:pPr>
      <w:r w:rsidRPr="00A86B5B">
        <w:rPr>
          <w:sz w:val="24"/>
          <w:szCs w:val="24"/>
          <w:lang w:val="en-GB"/>
        </w:rPr>
        <w:t>-</w:t>
      </w:r>
    </w:p>
    <w:sectPr w:rsidR="007C5D2A" w:rsidRPr="00A86B5B"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8F0C8" w14:textId="77777777" w:rsidR="009E4D47" w:rsidRDefault="009E4D47">
      <w:r>
        <w:separator/>
      </w:r>
    </w:p>
  </w:endnote>
  <w:endnote w:type="continuationSeparator" w:id="0">
    <w:p w14:paraId="631128F6" w14:textId="77777777" w:rsidR="009E4D47" w:rsidRDefault="009E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33656" w14:textId="77777777" w:rsidR="009E4D47" w:rsidRDefault="009E4D4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05A37" w14:textId="77777777" w:rsidR="009E4D47" w:rsidRDefault="009E4D47">
    <w:pPr>
      <w:pStyle w:val="Sidefod"/>
      <w:pBdr>
        <w:bottom w:val="single" w:sz="6" w:space="1" w:color="auto"/>
      </w:pBdr>
    </w:pPr>
  </w:p>
  <w:p w14:paraId="3891DE33" w14:textId="77777777" w:rsidR="009E4D47" w:rsidRDefault="009E4D47">
    <w:pPr>
      <w:pStyle w:val="Sidefod"/>
      <w:tabs>
        <w:tab w:val="clear" w:pos="4819"/>
        <w:tab w:val="left" w:pos="8647"/>
      </w:tabs>
      <w:rPr>
        <w:i/>
        <w:snapToGrid w:val="0"/>
        <w:sz w:val="18"/>
      </w:rPr>
    </w:pPr>
  </w:p>
  <w:p w14:paraId="4F062BC9" w14:textId="64DFEB55" w:rsidR="009E4D47" w:rsidRPr="00814545" w:rsidRDefault="009E4D47" w:rsidP="00AC033C">
    <w:pPr>
      <w:pStyle w:val="Sidefod"/>
      <w:tabs>
        <w:tab w:val="clear" w:pos="4819"/>
        <w:tab w:val="left" w:pos="8364"/>
      </w:tabs>
      <w:rPr>
        <w:i/>
        <w:sz w:val="18"/>
        <w:lang w:val="en-US"/>
      </w:rPr>
    </w:pPr>
    <w:r>
      <w:rPr>
        <w:i/>
        <w:snapToGrid w:val="0"/>
        <w:sz w:val="18"/>
      </w:rPr>
      <w:fldChar w:fldCharType="begin"/>
    </w:r>
    <w:r w:rsidRPr="00814545">
      <w:rPr>
        <w:i/>
        <w:snapToGrid w:val="0"/>
        <w:sz w:val="18"/>
        <w:lang w:val="en-US"/>
      </w:rPr>
      <w:instrText xml:space="preserve"> FILENAME </w:instrText>
    </w:r>
    <w:r>
      <w:rPr>
        <w:i/>
        <w:snapToGrid w:val="0"/>
        <w:sz w:val="18"/>
      </w:rPr>
      <w:fldChar w:fldCharType="separate"/>
    </w:r>
    <w:r w:rsidR="00814545" w:rsidRPr="00814545">
      <w:rPr>
        <w:i/>
        <w:noProof/>
        <w:snapToGrid w:val="0"/>
        <w:sz w:val="18"/>
        <w:lang w:val="en-US"/>
      </w:rPr>
      <w:t>Mirabegron Zentiva, depottabletter 50 mg.docx</w:t>
    </w:r>
    <w:r>
      <w:rPr>
        <w:i/>
        <w:snapToGrid w:val="0"/>
        <w:sz w:val="18"/>
      </w:rPr>
      <w:fldChar w:fldCharType="end"/>
    </w:r>
    <w:r w:rsidRPr="00814545">
      <w:rPr>
        <w:i/>
        <w:snapToGrid w:val="0"/>
        <w:sz w:val="18"/>
        <w:lang w:val="en-US"/>
      </w:rPr>
      <w:tab/>
      <w:t xml:space="preserve">Page </w:t>
    </w:r>
    <w:r>
      <w:rPr>
        <w:i/>
        <w:snapToGrid w:val="0"/>
        <w:sz w:val="18"/>
      </w:rPr>
      <w:fldChar w:fldCharType="begin"/>
    </w:r>
    <w:r w:rsidRPr="00814545">
      <w:rPr>
        <w:i/>
        <w:snapToGrid w:val="0"/>
        <w:sz w:val="18"/>
        <w:lang w:val="en-US"/>
      </w:rPr>
      <w:instrText xml:space="preserve"> PAGE </w:instrText>
    </w:r>
    <w:r>
      <w:rPr>
        <w:i/>
        <w:snapToGrid w:val="0"/>
        <w:sz w:val="18"/>
      </w:rPr>
      <w:fldChar w:fldCharType="separate"/>
    </w:r>
    <w:r w:rsidRPr="00814545">
      <w:rPr>
        <w:i/>
        <w:noProof/>
        <w:snapToGrid w:val="0"/>
        <w:sz w:val="18"/>
        <w:lang w:val="en-US"/>
      </w:rPr>
      <w:t>1</w:t>
    </w:r>
    <w:r>
      <w:rPr>
        <w:i/>
        <w:snapToGrid w:val="0"/>
        <w:sz w:val="18"/>
      </w:rPr>
      <w:fldChar w:fldCharType="end"/>
    </w:r>
    <w:r w:rsidRPr="00814545">
      <w:rPr>
        <w:i/>
        <w:snapToGrid w:val="0"/>
        <w:sz w:val="18"/>
        <w:lang w:val="en-US"/>
      </w:rPr>
      <w:t xml:space="preserve"> of </w:t>
    </w:r>
    <w:r>
      <w:rPr>
        <w:i/>
        <w:snapToGrid w:val="0"/>
        <w:sz w:val="18"/>
      </w:rPr>
      <w:fldChar w:fldCharType="begin"/>
    </w:r>
    <w:r w:rsidRPr="00814545">
      <w:rPr>
        <w:i/>
        <w:snapToGrid w:val="0"/>
        <w:sz w:val="18"/>
        <w:lang w:val="en-US"/>
      </w:rPr>
      <w:instrText xml:space="preserve"> NUMPAGES </w:instrText>
    </w:r>
    <w:r>
      <w:rPr>
        <w:i/>
        <w:snapToGrid w:val="0"/>
        <w:sz w:val="18"/>
      </w:rPr>
      <w:fldChar w:fldCharType="separate"/>
    </w:r>
    <w:r w:rsidRPr="00814545">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D1AF9" w14:textId="77777777" w:rsidR="009E4D47" w:rsidRDefault="009E4D47">
    <w:pPr>
      <w:pStyle w:val="Sidefod"/>
      <w:pBdr>
        <w:bottom w:val="single" w:sz="6" w:space="1" w:color="auto"/>
      </w:pBdr>
      <w:tabs>
        <w:tab w:val="clear" w:pos="4819"/>
        <w:tab w:val="left" w:pos="8789"/>
      </w:tabs>
      <w:rPr>
        <w:i/>
        <w:snapToGrid w:val="0"/>
        <w:sz w:val="18"/>
      </w:rPr>
    </w:pPr>
  </w:p>
  <w:p w14:paraId="1E3087C5" w14:textId="77777777" w:rsidR="009E4D47" w:rsidRDefault="009E4D47">
    <w:pPr>
      <w:pStyle w:val="Sidefod"/>
      <w:tabs>
        <w:tab w:val="clear" w:pos="4819"/>
        <w:tab w:val="left" w:pos="8789"/>
      </w:tabs>
      <w:rPr>
        <w:i/>
        <w:snapToGrid w:val="0"/>
        <w:sz w:val="18"/>
      </w:rPr>
    </w:pPr>
  </w:p>
  <w:p w14:paraId="46D544B7" w14:textId="1D9B30C1" w:rsidR="009E4D47" w:rsidRPr="00814545" w:rsidRDefault="009E4D47">
    <w:pPr>
      <w:pStyle w:val="Sidefod"/>
      <w:tabs>
        <w:tab w:val="clear" w:pos="4819"/>
        <w:tab w:val="left" w:pos="8647"/>
      </w:tabs>
      <w:rPr>
        <w:i/>
        <w:sz w:val="18"/>
        <w:lang w:val="en-US"/>
      </w:rPr>
    </w:pPr>
    <w:r>
      <w:rPr>
        <w:i/>
        <w:snapToGrid w:val="0"/>
        <w:sz w:val="18"/>
      </w:rPr>
      <w:fldChar w:fldCharType="begin"/>
    </w:r>
    <w:r w:rsidRPr="00814545">
      <w:rPr>
        <w:i/>
        <w:snapToGrid w:val="0"/>
        <w:sz w:val="18"/>
        <w:lang w:val="en-US"/>
      </w:rPr>
      <w:instrText xml:space="preserve"> FILENAME </w:instrText>
    </w:r>
    <w:r>
      <w:rPr>
        <w:i/>
        <w:snapToGrid w:val="0"/>
        <w:sz w:val="18"/>
      </w:rPr>
      <w:fldChar w:fldCharType="separate"/>
    </w:r>
    <w:r w:rsidR="00814545" w:rsidRPr="00814545">
      <w:rPr>
        <w:i/>
        <w:noProof/>
        <w:snapToGrid w:val="0"/>
        <w:sz w:val="18"/>
        <w:lang w:val="en-US"/>
      </w:rPr>
      <w:t>Mirabegron Zentiva, depottabletter 50 mg.docx</w:t>
    </w:r>
    <w:r>
      <w:rPr>
        <w:i/>
        <w:snapToGrid w:val="0"/>
        <w:sz w:val="18"/>
      </w:rPr>
      <w:fldChar w:fldCharType="end"/>
    </w:r>
    <w:r w:rsidRPr="00814545">
      <w:rPr>
        <w:i/>
        <w:snapToGrid w:val="0"/>
        <w:sz w:val="18"/>
        <w:lang w:val="en-US"/>
      </w:rPr>
      <w:tab/>
      <w:t xml:space="preserve">Page </w:t>
    </w:r>
    <w:r>
      <w:rPr>
        <w:i/>
        <w:snapToGrid w:val="0"/>
        <w:sz w:val="18"/>
      </w:rPr>
      <w:fldChar w:fldCharType="begin"/>
    </w:r>
    <w:r w:rsidRPr="00814545">
      <w:rPr>
        <w:i/>
        <w:snapToGrid w:val="0"/>
        <w:sz w:val="18"/>
        <w:lang w:val="en-US"/>
      </w:rPr>
      <w:instrText xml:space="preserve"> PAGE </w:instrText>
    </w:r>
    <w:r>
      <w:rPr>
        <w:i/>
        <w:snapToGrid w:val="0"/>
        <w:sz w:val="18"/>
      </w:rPr>
      <w:fldChar w:fldCharType="separate"/>
    </w:r>
    <w:r w:rsidRPr="00814545">
      <w:rPr>
        <w:i/>
        <w:noProof/>
        <w:snapToGrid w:val="0"/>
        <w:sz w:val="18"/>
        <w:lang w:val="en-US"/>
      </w:rPr>
      <w:t>1</w:t>
    </w:r>
    <w:r>
      <w:rPr>
        <w:i/>
        <w:snapToGrid w:val="0"/>
        <w:sz w:val="18"/>
      </w:rPr>
      <w:fldChar w:fldCharType="end"/>
    </w:r>
    <w:r w:rsidRPr="00814545">
      <w:rPr>
        <w:i/>
        <w:snapToGrid w:val="0"/>
        <w:sz w:val="18"/>
        <w:lang w:val="en-US"/>
      </w:rPr>
      <w:t xml:space="preserve"> of </w:t>
    </w:r>
    <w:r>
      <w:rPr>
        <w:i/>
        <w:snapToGrid w:val="0"/>
        <w:sz w:val="18"/>
      </w:rPr>
      <w:fldChar w:fldCharType="begin"/>
    </w:r>
    <w:r w:rsidRPr="00814545">
      <w:rPr>
        <w:i/>
        <w:snapToGrid w:val="0"/>
        <w:sz w:val="18"/>
        <w:lang w:val="en-US"/>
      </w:rPr>
      <w:instrText xml:space="preserve"> NUMPAGES </w:instrText>
    </w:r>
    <w:r>
      <w:rPr>
        <w:i/>
        <w:snapToGrid w:val="0"/>
        <w:sz w:val="18"/>
      </w:rPr>
      <w:fldChar w:fldCharType="separate"/>
    </w:r>
    <w:r w:rsidRPr="00814545">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8342D" w14:textId="77777777" w:rsidR="009E4D47" w:rsidRDefault="009E4D47">
      <w:r>
        <w:separator/>
      </w:r>
    </w:p>
  </w:footnote>
  <w:footnote w:type="continuationSeparator" w:id="0">
    <w:p w14:paraId="597FA26B" w14:textId="77777777" w:rsidR="009E4D47" w:rsidRDefault="009E4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9C9E" w14:textId="77777777" w:rsidR="009E4D47" w:rsidRDefault="009E4D4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66E3B" w14:textId="77777777" w:rsidR="009E4D47" w:rsidRDefault="009E4D47">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D73DC" w14:textId="77777777" w:rsidR="009E4D47" w:rsidRDefault="009E4D4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418"/>
    <w:rsid w:val="00056601"/>
    <w:rsid w:val="000C3846"/>
    <w:rsid w:val="000C6218"/>
    <w:rsid w:val="000D3C9D"/>
    <w:rsid w:val="000F0D47"/>
    <w:rsid w:val="001242DE"/>
    <w:rsid w:val="00180A12"/>
    <w:rsid w:val="001906D7"/>
    <w:rsid w:val="001F3F63"/>
    <w:rsid w:val="00214331"/>
    <w:rsid w:val="00214CF4"/>
    <w:rsid w:val="00281F03"/>
    <w:rsid w:val="0029458A"/>
    <w:rsid w:val="002A1587"/>
    <w:rsid w:val="002B27C5"/>
    <w:rsid w:val="002F6D9C"/>
    <w:rsid w:val="00303008"/>
    <w:rsid w:val="00373B55"/>
    <w:rsid w:val="003C23AE"/>
    <w:rsid w:val="003D727E"/>
    <w:rsid w:val="003E0341"/>
    <w:rsid w:val="003E3402"/>
    <w:rsid w:val="003F4736"/>
    <w:rsid w:val="00401B49"/>
    <w:rsid w:val="0042292D"/>
    <w:rsid w:val="00437D5B"/>
    <w:rsid w:val="00440254"/>
    <w:rsid w:val="004860D3"/>
    <w:rsid w:val="004A3BF4"/>
    <w:rsid w:val="004A5DB3"/>
    <w:rsid w:val="005152D9"/>
    <w:rsid w:val="00531029"/>
    <w:rsid w:val="00533AD4"/>
    <w:rsid w:val="00534849"/>
    <w:rsid w:val="00560102"/>
    <w:rsid w:val="00562EA1"/>
    <w:rsid w:val="00591653"/>
    <w:rsid w:val="005A498B"/>
    <w:rsid w:val="00617BB8"/>
    <w:rsid w:val="006207FF"/>
    <w:rsid w:val="006510AE"/>
    <w:rsid w:val="00680052"/>
    <w:rsid w:val="00683267"/>
    <w:rsid w:val="006844E9"/>
    <w:rsid w:val="006B3847"/>
    <w:rsid w:val="0075453D"/>
    <w:rsid w:val="007606FB"/>
    <w:rsid w:val="007A4CC6"/>
    <w:rsid w:val="007C3623"/>
    <w:rsid w:val="007C5D2A"/>
    <w:rsid w:val="007F1E00"/>
    <w:rsid w:val="00814545"/>
    <w:rsid w:val="00827444"/>
    <w:rsid w:val="008400E3"/>
    <w:rsid w:val="00864538"/>
    <w:rsid w:val="00873B4F"/>
    <w:rsid w:val="008A24F6"/>
    <w:rsid w:val="008E51AE"/>
    <w:rsid w:val="008F2F8C"/>
    <w:rsid w:val="009925C9"/>
    <w:rsid w:val="009E4D47"/>
    <w:rsid w:val="00A179D0"/>
    <w:rsid w:val="00A358A3"/>
    <w:rsid w:val="00A46747"/>
    <w:rsid w:val="00A80446"/>
    <w:rsid w:val="00A85D26"/>
    <w:rsid w:val="00A86B5B"/>
    <w:rsid w:val="00A9153A"/>
    <w:rsid w:val="00AB4376"/>
    <w:rsid w:val="00AC033C"/>
    <w:rsid w:val="00AD2E36"/>
    <w:rsid w:val="00B45DC5"/>
    <w:rsid w:val="00BD3490"/>
    <w:rsid w:val="00C07418"/>
    <w:rsid w:val="00C13A88"/>
    <w:rsid w:val="00C26226"/>
    <w:rsid w:val="00C3571D"/>
    <w:rsid w:val="00C54F0B"/>
    <w:rsid w:val="00C82621"/>
    <w:rsid w:val="00CB1423"/>
    <w:rsid w:val="00D018B2"/>
    <w:rsid w:val="00D02508"/>
    <w:rsid w:val="00D778CC"/>
    <w:rsid w:val="00D82FE9"/>
    <w:rsid w:val="00D97B77"/>
    <w:rsid w:val="00DB6A85"/>
    <w:rsid w:val="00E06B32"/>
    <w:rsid w:val="00E1290F"/>
    <w:rsid w:val="00E36A80"/>
    <w:rsid w:val="00EB21D7"/>
    <w:rsid w:val="00EE3EB7"/>
    <w:rsid w:val="00F137C6"/>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E9ABE"/>
  <w15:chartTrackingRefBased/>
  <w15:docId w15:val="{1010C9F2-8E8B-4D5B-A277-12D05F27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table" w:styleId="Tabel-Gitter">
    <w:name w:val="Table Grid"/>
    <w:basedOn w:val="Tabel-Normal"/>
    <w:uiPriority w:val="39"/>
    <w:rsid w:val="007606FB"/>
    <w:rPr>
      <w:rFonts w:eastAsia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760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96930">
      <w:bodyDiv w:val="1"/>
      <w:marLeft w:val="0"/>
      <w:marRight w:val="0"/>
      <w:marTop w:val="0"/>
      <w:marBottom w:val="0"/>
      <w:divBdr>
        <w:top w:val="none" w:sz="0" w:space="0" w:color="auto"/>
        <w:left w:val="none" w:sz="0" w:space="0" w:color="auto"/>
        <w:bottom w:val="none" w:sz="0" w:space="0" w:color="auto"/>
        <w:right w:val="none" w:sz="0" w:space="0" w:color="auto"/>
      </w:divBdr>
    </w:div>
    <w:div w:id="168914656">
      <w:bodyDiv w:val="1"/>
      <w:marLeft w:val="0"/>
      <w:marRight w:val="0"/>
      <w:marTop w:val="0"/>
      <w:marBottom w:val="0"/>
      <w:divBdr>
        <w:top w:val="none" w:sz="0" w:space="0" w:color="auto"/>
        <w:left w:val="none" w:sz="0" w:space="0" w:color="auto"/>
        <w:bottom w:val="none" w:sz="0" w:space="0" w:color="auto"/>
        <w:right w:val="none" w:sz="0" w:space="0" w:color="auto"/>
      </w:divBdr>
    </w:div>
    <w:div w:id="171844314">
      <w:bodyDiv w:val="1"/>
      <w:marLeft w:val="0"/>
      <w:marRight w:val="0"/>
      <w:marTop w:val="0"/>
      <w:marBottom w:val="0"/>
      <w:divBdr>
        <w:top w:val="none" w:sz="0" w:space="0" w:color="auto"/>
        <w:left w:val="none" w:sz="0" w:space="0" w:color="auto"/>
        <w:bottom w:val="none" w:sz="0" w:space="0" w:color="auto"/>
        <w:right w:val="none" w:sz="0" w:space="0" w:color="auto"/>
      </w:divBdr>
    </w:div>
    <w:div w:id="182282494">
      <w:bodyDiv w:val="1"/>
      <w:marLeft w:val="0"/>
      <w:marRight w:val="0"/>
      <w:marTop w:val="0"/>
      <w:marBottom w:val="0"/>
      <w:divBdr>
        <w:top w:val="none" w:sz="0" w:space="0" w:color="auto"/>
        <w:left w:val="none" w:sz="0" w:space="0" w:color="auto"/>
        <w:bottom w:val="none" w:sz="0" w:space="0" w:color="auto"/>
        <w:right w:val="none" w:sz="0" w:space="0" w:color="auto"/>
      </w:divBdr>
    </w:div>
    <w:div w:id="201749057">
      <w:bodyDiv w:val="1"/>
      <w:marLeft w:val="0"/>
      <w:marRight w:val="0"/>
      <w:marTop w:val="0"/>
      <w:marBottom w:val="0"/>
      <w:divBdr>
        <w:top w:val="none" w:sz="0" w:space="0" w:color="auto"/>
        <w:left w:val="none" w:sz="0" w:space="0" w:color="auto"/>
        <w:bottom w:val="none" w:sz="0" w:space="0" w:color="auto"/>
        <w:right w:val="none" w:sz="0" w:space="0" w:color="auto"/>
      </w:divBdr>
    </w:div>
    <w:div w:id="448469952">
      <w:bodyDiv w:val="1"/>
      <w:marLeft w:val="0"/>
      <w:marRight w:val="0"/>
      <w:marTop w:val="0"/>
      <w:marBottom w:val="0"/>
      <w:divBdr>
        <w:top w:val="none" w:sz="0" w:space="0" w:color="auto"/>
        <w:left w:val="none" w:sz="0" w:space="0" w:color="auto"/>
        <w:bottom w:val="none" w:sz="0" w:space="0" w:color="auto"/>
        <w:right w:val="none" w:sz="0" w:space="0" w:color="auto"/>
      </w:divBdr>
    </w:div>
    <w:div w:id="518855072">
      <w:bodyDiv w:val="1"/>
      <w:marLeft w:val="0"/>
      <w:marRight w:val="0"/>
      <w:marTop w:val="0"/>
      <w:marBottom w:val="0"/>
      <w:divBdr>
        <w:top w:val="none" w:sz="0" w:space="0" w:color="auto"/>
        <w:left w:val="none" w:sz="0" w:space="0" w:color="auto"/>
        <w:bottom w:val="none" w:sz="0" w:space="0" w:color="auto"/>
        <w:right w:val="none" w:sz="0" w:space="0" w:color="auto"/>
      </w:divBdr>
    </w:div>
    <w:div w:id="683825476">
      <w:bodyDiv w:val="1"/>
      <w:marLeft w:val="0"/>
      <w:marRight w:val="0"/>
      <w:marTop w:val="0"/>
      <w:marBottom w:val="0"/>
      <w:divBdr>
        <w:top w:val="none" w:sz="0" w:space="0" w:color="auto"/>
        <w:left w:val="none" w:sz="0" w:space="0" w:color="auto"/>
        <w:bottom w:val="none" w:sz="0" w:space="0" w:color="auto"/>
        <w:right w:val="none" w:sz="0" w:space="0" w:color="auto"/>
      </w:divBdr>
    </w:div>
    <w:div w:id="853811403">
      <w:bodyDiv w:val="1"/>
      <w:marLeft w:val="0"/>
      <w:marRight w:val="0"/>
      <w:marTop w:val="0"/>
      <w:marBottom w:val="0"/>
      <w:divBdr>
        <w:top w:val="none" w:sz="0" w:space="0" w:color="auto"/>
        <w:left w:val="none" w:sz="0" w:space="0" w:color="auto"/>
        <w:bottom w:val="none" w:sz="0" w:space="0" w:color="auto"/>
        <w:right w:val="none" w:sz="0" w:space="0" w:color="auto"/>
      </w:divBdr>
    </w:div>
    <w:div w:id="953637597">
      <w:bodyDiv w:val="1"/>
      <w:marLeft w:val="0"/>
      <w:marRight w:val="0"/>
      <w:marTop w:val="0"/>
      <w:marBottom w:val="0"/>
      <w:divBdr>
        <w:top w:val="none" w:sz="0" w:space="0" w:color="auto"/>
        <w:left w:val="none" w:sz="0" w:space="0" w:color="auto"/>
        <w:bottom w:val="none" w:sz="0" w:space="0" w:color="auto"/>
        <w:right w:val="none" w:sz="0" w:space="0" w:color="auto"/>
      </w:divBdr>
    </w:div>
    <w:div w:id="1238785503">
      <w:bodyDiv w:val="1"/>
      <w:marLeft w:val="0"/>
      <w:marRight w:val="0"/>
      <w:marTop w:val="0"/>
      <w:marBottom w:val="0"/>
      <w:divBdr>
        <w:top w:val="none" w:sz="0" w:space="0" w:color="auto"/>
        <w:left w:val="none" w:sz="0" w:space="0" w:color="auto"/>
        <w:bottom w:val="none" w:sz="0" w:space="0" w:color="auto"/>
        <w:right w:val="none" w:sz="0" w:space="0" w:color="auto"/>
      </w:divBdr>
    </w:div>
    <w:div w:id="1469467726">
      <w:bodyDiv w:val="1"/>
      <w:marLeft w:val="0"/>
      <w:marRight w:val="0"/>
      <w:marTop w:val="0"/>
      <w:marBottom w:val="0"/>
      <w:divBdr>
        <w:top w:val="none" w:sz="0" w:space="0" w:color="auto"/>
        <w:left w:val="none" w:sz="0" w:space="0" w:color="auto"/>
        <w:bottom w:val="none" w:sz="0" w:space="0" w:color="auto"/>
        <w:right w:val="none" w:sz="0" w:space="0" w:color="auto"/>
      </w:divBdr>
    </w:div>
    <w:div w:id="1510169843">
      <w:bodyDiv w:val="1"/>
      <w:marLeft w:val="0"/>
      <w:marRight w:val="0"/>
      <w:marTop w:val="0"/>
      <w:marBottom w:val="0"/>
      <w:divBdr>
        <w:top w:val="none" w:sz="0" w:space="0" w:color="auto"/>
        <w:left w:val="none" w:sz="0" w:space="0" w:color="auto"/>
        <w:bottom w:val="none" w:sz="0" w:space="0" w:color="auto"/>
        <w:right w:val="none" w:sz="0" w:space="0" w:color="auto"/>
      </w:divBdr>
    </w:div>
    <w:div w:id="1592356212">
      <w:bodyDiv w:val="1"/>
      <w:marLeft w:val="0"/>
      <w:marRight w:val="0"/>
      <w:marTop w:val="0"/>
      <w:marBottom w:val="0"/>
      <w:divBdr>
        <w:top w:val="none" w:sz="0" w:space="0" w:color="auto"/>
        <w:left w:val="none" w:sz="0" w:space="0" w:color="auto"/>
        <w:bottom w:val="none" w:sz="0" w:space="0" w:color="auto"/>
        <w:right w:val="none" w:sz="0" w:space="0" w:color="auto"/>
      </w:divBdr>
    </w:div>
    <w:div w:id="1703893917">
      <w:bodyDiv w:val="1"/>
      <w:marLeft w:val="0"/>
      <w:marRight w:val="0"/>
      <w:marTop w:val="0"/>
      <w:marBottom w:val="0"/>
      <w:divBdr>
        <w:top w:val="none" w:sz="0" w:space="0" w:color="auto"/>
        <w:left w:val="none" w:sz="0" w:space="0" w:color="auto"/>
        <w:bottom w:val="none" w:sz="0" w:space="0" w:color="auto"/>
        <w:right w:val="none" w:sz="0" w:space="0" w:color="auto"/>
      </w:divBdr>
    </w:div>
    <w:div w:id="1726753401">
      <w:bodyDiv w:val="1"/>
      <w:marLeft w:val="0"/>
      <w:marRight w:val="0"/>
      <w:marTop w:val="0"/>
      <w:marBottom w:val="0"/>
      <w:divBdr>
        <w:top w:val="none" w:sz="0" w:space="0" w:color="auto"/>
        <w:left w:val="none" w:sz="0" w:space="0" w:color="auto"/>
        <w:bottom w:val="none" w:sz="0" w:space="0" w:color="auto"/>
        <w:right w:val="none" w:sz="0" w:space="0" w:color="auto"/>
      </w:divBdr>
    </w:div>
    <w:div w:id="1738430462">
      <w:bodyDiv w:val="1"/>
      <w:marLeft w:val="0"/>
      <w:marRight w:val="0"/>
      <w:marTop w:val="0"/>
      <w:marBottom w:val="0"/>
      <w:divBdr>
        <w:top w:val="none" w:sz="0" w:space="0" w:color="auto"/>
        <w:left w:val="none" w:sz="0" w:space="0" w:color="auto"/>
        <w:bottom w:val="none" w:sz="0" w:space="0" w:color="auto"/>
        <w:right w:val="none" w:sz="0" w:space="0" w:color="auto"/>
      </w:divBdr>
    </w:div>
    <w:div w:id="1866360290">
      <w:bodyDiv w:val="1"/>
      <w:marLeft w:val="0"/>
      <w:marRight w:val="0"/>
      <w:marTop w:val="0"/>
      <w:marBottom w:val="0"/>
      <w:divBdr>
        <w:top w:val="none" w:sz="0" w:space="0" w:color="auto"/>
        <w:left w:val="none" w:sz="0" w:space="0" w:color="auto"/>
        <w:bottom w:val="none" w:sz="0" w:space="0" w:color="auto"/>
        <w:right w:val="none" w:sz="0" w:space="0" w:color="auto"/>
      </w:divBdr>
    </w:div>
    <w:div w:id="2033257808">
      <w:bodyDiv w:val="1"/>
      <w:marLeft w:val="0"/>
      <w:marRight w:val="0"/>
      <w:marTop w:val="0"/>
      <w:marBottom w:val="0"/>
      <w:divBdr>
        <w:top w:val="none" w:sz="0" w:space="0" w:color="auto"/>
        <w:left w:val="none" w:sz="0" w:space="0" w:color="auto"/>
        <w:bottom w:val="none" w:sz="0" w:space="0" w:color="auto"/>
        <w:right w:val="none" w:sz="0" w:space="0" w:color="auto"/>
      </w:divBdr>
    </w:div>
    <w:div w:id="2067948479">
      <w:bodyDiv w:val="1"/>
      <w:marLeft w:val="0"/>
      <w:marRight w:val="0"/>
      <w:marTop w:val="0"/>
      <w:marBottom w:val="0"/>
      <w:divBdr>
        <w:top w:val="none" w:sz="0" w:space="0" w:color="auto"/>
        <w:left w:val="none" w:sz="0" w:space="0" w:color="auto"/>
        <w:bottom w:val="none" w:sz="0" w:space="0" w:color="auto"/>
        <w:right w:val="none" w:sz="0" w:space="0" w:color="auto"/>
      </w:divBdr>
    </w:div>
    <w:div w:id="211193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33</TotalTime>
  <Pages>18</Pages>
  <Words>6175</Words>
  <Characters>35042</Characters>
  <Application>Microsoft Office Word</Application>
  <DocSecurity>0</DocSecurity>
  <Lines>292</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2023070815, MT</dc:description>
  <cp:lastModifiedBy>Gitte Jørgensen</cp:lastModifiedBy>
  <cp:revision>12</cp:revision>
  <cp:lastPrinted>2006-02-24T09:31:00Z</cp:lastPrinted>
  <dcterms:created xsi:type="dcterms:W3CDTF">2024-09-06T08:51:00Z</dcterms:created>
  <dcterms:modified xsi:type="dcterms:W3CDTF">2024-09-06T10:53:00Z</dcterms:modified>
</cp:coreProperties>
</file>