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D66" w:rsidRPr="00C84483" w:rsidRDefault="00DF7D66" w:rsidP="00DF7D66">
      <w:pPr>
        <w:rPr>
          <w:sz w:val="24"/>
          <w:szCs w:val="24"/>
        </w:rPr>
      </w:pPr>
      <w:r>
        <w:rPr>
          <w:noProof/>
          <w:sz w:val="24"/>
          <w:szCs w:val="24"/>
          <w:lang w:eastAsia="da-DK"/>
        </w:rPr>
        <w:drawing>
          <wp:inline distT="0" distB="0" distL="0" distR="0" wp14:anchorId="76FB001D" wp14:editId="16405332">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DF7D66" w:rsidRDefault="00DF7D66" w:rsidP="00DF7D66">
      <w:pPr>
        <w:pStyle w:val="Titel"/>
        <w:tabs>
          <w:tab w:val="right" w:pos="9356"/>
        </w:tabs>
        <w:jc w:val="left"/>
        <w:rPr>
          <w:b w:val="0"/>
          <w:szCs w:val="24"/>
          <w:lang w:eastAsia="en-US"/>
        </w:rPr>
      </w:pPr>
      <w:r w:rsidRPr="00C84483">
        <w:rPr>
          <w:b w:val="0"/>
          <w:szCs w:val="24"/>
          <w:lang w:eastAsia="en-US"/>
        </w:rPr>
        <w:tab/>
      </w:r>
    </w:p>
    <w:p w:rsidR="00DF7D66" w:rsidRPr="00242CC8" w:rsidRDefault="00DF7D66" w:rsidP="00DF7D66">
      <w:pPr>
        <w:pStyle w:val="Titel"/>
        <w:tabs>
          <w:tab w:val="right" w:pos="9356"/>
        </w:tabs>
        <w:jc w:val="left"/>
        <w:rPr>
          <w:szCs w:val="24"/>
        </w:rPr>
      </w:pPr>
      <w:r>
        <w:rPr>
          <w:b w:val="0"/>
          <w:szCs w:val="24"/>
          <w:lang w:eastAsia="en-US"/>
        </w:rPr>
        <w:tab/>
      </w:r>
      <w:r w:rsidR="00F719D5">
        <w:rPr>
          <w:szCs w:val="24"/>
          <w:lang w:eastAsia="en-US"/>
        </w:rPr>
        <w:t>23</w:t>
      </w:r>
      <w:r w:rsidR="00242CC8" w:rsidRPr="00242CC8">
        <w:rPr>
          <w:szCs w:val="24"/>
          <w:lang w:eastAsia="en-US"/>
        </w:rPr>
        <w:t xml:space="preserve">. </w:t>
      </w:r>
      <w:r w:rsidR="001F3944">
        <w:rPr>
          <w:szCs w:val="24"/>
          <w:lang w:eastAsia="en-US"/>
        </w:rPr>
        <w:t>ju</w:t>
      </w:r>
      <w:r w:rsidR="009508FE">
        <w:rPr>
          <w:szCs w:val="24"/>
          <w:lang w:eastAsia="en-US"/>
        </w:rPr>
        <w:t>ni</w:t>
      </w:r>
      <w:r w:rsidR="00242CC8" w:rsidRPr="00242CC8">
        <w:rPr>
          <w:szCs w:val="24"/>
          <w:lang w:eastAsia="en-US"/>
        </w:rPr>
        <w:t xml:space="preserve"> 202</w:t>
      </w:r>
      <w:r w:rsidR="009508FE">
        <w:rPr>
          <w:szCs w:val="24"/>
          <w:lang w:eastAsia="en-US"/>
        </w:rPr>
        <w:t>2</w:t>
      </w:r>
    </w:p>
    <w:p w:rsidR="00DF7D66" w:rsidRPr="00C84483" w:rsidRDefault="00DF7D66" w:rsidP="00DF7D66">
      <w:pPr>
        <w:pStyle w:val="Titel"/>
        <w:tabs>
          <w:tab w:val="left" w:pos="8222"/>
        </w:tabs>
        <w:jc w:val="left"/>
        <w:rPr>
          <w:b w:val="0"/>
          <w:szCs w:val="24"/>
        </w:rPr>
      </w:pPr>
    </w:p>
    <w:p w:rsidR="00DF7D66" w:rsidRPr="00C84483" w:rsidRDefault="00DF7D66" w:rsidP="00DF7D66">
      <w:pPr>
        <w:jc w:val="center"/>
        <w:rPr>
          <w:b/>
          <w:sz w:val="24"/>
          <w:szCs w:val="24"/>
        </w:rPr>
      </w:pPr>
      <w:r w:rsidRPr="00C84483">
        <w:rPr>
          <w:b/>
          <w:sz w:val="24"/>
          <w:szCs w:val="24"/>
        </w:rPr>
        <w:t>PRODUKTRESUMÉ</w:t>
      </w:r>
    </w:p>
    <w:p w:rsidR="00DF7D66" w:rsidRPr="00C84483" w:rsidRDefault="00DF7D66" w:rsidP="00DF7D66">
      <w:pPr>
        <w:jc w:val="center"/>
        <w:rPr>
          <w:b/>
          <w:sz w:val="24"/>
          <w:szCs w:val="24"/>
        </w:rPr>
      </w:pPr>
    </w:p>
    <w:p w:rsidR="00DF7D66" w:rsidRPr="00C84483" w:rsidRDefault="00DF7D66" w:rsidP="00DF7D66">
      <w:pPr>
        <w:jc w:val="center"/>
        <w:rPr>
          <w:b/>
          <w:sz w:val="24"/>
          <w:szCs w:val="24"/>
        </w:rPr>
      </w:pPr>
      <w:r w:rsidRPr="00C84483">
        <w:rPr>
          <w:b/>
          <w:sz w:val="24"/>
          <w:szCs w:val="24"/>
        </w:rPr>
        <w:t>for</w:t>
      </w:r>
    </w:p>
    <w:p w:rsidR="00DF7D66" w:rsidRPr="00C84483" w:rsidRDefault="00DF7D66" w:rsidP="00DF7D66">
      <w:pPr>
        <w:jc w:val="center"/>
        <w:rPr>
          <w:b/>
          <w:sz w:val="24"/>
          <w:szCs w:val="24"/>
        </w:rPr>
      </w:pPr>
    </w:p>
    <w:p w:rsidR="00DF7D66" w:rsidRPr="00C84483" w:rsidRDefault="00DF7D66" w:rsidP="00DF7D66">
      <w:pPr>
        <w:jc w:val="center"/>
        <w:rPr>
          <w:b/>
          <w:sz w:val="24"/>
          <w:szCs w:val="24"/>
        </w:rPr>
      </w:pPr>
      <w:proofErr w:type="spellStart"/>
      <w:r>
        <w:rPr>
          <w:b/>
          <w:sz w:val="24"/>
          <w:szCs w:val="24"/>
        </w:rPr>
        <w:t>Mirtazapin</w:t>
      </w:r>
      <w:proofErr w:type="spellEnd"/>
      <w:r>
        <w:rPr>
          <w:b/>
          <w:sz w:val="24"/>
          <w:szCs w:val="24"/>
        </w:rPr>
        <w:t xml:space="preserve"> "Orion", filmovertrukne tabletter</w:t>
      </w:r>
    </w:p>
    <w:p w:rsidR="00DF7D66" w:rsidRPr="00C84483" w:rsidRDefault="00DF7D66" w:rsidP="00DF7D66">
      <w:pPr>
        <w:jc w:val="both"/>
        <w:rPr>
          <w:sz w:val="24"/>
          <w:szCs w:val="24"/>
        </w:rPr>
      </w:pPr>
    </w:p>
    <w:p w:rsidR="00DF7D66" w:rsidRPr="00C84483" w:rsidRDefault="00DF7D66" w:rsidP="00DF7D66">
      <w:pPr>
        <w:jc w:val="both"/>
        <w:rPr>
          <w:sz w:val="24"/>
          <w:szCs w:val="24"/>
        </w:rPr>
      </w:pPr>
    </w:p>
    <w:p w:rsidR="00DF7D66" w:rsidRPr="00C84483" w:rsidRDefault="00DF7D66" w:rsidP="00DF7D66">
      <w:pPr>
        <w:tabs>
          <w:tab w:val="left" w:pos="851"/>
        </w:tabs>
        <w:ind w:left="851" w:hanging="851"/>
        <w:rPr>
          <w:b/>
          <w:sz w:val="24"/>
          <w:szCs w:val="24"/>
        </w:rPr>
      </w:pPr>
      <w:r w:rsidRPr="00C84483">
        <w:rPr>
          <w:b/>
          <w:sz w:val="24"/>
          <w:szCs w:val="24"/>
        </w:rPr>
        <w:t>0.</w:t>
      </w:r>
      <w:r w:rsidRPr="00C84483">
        <w:rPr>
          <w:b/>
          <w:sz w:val="24"/>
          <w:szCs w:val="24"/>
        </w:rPr>
        <w:tab/>
        <w:t>D.SP.NR.</w:t>
      </w:r>
    </w:p>
    <w:p w:rsidR="00DF7D66" w:rsidRPr="00C84483" w:rsidRDefault="00DF7D66" w:rsidP="00DF7D66">
      <w:pPr>
        <w:tabs>
          <w:tab w:val="left" w:pos="851"/>
        </w:tabs>
        <w:rPr>
          <w:sz w:val="24"/>
          <w:szCs w:val="24"/>
        </w:rPr>
      </w:pPr>
      <w:r w:rsidRPr="00C84483">
        <w:rPr>
          <w:sz w:val="24"/>
          <w:szCs w:val="24"/>
        </w:rPr>
        <w:tab/>
      </w:r>
      <w:r>
        <w:rPr>
          <w:sz w:val="24"/>
          <w:szCs w:val="24"/>
        </w:rPr>
        <w:t>23478</w:t>
      </w:r>
    </w:p>
    <w:p w:rsidR="00DF7D66" w:rsidRPr="00C84483" w:rsidRDefault="00DF7D66" w:rsidP="00DF7D66">
      <w:pPr>
        <w:tabs>
          <w:tab w:val="left" w:pos="851"/>
        </w:tabs>
        <w:rPr>
          <w:sz w:val="24"/>
          <w:szCs w:val="24"/>
        </w:rPr>
      </w:pPr>
    </w:p>
    <w:p w:rsidR="00DF7D66" w:rsidRPr="00C84483" w:rsidRDefault="00DF7D66" w:rsidP="00DF7D66">
      <w:pPr>
        <w:tabs>
          <w:tab w:val="left" w:pos="851"/>
        </w:tabs>
        <w:ind w:left="851" w:hanging="851"/>
        <w:rPr>
          <w:b/>
          <w:sz w:val="24"/>
          <w:szCs w:val="24"/>
        </w:rPr>
      </w:pPr>
      <w:r w:rsidRPr="00C84483">
        <w:rPr>
          <w:b/>
          <w:sz w:val="24"/>
          <w:szCs w:val="24"/>
        </w:rPr>
        <w:t>1.</w:t>
      </w:r>
      <w:r w:rsidRPr="00C84483">
        <w:rPr>
          <w:b/>
          <w:sz w:val="24"/>
          <w:szCs w:val="24"/>
        </w:rPr>
        <w:tab/>
        <w:t>LÆGEMIDLETS NAVN</w:t>
      </w:r>
    </w:p>
    <w:p w:rsidR="00DF7D66" w:rsidRPr="00C84483" w:rsidRDefault="00DF7D66" w:rsidP="00DF7D66">
      <w:pPr>
        <w:tabs>
          <w:tab w:val="left" w:pos="851"/>
        </w:tabs>
        <w:rPr>
          <w:sz w:val="24"/>
          <w:szCs w:val="24"/>
        </w:rPr>
      </w:pPr>
      <w:r w:rsidRPr="00C84483">
        <w:rPr>
          <w:sz w:val="24"/>
          <w:szCs w:val="24"/>
        </w:rPr>
        <w:tab/>
      </w:r>
      <w:proofErr w:type="spellStart"/>
      <w:r>
        <w:rPr>
          <w:sz w:val="24"/>
          <w:szCs w:val="24"/>
        </w:rPr>
        <w:t>Mirtazapin</w:t>
      </w:r>
      <w:proofErr w:type="spellEnd"/>
      <w:r>
        <w:rPr>
          <w:sz w:val="24"/>
          <w:szCs w:val="24"/>
        </w:rPr>
        <w:t xml:space="preserve"> "Orion"</w:t>
      </w:r>
    </w:p>
    <w:p w:rsidR="00DF7D66" w:rsidRPr="00C84483" w:rsidRDefault="00DF7D66" w:rsidP="00DF7D66">
      <w:pPr>
        <w:tabs>
          <w:tab w:val="left" w:pos="851"/>
        </w:tabs>
        <w:rPr>
          <w:sz w:val="24"/>
          <w:szCs w:val="24"/>
        </w:rPr>
      </w:pPr>
      <w:r w:rsidRPr="00C84483">
        <w:rPr>
          <w:sz w:val="24"/>
          <w:szCs w:val="24"/>
        </w:rPr>
        <w:tab/>
      </w:r>
    </w:p>
    <w:p w:rsidR="00DF7D66" w:rsidRPr="00C84483" w:rsidRDefault="00DF7D66" w:rsidP="00DF7D66">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320EC3" w:rsidRPr="00C761F9" w:rsidRDefault="00320EC3" w:rsidP="00320EC3">
      <w:pPr>
        <w:tabs>
          <w:tab w:val="left" w:pos="851"/>
        </w:tabs>
        <w:ind w:left="851"/>
        <w:rPr>
          <w:sz w:val="24"/>
          <w:szCs w:val="24"/>
        </w:rPr>
      </w:pPr>
      <w:r w:rsidRPr="00C761F9">
        <w:rPr>
          <w:sz w:val="24"/>
          <w:szCs w:val="24"/>
        </w:rPr>
        <w:t xml:space="preserve">Hver </w:t>
      </w:r>
      <w:proofErr w:type="spellStart"/>
      <w:r>
        <w:rPr>
          <w:szCs w:val="24"/>
        </w:rPr>
        <w:t>Mirtazapin</w:t>
      </w:r>
      <w:proofErr w:type="spellEnd"/>
      <w:r>
        <w:rPr>
          <w:szCs w:val="24"/>
        </w:rPr>
        <w:t xml:space="preserve"> "Orion"</w:t>
      </w:r>
      <w:r w:rsidRPr="00C761F9">
        <w:rPr>
          <w:sz w:val="24"/>
          <w:szCs w:val="24"/>
        </w:rPr>
        <w:t xml:space="preserve"> 15</w:t>
      </w:r>
      <w:r>
        <w:rPr>
          <w:sz w:val="24"/>
          <w:szCs w:val="24"/>
        </w:rPr>
        <w:t> </w:t>
      </w:r>
      <w:r w:rsidRPr="00C761F9">
        <w:rPr>
          <w:sz w:val="24"/>
          <w:szCs w:val="24"/>
        </w:rPr>
        <w:t>mg filmovertrukke</w:t>
      </w:r>
      <w:r>
        <w:rPr>
          <w:sz w:val="24"/>
          <w:szCs w:val="24"/>
        </w:rPr>
        <w:t>n</w:t>
      </w:r>
      <w:r w:rsidRPr="00C761F9">
        <w:rPr>
          <w:sz w:val="24"/>
          <w:szCs w:val="24"/>
        </w:rPr>
        <w:t xml:space="preserve"> tablet indeholder 15</w:t>
      </w:r>
      <w:r>
        <w:rPr>
          <w:sz w:val="24"/>
          <w:szCs w:val="24"/>
        </w:rPr>
        <w:t> </w:t>
      </w:r>
      <w:r w:rsidRPr="00C761F9">
        <w:rPr>
          <w:sz w:val="24"/>
          <w:szCs w:val="24"/>
        </w:rPr>
        <w:t xml:space="preserve">mg </w:t>
      </w:r>
      <w:proofErr w:type="spellStart"/>
      <w:r w:rsidRPr="00C761F9">
        <w:rPr>
          <w:sz w:val="24"/>
          <w:szCs w:val="24"/>
        </w:rPr>
        <w:t>mirtazapin</w:t>
      </w:r>
      <w:proofErr w:type="spellEnd"/>
      <w:r w:rsidRPr="00C761F9">
        <w:rPr>
          <w:sz w:val="24"/>
          <w:szCs w:val="24"/>
        </w:rPr>
        <w:t>.</w:t>
      </w:r>
    </w:p>
    <w:p w:rsidR="00320EC3" w:rsidRPr="00C761F9" w:rsidRDefault="00320EC3" w:rsidP="00320EC3">
      <w:pPr>
        <w:tabs>
          <w:tab w:val="left" w:pos="851"/>
        </w:tabs>
        <w:ind w:left="851"/>
        <w:rPr>
          <w:sz w:val="24"/>
          <w:szCs w:val="24"/>
        </w:rPr>
      </w:pPr>
      <w:r w:rsidRPr="00C761F9">
        <w:rPr>
          <w:sz w:val="24"/>
          <w:szCs w:val="24"/>
        </w:rPr>
        <w:t xml:space="preserve">Hver </w:t>
      </w:r>
      <w:proofErr w:type="spellStart"/>
      <w:r>
        <w:rPr>
          <w:szCs w:val="24"/>
        </w:rPr>
        <w:t>Mirtazapin</w:t>
      </w:r>
      <w:proofErr w:type="spellEnd"/>
      <w:r>
        <w:rPr>
          <w:szCs w:val="24"/>
        </w:rPr>
        <w:t xml:space="preserve"> "Orion"</w:t>
      </w:r>
      <w:r w:rsidRPr="00C761F9">
        <w:rPr>
          <w:sz w:val="24"/>
          <w:szCs w:val="24"/>
        </w:rPr>
        <w:t xml:space="preserve"> 30</w:t>
      </w:r>
      <w:r>
        <w:rPr>
          <w:sz w:val="24"/>
          <w:szCs w:val="24"/>
        </w:rPr>
        <w:t> </w:t>
      </w:r>
      <w:r w:rsidRPr="00C761F9">
        <w:rPr>
          <w:sz w:val="24"/>
          <w:szCs w:val="24"/>
        </w:rPr>
        <w:t>mg filmovertrukke</w:t>
      </w:r>
      <w:r>
        <w:rPr>
          <w:sz w:val="24"/>
          <w:szCs w:val="24"/>
        </w:rPr>
        <w:t>n</w:t>
      </w:r>
      <w:r w:rsidRPr="00C761F9">
        <w:rPr>
          <w:sz w:val="24"/>
          <w:szCs w:val="24"/>
        </w:rPr>
        <w:t xml:space="preserve"> tablet indeholder 30</w:t>
      </w:r>
      <w:r>
        <w:rPr>
          <w:sz w:val="24"/>
          <w:szCs w:val="24"/>
        </w:rPr>
        <w:t> </w:t>
      </w:r>
      <w:r w:rsidRPr="00C761F9">
        <w:rPr>
          <w:sz w:val="24"/>
          <w:szCs w:val="24"/>
        </w:rPr>
        <w:t xml:space="preserve">mg </w:t>
      </w:r>
      <w:proofErr w:type="spellStart"/>
      <w:r w:rsidRPr="00C761F9">
        <w:rPr>
          <w:sz w:val="24"/>
          <w:szCs w:val="24"/>
        </w:rPr>
        <w:t>mirtazapin</w:t>
      </w:r>
      <w:proofErr w:type="spellEnd"/>
      <w:r w:rsidRPr="00C761F9">
        <w:rPr>
          <w:sz w:val="24"/>
          <w:szCs w:val="24"/>
        </w:rPr>
        <w:t>.</w:t>
      </w:r>
    </w:p>
    <w:p w:rsidR="00320EC3" w:rsidRPr="00C761F9" w:rsidRDefault="00320EC3" w:rsidP="00320EC3">
      <w:pPr>
        <w:tabs>
          <w:tab w:val="left" w:pos="851"/>
        </w:tabs>
        <w:ind w:left="851"/>
        <w:rPr>
          <w:sz w:val="24"/>
          <w:szCs w:val="24"/>
        </w:rPr>
      </w:pPr>
      <w:r w:rsidRPr="00C761F9">
        <w:rPr>
          <w:sz w:val="24"/>
          <w:szCs w:val="24"/>
        </w:rPr>
        <w:t xml:space="preserve">Hver </w:t>
      </w:r>
      <w:proofErr w:type="spellStart"/>
      <w:r>
        <w:rPr>
          <w:szCs w:val="24"/>
        </w:rPr>
        <w:t>Mirtazapin</w:t>
      </w:r>
      <w:proofErr w:type="spellEnd"/>
      <w:r>
        <w:rPr>
          <w:szCs w:val="24"/>
        </w:rPr>
        <w:t xml:space="preserve"> "Orion"</w:t>
      </w:r>
      <w:r w:rsidRPr="00C761F9">
        <w:rPr>
          <w:sz w:val="24"/>
          <w:szCs w:val="24"/>
        </w:rPr>
        <w:t xml:space="preserve"> 45</w:t>
      </w:r>
      <w:r>
        <w:rPr>
          <w:sz w:val="24"/>
          <w:szCs w:val="24"/>
        </w:rPr>
        <w:t> </w:t>
      </w:r>
      <w:r w:rsidRPr="00C761F9">
        <w:rPr>
          <w:sz w:val="24"/>
          <w:szCs w:val="24"/>
        </w:rPr>
        <w:t>mg filmovertrukke</w:t>
      </w:r>
      <w:r>
        <w:rPr>
          <w:sz w:val="24"/>
          <w:szCs w:val="24"/>
        </w:rPr>
        <w:t>n</w:t>
      </w:r>
      <w:r w:rsidRPr="00C761F9">
        <w:rPr>
          <w:sz w:val="24"/>
          <w:szCs w:val="24"/>
        </w:rPr>
        <w:t xml:space="preserve"> tablet indeholder 45</w:t>
      </w:r>
      <w:r>
        <w:rPr>
          <w:sz w:val="24"/>
          <w:szCs w:val="24"/>
        </w:rPr>
        <w:t> </w:t>
      </w:r>
      <w:r w:rsidRPr="00C761F9">
        <w:rPr>
          <w:sz w:val="24"/>
          <w:szCs w:val="24"/>
        </w:rPr>
        <w:t xml:space="preserve">mg </w:t>
      </w:r>
      <w:proofErr w:type="spellStart"/>
      <w:r w:rsidRPr="00C761F9">
        <w:rPr>
          <w:sz w:val="24"/>
          <w:szCs w:val="24"/>
        </w:rPr>
        <w:t>mirtazapin</w:t>
      </w:r>
      <w:proofErr w:type="spellEnd"/>
      <w:r w:rsidRPr="00C761F9">
        <w:rPr>
          <w:sz w:val="24"/>
          <w:szCs w:val="24"/>
        </w:rPr>
        <w:t>.</w:t>
      </w:r>
    </w:p>
    <w:p w:rsidR="00320EC3" w:rsidRPr="00C761F9" w:rsidRDefault="00320EC3" w:rsidP="00320EC3">
      <w:pPr>
        <w:tabs>
          <w:tab w:val="left" w:pos="851"/>
        </w:tabs>
        <w:ind w:left="851"/>
        <w:rPr>
          <w:sz w:val="24"/>
          <w:szCs w:val="24"/>
        </w:rPr>
      </w:pPr>
    </w:p>
    <w:p w:rsidR="00320EC3" w:rsidRPr="00190C9A" w:rsidRDefault="00320EC3" w:rsidP="00320EC3">
      <w:pPr>
        <w:tabs>
          <w:tab w:val="left" w:pos="851"/>
        </w:tabs>
        <w:ind w:left="851"/>
        <w:rPr>
          <w:sz w:val="24"/>
          <w:szCs w:val="24"/>
          <w:u w:val="single"/>
        </w:rPr>
      </w:pPr>
      <w:r w:rsidRPr="00190C9A">
        <w:rPr>
          <w:sz w:val="24"/>
          <w:szCs w:val="24"/>
          <w:u w:val="single"/>
        </w:rPr>
        <w:t>Hjælpestof</w:t>
      </w:r>
      <w:r>
        <w:rPr>
          <w:sz w:val="24"/>
          <w:szCs w:val="24"/>
          <w:u w:val="single"/>
        </w:rPr>
        <w:t>(</w:t>
      </w:r>
      <w:r w:rsidRPr="00190C9A">
        <w:rPr>
          <w:sz w:val="24"/>
          <w:szCs w:val="24"/>
          <w:u w:val="single"/>
        </w:rPr>
        <w:t>fer</w:t>
      </w:r>
      <w:r>
        <w:rPr>
          <w:sz w:val="24"/>
          <w:szCs w:val="24"/>
          <w:u w:val="single"/>
        </w:rPr>
        <w:t>)</w:t>
      </w:r>
      <w:r w:rsidRPr="00190C9A">
        <w:rPr>
          <w:sz w:val="24"/>
          <w:szCs w:val="24"/>
          <w:u w:val="single"/>
        </w:rPr>
        <w:t>, som behandleren skal være opmærksom på</w:t>
      </w:r>
      <w:r>
        <w:rPr>
          <w:sz w:val="24"/>
          <w:szCs w:val="24"/>
          <w:u w:val="single"/>
        </w:rPr>
        <w:t>:</w:t>
      </w:r>
    </w:p>
    <w:p w:rsidR="00320EC3" w:rsidRPr="00C761F9" w:rsidRDefault="00320EC3" w:rsidP="00320EC3">
      <w:pPr>
        <w:tabs>
          <w:tab w:val="left" w:pos="851"/>
        </w:tabs>
        <w:ind w:left="851"/>
        <w:rPr>
          <w:sz w:val="24"/>
          <w:szCs w:val="24"/>
        </w:rPr>
      </w:pPr>
      <w:r w:rsidRPr="00C761F9">
        <w:rPr>
          <w:sz w:val="24"/>
          <w:szCs w:val="24"/>
        </w:rPr>
        <w:t xml:space="preserve">Hver </w:t>
      </w:r>
      <w:proofErr w:type="spellStart"/>
      <w:r>
        <w:rPr>
          <w:szCs w:val="24"/>
        </w:rPr>
        <w:t>Mirtazapin</w:t>
      </w:r>
      <w:proofErr w:type="spellEnd"/>
      <w:r>
        <w:rPr>
          <w:szCs w:val="24"/>
        </w:rPr>
        <w:t xml:space="preserve"> "Orion"</w:t>
      </w:r>
      <w:r w:rsidRPr="00C761F9">
        <w:rPr>
          <w:sz w:val="24"/>
          <w:szCs w:val="24"/>
        </w:rPr>
        <w:t xml:space="preserve"> 15</w:t>
      </w:r>
      <w:r>
        <w:rPr>
          <w:sz w:val="24"/>
          <w:szCs w:val="24"/>
        </w:rPr>
        <w:t> </w:t>
      </w:r>
      <w:r w:rsidRPr="00C761F9">
        <w:rPr>
          <w:sz w:val="24"/>
          <w:szCs w:val="24"/>
        </w:rPr>
        <w:t>mg filmovertrukke</w:t>
      </w:r>
      <w:r>
        <w:rPr>
          <w:sz w:val="24"/>
          <w:szCs w:val="24"/>
        </w:rPr>
        <w:t>n</w:t>
      </w:r>
      <w:r w:rsidRPr="00C761F9">
        <w:rPr>
          <w:sz w:val="24"/>
          <w:szCs w:val="24"/>
        </w:rPr>
        <w:t xml:space="preserve"> tablet indeholder 102</w:t>
      </w:r>
      <w:r>
        <w:rPr>
          <w:sz w:val="24"/>
          <w:szCs w:val="24"/>
        </w:rPr>
        <w:t> </w:t>
      </w:r>
      <w:r w:rsidRPr="00C761F9">
        <w:rPr>
          <w:sz w:val="24"/>
          <w:szCs w:val="24"/>
        </w:rPr>
        <w:t xml:space="preserve">mg </w:t>
      </w:r>
      <w:proofErr w:type="spellStart"/>
      <w:r w:rsidRPr="00C761F9">
        <w:rPr>
          <w:sz w:val="24"/>
          <w:szCs w:val="24"/>
        </w:rPr>
        <w:t>lactosemonohydrat</w:t>
      </w:r>
      <w:proofErr w:type="spellEnd"/>
      <w:r w:rsidRPr="00C761F9">
        <w:rPr>
          <w:sz w:val="24"/>
          <w:szCs w:val="24"/>
        </w:rPr>
        <w:t>.</w:t>
      </w:r>
    </w:p>
    <w:p w:rsidR="00320EC3" w:rsidRPr="00C761F9" w:rsidRDefault="00320EC3" w:rsidP="00320EC3">
      <w:pPr>
        <w:tabs>
          <w:tab w:val="left" w:pos="851"/>
        </w:tabs>
        <w:ind w:left="851"/>
        <w:rPr>
          <w:sz w:val="24"/>
          <w:szCs w:val="24"/>
        </w:rPr>
      </w:pPr>
      <w:r w:rsidRPr="00C761F9">
        <w:rPr>
          <w:sz w:val="24"/>
          <w:szCs w:val="24"/>
        </w:rPr>
        <w:t xml:space="preserve">Hver </w:t>
      </w:r>
      <w:proofErr w:type="spellStart"/>
      <w:r>
        <w:rPr>
          <w:szCs w:val="24"/>
        </w:rPr>
        <w:t>Mirtazapin</w:t>
      </w:r>
      <w:proofErr w:type="spellEnd"/>
      <w:r>
        <w:rPr>
          <w:szCs w:val="24"/>
        </w:rPr>
        <w:t xml:space="preserve"> "Orion"</w:t>
      </w:r>
      <w:r w:rsidRPr="00C761F9">
        <w:rPr>
          <w:sz w:val="24"/>
          <w:szCs w:val="24"/>
        </w:rPr>
        <w:t xml:space="preserve"> 30</w:t>
      </w:r>
      <w:r>
        <w:rPr>
          <w:sz w:val="24"/>
          <w:szCs w:val="24"/>
        </w:rPr>
        <w:t> </w:t>
      </w:r>
      <w:r w:rsidRPr="00C761F9">
        <w:rPr>
          <w:sz w:val="24"/>
          <w:szCs w:val="24"/>
        </w:rPr>
        <w:t>mg filmovertrukke</w:t>
      </w:r>
      <w:r>
        <w:rPr>
          <w:sz w:val="24"/>
          <w:szCs w:val="24"/>
        </w:rPr>
        <w:t>n</w:t>
      </w:r>
      <w:r w:rsidRPr="00C761F9">
        <w:rPr>
          <w:sz w:val="24"/>
          <w:szCs w:val="24"/>
        </w:rPr>
        <w:t xml:space="preserve"> tablet indeholder 204</w:t>
      </w:r>
      <w:r>
        <w:rPr>
          <w:sz w:val="24"/>
          <w:szCs w:val="24"/>
        </w:rPr>
        <w:t> </w:t>
      </w:r>
      <w:r w:rsidRPr="00C761F9">
        <w:rPr>
          <w:sz w:val="24"/>
          <w:szCs w:val="24"/>
        </w:rPr>
        <w:t xml:space="preserve">mg </w:t>
      </w:r>
      <w:proofErr w:type="spellStart"/>
      <w:r w:rsidRPr="00C761F9">
        <w:rPr>
          <w:sz w:val="24"/>
          <w:szCs w:val="24"/>
        </w:rPr>
        <w:t>lactosemonohydrat</w:t>
      </w:r>
      <w:proofErr w:type="spellEnd"/>
      <w:r w:rsidRPr="00C761F9">
        <w:rPr>
          <w:sz w:val="24"/>
          <w:szCs w:val="24"/>
        </w:rPr>
        <w:t>.</w:t>
      </w:r>
    </w:p>
    <w:p w:rsidR="00320EC3" w:rsidRDefault="00320EC3" w:rsidP="00320EC3">
      <w:pPr>
        <w:tabs>
          <w:tab w:val="left" w:pos="851"/>
        </w:tabs>
        <w:ind w:left="851"/>
        <w:rPr>
          <w:sz w:val="24"/>
          <w:szCs w:val="24"/>
        </w:rPr>
      </w:pPr>
      <w:r w:rsidRPr="00C761F9">
        <w:rPr>
          <w:sz w:val="24"/>
          <w:szCs w:val="24"/>
        </w:rPr>
        <w:t xml:space="preserve">Hver </w:t>
      </w:r>
      <w:proofErr w:type="spellStart"/>
      <w:r>
        <w:rPr>
          <w:szCs w:val="24"/>
        </w:rPr>
        <w:t>Mirtazapin</w:t>
      </w:r>
      <w:proofErr w:type="spellEnd"/>
      <w:r>
        <w:rPr>
          <w:szCs w:val="24"/>
        </w:rPr>
        <w:t xml:space="preserve"> "Orion"</w:t>
      </w:r>
      <w:r w:rsidRPr="00C761F9">
        <w:rPr>
          <w:sz w:val="24"/>
          <w:szCs w:val="24"/>
        </w:rPr>
        <w:t xml:space="preserve"> 45</w:t>
      </w:r>
      <w:r>
        <w:rPr>
          <w:sz w:val="24"/>
          <w:szCs w:val="24"/>
        </w:rPr>
        <w:t> </w:t>
      </w:r>
      <w:r w:rsidRPr="00C761F9">
        <w:rPr>
          <w:sz w:val="24"/>
          <w:szCs w:val="24"/>
        </w:rPr>
        <w:t>mg filmovertrukke</w:t>
      </w:r>
      <w:r>
        <w:rPr>
          <w:sz w:val="24"/>
          <w:szCs w:val="24"/>
        </w:rPr>
        <w:t>n</w:t>
      </w:r>
      <w:r w:rsidRPr="00C761F9">
        <w:rPr>
          <w:sz w:val="24"/>
          <w:szCs w:val="24"/>
        </w:rPr>
        <w:t xml:space="preserve"> tablet indeholder 306</w:t>
      </w:r>
      <w:r>
        <w:rPr>
          <w:sz w:val="24"/>
          <w:szCs w:val="24"/>
        </w:rPr>
        <w:t> </w:t>
      </w:r>
      <w:r w:rsidRPr="00C761F9">
        <w:rPr>
          <w:sz w:val="24"/>
          <w:szCs w:val="24"/>
        </w:rPr>
        <w:t xml:space="preserve">mg </w:t>
      </w:r>
      <w:proofErr w:type="spellStart"/>
      <w:r w:rsidRPr="00C761F9">
        <w:rPr>
          <w:sz w:val="24"/>
          <w:szCs w:val="24"/>
        </w:rPr>
        <w:t>lactosemonohydrat</w:t>
      </w:r>
      <w:proofErr w:type="spellEnd"/>
      <w:r w:rsidRPr="00C761F9">
        <w:rPr>
          <w:sz w:val="24"/>
          <w:szCs w:val="24"/>
        </w:rPr>
        <w:t>.</w:t>
      </w:r>
    </w:p>
    <w:p w:rsidR="00320EC3" w:rsidRPr="00C761F9" w:rsidRDefault="00320EC3" w:rsidP="00320EC3">
      <w:pPr>
        <w:tabs>
          <w:tab w:val="left" w:pos="851"/>
        </w:tabs>
        <w:ind w:left="851"/>
        <w:rPr>
          <w:sz w:val="24"/>
          <w:szCs w:val="24"/>
        </w:rPr>
      </w:pPr>
    </w:p>
    <w:p w:rsidR="00320EC3" w:rsidRPr="00C84483" w:rsidRDefault="00320EC3" w:rsidP="00320EC3">
      <w:pPr>
        <w:tabs>
          <w:tab w:val="left" w:pos="851"/>
        </w:tabs>
        <w:ind w:left="851"/>
        <w:rPr>
          <w:sz w:val="24"/>
          <w:szCs w:val="24"/>
        </w:rPr>
      </w:pPr>
      <w:r w:rsidRPr="00C761F9">
        <w:rPr>
          <w:sz w:val="24"/>
          <w:szCs w:val="24"/>
        </w:rPr>
        <w:t>Alle hjælpestoffer er anført under pkt.</w:t>
      </w:r>
      <w:r>
        <w:rPr>
          <w:sz w:val="24"/>
          <w:szCs w:val="24"/>
        </w:rPr>
        <w:t> </w:t>
      </w:r>
      <w:r w:rsidRPr="00C761F9">
        <w:rPr>
          <w:sz w:val="24"/>
          <w:szCs w:val="24"/>
        </w:rPr>
        <w:t xml:space="preserve"> 6.1.</w:t>
      </w:r>
    </w:p>
    <w:p w:rsidR="00DF7D66" w:rsidRPr="00C84483" w:rsidRDefault="00DF7D66" w:rsidP="00DF7D66">
      <w:pPr>
        <w:tabs>
          <w:tab w:val="left" w:pos="851"/>
        </w:tabs>
        <w:rPr>
          <w:sz w:val="24"/>
          <w:szCs w:val="24"/>
        </w:rPr>
      </w:pPr>
    </w:p>
    <w:p w:rsidR="00DF7D66" w:rsidRPr="00C84483" w:rsidRDefault="00DF7D66" w:rsidP="00DF7D66">
      <w:pPr>
        <w:tabs>
          <w:tab w:val="left" w:pos="851"/>
        </w:tabs>
        <w:ind w:left="851" w:hanging="851"/>
        <w:rPr>
          <w:b/>
          <w:sz w:val="24"/>
          <w:szCs w:val="24"/>
        </w:rPr>
      </w:pPr>
      <w:r w:rsidRPr="00C84483">
        <w:rPr>
          <w:b/>
          <w:sz w:val="24"/>
          <w:szCs w:val="24"/>
        </w:rPr>
        <w:t>3.</w:t>
      </w:r>
      <w:r w:rsidRPr="00C84483">
        <w:rPr>
          <w:b/>
          <w:sz w:val="24"/>
          <w:szCs w:val="24"/>
        </w:rPr>
        <w:tab/>
        <w:t>LÆGEMIDDELFORM</w:t>
      </w:r>
    </w:p>
    <w:p w:rsidR="001F3944" w:rsidRDefault="001F3944" w:rsidP="001F3944">
      <w:pPr>
        <w:tabs>
          <w:tab w:val="left" w:pos="851"/>
        </w:tabs>
        <w:ind w:left="851"/>
        <w:rPr>
          <w:sz w:val="24"/>
          <w:szCs w:val="24"/>
        </w:rPr>
      </w:pPr>
      <w:r>
        <w:rPr>
          <w:sz w:val="24"/>
          <w:szCs w:val="24"/>
        </w:rPr>
        <w:t>Filmovertrukken tablet.</w:t>
      </w:r>
    </w:p>
    <w:p w:rsidR="001F3944" w:rsidRDefault="001F3944" w:rsidP="001F3944">
      <w:pPr>
        <w:tabs>
          <w:tab w:val="left" w:pos="851"/>
        </w:tabs>
        <w:ind w:left="851"/>
        <w:rPr>
          <w:sz w:val="24"/>
          <w:szCs w:val="24"/>
        </w:rPr>
      </w:pPr>
    </w:p>
    <w:p w:rsidR="0057627E" w:rsidRDefault="0057627E" w:rsidP="0057627E">
      <w:pPr>
        <w:tabs>
          <w:tab w:val="left" w:pos="851"/>
        </w:tabs>
        <w:suppressAutoHyphens/>
        <w:ind w:left="851"/>
        <w:rPr>
          <w:sz w:val="24"/>
          <w:szCs w:val="24"/>
          <w:u w:val="single"/>
        </w:rPr>
      </w:pPr>
      <w:r>
        <w:rPr>
          <w:sz w:val="24"/>
          <w:szCs w:val="24"/>
          <w:u w:val="single"/>
        </w:rPr>
        <w:t>15 mg filmovertrukken tablet:</w:t>
      </w:r>
    </w:p>
    <w:p w:rsidR="0057627E" w:rsidRDefault="0057627E" w:rsidP="0057627E">
      <w:pPr>
        <w:tabs>
          <w:tab w:val="left" w:pos="851"/>
        </w:tabs>
        <w:suppressAutoHyphens/>
        <w:ind w:left="851"/>
        <w:rPr>
          <w:sz w:val="24"/>
          <w:szCs w:val="24"/>
        </w:rPr>
      </w:pPr>
      <w:r>
        <w:rPr>
          <w:sz w:val="24"/>
          <w:szCs w:val="24"/>
        </w:rPr>
        <w:t xml:space="preserve">Gule, </w:t>
      </w:r>
      <w:proofErr w:type="spellStart"/>
      <w:r>
        <w:rPr>
          <w:sz w:val="24"/>
          <w:szCs w:val="24"/>
        </w:rPr>
        <w:t>bikonvekse</w:t>
      </w:r>
      <w:proofErr w:type="spellEnd"/>
      <w:r>
        <w:rPr>
          <w:sz w:val="24"/>
          <w:szCs w:val="24"/>
        </w:rPr>
        <w:t xml:space="preserve">, kapselformede, filmovertrukne tabletter med delekærv imellem “1” og “5” på den ene side og mærket med </w:t>
      </w:r>
      <w:r>
        <w:rPr>
          <w:szCs w:val="22"/>
        </w:rPr>
        <w:t>“</w:t>
      </w:r>
      <w:r>
        <w:rPr>
          <w:sz w:val="24"/>
          <w:szCs w:val="24"/>
        </w:rPr>
        <w:t>MI” på den anden side. Tabletstørrelsen er 9,1 mm x 4,6 mm.</w:t>
      </w:r>
    </w:p>
    <w:p w:rsidR="0057627E" w:rsidRDefault="0057627E" w:rsidP="0057627E">
      <w:pPr>
        <w:tabs>
          <w:tab w:val="left" w:pos="851"/>
        </w:tabs>
        <w:suppressAutoHyphens/>
        <w:ind w:left="851"/>
        <w:rPr>
          <w:sz w:val="24"/>
          <w:szCs w:val="24"/>
        </w:rPr>
      </w:pPr>
    </w:p>
    <w:p w:rsidR="0057627E" w:rsidRDefault="0057627E" w:rsidP="0057627E">
      <w:pPr>
        <w:tabs>
          <w:tab w:val="left" w:pos="851"/>
        </w:tabs>
        <w:suppressAutoHyphens/>
        <w:ind w:left="851"/>
        <w:rPr>
          <w:sz w:val="24"/>
          <w:szCs w:val="24"/>
          <w:u w:val="single"/>
        </w:rPr>
      </w:pPr>
      <w:r>
        <w:rPr>
          <w:sz w:val="24"/>
          <w:szCs w:val="24"/>
          <w:u w:val="single"/>
        </w:rPr>
        <w:t>30 mg</w:t>
      </w:r>
      <w:r w:rsidRPr="008456C5">
        <w:rPr>
          <w:sz w:val="24"/>
          <w:szCs w:val="24"/>
          <w:u w:val="single"/>
        </w:rPr>
        <w:t xml:space="preserve"> </w:t>
      </w:r>
      <w:r>
        <w:rPr>
          <w:sz w:val="24"/>
          <w:szCs w:val="24"/>
          <w:u w:val="single"/>
        </w:rPr>
        <w:t>filmovertrukken tablet:</w:t>
      </w:r>
    </w:p>
    <w:p w:rsidR="0057627E" w:rsidRDefault="0057627E" w:rsidP="0057627E">
      <w:pPr>
        <w:tabs>
          <w:tab w:val="left" w:pos="851"/>
        </w:tabs>
        <w:suppressAutoHyphens/>
        <w:ind w:left="851"/>
        <w:rPr>
          <w:sz w:val="24"/>
          <w:szCs w:val="24"/>
        </w:rPr>
      </w:pPr>
      <w:r>
        <w:rPr>
          <w:sz w:val="24"/>
          <w:szCs w:val="24"/>
        </w:rPr>
        <w:t xml:space="preserve">Rødbrune, aflange, kapselformede, filmovertrukne tabletter med delekærv imellem “3” og “0” på den ene side og mærket med </w:t>
      </w:r>
      <w:r>
        <w:rPr>
          <w:szCs w:val="22"/>
        </w:rPr>
        <w:t>“</w:t>
      </w:r>
      <w:r>
        <w:rPr>
          <w:sz w:val="24"/>
          <w:szCs w:val="24"/>
        </w:rPr>
        <w:t>MI” på den anden side. Tabletstørrelsen er 14,1 mm x 6,1 mm.</w:t>
      </w:r>
    </w:p>
    <w:p w:rsidR="0057627E" w:rsidRDefault="0057627E" w:rsidP="0057627E">
      <w:pPr>
        <w:tabs>
          <w:tab w:val="left" w:pos="851"/>
        </w:tabs>
        <w:suppressAutoHyphens/>
        <w:ind w:left="851"/>
        <w:rPr>
          <w:sz w:val="24"/>
          <w:szCs w:val="24"/>
        </w:rPr>
      </w:pPr>
    </w:p>
    <w:p w:rsidR="0057627E" w:rsidRDefault="0057627E" w:rsidP="0057627E">
      <w:pPr>
        <w:tabs>
          <w:tab w:val="left" w:pos="851"/>
        </w:tabs>
        <w:suppressAutoHyphens/>
        <w:ind w:left="851"/>
        <w:rPr>
          <w:sz w:val="24"/>
          <w:szCs w:val="24"/>
          <w:u w:val="single"/>
        </w:rPr>
      </w:pPr>
      <w:r>
        <w:rPr>
          <w:sz w:val="24"/>
          <w:szCs w:val="24"/>
          <w:u w:val="single"/>
        </w:rPr>
        <w:t>45 mg</w:t>
      </w:r>
      <w:r w:rsidRPr="008456C5">
        <w:rPr>
          <w:sz w:val="24"/>
          <w:szCs w:val="24"/>
          <w:u w:val="single"/>
        </w:rPr>
        <w:t xml:space="preserve"> </w:t>
      </w:r>
      <w:r>
        <w:rPr>
          <w:sz w:val="24"/>
          <w:szCs w:val="24"/>
          <w:u w:val="single"/>
        </w:rPr>
        <w:t>filmovertrukken tablet:</w:t>
      </w:r>
    </w:p>
    <w:p w:rsidR="0057627E" w:rsidRDefault="0057627E" w:rsidP="0057627E">
      <w:pPr>
        <w:tabs>
          <w:tab w:val="left" w:pos="851"/>
        </w:tabs>
        <w:suppressAutoHyphens/>
        <w:ind w:left="851"/>
        <w:rPr>
          <w:sz w:val="24"/>
          <w:szCs w:val="24"/>
        </w:rPr>
      </w:pPr>
      <w:r>
        <w:rPr>
          <w:sz w:val="24"/>
          <w:szCs w:val="24"/>
        </w:rPr>
        <w:t xml:space="preserve">Hvide, </w:t>
      </w:r>
      <w:proofErr w:type="spellStart"/>
      <w:r>
        <w:rPr>
          <w:sz w:val="24"/>
          <w:szCs w:val="24"/>
        </w:rPr>
        <w:t>bikonvekse</w:t>
      </w:r>
      <w:proofErr w:type="spellEnd"/>
      <w:r>
        <w:rPr>
          <w:sz w:val="24"/>
          <w:szCs w:val="24"/>
        </w:rPr>
        <w:t>, kapselformede, filmovertrukne tabletter mærket med “45”</w:t>
      </w:r>
      <w:r>
        <w:rPr>
          <w:szCs w:val="22"/>
        </w:rPr>
        <w:t xml:space="preserve"> </w:t>
      </w:r>
      <w:r>
        <w:rPr>
          <w:sz w:val="24"/>
          <w:szCs w:val="24"/>
        </w:rPr>
        <w:t xml:space="preserve">på den ene side og </w:t>
      </w:r>
      <w:r>
        <w:rPr>
          <w:szCs w:val="22"/>
        </w:rPr>
        <w:t>“</w:t>
      </w:r>
      <w:r>
        <w:rPr>
          <w:sz w:val="24"/>
          <w:szCs w:val="24"/>
        </w:rPr>
        <w:t>MI” på den anden side. Tabletstørrelsen er 14,1 mm x 7,1 mm.</w:t>
      </w:r>
    </w:p>
    <w:p w:rsidR="0057627E" w:rsidRDefault="0057627E" w:rsidP="0057627E">
      <w:pPr>
        <w:tabs>
          <w:tab w:val="left" w:pos="851"/>
        </w:tabs>
        <w:suppressAutoHyphens/>
        <w:ind w:left="851"/>
        <w:rPr>
          <w:sz w:val="24"/>
          <w:szCs w:val="24"/>
        </w:rPr>
      </w:pPr>
    </w:p>
    <w:p w:rsidR="00DF7D66" w:rsidRDefault="0057627E" w:rsidP="0057627E">
      <w:pPr>
        <w:tabs>
          <w:tab w:val="left" w:pos="851"/>
        </w:tabs>
        <w:rPr>
          <w:sz w:val="24"/>
          <w:szCs w:val="24"/>
        </w:rPr>
      </w:pPr>
      <w:r>
        <w:rPr>
          <w:sz w:val="24"/>
          <w:szCs w:val="24"/>
        </w:rPr>
        <w:tab/>
        <w:t>15 mg og 30 mg tabletten kan deles i to lige store doser.</w:t>
      </w:r>
    </w:p>
    <w:p w:rsidR="0057627E" w:rsidRDefault="0057627E" w:rsidP="0057627E">
      <w:pPr>
        <w:tabs>
          <w:tab w:val="left" w:pos="851"/>
        </w:tabs>
        <w:rPr>
          <w:sz w:val="24"/>
          <w:szCs w:val="24"/>
        </w:rPr>
      </w:pPr>
    </w:p>
    <w:p w:rsidR="0057627E" w:rsidRPr="00C84483" w:rsidRDefault="0057627E" w:rsidP="0057627E">
      <w:pPr>
        <w:tabs>
          <w:tab w:val="left" w:pos="851"/>
        </w:tabs>
        <w:rPr>
          <w:sz w:val="24"/>
          <w:szCs w:val="24"/>
        </w:rPr>
      </w:pPr>
    </w:p>
    <w:p w:rsidR="00DF7D66" w:rsidRPr="00C84483" w:rsidRDefault="00DF7D66" w:rsidP="00DF7D66">
      <w:pPr>
        <w:tabs>
          <w:tab w:val="left" w:pos="851"/>
        </w:tabs>
        <w:ind w:left="851" w:hanging="851"/>
        <w:rPr>
          <w:b/>
          <w:sz w:val="24"/>
          <w:szCs w:val="24"/>
        </w:rPr>
      </w:pPr>
      <w:r w:rsidRPr="00C84483">
        <w:rPr>
          <w:b/>
          <w:sz w:val="24"/>
          <w:szCs w:val="24"/>
        </w:rPr>
        <w:t>4.</w:t>
      </w:r>
      <w:r w:rsidRPr="00C84483">
        <w:rPr>
          <w:b/>
          <w:sz w:val="24"/>
          <w:szCs w:val="24"/>
        </w:rPr>
        <w:tab/>
        <w:t>KLINISKE OPLYSNINGER</w:t>
      </w:r>
    </w:p>
    <w:p w:rsidR="00DF7D66" w:rsidRPr="00C84483" w:rsidRDefault="00DF7D66" w:rsidP="00DF7D66">
      <w:pPr>
        <w:tabs>
          <w:tab w:val="left" w:pos="851"/>
        </w:tabs>
        <w:rPr>
          <w:b/>
          <w:sz w:val="24"/>
          <w:szCs w:val="24"/>
        </w:rPr>
      </w:pPr>
    </w:p>
    <w:p w:rsidR="00DF7D66" w:rsidRPr="00C84483" w:rsidRDefault="00DF7D66" w:rsidP="00DF7D66">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DF7D66" w:rsidRDefault="00DF7D66" w:rsidP="00DF7D66">
      <w:pPr>
        <w:tabs>
          <w:tab w:val="left" w:pos="851"/>
        </w:tabs>
        <w:ind w:left="851"/>
        <w:rPr>
          <w:sz w:val="24"/>
          <w:szCs w:val="24"/>
        </w:rPr>
      </w:pPr>
      <w:proofErr w:type="spellStart"/>
      <w:r>
        <w:rPr>
          <w:szCs w:val="24"/>
        </w:rPr>
        <w:t>Mirtazapin</w:t>
      </w:r>
      <w:proofErr w:type="spellEnd"/>
      <w:r>
        <w:rPr>
          <w:szCs w:val="24"/>
        </w:rPr>
        <w:t xml:space="preserve"> "Orion"</w:t>
      </w:r>
      <w:r>
        <w:rPr>
          <w:sz w:val="24"/>
          <w:szCs w:val="24"/>
        </w:rPr>
        <w:t xml:space="preserve"> er indiceret til behandling af episoder med major depression hos voksne.</w:t>
      </w:r>
    </w:p>
    <w:p w:rsidR="00DF7D66" w:rsidRPr="00C84483" w:rsidRDefault="00DF7D66" w:rsidP="00DF7D66">
      <w:pPr>
        <w:tabs>
          <w:tab w:val="left" w:pos="851"/>
        </w:tabs>
        <w:rPr>
          <w:sz w:val="24"/>
          <w:szCs w:val="24"/>
        </w:rPr>
      </w:pPr>
    </w:p>
    <w:p w:rsidR="00DF7D66" w:rsidRPr="00C84483" w:rsidRDefault="00DF7D66" w:rsidP="00DF7D66">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DF7D66" w:rsidRPr="001A172F" w:rsidRDefault="00DF7D66" w:rsidP="00DF7D66">
      <w:pPr>
        <w:tabs>
          <w:tab w:val="left" w:pos="851"/>
        </w:tabs>
        <w:ind w:left="851"/>
        <w:rPr>
          <w:noProof/>
          <w:sz w:val="24"/>
          <w:szCs w:val="24"/>
          <w:u w:val="single"/>
        </w:rPr>
      </w:pPr>
      <w:r w:rsidRPr="001A172F">
        <w:rPr>
          <w:noProof/>
          <w:sz w:val="24"/>
          <w:szCs w:val="24"/>
          <w:u w:val="single"/>
        </w:rPr>
        <w:t>Dosering</w:t>
      </w:r>
    </w:p>
    <w:p w:rsidR="00DF7D66" w:rsidRPr="00C761F9" w:rsidRDefault="00DF7D66" w:rsidP="00DF7D66">
      <w:pPr>
        <w:tabs>
          <w:tab w:val="left" w:pos="851"/>
        </w:tabs>
        <w:ind w:left="851"/>
        <w:rPr>
          <w:noProof/>
          <w:sz w:val="24"/>
          <w:szCs w:val="24"/>
          <w:u w:val="single"/>
        </w:rPr>
      </w:pPr>
    </w:p>
    <w:p w:rsidR="00DF7D66" w:rsidRPr="00C761F9" w:rsidRDefault="00DF7D66" w:rsidP="00DF7D66">
      <w:pPr>
        <w:tabs>
          <w:tab w:val="left" w:pos="851"/>
        </w:tabs>
        <w:ind w:left="851"/>
        <w:rPr>
          <w:i/>
          <w:noProof/>
          <w:sz w:val="24"/>
          <w:szCs w:val="24"/>
        </w:rPr>
      </w:pPr>
      <w:r w:rsidRPr="00C761F9">
        <w:rPr>
          <w:i/>
          <w:noProof/>
          <w:sz w:val="24"/>
          <w:szCs w:val="24"/>
        </w:rPr>
        <w:t>Voksne</w:t>
      </w:r>
    </w:p>
    <w:p w:rsidR="00DF7D66" w:rsidRPr="00C761F9" w:rsidRDefault="00DF7D66" w:rsidP="00DF7D66">
      <w:pPr>
        <w:pStyle w:val="CM58"/>
        <w:tabs>
          <w:tab w:val="left" w:pos="851"/>
        </w:tabs>
        <w:spacing w:line="258" w:lineRule="atLeast"/>
        <w:ind w:left="851"/>
        <w:rPr>
          <w:lang w:val="da-DK"/>
        </w:rPr>
      </w:pPr>
      <w:r w:rsidRPr="00C761F9">
        <w:rPr>
          <w:lang w:val="da-DK"/>
        </w:rPr>
        <w:t>Den effektive daglige dosis er sædvanligvis mellem 15 og 45</w:t>
      </w:r>
      <w:r w:rsidR="00242CC8">
        <w:rPr>
          <w:lang w:val="da-DK"/>
        </w:rPr>
        <w:t> </w:t>
      </w:r>
      <w:r w:rsidRPr="00C761F9">
        <w:rPr>
          <w:lang w:val="da-DK"/>
        </w:rPr>
        <w:t>mg. Startdosis er 15 eller 30</w:t>
      </w:r>
      <w:r w:rsidR="00242CC8">
        <w:rPr>
          <w:lang w:val="da-DK"/>
        </w:rPr>
        <w:t> </w:t>
      </w:r>
      <w:r w:rsidRPr="00C761F9">
        <w:rPr>
          <w:lang w:val="da-DK"/>
        </w:rPr>
        <w:t xml:space="preserve">mg. </w:t>
      </w:r>
      <w:proofErr w:type="spellStart"/>
      <w:r w:rsidRPr="00C761F9">
        <w:rPr>
          <w:lang w:val="da-DK"/>
        </w:rPr>
        <w:t>Mirtazapins</w:t>
      </w:r>
      <w:proofErr w:type="spellEnd"/>
      <w:r w:rsidRPr="00C761F9">
        <w:rPr>
          <w:lang w:val="da-DK"/>
        </w:rPr>
        <w:t xml:space="preserve"> virkning begynder normalt efter 1-2 ugers behandling. Behandling med den rette dosis bør resultere i positivt respons indenfor 2-4 uger. Ved utilstrækkelig respons kan dosis øges til den maksimale dosis. Hvis der ikke er respons efter yderligere 2-4 uger, bør behandlingen afbrydes. </w:t>
      </w:r>
    </w:p>
    <w:p w:rsidR="00DF7D66" w:rsidRPr="00C761F9" w:rsidRDefault="00DF7D66" w:rsidP="00DF7D66">
      <w:pPr>
        <w:tabs>
          <w:tab w:val="left" w:pos="851"/>
        </w:tabs>
        <w:ind w:left="851"/>
        <w:rPr>
          <w:sz w:val="24"/>
          <w:szCs w:val="24"/>
        </w:rPr>
      </w:pPr>
    </w:p>
    <w:p w:rsidR="00DF7D66" w:rsidRPr="00C761F9" w:rsidRDefault="00DF7D66" w:rsidP="00DF7D66">
      <w:pPr>
        <w:tabs>
          <w:tab w:val="left" w:pos="851"/>
        </w:tabs>
        <w:ind w:left="851"/>
        <w:rPr>
          <w:sz w:val="24"/>
          <w:szCs w:val="24"/>
        </w:rPr>
      </w:pPr>
      <w:r w:rsidRPr="00C761F9">
        <w:rPr>
          <w:sz w:val="24"/>
          <w:szCs w:val="24"/>
        </w:rPr>
        <w:t>Patienter med depression bør behandles over en tilstrækkelig lang periode på mindst 6 måneder for at sikre symptomfrihed.</w:t>
      </w:r>
    </w:p>
    <w:p w:rsidR="00DF7D66" w:rsidRPr="00C761F9" w:rsidRDefault="00DF7D66" w:rsidP="00DF7D66">
      <w:pPr>
        <w:tabs>
          <w:tab w:val="left" w:pos="851"/>
        </w:tabs>
        <w:ind w:left="851"/>
        <w:rPr>
          <w:sz w:val="24"/>
          <w:szCs w:val="24"/>
        </w:rPr>
      </w:pPr>
    </w:p>
    <w:p w:rsidR="00DF7D66" w:rsidRPr="00C761F9" w:rsidRDefault="00DF7D66" w:rsidP="00DF7D66">
      <w:pPr>
        <w:tabs>
          <w:tab w:val="left" w:pos="851"/>
        </w:tabs>
        <w:ind w:left="851"/>
        <w:rPr>
          <w:sz w:val="24"/>
          <w:szCs w:val="24"/>
        </w:rPr>
      </w:pPr>
      <w:r w:rsidRPr="00C761F9">
        <w:rPr>
          <w:sz w:val="24"/>
          <w:szCs w:val="24"/>
        </w:rPr>
        <w:t xml:space="preserve">Det anbefales at stoppe behandlingen med </w:t>
      </w:r>
      <w:proofErr w:type="spellStart"/>
      <w:r w:rsidRPr="00C761F9">
        <w:rPr>
          <w:sz w:val="24"/>
          <w:szCs w:val="24"/>
        </w:rPr>
        <w:t>mirtazapin</w:t>
      </w:r>
      <w:proofErr w:type="spellEnd"/>
      <w:r w:rsidRPr="00C761F9">
        <w:rPr>
          <w:sz w:val="24"/>
          <w:szCs w:val="24"/>
        </w:rPr>
        <w:t xml:space="preserve"> gradvist for at undgå </w:t>
      </w:r>
      <w:proofErr w:type="spellStart"/>
      <w:r w:rsidRPr="00C761F9">
        <w:rPr>
          <w:sz w:val="24"/>
          <w:szCs w:val="24"/>
        </w:rPr>
        <w:t>seponeringssymptomer</w:t>
      </w:r>
      <w:proofErr w:type="spellEnd"/>
      <w:r w:rsidRPr="00C761F9">
        <w:rPr>
          <w:sz w:val="24"/>
          <w:szCs w:val="24"/>
        </w:rPr>
        <w:t xml:space="preserve"> (se pkt.</w:t>
      </w:r>
      <w:r w:rsidR="0057627E">
        <w:rPr>
          <w:sz w:val="24"/>
          <w:szCs w:val="24"/>
        </w:rPr>
        <w:t> </w:t>
      </w:r>
      <w:r w:rsidRPr="00C761F9">
        <w:rPr>
          <w:sz w:val="24"/>
          <w:szCs w:val="24"/>
        </w:rPr>
        <w:t>4.4).</w:t>
      </w:r>
    </w:p>
    <w:p w:rsidR="00DF7D66" w:rsidRPr="00C761F9" w:rsidRDefault="00DF7D66" w:rsidP="00DF7D66">
      <w:pPr>
        <w:tabs>
          <w:tab w:val="left" w:pos="851"/>
        </w:tabs>
        <w:ind w:left="851"/>
        <w:rPr>
          <w:noProof/>
          <w:sz w:val="24"/>
          <w:szCs w:val="24"/>
          <w:u w:val="single"/>
        </w:rPr>
      </w:pPr>
    </w:p>
    <w:p w:rsidR="00DF7D66" w:rsidRDefault="00DF7D66" w:rsidP="00DF7D66">
      <w:pPr>
        <w:tabs>
          <w:tab w:val="left" w:pos="851"/>
        </w:tabs>
        <w:ind w:left="851"/>
        <w:rPr>
          <w:i/>
          <w:sz w:val="24"/>
        </w:rPr>
      </w:pPr>
      <w:r w:rsidRPr="00A75CAA">
        <w:rPr>
          <w:i/>
          <w:sz w:val="24"/>
        </w:rPr>
        <w:t>Ældre</w:t>
      </w:r>
    </w:p>
    <w:p w:rsidR="00DF7D66" w:rsidRPr="00C761F9" w:rsidRDefault="00DF7D66" w:rsidP="00DF7D66">
      <w:pPr>
        <w:tabs>
          <w:tab w:val="left" w:pos="851"/>
        </w:tabs>
        <w:ind w:left="851"/>
        <w:rPr>
          <w:noProof/>
          <w:sz w:val="24"/>
          <w:szCs w:val="24"/>
        </w:rPr>
      </w:pPr>
      <w:r w:rsidRPr="00C761F9">
        <w:rPr>
          <w:sz w:val="24"/>
          <w:szCs w:val="24"/>
        </w:rPr>
        <w:t xml:space="preserve">Den anbefalede dosis er den samme som for voksne. Hos ældre patienter bør en dosisøgning iværksættes under nøje overvågning med henblik på at fremkalde et tilfredsstillende og sikkert respons. </w:t>
      </w:r>
    </w:p>
    <w:p w:rsidR="00DF7D66" w:rsidRPr="00C761F9" w:rsidRDefault="00DF7D66" w:rsidP="00DF7D66">
      <w:pPr>
        <w:tabs>
          <w:tab w:val="left" w:pos="851"/>
        </w:tabs>
        <w:ind w:left="851"/>
        <w:rPr>
          <w:noProof/>
          <w:sz w:val="24"/>
          <w:szCs w:val="24"/>
          <w:u w:val="single"/>
        </w:rPr>
      </w:pPr>
    </w:p>
    <w:p w:rsidR="00DF7D66" w:rsidRPr="00C761F9" w:rsidRDefault="00DF7D66" w:rsidP="00DF7D66">
      <w:pPr>
        <w:tabs>
          <w:tab w:val="left" w:pos="851"/>
        </w:tabs>
        <w:autoSpaceDE w:val="0"/>
        <w:autoSpaceDN w:val="0"/>
        <w:adjustRightInd w:val="0"/>
        <w:ind w:left="851"/>
        <w:rPr>
          <w:i/>
          <w:sz w:val="24"/>
          <w:szCs w:val="24"/>
        </w:rPr>
      </w:pPr>
      <w:r w:rsidRPr="00C761F9">
        <w:rPr>
          <w:i/>
          <w:sz w:val="24"/>
          <w:szCs w:val="24"/>
        </w:rPr>
        <w:t>Nedsat nyrefunktion</w:t>
      </w:r>
    </w:p>
    <w:p w:rsidR="00DF7D66" w:rsidRPr="00C761F9" w:rsidRDefault="00DF7D66" w:rsidP="00DF7D66">
      <w:pPr>
        <w:tabs>
          <w:tab w:val="left" w:pos="851"/>
        </w:tabs>
        <w:autoSpaceDE w:val="0"/>
        <w:autoSpaceDN w:val="0"/>
        <w:adjustRightInd w:val="0"/>
        <w:ind w:left="851"/>
        <w:rPr>
          <w:sz w:val="24"/>
          <w:szCs w:val="24"/>
        </w:rPr>
      </w:pPr>
      <w:proofErr w:type="spellStart"/>
      <w:r w:rsidRPr="00C761F9">
        <w:rPr>
          <w:sz w:val="24"/>
          <w:szCs w:val="24"/>
        </w:rPr>
        <w:t>Mirtazapins</w:t>
      </w:r>
      <w:proofErr w:type="spellEnd"/>
      <w:r w:rsidRPr="00C761F9">
        <w:rPr>
          <w:sz w:val="24"/>
          <w:szCs w:val="24"/>
        </w:rPr>
        <w:t xml:space="preserve"> </w:t>
      </w:r>
      <w:proofErr w:type="spellStart"/>
      <w:r w:rsidRPr="00C761F9">
        <w:rPr>
          <w:sz w:val="24"/>
          <w:szCs w:val="24"/>
        </w:rPr>
        <w:t>clearance</w:t>
      </w:r>
      <w:proofErr w:type="spellEnd"/>
      <w:r w:rsidRPr="00C761F9">
        <w:rPr>
          <w:sz w:val="24"/>
          <w:szCs w:val="24"/>
        </w:rPr>
        <w:t xml:space="preserve"> kan være nedsat hos patienter med moderat til svært nedsat nyrefunktion (</w:t>
      </w:r>
      <w:proofErr w:type="spellStart"/>
      <w:r w:rsidRPr="00C761F9">
        <w:rPr>
          <w:sz w:val="24"/>
          <w:szCs w:val="24"/>
        </w:rPr>
        <w:t>kreatininclearance</w:t>
      </w:r>
      <w:proofErr w:type="spellEnd"/>
      <w:r w:rsidRPr="00C761F9">
        <w:rPr>
          <w:sz w:val="24"/>
          <w:szCs w:val="24"/>
        </w:rPr>
        <w:t xml:space="preserve"> </w:t>
      </w:r>
      <w:r w:rsidRPr="00C761F9">
        <w:rPr>
          <w:rFonts w:ascii="Symbol" w:hAnsi="Symbol" w:cs="Symbol"/>
          <w:sz w:val="24"/>
          <w:szCs w:val="24"/>
          <w:lang w:val="en-US"/>
        </w:rPr>
        <w:t></w:t>
      </w:r>
      <w:r w:rsidRPr="00C761F9">
        <w:rPr>
          <w:sz w:val="24"/>
          <w:szCs w:val="24"/>
        </w:rPr>
        <w:t>40</w:t>
      </w:r>
      <w:r w:rsidR="00242CC8">
        <w:rPr>
          <w:sz w:val="24"/>
          <w:szCs w:val="24"/>
        </w:rPr>
        <w:t> </w:t>
      </w:r>
      <w:r w:rsidRPr="00C761F9">
        <w:rPr>
          <w:sz w:val="24"/>
          <w:szCs w:val="24"/>
        </w:rPr>
        <w:t xml:space="preserve">ml/min). Dette bør tages i betragtning ved ordinering af </w:t>
      </w:r>
      <w:proofErr w:type="spellStart"/>
      <w:r w:rsidRPr="00C761F9">
        <w:rPr>
          <w:sz w:val="24"/>
          <w:szCs w:val="24"/>
        </w:rPr>
        <w:t>mirtazapin</w:t>
      </w:r>
      <w:proofErr w:type="spellEnd"/>
      <w:r w:rsidRPr="00C761F9">
        <w:rPr>
          <w:sz w:val="24"/>
          <w:szCs w:val="24"/>
        </w:rPr>
        <w:t xml:space="preserve"> til denne gruppe patienter (se pkt.</w:t>
      </w:r>
      <w:r w:rsidR="0057627E">
        <w:rPr>
          <w:sz w:val="24"/>
          <w:szCs w:val="24"/>
        </w:rPr>
        <w:t> </w:t>
      </w:r>
      <w:r w:rsidRPr="00C761F9">
        <w:rPr>
          <w:sz w:val="24"/>
          <w:szCs w:val="24"/>
        </w:rPr>
        <w:t>4.4).</w:t>
      </w:r>
    </w:p>
    <w:p w:rsidR="00DF7D66" w:rsidRPr="00C761F9" w:rsidRDefault="00DF7D66" w:rsidP="00DF7D66">
      <w:pPr>
        <w:tabs>
          <w:tab w:val="left" w:pos="851"/>
        </w:tabs>
        <w:autoSpaceDE w:val="0"/>
        <w:autoSpaceDN w:val="0"/>
        <w:adjustRightInd w:val="0"/>
        <w:ind w:left="851"/>
        <w:rPr>
          <w:sz w:val="24"/>
          <w:szCs w:val="24"/>
        </w:rPr>
      </w:pPr>
    </w:p>
    <w:p w:rsidR="00DF7D66" w:rsidRPr="00C761F9" w:rsidRDefault="00DF7D66" w:rsidP="00DF7D66">
      <w:pPr>
        <w:tabs>
          <w:tab w:val="left" w:pos="851"/>
        </w:tabs>
        <w:autoSpaceDE w:val="0"/>
        <w:autoSpaceDN w:val="0"/>
        <w:adjustRightInd w:val="0"/>
        <w:ind w:left="851"/>
        <w:rPr>
          <w:i/>
          <w:sz w:val="24"/>
          <w:szCs w:val="24"/>
        </w:rPr>
      </w:pPr>
      <w:r w:rsidRPr="00C761F9">
        <w:rPr>
          <w:i/>
          <w:sz w:val="24"/>
          <w:szCs w:val="24"/>
        </w:rPr>
        <w:t>Nedsat leverfunktion</w:t>
      </w:r>
    </w:p>
    <w:p w:rsidR="00DF7D66" w:rsidRPr="00C761F9" w:rsidRDefault="00DF7D66" w:rsidP="00DF7D66">
      <w:pPr>
        <w:tabs>
          <w:tab w:val="left" w:pos="851"/>
        </w:tabs>
        <w:autoSpaceDE w:val="0"/>
        <w:autoSpaceDN w:val="0"/>
        <w:adjustRightInd w:val="0"/>
        <w:ind w:left="851"/>
        <w:rPr>
          <w:sz w:val="24"/>
          <w:szCs w:val="24"/>
        </w:rPr>
      </w:pPr>
      <w:proofErr w:type="spellStart"/>
      <w:r w:rsidRPr="00C761F9">
        <w:rPr>
          <w:sz w:val="24"/>
          <w:szCs w:val="24"/>
        </w:rPr>
        <w:t>Mirtazapins</w:t>
      </w:r>
      <w:proofErr w:type="spellEnd"/>
      <w:r w:rsidRPr="00C761F9">
        <w:rPr>
          <w:sz w:val="24"/>
          <w:szCs w:val="24"/>
        </w:rPr>
        <w:t xml:space="preserve"> </w:t>
      </w:r>
      <w:proofErr w:type="spellStart"/>
      <w:r w:rsidRPr="00C761F9">
        <w:rPr>
          <w:sz w:val="24"/>
          <w:szCs w:val="24"/>
        </w:rPr>
        <w:t>clearance</w:t>
      </w:r>
      <w:proofErr w:type="spellEnd"/>
      <w:r w:rsidRPr="00C761F9">
        <w:rPr>
          <w:sz w:val="24"/>
          <w:szCs w:val="24"/>
        </w:rPr>
        <w:t xml:space="preserve"> kan være nedsat hos patienter med nedsat leverfunktion. Dette bør tages i betragtning ved ordinering af </w:t>
      </w:r>
      <w:proofErr w:type="spellStart"/>
      <w:r w:rsidRPr="00C761F9">
        <w:rPr>
          <w:sz w:val="24"/>
          <w:szCs w:val="24"/>
        </w:rPr>
        <w:t>mirtazapin</w:t>
      </w:r>
      <w:proofErr w:type="spellEnd"/>
      <w:r w:rsidRPr="00C761F9">
        <w:rPr>
          <w:sz w:val="24"/>
          <w:szCs w:val="24"/>
        </w:rPr>
        <w:t xml:space="preserve"> til denne gruppe patienter og især ved svært nedsat leverfunktion, idet patienter med svært nedsat leverfunktion ikke har været undersøgt (se pkt.</w:t>
      </w:r>
      <w:r w:rsidR="0057627E">
        <w:rPr>
          <w:sz w:val="24"/>
          <w:szCs w:val="24"/>
        </w:rPr>
        <w:t> </w:t>
      </w:r>
      <w:r w:rsidRPr="00C761F9">
        <w:rPr>
          <w:sz w:val="24"/>
          <w:szCs w:val="24"/>
        </w:rPr>
        <w:t>4.4).</w:t>
      </w:r>
    </w:p>
    <w:p w:rsidR="00DF7D66" w:rsidRPr="00C761F9" w:rsidRDefault="00DF7D66" w:rsidP="00DF7D66">
      <w:pPr>
        <w:tabs>
          <w:tab w:val="left" w:pos="851"/>
        </w:tabs>
        <w:ind w:left="851"/>
        <w:rPr>
          <w:noProof/>
          <w:sz w:val="24"/>
          <w:szCs w:val="24"/>
        </w:rPr>
      </w:pPr>
    </w:p>
    <w:p w:rsidR="00DF7D66" w:rsidRPr="001A172F" w:rsidRDefault="00DF7D66" w:rsidP="00DF7D66">
      <w:pPr>
        <w:tabs>
          <w:tab w:val="left" w:pos="851"/>
        </w:tabs>
        <w:autoSpaceDE w:val="0"/>
        <w:autoSpaceDN w:val="0"/>
        <w:adjustRightInd w:val="0"/>
        <w:ind w:left="851"/>
        <w:rPr>
          <w:i/>
          <w:sz w:val="24"/>
          <w:szCs w:val="24"/>
        </w:rPr>
      </w:pPr>
      <w:r w:rsidRPr="001A172F">
        <w:rPr>
          <w:i/>
          <w:sz w:val="24"/>
          <w:szCs w:val="24"/>
        </w:rPr>
        <w:t>Pædiatrisk population</w:t>
      </w:r>
    </w:p>
    <w:p w:rsidR="00DF7D66" w:rsidRPr="00C761F9" w:rsidRDefault="00DF7D66" w:rsidP="00DF7D66">
      <w:pPr>
        <w:tabs>
          <w:tab w:val="left" w:pos="851"/>
        </w:tabs>
        <w:autoSpaceDE w:val="0"/>
        <w:autoSpaceDN w:val="0"/>
        <w:adjustRightInd w:val="0"/>
        <w:ind w:left="851"/>
        <w:rPr>
          <w:sz w:val="24"/>
          <w:szCs w:val="24"/>
        </w:rPr>
      </w:pPr>
      <w:proofErr w:type="spellStart"/>
      <w:r w:rsidRPr="00C761F9">
        <w:rPr>
          <w:sz w:val="24"/>
          <w:szCs w:val="24"/>
        </w:rPr>
        <w:t>Mirtazapin</w:t>
      </w:r>
      <w:proofErr w:type="spellEnd"/>
      <w:r w:rsidRPr="00C761F9">
        <w:rPr>
          <w:sz w:val="24"/>
          <w:szCs w:val="24"/>
        </w:rPr>
        <w:t xml:space="preserve"> bør ikke anvendes til behandling af børn og unge under 18 år, da virkning ikke blev påvist i to kortvarige kliniske studier (se pkt.</w:t>
      </w:r>
      <w:r w:rsidR="0057627E">
        <w:rPr>
          <w:sz w:val="24"/>
          <w:szCs w:val="24"/>
        </w:rPr>
        <w:t> </w:t>
      </w:r>
      <w:r w:rsidRPr="00C761F9">
        <w:rPr>
          <w:sz w:val="24"/>
          <w:szCs w:val="24"/>
        </w:rPr>
        <w:t>5.1) og på grund af sikkerhedsproblemer (se pkt.</w:t>
      </w:r>
      <w:r w:rsidR="0057627E">
        <w:rPr>
          <w:sz w:val="24"/>
          <w:szCs w:val="24"/>
        </w:rPr>
        <w:t> </w:t>
      </w:r>
      <w:r w:rsidRPr="00C761F9">
        <w:rPr>
          <w:sz w:val="24"/>
          <w:szCs w:val="24"/>
        </w:rPr>
        <w:t>4.4, 4.8 og 5.1).</w:t>
      </w:r>
    </w:p>
    <w:p w:rsidR="00DF7D66" w:rsidRPr="00C761F9" w:rsidRDefault="00DF7D66" w:rsidP="00DF7D66">
      <w:pPr>
        <w:tabs>
          <w:tab w:val="left" w:pos="851"/>
        </w:tabs>
        <w:autoSpaceDE w:val="0"/>
        <w:autoSpaceDN w:val="0"/>
        <w:adjustRightInd w:val="0"/>
        <w:ind w:left="851"/>
        <w:rPr>
          <w:sz w:val="24"/>
          <w:szCs w:val="24"/>
        </w:rPr>
      </w:pPr>
    </w:p>
    <w:p w:rsidR="00DF7D66" w:rsidRPr="001A172F" w:rsidRDefault="00DF7D66" w:rsidP="00DF7D66">
      <w:pPr>
        <w:tabs>
          <w:tab w:val="left" w:pos="851"/>
        </w:tabs>
        <w:autoSpaceDE w:val="0"/>
        <w:autoSpaceDN w:val="0"/>
        <w:adjustRightInd w:val="0"/>
        <w:ind w:left="851"/>
        <w:rPr>
          <w:sz w:val="24"/>
          <w:szCs w:val="24"/>
          <w:u w:val="single"/>
        </w:rPr>
      </w:pPr>
      <w:r>
        <w:rPr>
          <w:sz w:val="24"/>
          <w:szCs w:val="24"/>
          <w:u w:val="single"/>
        </w:rPr>
        <w:t>Administration</w:t>
      </w:r>
    </w:p>
    <w:p w:rsidR="00DF7D66" w:rsidRDefault="00DF7D66" w:rsidP="00DF7D66">
      <w:pPr>
        <w:tabs>
          <w:tab w:val="left" w:pos="851"/>
        </w:tabs>
        <w:autoSpaceDE w:val="0"/>
        <w:autoSpaceDN w:val="0"/>
        <w:adjustRightInd w:val="0"/>
        <w:ind w:left="851"/>
        <w:rPr>
          <w:sz w:val="24"/>
          <w:szCs w:val="24"/>
        </w:rPr>
      </w:pPr>
      <w:proofErr w:type="spellStart"/>
      <w:r w:rsidRPr="00C761F9">
        <w:rPr>
          <w:sz w:val="24"/>
          <w:szCs w:val="24"/>
        </w:rPr>
        <w:t>Mirtazapin</w:t>
      </w:r>
      <w:proofErr w:type="spellEnd"/>
      <w:r w:rsidRPr="00C761F9">
        <w:rPr>
          <w:sz w:val="24"/>
          <w:szCs w:val="24"/>
        </w:rPr>
        <w:t xml:space="preserve"> har en eliminationshalveringstid pa 20-40 timer og derfor er det bedst at </w:t>
      </w:r>
      <w:proofErr w:type="spellStart"/>
      <w:r>
        <w:rPr>
          <w:szCs w:val="24"/>
        </w:rPr>
        <w:t>Mirtazapin</w:t>
      </w:r>
      <w:proofErr w:type="spellEnd"/>
      <w:r>
        <w:rPr>
          <w:szCs w:val="24"/>
        </w:rPr>
        <w:t xml:space="preserve"> "Orion"</w:t>
      </w:r>
      <w:r w:rsidRPr="00C761F9">
        <w:rPr>
          <w:sz w:val="24"/>
          <w:szCs w:val="24"/>
        </w:rPr>
        <w:t xml:space="preserve"> administreres engang </w:t>
      </w:r>
      <w:r>
        <w:rPr>
          <w:sz w:val="24"/>
          <w:szCs w:val="24"/>
        </w:rPr>
        <w:t>daglig</w:t>
      </w:r>
      <w:r w:rsidRPr="00C761F9">
        <w:rPr>
          <w:sz w:val="24"/>
          <w:szCs w:val="24"/>
        </w:rPr>
        <w:t xml:space="preserve">. Det bør helst tages som en enkelt dosis om aftenen før sengetid. </w:t>
      </w:r>
    </w:p>
    <w:p w:rsidR="00242CC8" w:rsidRPr="00C761F9" w:rsidRDefault="00242CC8" w:rsidP="00DF7D66">
      <w:pPr>
        <w:tabs>
          <w:tab w:val="left" w:pos="851"/>
        </w:tabs>
        <w:autoSpaceDE w:val="0"/>
        <w:autoSpaceDN w:val="0"/>
        <w:adjustRightInd w:val="0"/>
        <w:ind w:left="851"/>
        <w:rPr>
          <w:sz w:val="24"/>
          <w:szCs w:val="24"/>
        </w:rPr>
      </w:pPr>
    </w:p>
    <w:p w:rsidR="00DF7D66" w:rsidRPr="00C761F9" w:rsidRDefault="00DF7D66" w:rsidP="00DF7D66">
      <w:pPr>
        <w:tabs>
          <w:tab w:val="left" w:pos="851"/>
        </w:tabs>
        <w:autoSpaceDE w:val="0"/>
        <w:autoSpaceDN w:val="0"/>
        <w:adjustRightInd w:val="0"/>
        <w:ind w:left="851"/>
        <w:rPr>
          <w:sz w:val="24"/>
          <w:szCs w:val="24"/>
        </w:rPr>
      </w:pPr>
      <w:proofErr w:type="spellStart"/>
      <w:r>
        <w:rPr>
          <w:szCs w:val="24"/>
        </w:rPr>
        <w:t>Mirtazapin</w:t>
      </w:r>
      <w:proofErr w:type="spellEnd"/>
      <w:r>
        <w:rPr>
          <w:szCs w:val="24"/>
        </w:rPr>
        <w:t xml:space="preserve"> "Orion"</w:t>
      </w:r>
      <w:r w:rsidRPr="00C761F9">
        <w:rPr>
          <w:sz w:val="24"/>
          <w:szCs w:val="24"/>
        </w:rPr>
        <w:t xml:space="preserve"> kan også deles i to doser (én dosis om morgenen og én om aftenen, den højeste dosis skal tages om aftenen).</w:t>
      </w:r>
    </w:p>
    <w:p w:rsidR="00DF7D66" w:rsidRPr="00C761F9" w:rsidRDefault="00DF7D66" w:rsidP="00DF7D66">
      <w:pPr>
        <w:tabs>
          <w:tab w:val="left" w:pos="851"/>
        </w:tabs>
        <w:autoSpaceDE w:val="0"/>
        <w:autoSpaceDN w:val="0"/>
        <w:adjustRightInd w:val="0"/>
        <w:ind w:left="851"/>
        <w:rPr>
          <w:sz w:val="24"/>
          <w:szCs w:val="24"/>
        </w:rPr>
      </w:pPr>
    </w:p>
    <w:p w:rsidR="00DF7D66" w:rsidRPr="00C84483" w:rsidRDefault="00DF7D66" w:rsidP="00DF7D66">
      <w:pPr>
        <w:tabs>
          <w:tab w:val="left" w:pos="851"/>
        </w:tabs>
        <w:autoSpaceDE w:val="0"/>
        <w:autoSpaceDN w:val="0"/>
        <w:adjustRightInd w:val="0"/>
        <w:ind w:left="851"/>
        <w:rPr>
          <w:sz w:val="24"/>
          <w:szCs w:val="24"/>
        </w:rPr>
      </w:pPr>
      <w:r w:rsidRPr="00C761F9">
        <w:rPr>
          <w:sz w:val="24"/>
          <w:szCs w:val="24"/>
        </w:rPr>
        <w:t>Tabletterne bør indtages oralt med væske og sluges hele uden at tygge dem.</w:t>
      </w:r>
    </w:p>
    <w:p w:rsidR="00DF7D66" w:rsidRPr="00C84483" w:rsidRDefault="00DF7D66" w:rsidP="00DF7D66">
      <w:pPr>
        <w:tabs>
          <w:tab w:val="left" w:pos="851"/>
        </w:tabs>
        <w:rPr>
          <w:sz w:val="24"/>
          <w:szCs w:val="24"/>
        </w:rPr>
      </w:pPr>
    </w:p>
    <w:p w:rsidR="00DF7D66" w:rsidRPr="00C84483" w:rsidRDefault="00DF7D66" w:rsidP="00DF7D66">
      <w:pPr>
        <w:tabs>
          <w:tab w:val="left" w:pos="851"/>
        </w:tabs>
        <w:ind w:left="851" w:hanging="851"/>
        <w:rPr>
          <w:b/>
          <w:sz w:val="24"/>
          <w:szCs w:val="24"/>
        </w:rPr>
      </w:pPr>
      <w:r w:rsidRPr="00C84483">
        <w:rPr>
          <w:b/>
          <w:sz w:val="24"/>
          <w:szCs w:val="24"/>
        </w:rPr>
        <w:t>4.3</w:t>
      </w:r>
      <w:r w:rsidRPr="00C84483">
        <w:rPr>
          <w:b/>
          <w:sz w:val="24"/>
          <w:szCs w:val="24"/>
        </w:rPr>
        <w:tab/>
        <w:t>Kontraindikationer</w:t>
      </w:r>
    </w:p>
    <w:p w:rsidR="00242CC8" w:rsidRDefault="00242CC8" w:rsidP="00242CC8">
      <w:pPr>
        <w:pStyle w:val="Listeafsnit"/>
        <w:numPr>
          <w:ilvl w:val="0"/>
          <w:numId w:val="8"/>
        </w:numPr>
        <w:tabs>
          <w:tab w:val="left" w:pos="851"/>
        </w:tabs>
        <w:autoSpaceDE w:val="0"/>
        <w:autoSpaceDN w:val="0"/>
        <w:adjustRightInd w:val="0"/>
        <w:ind w:left="1418" w:hanging="567"/>
        <w:rPr>
          <w:sz w:val="24"/>
          <w:szCs w:val="24"/>
        </w:rPr>
      </w:pPr>
      <w:r>
        <w:rPr>
          <w:sz w:val="24"/>
          <w:szCs w:val="24"/>
        </w:rPr>
        <w:t>overfølsomhed over for det aktive stof eller over for et eller flere af hjælpestofferne anført i punkt 6.1.</w:t>
      </w:r>
    </w:p>
    <w:p w:rsidR="00242CC8" w:rsidRDefault="00242CC8" w:rsidP="00242CC8">
      <w:pPr>
        <w:pStyle w:val="Listeafsnit"/>
        <w:numPr>
          <w:ilvl w:val="0"/>
          <w:numId w:val="8"/>
        </w:numPr>
        <w:tabs>
          <w:tab w:val="left" w:pos="851"/>
        </w:tabs>
        <w:ind w:left="1418" w:hanging="567"/>
        <w:rPr>
          <w:sz w:val="24"/>
          <w:szCs w:val="24"/>
        </w:rPr>
      </w:pPr>
      <w:r>
        <w:rPr>
          <w:sz w:val="24"/>
          <w:szCs w:val="24"/>
        </w:rPr>
        <w:t xml:space="preserve">brug af </w:t>
      </w:r>
      <w:proofErr w:type="spellStart"/>
      <w:r>
        <w:rPr>
          <w:sz w:val="24"/>
          <w:szCs w:val="24"/>
        </w:rPr>
        <w:t>mirtazapin</w:t>
      </w:r>
      <w:proofErr w:type="spellEnd"/>
      <w:r>
        <w:rPr>
          <w:sz w:val="24"/>
          <w:szCs w:val="24"/>
        </w:rPr>
        <w:t xml:space="preserve"> sammen med </w:t>
      </w:r>
      <w:proofErr w:type="spellStart"/>
      <w:r>
        <w:rPr>
          <w:sz w:val="24"/>
          <w:szCs w:val="24"/>
        </w:rPr>
        <w:t>monoaminooxidase</w:t>
      </w:r>
      <w:proofErr w:type="spellEnd"/>
      <w:r>
        <w:rPr>
          <w:sz w:val="24"/>
          <w:szCs w:val="24"/>
        </w:rPr>
        <w:t xml:space="preserve"> (MAO)-</w:t>
      </w:r>
      <w:proofErr w:type="spellStart"/>
      <w:r>
        <w:rPr>
          <w:sz w:val="24"/>
          <w:szCs w:val="24"/>
        </w:rPr>
        <w:t>hæmmere</w:t>
      </w:r>
      <w:proofErr w:type="spellEnd"/>
      <w:r>
        <w:rPr>
          <w:sz w:val="24"/>
          <w:szCs w:val="24"/>
        </w:rPr>
        <w:t xml:space="preserve"> (se pkt. 4.5).</w:t>
      </w:r>
    </w:p>
    <w:p w:rsidR="00DF7D66" w:rsidRPr="00C84483" w:rsidRDefault="00DF7D66" w:rsidP="00DF7D66">
      <w:pPr>
        <w:tabs>
          <w:tab w:val="left" w:pos="851"/>
        </w:tabs>
        <w:rPr>
          <w:sz w:val="24"/>
          <w:szCs w:val="24"/>
        </w:rPr>
      </w:pPr>
    </w:p>
    <w:p w:rsidR="00DF7D66" w:rsidRPr="00C84483" w:rsidRDefault="00DF7D66" w:rsidP="00DF7D66">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DF7D66" w:rsidRPr="00C761F9" w:rsidRDefault="00DF7D66" w:rsidP="00DF7D66">
      <w:pPr>
        <w:tabs>
          <w:tab w:val="left" w:pos="851"/>
        </w:tabs>
        <w:autoSpaceDE w:val="0"/>
        <w:autoSpaceDN w:val="0"/>
        <w:adjustRightInd w:val="0"/>
        <w:ind w:left="851"/>
        <w:rPr>
          <w:sz w:val="24"/>
          <w:szCs w:val="24"/>
          <w:u w:val="single"/>
        </w:rPr>
      </w:pPr>
      <w:r w:rsidRPr="00C761F9">
        <w:rPr>
          <w:sz w:val="24"/>
          <w:szCs w:val="24"/>
          <w:u w:val="single"/>
        </w:rPr>
        <w:t>Pædiatrisk population</w:t>
      </w:r>
    </w:p>
    <w:p w:rsidR="00DF7D66" w:rsidRPr="00C761F9" w:rsidRDefault="00DF7D66" w:rsidP="00DF7D66">
      <w:pPr>
        <w:tabs>
          <w:tab w:val="left" w:pos="851"/>
        </w:tabs>
        <w:autoSpaceDE w:val="0"/>
        <w:autoSpaceDN w:val="0"/>
        <w:adjustRightInd w:val="0"/>
        <w:ind w:left="851"/>
        <w:rPr>
          <w:sz w:val="24"/>
          <w:szCs w:val="24"/>
        </w:rPr>
      </w:pPr>
      <w:proofErr w:type="spellStart"/>
      <w:r w:rsidRPr="00C761F9">
        <w:rPr>
          <w:sz w:val="24"/>
          <w:szCs w:val="24"/>
        </w:rPr>
        <w:t>Mirtazapin</w:t>
      </w:r>
      <w:proofErr w:type="spellEnd"/>
      <w:r w:rsidRPr="00C761F9">
        <w:rPr>
          <w:sz w:val="24"/>
          <w:szCs w:val="24"/>
        </w:rPr>
        <w:t xml:space="preserve"> bør ikke anvendes til behandling af børn og unge under 18 år. Selvmordsrelateret adfærd (selvmordsforsøg og selvmordstanker) og fjendtlighed (fortrinsvis aggression, oppositionel adfærd og vrede) blev i kliniske undersøgelser observeret hyppigere blandt børn og unge behandlet med antidepressive midler i forhold til gruppen behandlet med placebo. Hvis det, under hensyntagen til kliniske behov, alligevel besluttes at behandle patienter i denne gruppe, bør disse overvåges omhyggeligt for selvmordssymptomer. Derudover mangler der langtidsdata om sikkerhed hos børn og unge med hensyn til vækst, modning og kognitiv og adfærdsmæssig udvikling.</w:t>
      </w:r>
    </w:p>
    <w:p w:rsidR="00DF7D66" w:rsidRPr="00C761F9" w:rsidRDefault="00DF7D66" w:rsidP="00DF7D66">
      <w:pPr>
        <w:tabs>
          <w:tab w:val="left" w:pos="851"/>
        </w:tabs>
        <w:autoSpaceDE w:val="0"/>
        <w:autoSpaceDN w:val="0"/>
        <w:adjustRightInd w:val="0"/>
        <w:ind w:left="851"/>
        <w:rPr>
          <w:sz w:val="24"/>
          <w:szCs w:val="24"/>
        </w:rPr>
      </w:pPr>
    </w:p>
    <w:p w:rsidR="00DF7D66" w:rsidRPr="00C761F9" w:rsidRDefault="00DF7D66" w:rsidP="00DF7D66">
      <w:pPr>
        <w:tabs>
          <w:tab w:val="left" w:pos="851"/>
        </w:tabs>
        <w:autoSpaceDE w:val="0"/>
        <w:autoSpaceDN w:val="0"/>
        <w:adjustRightInd w:val="0"/>
        <w:ind w:left="851"/>
        <w:rPr>
          <w:sz w:val="24"/>
          <w:szCs w:val="24"/>
          <w:u w:val="single"/>
        </w:rPr>
      </w:pPr>
      <w:r w:rsidRPr="00C761F9">
        <w:rPr>
          <w:sz w:val="24"/>
          <w:szCs w:val="24"/>
          <w:u w:val="single"/>
        </w:rPr>
        <w:t>Selvmord/selvmordstanker eller kliniske forværringer</w:t>
      </w:r>
    </w:p>
    <w:p w:rsidR="00DF7D66" w:rsidRPr="00C761F9" w:rsidRDefault="00DF7D66" w:rsidP="00DF7D66">
      <w:pPr>
        <w:tabs>
          <w:tab w:val="left" w:pos="851"/>
        </w:tabs>
        <w:autoSpaceDE w:val="0"/>
        <w:autoSpaceDN w:val="0"/>
        <w:adjustRightInd w:val="0"/>
        <w:ind w:left="851"/>
        <w:rPr>
          <w:sz w:val="24"/>
          <w:szCs w:val="24"/>
        </w:rPr>
      </w:pPr>
      <w:r w:rsidRPr="00C761F9">
        <w:rPr>
          <w:sz w:val="24"/>
          <w:szCs w:val="24"/>
        </w:rPr>
        <w:t>Depression er forbundet med en øget risiko for selvmordstanker, selvdestruktive handlinger og selvmord (selvmordsrelaterede hændelser). Denne risiko varer ved, indtil der sker en signifikant remission af sygdommen. Eftersom en bedring af depressionen måske ikke ses før efter flere ugers behandling, bør patienten følges tæt, indtil en forbedring ses. Generel klinisk erfaring viser, at selvmordsrisikoen kan stige i de tidlige helbredelsesstadier.</w:t>
      </w:r>
    </w:p>
    <w:p w:rsidR="00DF7D66" w:rsidRPr="00C761F9" w:rsidRDefault="00DF7D66" w:rsidP="00DF7D66">
      <w:pPr>
        <w:tabs>
          <w:tab w:val="left" w:pos="851"/>
        </w:tabs>
        <w:autoSpaceDE w:val="0"/>
        <w:autoSpaceDN w:val="0"/>
        <w:adjustRightInd w:val="0"/>
        <w:ind w:left="851"/>
        <w:rPr>
          <w:sz w:val="24"/>
          <w:szCs w:val="24"/>
        </w:rPr>
      </w:pPr>
    </w:p>
    <w:p w:rsidR="00DF7D66" w:rsidRDefault="00DF7D66" w:rsidP="00DF7D66">
      <w:pPr>
        <w:tabs>
          <w:tab w:val="left" w:pos="851"/>
        </w:tabs>
        <w:autoSpaceDE w:val="0"/>
        <w:autoSpaceDN w:val="0"/>
        <w:adjustRightInd w:val="0"/>
        <w:ind w:left="851"/>
        <w:rPr>
          <w:sz w:val="24"/>
          <w:szCs w:val="24"/>
        </w:rPr>
      </w:pPr>
      <w:r w:rsidRPr="00C761F9">
        <w:rPr>
          <w:sz w:val="24"/>
          <w:szCs w:val="24"/>
        </w:rPr>
        <w:t>Patienter, der tidligere har haft selvmordsrelaterede hændelser, eller patienter, der udviser en</w:t>
      </w:r>
      <w:r>
        <w:rPr>
          <w:sz w:val="24"/>
          <w:szCs w:val="24"/>
        </w:rPr>
        <w:t xml:space="preserve"> </w:t>
      </w:r>
      <w:r w:rsidRPr="00C761F9">
        <w:rPr>
          <w:sz w:val="24"/>
          <w:szCs w:val="24"/>
        </w:rPr>
        <w:t xml:space="preserve">signifikant grad af selvmordstanker eller selvmordsforsøg inden behandling, har større risiko for selvmordstanker eller for at forsøge at begå selvmord og bør følges tæt under behandlingen. En </w:t>
      </w:r>
      <w:proofErr w:type="spellStart"/>
      <w:r w:rsidRPr="00C761F9">
        <w:rPr>
          <w:sz w:val="24"/>
          <w:szCs w:val="24"/>
        </w:rPr>
        <w:t>meta</w:t>
      </w:r>
      <w:proofErr w:type="spellEnd"/>
      <w:r w:rsidRPr="00C761F9">
        <w:rPr>
          <w:sz w:val="24"/>
          <w:szCs w:val="24"/>
        </w:rPr>
        <w:t xml:space="preserve">-analyse af placebo-kontrollerede kliniske studier af </w:t>
      </w:r>
      <w:proofErr w:type="spellStart"/>
      <w:r w:rsidRPr="00C761F9">
        <w:rPr>
          <w:sz w:val="24"/>
          <w:szCs w:val="24"/>
        </w:rPr>
        <w:t>antidepressiva</w:t>
      </w:r>
      <w:proofErr w:type="spellEnd"/>
      <w:r w:rsidRPr="00C761F9">
        <w:rPr>
          <w:sz w:val="24"/>
          <w:szCs w:val="24"/>
        </w:rPr>
        <w:t xml:space="preserve"> givet til voksne patienter med psykiatriske lidelser viste øget risiko for selvmordsadfærd hos patienter under 25 år behandlet med </w:t>
      </w:r>
      <w:proofErr w:type="spellStart"/>
      <w:r w:rsidRPr="00C761F9">
        <w:rPr>
          <w:sz w:val="24"/>
          <w:szCs w:val="24"/>
        </w:rPr>
        <w:t>antidepressiva</w:t>
      </w:r>
      <w:proofErr w:type="spellEnd"/>
      <w:r w:rsidRPr="00C761F9">
        <w:rPr>
          <w:sz w:val="24"/>
          <w:szCs w:val="24"/>
        </w:rPr>
        <w:t xml:space="preserve"> sammenlignet med placebogruppen.</w:t>
      </w:r>
    </w:p>
    <w:p w:rsidR="00242CC8" w:rsidRPr="00C761F9" w:rsidRDefault="00242CC8" w:rsidP="00DF7D66">
      <w:pPr>
        <w:tabs>
          <w:tab w:val="left" w:pos="851"/>
        </w:tabs>
        <w:autoSpaceDE w:val="0"/>
        <w:autoSpaceDN w:val="0"/>
        <w:adjustRightInd w:val="0"/>
        <w:ind w:left="851"/>
        <w:rPr>
          <w:sz w:val="24"/>
          <w:szCs w:val="24"/>
        </w:rPr>
      </w:pPr>
    </w:p>
    <w:p w:rsidR="00DF7D66" w:rsidRPr="00C761F9" w:rsidRDefault="00DF7D66" w:rsidP="00DF7D66">
      <w:pPr>
        <w:tabs>
          <w:tab w:val="left" w:pos="851"/>
        </w:tabs>
        <w:autoSpaceDE w:val="0"/>
        <w:autoSpaceDN w:val="0"/>
        <w:adjustRightInd w:val="0"/>
        <w:ind w:left="851"/>
        <w:rPr>
          <w:sz w:val="24"/>
          <w:szCs w:val="24"/>
        </w:rPr>
      </w:pPr>
      <w:r w:rsidRPr="00C761F9">
        <w:rPr>
          <w:sz w:val="24"/>
          <w:szCs w:val="24"/>
        </w:rPr>
        <w:t>Tæt overvågning, især af patienter i højrisikogruppen, bør ledsage den medicinske behandling,</w:t>
      </w:r>
      <w:r>
        <w:rPr>
          <w:sz w:val="24"/>
          <w:szCs w:val="24"/>
        </w:rPr>
        <w:t xml:space="preserve"> </w:t>
      </w:r>
      <w:r w:rsidRPr="00C761F9">
        <w:rPr>
          <w:sz w:val="24"/>
          <w:szCs w:val="24"/>
        </w:rPr>
        <w:t>særlig ved behandlingsstart og dosisændringer. Patienter (og plejepersonale) bør gøres opmærksom på behovet for overvågning med henblik på forekomst af en hvilken som helst klinisk forværring, selvmordsadfærd eller -tanker samt unormale ændringer i adfærd og på, at de straks skal søge læge, hvis disse symptomer opstår.</w:t>
      </w:r>
    </w:p>
    <w:p w:rsidR="00DF7D66" w:rsidRPr="00C761F9" w:rsidRDefault="00DF7D66" w:rsidP="00DF7D66">
      <w:pPr>
        <w:tabs>
          <w:tab w:val="left" w:pos="851"/>
        </w:tabs>
        <w:autoSpaceDE w:val="0"/>
        <w:autoSpaceDN w:val="0"/>
        <w:adjustRightInd w:val="0"/>
        <w:ind w:left="851"/>
        <w:rPr>
          <w:sz w:val="24"/>
          <w:szCs w:val="24"/>
        </w:rPr>
      </w:pPr>
    </w:p>
    <w:p w:rsidR="00DF7D66" w:rsidRPr="00734C26" w:rsidRDefault="00DF7D66" w:rsidP="00DF7D66">
      <w:pPr>
        <w:tabs>
          <w:tab w:val="left" w:pos="851"/>
        </w:tabs>
        <w:autoSpaceDE w:val="0"/>
        <w:autoSpaceDN w:val="0"/>
        <w:adjustRightInd w:val="0"/>
        <w:ind w:left="851"/>
        <w:rPr>
          <w:sz w:val="24"/>
          <w:szCs w:val="22"/>
        </w:rPr>
      </w:pPr>
      <w:r w:rsidRPr="00734C26">
        <w:rPr>
          <w:sz w:val="24"/>
          <w:szCs w:val="22"/>
        </w:rPr>
        <w:t>Med henvisning til risikoen for selvmord, særligt i starten af behandlingen,</w:t>
      </w:r>
      <w:r>
        <w:rPr>
          <w:sz w:val="24"/>
          <w:szCs w:val="22"/>
        </w:rPr>
        <w:t xml:space="preserve"> bør kun den mindste mængde af </w:t>
      </w:r>
      <w:proofErr w:type="spellStart"/>
      <w:r w:rsidRPr="00734C26">
        <w:rPr>
          <w:sz w:val="24"/>
          <w:szCs w:val="22"/>
        </w:rPr>
        <w:t>Mirtazapin</w:t>
      </w:r>
      <w:proofErr w:type="spellEnd"/>
      <w:r w:rsidRPr="00734C26">
        <w:rPr>
          <w:sz w:val="24"/>
          <w:szCs w:val="22"/>
        </w:rPr>
        <w:t xml:space="preserve"> "Orion" tabletter udleveres til patienten i overensstemmelse med god patientbehandling for at reducere risikoen for overdosering.</w:t>
      </w:r>
    </w:p>
    <w:p w:rsidR="00DF7D66" w:rsidRPr="00C761F9" w:rsidRDefault="00DF7D66" w:rsidP="00DF7D66">
      <w:pPr>
        <w:tabs>
          <w:tab w:val="left" w:pos="851"/>
        </w:tabs>
        <w:autoSpaceDE w:val="0"/>
        <w:autoSpaceDN w:val="0"/>
        <w:adjustRightInd w:val="0"/>
        <w:ind w:left="851"/>
        <w:rPr>
          <w:sz w:val="24"/>
          <w:szCs w:val="24"/>
        </w:rPr>
      </w:pPr>
    </w:p>
    <w:p w:rsidR="00DF7D66" w:rsidRPr="00C761F9" w:rsidRDefault="00DF7D66" w:rsidP="00DF7D66">
      <w:pPr>
        <w:tabs>
          <w:tab w:val="left" w:pos="851"/>
        </w:tabs>
        <w:autoSpaceDE w:val="0"/>
        <w:autoSpaceDN w:val="0"/>
        <w:adjustRightInd w:val="0"/>
        <w:ind w:left="851"/>
        <w:rPr>
          <w:sz w:val="24"/>
          <w:szCs w:val="24"/>
          <w:u w:val="single"/>
        </w:rPr>
      </w:pPr>
      <w:r w:rsidRPr="00C761F9">
        <w:rPr>
          <w:sz w:val="24"/>
          <w:szCs w:val="24"/>
          <w:u w:val="single"/>
        </w:rPr>
        <w:t>Knoglemarvsdepression</w:t>
      </w:r>
    </w:p>
    <w:p w:rsidR="00DF7D66" w:rsidRPr="00C761F9" w:rsidRDefault="00DF7D66" w:rsidP="00DF7D66">
      <w:pPr>
        <w:tabs>
          <w:tab w:val="left" w:pos="851"/>
        </w:tabs>
        <w:autoSpaceDE w:val="0"/>
        <w:autoSpaceDN w:val="0"/>
        <w:adjustRightInd w:val="0"/>
        <w:ind w:left="851"/>
        <w:rPr>
          <w:sz w:val="24"/>
          <w:szCs w:val="24"/>
        </w:rPr>
      </w:pPr>
      <w:r w:rsidRPr="00C761F9">
        <w:rPr>
          <w:sz w:val="24"/>
          <w:szCs w:val="24"/>
        </w:rPr>
        <w:t xml:space="preserve">Knoglemarvsdepression, der sædvanligvis viser sig som </w:t>
      </w:r>
      <w:proofErr w:type="spellStart"/>
      <w:r w:rsidRPr="00C761F9">
        <w:rPr>
          <w:sz w:val="24"/>
          <w:szCs w:val="24"/>
        </w:rPr>
        <w:t>granulocytopeni</w:t>
      </w:r>
      <w:proofErr w:type="spellEnd"/>
      <w:r w:rsidRPr="00C761F9">
        <w:rPr>
          <w:sz w:val="24"/>
          <w:szCs w:val="24"/>
        </w:rPr>
        <w:t xml:space="preserve"> eller </w:t>
      </w:r>
      <w:proofErr w:type="spellStart"/>
      <w:r w:rsidRPr="00C761F9">
        <w:rPr>
          <w:sz w:val="24"/>
          <w:szCs w:val="24"/>
        </w:rPr>
        <w:t>agranulocytose</w:t>
      </w:r>
      <w:proofErr w:type="spellEnd"/>
      <w:r w:rsidRPr="00C761F9">
        <w:rPr>
          <w:sz w:val="24"/>
          <w:szCs w:val="24"/>
        </w:rPr>
        <w:t xml:space="preserve">, er blevet rapporteret under behandling med </w:t>
      </w:r>
      <w:proofErr w:type="spellStart"/>
      <w:r w:rsidRPr="00C761F9">
        <w:rPr>
          <w:sz w:val="24"/>
          <w:szCs w:val="24"/>
        </w:rPr>
        <w:t>mirtazapin</w:t>
      </w:r>
      <w:proofErr w:type="spellEnd"/>
      <w:r w:rsidRPr="00C761F9">
        <w:rPr>
          <w:sz w:val="24"/>
          <w:szCs w:val="24"/>
        </w:rPr>
        <w:t xml:space="preserve">. Reversibel </w:t>
      </w:r>
      <w:proofErr w:type="spellStart"/>
      <w:r w:rsidRPr="00C761F9">
        <w:rPr>
          <w:sz w:val="24"/>
          <w:szCs w:val="24"/>
        </w:rPr>
        <w:lastRenderedPageBreak/>
        <w:t>agranulocytose</w:t>
      </w:r>
      <w:proofErr w:type="spellEnd"/>
      <w:r w:rsidRPr="00C761F9">
        <w:rPr>
          <w:sz w:val="24"/>
          <w:szCs w:val="24"/>
        </w:rPr>
        <w:t xml:space="preserve"> er rapporteret som en sjælden tilstand i kliniske studier med </w:t>
      </w:r>
      <w:proofErr w:type="spellStart"/>
      <w:r w:rsidRPr="00C761F9">
        <w:rPr>
          <w:sz w:val="24"/>
          <w:szCs w:val="24"/>
        </w:rPr>
        <w:t>mirtazapin</w:t>
      </w:r>
      <w:proofErr w:type="spellEnd"/>
      <w:r w:rsidRPr="00C761F9">
        <w:rPr>
          <w:sz w:val="24"/>
          <w:szCs w:val="24"/>
        </w:rPr>
        <w:t xml:space="preserve">. I postmarketingperioden for </w:t>
      </w:r>
      <w:proofErr w:type="spellStart"/>
      <w:r w:rsidRPr="00C761F9">
        <w:rPr>
          <w:sz w:val="24"/>
          <w:szCs w:val="24"/>
        </w:rPr>
        <w:t>mirtazapin</w:t>
      </w:r>
      <w:proofErr w:type="spellEnd"/>
      <w:r w:rsidRPr="00C761F9">
        <w:rPr>
          <w:sz w:val="24"/>
          <w:szCs w:val="24"/>
        </w:rPr>
        <w:t xml:space="preserve"> er der i meget sjældne tilfælde blevet rapporteret om </w:t>
      </w:r>
      <w:proofErr w:type="spellStart"/>
      <w:r w:rsidRPr="00C761F9">
        <w:rPr>
          <w:sz w:val="24"/>
          <w:szCs w:val="24"/>
        </w:rPr>
        <w:t>agranulocytose</w:t>
      </w:r>
      <w:proofErr w:type="spellEnd"/>
      <w:r w:rsidRPr="00C761F9">
        <w:rPr>
          <w:sz w:val="24"/>
          <w:szCs w:val="24"/>
        </w:rPr>
        <w:t xml:space="preserve">, de fleste reversible, men i nogle tilfælde fatale. De fatale tilfælde omhandlede hovedsageligt patienter over 65 år. Lægen bør være opmærksom på symptomer som feber, ondt i halsen, </w:t>
      </w:r>
      <w:proofErr w:type="spellStart"/>
      <w:r w:rsidRPr="00C761F9">
        <w:rPr>
          <w:sz w:val="24"/>
          <w:szCs w:val="24"/>
        </w:rPr>
        <w:t>stomatitis</w:t>
      </w:r>
      <w:proofErr w:type="spellEnd"/>
      <w:r w:rsidRPr="00C761F9">
        <w:rPr>
          <w:sz w:val="24"/>
          <w:szCs w:val="24"/>
        </w:rPr>
        <w:t xml:space="preserve"> eller andre tegn på infektion. Hvis disse symptomer forekommer</w:t>
      </w:r>
      <w:r w:rsidR="0057627E">
        <w:rPr>
          <w:sz w:val="24"/>
          <w:szCs w:val="24"/>
        </w:rPr>
        <w:t>,</w:t>
      </w:r>
      <w:r w:rsidRPr="00C761F9">
        <w:rPr>
          <w:sz w:val="24"/>
          <w:szCs w:val="24"/>
        </w:rPr>
        <w:t xml:space="preserve"> bør behandlingen afbrydes, og en undersøgelse af blodbilledet foretages.</w:t>
      </w:r>
    </w:p>
    <w:p w:rsidR="00DF7D66" w:rsidRPr="00C761F9" w:rsidRDefault="00DF7D66" w:rsidP="00DF7D66">
      <w:pPr>
        <w:tabs>
          <w:tab w:val="left" w:pos="851"/>
        </w:tabs>
        <w:ind w:left="851"/>
        <w:rPr>
          <w:sz w:val="24"/>
          <w:szCs w:val="24"/>
        </w:rPr>
      </w:pPr>
    </w:p>
    <w:p w:rsidR="00DF7D66" w:rsidRPr="00C761F9" w:rsidRDefault="00DF7D66" w:rsidP="00DF7D66">
      <w:pPr>
        <w:tabs>
          <w:tab w:val="left" w:pos="851"/>
        </w:tabs>
        <w:autoSpaceDE w:val="0"/>
        <w:autoSpaceDN w:val="0"/>
        <w:adjustRightInd w:val="0"/>
        <w:ind w:left="851"/>
        <w:rPr>
          <w:sz w:val="24"/>
          <w:szCs w:val="24"/>
          <w:u w:val="single"/>
        </w:rPr>
      </w:pPr>
      <w:r w:rsidRPr="00C761F9">
        <w:rPr>
          <w:sz w:val="24"/>
          <w:szCs w:val="24"/>
          <w:u w:val="single"/>
        </w:rPr>
        <w:t>Gulsot</w:t>
      </w:r>
    </w:p>
    <w:p w:rsidR="00DF7D66" w:rsidRPr="00C761F9" w:rsidRDefault="00DF7D66" w:rsidP="00DF7D66">
      <w:pPr>
        <w:tabs>
          <w:tab w:val="left" w:pos="851"/>
        </w:tabs>
        <w:autoSpaceDE w:val="0"/>
        <w:autoSpaceDN w:val="0"/>
        <w:adjustRightInd w:val="0"/>
        <w:ind w:left="851"/>
        <w:rPr>
          <w:sz w:val="24"/>
          <w:szCs w:val="24"/>
        </w:rPr>
      </w:pPr>
      <w:r w:rsidRPr="00C761F9">
        <w:rPr>
          <w:sz w:val="24"/>
          <w:szCs w:val="24"/>
        </w:rPr>
        <w:t>Behandlingen bør afbrydes såfremt der optræder gulsot.</w:t>
      </w:r>
    </w:p>
    <w:p w:rsidR="00DF7D66" w:rsidRPr="00C761F9" w:rsidRDefault="00DF7D66" w:rsidP="00DF7D66">
      <w:pPr>
        <w:tabs>
          <w:tab w:val="left" w:pos="851"/>
        </w:tabs>
        <w:autoSpaceDE w:val="0"/>
        <w:autoSpaceDN w:val="0"/>
        <w:adjustRightInd w:val="0"/>
        <w:ind w:left="851"/>
        <w:rPr>
          <w:sz w:val="24"/>
          <w:szCs w:val="24"/>
        </w:rPr>
      </w:pPr>
    </w:p>
    <w:p w:rsidR="00DF7D66" w:rsidRPr="00C761F9" w:rsidRDefault="00DF7D66" w:rsidP="00DF7D66">
      <w:pPr>
        <w:tabs>
          <w:tab w:val="left" w:pos="851"/>
        </w:tabs>
        <w:autoSpaceDE w:val="0"/>
        <w:autoSpaceDN w:val="0"/>
        <w:adjustRightInd w:val="0"/>
        <w:ind w:left="851"/>
        <w:rPr>
          <w:sz w:val="24"/>
          <w:szCs w:val="24"/>
          <w:u w:val="single"/>
        </w:rPr>
      </w:pPr>
      <w:r w:rsidRPr="00C761F9">
        <w:rPr>
          <w:sz w:val="24"/>
          <w:szCs w:val="24"/>
          <w:u w:val="single"/>
        </w:rPr>
        <w:t>Tilstande, der kræver overvågning</w:t>
      </w:r>
    </w:p>
    <w:p w:rsidR="00242CC8" w:rsidRDefault="00242CC8" w:rsidP="00242CC8">
      <w:pPr>
        <w:tabs>
          <w:tab w:val="left" w:pos="851"/>
        </w:tabs>
        <w:autoSpaceDE w:val="0"/>
        <w:autoSpaceDN w:val="0"/>
        <w:adjustRightInd w:val="0"/>
        <w:ind w:left="851"/>
        <w:rPr>
          <w:sz w:val="24"/>
          <w:szCs w:val="24"/>
        </w:rPr>
      </w:pPr>
      <w:r>
        <w:rPr>
          <w:sz w:val="24"/>
          <w:szCs w:val="24"/>
        </w:rPr>
        <w:t>Forsigtig dosering samt regelmæssig og nøje monitorering er nødvendig hos patienter med:</w:t>
      </w:r>
    </w:p>
    <w:p w:rsidR="00242CC8" w:rsidRDefault="00242CC8" w:rsidP="00242CC8">
      <w:pPr>
        <w:pStyle w:val="Listeafsnit"/>
        <w:numPr>
          <w:ilvl w:val="0"/>
          <w:numId w:val="9"/>
        </w:numPr>
        <w:tabs>
          <w:tab w:val="left" w:pos="1418"/>
        </w:tabs>
        <w:autoSpaceDE w:val="0"/>
        <w:autoSpaceDN w:val="0"/>
        <w:adjustRightInd w:val="0"/>
        <w:ind w:left="1418" w:hanging="567"/>
        <w:rPr>
          <w:sz w:val="24"/>
          <w:szCs w:val="24"/>
        </w:rPr>
      </w:pPr>
      <w:r>
        <w:rPr>
          <w:sz w:val="24"/>
          <w:szCs w:val="24"/>
        </w:rPr>
        <w:t xml:space="preserve">epilepsi og organisk hjernesyndrom: Selvom klinisk erfaring har vist, at epileptiske anfald sjældent optræder hos patienter i behandling med </w:t>
      </w:r>
      <w:proofErr w:type="spellStart"/>
      <w:r>
        <w:rPr>
          <w:sz w:val="24"/>
          <w:szCs w:val="24"/>
        </w:rPr>
        <w:t>mirtazapin</w:t>
      </w:r>
      <w:proofErr w:type="spellEnd"/>
      <w:r>
        <w:rPr>
          <w:sz w:val="24"/>
          <w:szCs w:val="24"/>
        </w:rPr>
        <w:t xml:space="preserve">, ligesom for andre </w:t>
      </w:r>
      <w:proofErr w:type="spellStart"/>
      <w:r>
        <w:rPr>
          <w:sz w:val="24"/>
          <w:szCs w:val="24"/>
        </w:rPr>
        <w:t>antidepressiva</w:t>
      </w:r>
      <w:proofErr w:type="spellEnd"/>
      <w:r>
        <w:rPr>
          <w:sz w:val="24"/>
          <w:szCs w:val="24"/>
        </w:rPr>
        <w:t xml:space="preserve">, bør behandling med </w:t>
      </w:r>
      <w:proofErr w:type="spellStart"/>
      <w:r>
        <w:rPr>
          <w:sz w:val="24"/>
          <w:szCs w:val="24"/>
        </w:rPr>
        <w:t>mirtazapin</w:t>
      </w:r>
      <w:proofErr w:type="spellEnd"/>
      <w:r>
        <w:rPr>
          <w:sz w:val="24"/>
          <w:szCs w:val="24"/>
        </w:rPr>
        <w:t xml:space="preserve"> startes med forsigtighed til patienter, der har epileptiske anfald i anamnesen. Behandlingen bør afbrydes hos patienter, der udvikler epileptiske anfald, eller hvor der ses en øgning i </w:t>
      </w:r>
      <w:proofErr w:type="spellStart"/>
      <w:r>
        <w:rPr>
          <w:sz w:val="24"/>
          <w:szCs w:val="24"/>
        </w:rPr>
        <w:t>anfaldsfrekvensen</w:t>
      </w:r>
      <w:proofErr w:type="spellEnd"/>
      <w:r>
        <w:rPr>
          <w:sz w:val="24"/>
          <w:szCs w:val="24"/>
        </w:rPr>
        <w:t>.</w:t>
      </w:r>
    </w:p>
    <w:p w:rsidR="00242CC8" w:rsidRDefault="00242CC8" w:rsidP="00242CC8">
      <w:pPr>
        <w:pStyle w:val="Listeafsnit"/>
        <w:numPr>
          <w:ilvl w:val="0"/>
          <w:numId w:val="9"/>
        </w:numPr>
        <w:tabs>
          <w:tab w:val="left" w:pos="1418"/>
        </w:tabs>
        <w:autoSpaceDE w:val="0"/>
        <w:autoSpaceDN w:val="0"/>
        <w:adjustRightInd w:val="0"/>
        <w:ind w:left="1418" w:hanging="567"/>
        <w:rPr>
          <w:sz w:val="24"/>
          <w:szCs w:val="24"/>
        </w:rPr>
      </w:pPr>
      <w:r>
        <w:rPr>
          <w:sz w:val="24"/>
          <w:szCs w:val="24"/>
        </w:rPr>
        <w:t xml:space="preserve">nedsat leverfunktion: Efter en oral enkeltdosis på 15 mg </w:t>
      </w:r>
      <w:proofErr w:type="spellStart"/>
      <w:r>
        <w:rPr>
          <w:sz w:val="24"/>
          <w:szCs w:val="24"/>
        </w:rPr>
        <w:t>mirtazapin</w:t>
      </w:r>
      <w:proofErr w:type="spellEnd"/>
      <w:r>
        <w:rPr>
          <w:sz w:val="24"/>
          <w:szCs w:val="24"/>
        </w:rPr>
        <w:t xml:space="preserve"> var </w:t>
      </w:r>
      <w:proofErr w:type="spellStart"/>
      <w:r>
        <w:rPr>
          <w:sz w:val="24"/>
          <w:szCs w:val="24"/>
        </w:rPr>
        <w:t>mirtazapins</w:t>
      </w:r>
      <w:proofErr w:type="spellEnd"/>
      <w:r>
        <w:rPr>
          <w:sz w:val="24"/>
          <w:szCs w:val="24"/>
        </w:rPr>
        <w:t xml:space="preserve"> </w:t>
      </w:r>
      <w:proofErr w:type="spellStart"/>
      <w:r>
        <w:rPr>
          <w:sz w:val="24"/>
          <w:szCs w:val="24"/>
        </w:rPr>
        <w:t>clearance</w:t>
      </w:r>
      <w:proofErr w:type="spellEnd"/>
      <w:r>
        <w:rPr>
          <w:sz w:val="24"/>
          <w:szCs w:val="24"/>
        </w:rPr>
        <w:t xml:space="preserve"> nedsat med ca. 35 % hos patienter med let til moderat nedsat leverfunktion, sammenlignet med personer med normal leverfunktion. Den gennemsnitlige </w:t>
      </w:r>
      <w:proofErr w:type="spellStart"/>
      <w:r>
        <w:rPr>
          <w:sz w:val="24"/>
          <w:szCs w:val="24"/>
        </w:rPr>
        <w:t>mirtazapin</w:t>
      </w:r>
      <w:proofErr w:type="spellEnd"/>
      <w:r>
        <w:rPr>
          <w:sz w:val="24"/>
          <w:szCs w:val="24"/>
        </w:rPr>
        <w:t xml:space="preserve"> plasmakoncentration var steget ca. 55 %.</w:t>
      </w:r>
    </w:p>
    <w:p w:rsidR="00242CC8" w:rsidRDefault="00242CC8" w:rsidP="00242CC8">
      <w:pPr>
        <w:pStyle w:val="Listeafsnit"/>
        <w:numPr>
          <w:ilvl w:val="0"/>
          <w:numId w:val="9"/>
        </w:numPr>
        <w:tabs>
          <w:tab w:val="left" w:pos="284"/>
          <w:tab w:val="left" w:pos="1418"/>
        </w:tabs>
        <w:autoSpaceDE w:val="0"/>
        <w:autoSpaceDN w:val="0"/>
        <w:adjustRightInd w:val="0"/>
        <w:ind w:left="1418" w:hanging="567"/>
        <w:rPr>
          <w:sz w:val="24"/>
          <w:szCs w:val="24"/>
        </w:rPr>
      </w:pPr>
      <w:r>
        <w:rPr>
          <w:sz w:val="24"/>
          <w:szCs w:val="24"/>
        </w:rPr>
        <w:t xml:space="preserve">nedsat nyrefunktion: Efter en oral enkeltdosis på 15 mg </w:t>
      </w:r>
      <w:proofErr w:type="spellStart"/>
      <w:r>
        <w:rPr>
          <w:sz w:val="24"/>
          <w:szCs w:val="24"/>
        </w:rPr>
        <w:t>mirtazapin</w:t>
      </w:r>
      <w:proofErr w:type="spellEnd"/>
      <w:r>
        <w:rPr>
          <w:sz w:val="24"/>
          <w:szCs w:val="24"/>
        </w:rPr>
        <w:t xml:space="preserve"> til patienter med moderat (</w:t>
      </w:r>
      <w:proofErr w:type="spellStart"/>
      <w:r>
        <w:rPr>
          <w:sz w:val="24"/>
          <w:szCs w:val="24"/>
        </w:rPr>
        <w:t>kreatinin-clearance</w:t>
      </w:r>
      <w:proofErr w:type="spellEnd"/>
      <w:r>
        <w:rPr>
          <w:sz w:val="24"/>
          <w:szCs w:val="24"/>
        </w:rPr>
        <w:t xml:space="preserve"> &lt;40 ml/min) og svært (</w:t>
      </w:r>
      <w:proofErr w:type="spellStart"/>
      <w:r>
        <w:rPr>
          <w:sz w:val="24"/>
          <w:szCs w:val="24"/>
        </w:rPr>
        <w:t>kreatinin-clearance</w:t>
      </w:r>
      <w:proofErr w:type="spellEnd"/>
      <w:r>
        <w:rPr>
          <w:sz w:val="24"/>
          <w:szCs w:val="24"/>
        </w:rPr>
        <w:t xml:space="preserve"> </w:t>
      </w:r>
      <w:r>
        <w:rPr>
          <w:rFonts w:ascii="Symbol" w:hAnsi="Symbol" w:cs="Symbol"/>
          <w:sz w:val="24"/>
          <w:szCs w:val="24"/>
          <w:u w:val="single"/>
        </w:rPr>
        <w:t></w:t>
      </w:r>
      <w:r>
        <w:rPr>
          <w:sz w:val="24"/>
          <w:szCs w:val="24"/>
        </w:rPr>
        <w:t xml:space="preserve">10 ml/min) nedsat nyrefunktion var </w:t>
      </w:r>
      <w:proofErr w:type="spellStart"/>
      <w:r>
        <w:rPr>
          <w:sz w:val="24"/>
          <w:szCs w:val="24"/>
        </w:rPr>
        <w:t>mirtazapins</w:t>
      </w:r>
      <w:proofErr w:type="spellEnd"/>
      <w:r>
        <w:rPr>
          <w:sz w:val="24"/>
          <w:szCs w:val="24"/>
        </w:rPr>
        <w:t xml:space="preserve"> </w:t>
      </w:r>
      <w:proofErr w:type="spellStart"/>
      <w:r>
        <w:rPr>
          <w:sz w:val="24"/>
          <w:szCs w:val="24"/>
        </w:rPr>
        <w:t>clearance</w:t>
      </w:r>
      <w:proofErr w:type="spellEnd"/>
      <w:r>
        <w:rPr>
          <w:sz w:val="24"/>
          <w:szCs w:val="24"/>
        </w:rPr>
        <w:t xml:space="preserve"> faldet hhv. ca. 30 % og 50 %, sammenlignet med normale personer. Den gennemsnitlige </w:t>
      </w:r>
      <w:proofErr w:type="spellStart"/>
      <w:r>
        <w:rPr>
          <w:sz w:val="24"/>
          <w:szCs w:val="24"/>
        </w:rPr>
        <w:t>mirtazapin</w:t>
      </w:r>
      <w:proofErr w:type="spellEnd"/>
      <w:r>
        <w:rPr>
          <w:sz w:val="24"/>
          <w:szCs w:val="24"/>
        </w:rPr>
        <w:t xml:space="preserve"> plasmakoncentration var steget hhv. ca. 55 % og 115 %. Der blev ikke fundet signifikante forskelle hos patienter med let nedsat nyrefunktion (</w:t>
      </w:r>
      <w:proofErr w:type="spellStart"/>
      <w:r>
        <w:rPr>
          <w:sz w:val="24"/>
          <w:szCs w:val="24"/>
        </w:rPr>
        <w:t>kreatininclearance</w:t>
      </w:r>
      <w:proofErr w:type="spellEnd"/>
      <w:r>
        <w:rPr>
          <w:sz w:val="24"/>
          <w:szCs w:val="24"/>
        </w:rPr>
        <w:t xml:space="preserve"> </w:t>
      </w:r>
      <w:r>
        <w:rPr>
          <w:rFonts w:ascii="Symbol" w:hAnsi="Symbol" w:cs="Symbol"/>
          <w:sz w:val="24"/>
          <w:szCs w:val="24"/>
          <w:lang w:val="en-US"/>
        </w:rPr>
        <w:t></w:t>
      </w:r>
      <w:r>
        <w:rPr>
          <w:sz w:val="24"/>
          <w:szCs w:val="24"/>
        </w:rPr>
        <w:t>80 ml/min), sammenlignet med kontrolgruppen.</w:t>
      </w:r>
    </w:p>
    <w:p w:rsidR="00242CC8" w:rsidRDefault="00242CC8" w:rsidP="00242CC8">
      <w:pPr>
        <w:pStyle w:val="Listeafsnit"/>
        <w:numPr>
          <w:ilvl w:val="0"/>
          <w:numId w:val="9"/>
        </w:numPr>
        <w:tabs>
          <w:tab w:val="left" w:pos="284"/>
          <w:tab w:val="left" w:pos="1418"/>
        </w:tabs>
        <w:autoSpaceDE w:val="0"/>
        <w:autoSpaceDN w:val="0"/>
        <w:adjustRightInd w:val="0"/>
        <w:ind w:left="1418" w:hanging="567"/>
        <w:rPr>
          <w:sz w:val="24"/>
          <w:szCs w:val="24"/>
        </w:rPr>
      </w:pPr>
      <w:r>
        <w:rPr>
          <w:sz w:val="24"/>
          <w:szCs w:val="24"/>
        </w:rPr>
        <w:t>hjertesygdomme såsom overledningsforstyrrelser, angina pectoris og nyligt myokardieinfarkt, hvor de sædvanlige forsigtighedsregler bør tages og samtidig medicinindtagelse administreres forsigtigt.</w:t>
      </w:r>
    </w:p>
    <w:p w:rsidR="00242CC8" w:rsidRDefault="00242CC8" w:rsidP="00242CC8">
      <w:pPr>
        <w:pStyle w:val="Listeafsnit"/>
        <w:numPr>
          <w:ilvl w:val="0"/>
          <w:numId w:val="9"/>
        </w:numPr>
        <w:tabs>
          <w:tab w:val="left" w:pos="284"/>
          <w:tab w:val="left" w:pos="1418"/>
        </w:tabs>
        <w:autoSpaceDE w:val="0"/>
        <w:autoSpaceDN w:val="0"/>
        <w:adjustRightInd w:val="0"/>
        <w:ind w:left="1418" w:hanging="567"/>
        <w:rPr>
          <w:sz w:val="24"/>
          <w:szCs w:val="24"/>
        </w:rPr>
      </w:pPr>
      <w:r>
        <w:rPr>
          <w:sz w:val="24"/>
          <w:szCs w:val="24"/>
        </w:rPr>
        <w:t xml:space="preserve">lavt blodtryk. </w:t>
      </w:r>
    </w:p>
    <w:p w:rsidR="00242CC8" w:rsidRDefault="00242CC8" w:rsidP="00242CC8">
      <w:pPr>
        <w:pStyle w:val="Listeafsnit"/>
        <w:numPr>
          <w:ilvl w:val="0"/>
          <w:numId w:val="9"/>
        </w:numPr>
        <w:tabs>
          <w:tab w:val="left" w:pos="284"/>
          <w:tab w:val="left" w:pos="1418"/>
        </w:tabs>
        <w:autoSpaceDE w:val="0"/>
        <w:autoSpaceDN w:val="0"/>
        <w:adjustRightInd w:val="0"/>
        <w:ind w:left="1418" w:hanging="567"/>
        <w:rPr>
          <w:sz w:val="24"/>
          <w:szCs w:val="24"/>
        </w:rPr>
      </w:pPr>
      <w:r>
        <w:rPr>
          <w:sz w:val="24"/>
          <w:szCs w:val="24"/>
        </w:rPr>
        <w:t xml:space="preserve">diabetes mellitus: Hos patienter med diabetes, kan </w:t>
      </w:r>
      <w:proofErr w:type="spellStart"/>
      <w:r>
        <w:rPr>
          <w:sz w:val="24"/>
          <w:szCs w:val="24"/>
        </w:rPr>
        <w:t>antidepressiva</w:t>
      </w:r>
      <w:proofErr w:type="spellEnd"/>
      <w:r>
        <w:rPr>
          <w:sz w:val="24"/>
          <w:szCs w:val="24"/>
        </w:rPr>
        <w:t xml:space="preserve"> påvirke den </w:t>
      </w:r>
      <w:proofErr w:type="spellStart"/>
      <w:r>
        <w:rPr>
          <w:sz w:val="24"/>
          <w:szCs w:val="24"/>
        </w:rPr>
        <w:t>glykæmiske</w:t>
      </w:r>
      <w:proofErr w:type="spellEnd"/>
      <w:r>
        <w:rPr>
          <w:sz w:val="24"/>
          <w:szCs w:val="24"/>
        </w:rPr>
        <w:t xml:space="preserve"> kontrol. Dosering af insulin og/eller orale hypoglykæmiske midler må muligvis justeres og tæt monitorering tilrådes.</w:t>
      </w:r>
    </w:p>
    <w:p w:rsidR="00242CC8" w:rsidRDefault="00242CC8" w:rsidP="00242CC8">
      <w:pPr>
        <w:tabs>
          <w:tab w:val="left" w:pos="851"/>
        </w:tabs>
        <w:autoSpaceDE w:val="0"/>
        <w:autoSpaceDN w:val="0"/>
        <w:adjustRightInd w:val="0"/>
        <w:ind w:left="851"/>
        <w:rPr>
          <w:sz w:val="24"/>
          <w:szCs w:val="24"/>
        </w:rPr>
      </w:pPr>
    </w:p>
    <w:p w:rsidR="00242CC8" w:rsidRDefault="00242CC8" w:rsidP="00242CC8">
      <w:pPr>
        <w:tabs>
          <w:tab w:val="left" w:pos="851"/>
        </w:tabs>
        <w:autoSpaceDE w:val="0"/>
        <w:autoSpaceDN w:val="0"/>
        <w:adjustRightInd w:val="0"/>
        <w:ind w:left="851"/>
        <w:rPr>
          <w:sz w:val="24"/>
          <w:szCs w:val="24"/>
        </w:rPr>
      </w:pPr>
      <w:r>
        <w:rPr>
          <w:sz w:val="24"/>
          <w:szCs w:val="24"/>
        </w:rPr>
        <w:t xml:space="preserve">Som ved andre </w:t>
      </w:r>
      <w:proofErr w:type="spellStart"/>
      <w:r>
        <w:rPr>
          <w:sz w:val="24"/>
          <w:szCs w:val="24"/>
        </w:rPr>
        <w:t>antidepressiva</w:t>
      </w:r>
      <w:proofErr w:type="spellEnd"/>
      <w:r>
        <w:rPr>
          <w:sz w:val="24"/>
          <w:szCs w:val="24"/>
        </w:rPr>
        <w:t xml:space="preserve"> bør der tages højde for følgende:</w:t>
      </w:r>
    </w:p>
    <w:p w:rsidR="00242CC8" w:rsidRDefault="00242CC8" w:rsidP="00242CC8">
      <w:pPr>
        <w:pStyle w:val="Listeafsnit"/>
        <w:numPr>
          <w:ilvl w:val="0"/>
          <w:numId w:val="9"/>
        </w:numPr>
        <w:tabs>
          <w:tab w:val="left" w:pos="284"/>
          <w:tab w:val="left" w:pos="1418"/>
        </w:tabs>
        <w:autoSpaceDE w:val="0"/>
        <w:autoSpaceDN w:val="0"/>
        <w:adjustRightInd w:val="0"/>
        <w:ind w:left="1418" w:hanging="567"/>
        <w:rPr>
          <w:sz w:val="24"/>
          <w:szCs w:val="24"/>
        </w:rPr>
      </w:pPr>
      <w:r>
        <w:rPr>
          <w:sz w:val="24"/>
          <w:szCs w:val="24"/>
        </w:rPr>
        <w:t xml:space="preserve">forværring af psykotiske symptomer kan forekomme, når </w:t>
      </w:r>
      <w:proofErr w:type="spellStart"/>
      <w:r>
        <w:rPr>
          <w:sz w:val="24"/>
          <w:szCs w:val="24"/>
        </w:rPr>
        <w:t>antidepressiva</w:t>
      </w:r>
      <w:proofErr w:type="spellEnd"/>
      <w:r>
        <w:rPr>
          <w:sz w:val="24"/>
          <w:szCs w:val="24"/>
        </w:rPr>
        <w:t xml:space="preserve"> administreres til patienter med skizofreni eller andre psykotiske tilstande. Paranoide idéer kan forstærkes.</w:t>
      </w:r>
    </w:p>
    <w:p w:rsidR="00242CC8" w:rsidRDefault="00242CC8" w:rsidP="00242CC8">
      <w:pPr>
        <w:pStyle w:val="Listeafsnit"/>
        <w:numPr>
          <w:ilvl w:val="0"/>
          <w:numId w:val="9"/>
        </w:numPr>
        <w:tabs>
          <w:tab w:val="left" w:pos="284"/>
          <w:tab w:val="left" w:pos="1418"/>
        </w:tabs>
        <w:autoSpaceDE w:val="0"/>
        <w:autoSpaceDN w:val="0"/>
        <w:adjustRightInd w:val="0"/>
        <w:ind w:left="1418" w:hanging="567"/>
        <w:rPr>
          <w:sz w:val="24"/>
          <w:szCs w:val="24"/>
        </w:rPr>
      </w:pPr>
      <w:r>
        <w:rPr>
          <w:sz w:val="24"/>
          <w:szCs w:val="24"/>
        </w:rPr>
        <w:t>når den depressive fase ved bipolar lidelse behandles, kan den ændre sig til manisk fase. Patienter med mani/</w:t>
      </w:r>
      <w:proofErr w:type="spellStart"/>
      <w:r>
        <w:rPr>
          <w:sz w:val="24"/>
          <w:szCs w:val="24"/>
        </w:rPr>
        <w:t>hypomani</w:t>
      </w:r>
      <w:proofErr w:type="spellEnd"/>
      <w:r>
        <w:rPr>
          <w:sz w:val="24"/>
          <w:szCs w:val="24"/>
        </w:rPr>
        <w:t xml:space="preserve"> i anamnesen bør monitoreres tæt. Behandling med </w:t>
      </w:r>
      <w:proofErr w:type="spellStart"/>
      <w:r>
        <w:rPr>
          <w:sz w:val="24"/>
          <w:szCs w:val="24"/>
        </w:rPr>
        <w:t>mirtazapin</w:t>
      </w:r>
      <w:proofErr w:type="spellEnd"/>
      <w:r>
        <w:rPr>
          <w:sz w:val="24"/>
          <w:szCs w:val="24"/>
        </w:rPr>
        <w:t xml:space="preserve"> bør ophøre, såfremt en patient går i manisk fase. </w:t>
      </w:r>
    </w:p>
    <w:p w:rsidR="00242CC8" w:rsidRDefault="00242CC8" w:rsidP="00242CC8">
      <w:pPr>
        <w:pStyle w:val="Listeafsnit"/>
        <w:numPr>
          <w:ilvl w:val="0"/>
          <w:numId w:val="9"/>
        </w:numPr>
        <w:tabs>
          <w:tab w:val="left" w:pos="284"/>
          <w:tab w:val="left" w:pos="1418"/>
        </w:tabs>
        <w:autoSpaceDE w:val="0"/>
        <w:autoSpaceDN w:val="0"/>
        <w:adjustRightInd w:val="0"/>
        <w:ind w:left="1418" w:hanging="567"/>
        <w:rPr>
          <w:sz w:val="24"/>
          <w:szCs w:val="24"/>
        </w:rPr>
      </w:pPr>
      <w:r>
        <w:rPr>
          <w:sz w:val="24"/>
          <w:szCs w:val="24"/>
        </w:rPr>
        <w:t xml:space="preserve">selvom </w:t>
      </w:r>
      <w:proofErr w:type="spellStart"/>
      <w:r>
        <w:rPr>
          <w:sz w:val="24"/>
          <w:szCs w:val="24"/>
        </w:rPr>
        <w:t>mirtazapin</w:t>
      </w:r>
      <w:proofErr w:type="spellEnd"/>
      <w:r>
        <w:rPr>
          <w:sz w:val="24"/>
          <w:szCs w:val="24"/>
        </w:rPr>
        <w:t xml:space="preserve"> ikke er afhængighedsskabende, viser postmarketing erfaringerne, at brat ophør af behandlingen efter langtidsadministration kan medføre </w:t>
      </w:r>
      <w:proofErr w:type="spellStart"/>
      <w:r>
        <w:rPr>
          <w:sz w:val="24"/>
          <w:szCs w:val="24"/>
        </w:rPr>
        <w:t>seponeringssymptomer</w:t>
      </w:r>
      <w:proofErr w:type="spellEnd"/>
      <w:r>
        <w:rPr>
          <w:sz w:val="24"/>
          <w:szCs w:val="24"/>
        </w:rPr>
        <w:t xml:space="preserve">. Størstedelen af disse symptomer er lette og selvbegrænsende. Blandt de forskellige </w:t>
      </w:r>
      <w:proofErr w:type="spellStart"/>
      <w:r>
        <w:rPr>
          <w:sz w:val="24"/>
          <w:szCs w:val="24"/>
        </w:rPr>
        <w:t>seponeringssymptomer</w:t>
      </w:r>
      <w:proofErr w:type="spellEnd"/>
      <w:r>
        <w:rPr>
          <w:sz w:val="24"/>
          <w:szCs w:val="24"/>
        </w:rPr>
        <w:t xml:space="preserve"> er de hyppigst rapporterede svimmelhed, agitation, angst, hovedpine og kvalme. Selvom de er rapporteret som </w:t>
      </w:r>
      <w:proofErr w:type="spellStart"/>
      <w:r>
        <w:rPr>
          <w:sz w:val="24"/>
          <w:szCs w:val="24"/>
        </w:rPr>
        <w:t>seponeringssymptomer</w:t>
      </w:r>
      <w:proofErr w:type="spellEnd"/>
      <w:r>
        <w:rPr>
          <w:sz w:val="24"/>
          <w:szCs w:val="24"/>
        </w:rPr>
        <w:t xml:space="preserve">, bør man være opmærksom på, at disse </w:t>
      </w:r>
      <w:r>
        <w:rPr>
          <w:sz w:val="24"/>
          <w:szCs w:val="24"/>
        </w:rPr>
        <w:lastRenderedPageBreak/>
        <w:t xml:space="preserve">symptomer kan være relateret til en underliggende sygdom. Som angivet i pkt. 4.2 anbefales det at nedtrappe behandling med </w:t>
      </w:r>
      <w:proofErr w:type="spellStart"/>
      <w:r>
        <w:rPr>
          <w:sz w:val="24"/>
          <w:szCs w:val="24"/>
        </w:rPr>
        <w:t>mirtazapin</w:t>
      </w:r>
      <w:proofErr w:type="spellEnd"/>
      <w:r>
        <w:rPr>
          <w:sz w:val="24"/>
          <w:szCs w:val="24"/>
        </w:rPr>
        <w:t xml:space="preserve"> gradvist. </w:t>
      </w:r>
    </w:p>
    <w:p w:rsidR="00242CC8" w:rsidRDefault="00242CC8" w:rsidP="00242CC8">
      <w:pPr>
        <w:pStyle w:val="Listeafsnit"/>
        <w:numPr>
          <w:ilvl w:val="0"/>
          <w:numId w:val="9"/>
        </w:numPr>
        <w:tabs>
          <w:tab w:val="left" w:pos="284"/>
          <w:tab w:val="left" w:pos="1418"/>
        </w:tabs>
        <w:autoSpaceDE w:val="0"/>
        <w:autoSpaceDN w:val="0"/>
        <w:adjustRightInd w:val="0"/>
        <w:ind w:left="1418" w:hanging="567"/>
        <w:rPr>
          <w:sz w:val="24"/>
          <w:szCs w:val="24"/>
        </w:rPr>
      </w:pPr>
      <w:r>
        <w:rPr>
          <w:sz w:val="24"/>
          <w:szCs w:val="24"/>
        </w:rPr>
        <w:t xml:space="preserve">der bør udvises forsigtighed hos patienter med </w:t>
      </w:r>
      <w:proofErr w:type="spellStart"/>
      <w:r>
        <w:rPr>
          <w:sz w:val="24"/>
          <w:szCs w:val="24"/>
        </w:rPr>
        <w:t>miktionsforstyrrelser</w:t>
      </w:r>
      <w:proofErr w:type="spellEnd"/>
      <w:r>
        <w:rPr>
          <w:sz w:val="24"/>
          <w:szCs w:val="24"/>
        </w:rPr>
        <w:t xml:space="preserve"> såsom prostatahypertrofi og hos patienter med akut snævervinklet </w:t>
      </w:r>
      <w:proofErr w:type="spellStart"/>
      <w:r>
        <w:rPr>
          <w:sz w:val="24"/>
          <w:szCs w:val="24"/>
        </w:rPr>
        <w:t>glaukom</w:t>
      </w:r>
      <w:proofErr w:type="spellEnd"/>
      <w:r>
        <w:rPr>
          <w:sz w:val="24"/>
          <w:szCs w:val="24"/>
        </w:rPr>
        <w:t xml:space="preserve"> og forhøjet </w:t>
      </w:r>
      <w:proofErr w:type="spellStart"/>
      <w:r>
        <w:rPr>
          <w:sz w:val="24"/>
          <w:szCs w:val="24"/>
        </w:rPr>
        <w:t>intraokulært</w:t>
      </w:r>
      <w:proofErr w:type="spellEnd"/>
      <w:r>
        <w:rPr>
          <w:sz w:val="24"/>
          <w:szCs w:val="24"/>
        </w:rPr>
        <w:t xml:space="preserve"> tryk (på trods af at der er en lille risiko for problemer under behandling med </w:t>
      </w:r>
      <w:proofErr w:type="spellStart"/>
      <w:r>
        <w:rPr>
          <w:sz w:val="24"/>
          <w:szCs w:val="24"/>
        </w:rPr>
        <w:t>mirtazapin</w:t>
      </w:r>
      <w:proofErr w:type="spellEnd"/>
      <w:r>
        <w:rPr>
          <w:sz w:val="24"/>
          <w:szCs w:val="24"/>
        </w:rPr>
        <w:t xml:space="preserve"> på grund af den meget svage </w:t>
      </w:r>
      <w:proofErr w:type="spellStart"/>
      <w:r>
        <w:rPr>
          <w:sz w:val="24"/>
          <w:szCs w:val="24"/>
        </w:rPr>
        <w:t>anticholinerge</w:t>
      </w:r>
      <w:proofErr w:type="spellEnd"/>
      <w:r>
        <w:rPr>
          <w:sz w:val="24"/>
          <w:szCs w:val="24"/>
        </w:rPr>
        <w:t xml:space="preserve"> aktivitet).</w:t>
      </w:r>
    </w:p>
    <w:p w:rsidR="00242CC8" w:rsidRDefault="00242CC8" w:rsidP="00242CC8">
      <w:pPr>
        <w:pStyle w:val="Listeafsnit"/>
        <w:numPr>
          <w:ilvl w:val="0"/>
          <w:numId w:val="9"/>
        </w:numPr>
        <w:tabs>
          <w:tab w:val="left" w:pos="284"/>
          <w:tab w:val="left" w:pos="1418"/>
        </w:tabs>
        <w:autoSpaceDE w:val="0"/>
        <w:autoSpaceDN w:val="0"/>
        <w:adjustRightInd w:val="0"/>
        <w:ind w:left="1418" w:hanging="567"/>
        <w:rPr>
          <w:sz w:val="24"/>
          <w:szCs w:val="24"/>
        </w:rPr>
      </w:pPr>
      <w:proofErr w:type="spellStart"/>
      <w:r>
        <w:rPr>
          <w:sz w:val="24"/>
          <w:szCs w:val="24"/>
        </w:rPr>
        <w:t>akatisi</w:t>
      </w:r>
      <w:proofErr w:type="spellEnd"/>
      <w:r>
        <w:rPr>
          <w:sz w:val="24"/>
          <w:szCs w:val="24"/>
        </w:rPr>
        <w:t>/</w:t>
      </w:r>
      <w:proofErr w:type="spellStart"/>
      <w:r>
        <w:rPr>
          <w:sz w:val="24"/>
          <w:szCs w:val="24"/>
        </w:rPr>
        <w:t>psykomotorisk</w:t>
      </w:r>
      <w:proofErr w:type="spellEnd"/>
      <w:r>
        <w:rPr>
          <w:sz w:val="24"/>
          <w:szCs w:val="24"/>
        </w:rPr>
        <w:t xml:space="preserve"> uro: Anvendelse af </w:t>
      </w:r>
      <w:proofErr w:type="spellStart"/>
      <w:r>
        <w:rPr>
          <w:sz w:val="24"/>
          <w:szCs w:val="24"/>
        </w:rPr>
        <w:t>antidepressiva</w:t>
      </w:r>
      <w:proofErr w:type="spellEnd"/>
      <w:r>
        <w:rPr>
          <w:sz w:val="24"/>
          <w:szCs w:val="24"/>
        </w:rPr>
        <w:t xml:space="preserve"> er blevet forbundet med udvikling af </w:t>
      </w:r>
      <w:proofErr w:type="spellStart"/>
      <w:r>
        <w:rPr>
          <w:sz w:val="24"/>
          <w:szCs w:val="24"/>
        </w:rPr>
        <w:t>akatisi</w:t>
      </w:r>
      <w:proofErr w:type="spellEnd"/>
      <w:r>
        <w:rPr>
          <w:sz w:val="24"/>
          <w:szCs w:val="24"/>
        </w:rPr>
        <w:t>, karakteriseret ved subjektiv ubehagelig eller generende uro og behov for ofte at bevæge sig, ledsaget af manglende evne til at sidde eller stå stille. Dette vil mest sandsynligt forekomme inden for de første få uger af behandlingen. Hos patienter, som udvikler disse symptomer, kan øgning af dosis være skadelig.</w:t>
      </w:r>
    </w:p>
    <w:p w:rsidR="00242CC8" w:rsidRDefault="00242CC8" w:rsidP="00242CC8">
      <w:pPr>
        <w:pStyle w:val="Listeafsnit"/>
        <w:numPr>
          <w:ilvl w:val="0"/>
          <w:numId w:val="9"/>
        </w:numPr>
        <w:tabs>
          <w:tab w:val="left" w:pos="284"/>
          <w:tab w:val="left" w:pos="1418"/>
        </w:tabs>
        <w:autoSpaceDE w:val="0"/>
        <w:autoSpaceDN w:val="0"/>
        <w:adjustRightInd w:val="0"/>
        <w:ind w:left="1418" w:hanging="567"/>
        <w:rPr>
          <w:sz w:val="24"/>
          <w:szCs w:val="24"/>
        </w:rPr>
      </w:pPr>
      <w:r>
        <w:rPr>
          <w:sz w:val="24"/>
          <w:szCs w:val="24"/>
        </w:rPr>
        <w:t xml:space="preserve">ved anvendelse af </w:t>
      </w:r>
      <w:proofErr w:type="spellStart"/>
      <w:r>
        <w:rPr>
          <w:sz w:val="24"/>
          <w:szCs w:val="24"/>
        </w:rPr>
        <w:t>mirtazapin</w:t>
      </w:r>
      <w:proofErr w:type="spellEnd"/>
      <w:r>
        <w:rPr>
          <w:sz w:val="24"/>
          <w:szCs w:val="24"/>
        </w:rPr>
        <w:t xml:space="preserve"> efter markedsføring er der rapporteret om tilfælde af QT-forlængelse, </w:t>
      </w:r>
      <w:proofErr w:type="spellStart"/>
      <w:r>
        <w:rPr>
          <w:sz w:val="24"/>
          <w:szCs w:val="24"/>
        </w:rPr>
        <w:t>torsades</w:t>
      </w:r>
      <w:proofErr w:type="spellEnd"/>
      <w:r>
        <w:rPr>
          <w:sz w:val="24"/>
          <w:szCs w:val="24"/>
        </w:rPr>
        <w:t xml:space="preserve"> de pointes, </w:t>
      </w:r>
      <w:proofErr w:type="spellStart"/>
      <w:r>
        <w:rPr>
          <w:sz w:val="24"/>
          <w:szCs w:val="24"/>
        </w:rPr>
        <w:t>ventrikulær</w:t>
      </w:r>
      <w:proofErr w:type="spellEnd"/>
      <w:r>
        <w:rPr>
          <w:sz w:val="24"/>
          <w:szCs w:val="24"/>
        </w:rPr>
        <w:t xml:space="preserve"> </w:t>
      </w:r>
      <w:proofErr w:type="spellStart"/>
      <w:r>
        <w:rPr>
          <w:sz w:val="24"/>
          <w:szCs w:val="24"/>
        </w:rPr>
        <w:t>takykardi</w:t>
      </w:r>
      <w:proofErr w:type="spellEnd"/>
      <w:r>
        <w:rPr>
          <w:sz w:val="24"/>
          <w:szCs w:val="24"/>
        </w:rPr>
        <w:t xml:space="preserve"> og pludselig død. Størstedelen af rapporterne opstod i forbindelse med overdosering eller hos patienter med andre risikofaktorer for QT-forlængelse, herunder samtidig brug af </w:t>
      </w:r>
      <w:proofErr w:type="spellStart"/>
      <w:r>
        <w:rPr>
          <w:sz w:val="24"/>
          <w:szCs w:val="24"/>
        </w:rPr>
        <w:t>QTc</w:t>
      </w:r>
      <w:proofErr w:type="spellEnd"/>
      <w:r>
        <w:rPr>
          <w:sz w:val="24"/>
          <w:szCs w:val="24"/>
        </w:rPr>
        <w:t xml:space="preserve">-forlængende medicin (se pkt. 4.5 og 4.9). Forsigtighed bør udvises, når </w:t>
      </w:r>
      <w:proofErr w:type="spellStart"/>
      <w:r>
        <w:rPr>
          <w:sz w:val="24"/>
          <w:szCs w:val="24"/>
        </w:rPr>
        <w:t>mirtazapin</w:t>
      </w:r>
      <w:proofErr w:type="spellEnd"/>
      <w:r>
        <w:rPr>
          <w:sz w:val="24"/>
          <w:szCs w:val="24"/>
        </w:rPr>
        <w:t xml:space="preserve"> ordineres til patienter med kendt </w:t>
      </w:r>
      <w:proofErr w:type="spellStart"/>
      <w:r>
        <w:rPr>
          <w:sz w:val="24"/>
          <w:szCs w:val="24"/>
        </w:rPr>
        <w:t>kardiovaskulær</w:t>
      </w:r>
      <w:proofErr w:type="spellEnd"/>
      <w:r>
        <w:rPr>
          <w:sz w:val="24"/>
          <w:szCs w:val="24"/>
        </w:rPr>
        <w:t xml:space="preserve"> sygdom eller med QT</w:t>
      </w:r>
      <w:r>
        <w:rPr>
          <w:sz w:val="24"/>
          <w:szCs w:val="24"/>
        </w:rPr>
        <w:noBreakHyphen/>
        <w:t xml:space="preserve">forlængelse i familieanamnesen og ved anvendelse sammen med andre lægemidler, der antages at forlænge </w:t>
      </w:r>
      <w:proofErr w:type="spellStart"/>
      <w:r>
        <w:rPr>
          <w:sz w:val="24"/>
          <w:szCs w:val="24"/>
        </w:rPr>
        <w:t>QTc</w:t>
      </w:r>
      <w:proofErr w:type="spellEnd"/>
      <w:r>
        <w:rPr>
          <w:sz w:val="24"/>
          <w:szCs w:val="24"/>
        </w:rPr>
        <w:noBreakHyphen/>
        <w:t>intervallet.</w:t>
      </w:r>
    </w:p>
    <w:p w:rsidR="0057627E" w:rsidRDefault="0057627E" w:rsidP="0057627E">
      <w:pPr>
        <w:tabs>
          <w:tab w:val="left" w:pos="851"/>
        </w:tabs>
        <w:autoSpaceDE w:val="0"/>
        <w:autoSpaceDN w:val="0"/>
        <w:adjustRightInd w:val="0"/>
        <w:ind w:left="851"/>
        <w:rPr>
          <w:sz w:val="24"/>
          <w:szCs w:val="24"/>
        </w:rPr>
      </w:pPr>
    </w:p>
    <w:p w:rsidR="0057627E" w:rsidRPr="00242CC8" w:rsidRDefault="0057627E" w:rsidP="0057627E">
      <w:pPr>
        <w:tabs>
          <w:tab w:val="left" w:pos="851"/>
        </w:tabs>
        <w:autoSpaceDE w:val="0"/>
        <w:autoSpaceDN w:val="0"/>
        <w:adjustRightInd w:val="0"/>
        <w:ind w:left="851"/>
        <w:rPr>
          <w:sz w:val="24"/>
          <w:szCs w:val="24"/>
          <w:u w:val="single"/>
        </w:rPr>
      </w:pPr>
      <w:r w:rsidRPr="00242CC8">
        <w:rPr>
          <w:sz w:val="24"/>
          <w:szCs w:val="24"/>
          <w:u w:val="single"/>
        </w:rPr>
        <w:t xml:space="preserve">Svære </w:t>
      </w:r>
      <w:proofErr w:type="spellStart"/>
      <w:r w:rsidRPr="00242CC8">
        <w:rPr>
          <w:sz w:val="24"/>
          <w:szCs w:val="24"/>
          <w:u w:val="single"/>
        </w:rPr>
        <w:t>kutane</w:t>
      </w:r>
      <w:proofErr w:type="spellEnd"/>
      <w:r w:rsidRPr="00242CC8">
        <w:rPr>
          <w:sz w:val="24"/>
          <w:szCs w:val="24"/>
          <w:u w:val="single"/>
        </w:rPr>
        <w:t xml:space="preserve"> bivirkninger</w:t>
      </w:r>
    </w:p>
    <w:p w:rsidR="0057627E" w:rsidRPr="00242CC8" w:rsidRDefault="0057627E" w:rsidP="0057627E">
      <w:pPr>
        <w:tabs>
          <w:tab w:val="left" w:pos="851"/>
        </w:tabs>
        <w:autoSpaceDE w:val="0"/>
        <w:autoSpaceDN w:val="0"/>
        <w:adjustRightInd w:val="0"/>
        <w:ind w:left="851"/>
        <w:rPr>
          <w:sz w:val="24"/>
          <w:szCs w:val="24"/>
        </w:rPr>
      </w:pPr>
      <w:r w:rsidRPr="00242CC8">
        <w:rPr>
          <w:sz w:val="24"/>
          <w:szCs w:val="24"/>
        </w:rPr>
        <w:t xml:space="preserve">Svære </w:t>
      </w:r>
      <w:proofErr w:type="spellStart"/>
      <w:r w:rsidRPr="00242CC8">
        <w:rPr>
          <w:sz w:val="24"/>
          <w:szCs w:val="24"/>
        </w:rPr>
        <w:t>kutane</w:t>
      </w:r>
      <w:proofErr w:type="spellEnd"/>
      <w:r w:rsidRPr="00242CC8">
        <w:rPr>
          <w:sz w:val="24"/>
          <w:szCs w:val="24"/>
        </w:rPr>
        <w:t xml:space="preserve"> bivirkninger (</w:t>
      </w:r>
      <w:proofErr w:type="spellStart"/>
      <w:r w:rsidRPr="00242CC8">
        <w:rPr>
          <w:sz w:val="24"/>
          <w:szCs w:val="24"/>
        </w:rPr>
        <w:t>SCARs</w:t>
      </w:r>
      <w:proofErr w:type="spellEnd"/>
      <w:r w:rsidRPr="00242CC8">
        <w:rPr>
          <w:sz w:val="24"/>
          <w:szCs w:val="24"/>
        </w:rPr>
        <w:t xml:space="preserve">), herunder Stevens-Johnsons syndrom (SJS), toksisk </w:t>
      </w:r>
      <w:proofErr w:type="spellStart"/>
      <w:r w:rsidRPr="00242CC8">
        <w:rPr>
          <w:sz w:val="24"/>
          <w:szCs w:val="24"/>
        </w:rPr>
        <w:t>epidermal</w:t>
      </w:r>
      <w:proofErr w:type="spellEnd"/>
      <w:r w:rsidRPr="00242CC8">
        <w:rPr>
          <w:sz w:val="24"/>
          <w:szCs w:val="24"/>
        </w:rPr>
        <w:t xml:space="preserve"> </w:t>
      </w:r>
      <w:proofErr w:type="spellStart"/>
      <w:r w:rsidRPr="00242CC8">
        <w:rPr>
          <w:sz w:val="24"/>
          <w:szCs w:val="24"/>
        </w:rPr>
        <w:t>nekrolyse</w:t>
      </w:r>
      <w:proofErr w:type="spellEnd"/>
      <w:r w:rsidRPr="00242CC8">
        <w:rPr>
          <w:sz w:val="24"/>
          <w:szCs w:val="24"/>
        </w:rPr>
        <w:t xml:space="preserve"> (TEN), lægemiddelreaktion med </w:t>
      </w:r>
      <w:proofErr w:type="spellStart"/>
      <w:r w:rsidRPr="00242CC8">
        <w:rPr>
          <w:sz w:val="24"/>
          <w:szCs w:val="24"/>
        </w:rPr>
        <w:t>eosinofili</w:t>
      </w:r>
      <w:proofErr w:type="spellEnd"/>
      <w:r w:rsidRPr="00242CC8">
        <w:rPr>
          <w:sz w:val="24"/>
          <w:szCs w:val="24"/>
        </w:rPr>
        <w:t xml:space="preserve"> og systemiske symptomer (DRESS), </w:t>
      </w:r>
      <w:proofErr w:type="spellStart"/>
      <w:r w:rsidRPr="00242CC8">
        <w:rPr>
          <w:sz w:val="24"/>
          <w:szCs w:val="24"/>
        </w:rPr>
        <w:t>bulløs</w:t>
      </w:r>
      <w:proofErr w:type="spellEnd"/>
      <w:r w:rsidRPr="00242CC8">
        <w:rPr>
          <w:sz w:val="24"/>
          <w:szCs w:val="24"/>
        </w:rPr>
        <w:t xml:space="preserve"> </w:t>
      </w:r>
      <w:proofErr w:type="spellStart"/>
      <w:r w:rsidRPr="00242CC8">
        <w:rPr>
          <w:sz w:val="24"/>
          <w:szCs w:val="24"/>
        </w:rPr>
        <w:t>dermatitis</w:t>
      </w:r>
      <w:proofErr w:type="spellEnd"/>
      <w:r w:rsidRPr="00242CC8">
        <w:rPr>
          <w:sz w:val="24"/>
          <w:szCs w:val="24"/>
        </w:rPr>
        <w:t xml:space="preserve"> og </w:t>
      </w:r>
      <w:proofErr w:type="spellStart"/>
      <w:r w:rsidRPr="00242CC8">
        <w:rPr>
          <w:sz w:val="24"/>
          <w:szCs w:val="24"/>
        </w:rPr>
        <w:t>erythema</w:t>
      </w:r>
      <w:proofErr w:type="spellEnd"/>
      <w:r w:rsidRPr="00242CC8">
        <w:rPr>
          <w:sz w:val="24"/>
          <w:szCs w:val="24"/>
        </w:rPr>
        <w:t xml:space="preserve"> multiforme, der kan være livstruende eller dødelige, er rapporteret i forbindelse med </w:t>
      </w:r>
      <w:proofErr w:type="spellStart"/>
      <w:r w:rsidRPr="00242CC8">
        <w:rPr>
          <w:sz w:val="24"/>
          <w:szCs w:val="24"/>
        </w:rPr>
        <w:t>mirtazapin</w:t>
      </w:r>
      <w:proofErr w:type="spellEnd"/>
      <w:r w:rsidRPr="00242CC8">
        <w:rPr>
          <w:sz w:val="24"/>
          <w:szCs w:val="24"/>
        </w:rPr>
        <w:t>-behandling.</w:t>
      </w:r>
    </w:p>
    <w:p w:rsidR="0057627E" w:rsidRPr="00242CC8" w:rsidRDefault="0057627E" w:rsidP="0057627E">
      <w:pPr>
        <w:tabs>
          <w:tab w:val="left" w:pos="851"/>
        </w:tabs>
        <w:autoSpaceDE w:val="0"/>
        <w:autoSpaceDN w:val="0"/>
        <w:adjustRightInd w:val="0"/>
        <w:ind w:left="851"/>
        <w:rPr>
          <w:sz w:val="24"/>
          <w:szCs w:val="24"/>
        </w:rPr>
      </w:pPr>
    </w:p>
    <w:p w:rsidR="0057627E" w:rsidRPr="00242CC8" w:rsidRDefault="0057627E" w:rsidP="0057627E">
      <w:pPr>
        <w:tabs>
          <w:tab w:val="left" w:pos="851"/>
        </w:tabs>
        <w:autoSpaceDE w:val="0"/>
        <w:autoSpaceDN w:val="0"/>
        <w:adjustRightInd w:val="0"/>
        <w:ind w:left="851"/>
        <w:rPr>
          <w:sz w:val="24"/>
          <w:szCs w:val="24"/>
        </w:rPr>
      </w:pPr>
      <w:r w:rsidRPr="00242CC8">
        <w:rPr>
          <w:sz w:val="24"/>
          <w:szCs w:val="24"/>
        </w:rPr>
        <w:t xml:space="preserve">Hvis der opstår tegn og symptomer på sådanne bivirkninger, bør </w:t>
      </w:r>
      <w:proofErr w:type="spellStart"/>
      <w:r w:rsidRPr="00242CC8">
        <w:rPr>
          <w:sz w:val="24"/>
          <w:szCs w:val="24"/>
        </w:rPr>
        <w:t>mirtazapin</w:t>
      </w:r>
      <w:proofErr w:type="spellEnd"/>
      <w:r w:rsidRPr="00242CC8">
        <w:rPr>
          <w:sz w:val="24"/>
          <w:szCs w:val="24"/>
        </w:rPr>
        <w:t xml:space="preserve"> straks seponeres.</w:t>
      </w:r>
    </w:p>
    <w:p w:rsidR="0057627E" w:rsidRPr="00242CC8" w:rsidRDefault="0057627E" w:rsidP="0057627E">
      <w:pPr>
        <w:tabs>
          <w:tab w:val="left" w:pos="851"/>
        </w:tabs>
        <w:autoSpaceDE w:val="0"/>
        <w:autoSpaceDN w:val="0"/>
        <w:adjustRightInd w:val="0"/>
        <w:ind w:left="851"/>
        <w:rPr>
          <w:sz w:val="24"/>
          <w:szCs w:val="24"/>
        </w:rPr>
      </w:pPr>
    </w:p>
    <w:p w:rsidR="0057627E" w:rsidRDefault="0057627E" w:rsidP="0057627E">
      <w:pPr>
        <w:tabs>
          <w:tab w:val="left" w:pos="851"/>
        </w:tabs>
        <w:autoSpaceDE w:val="0"/>
        <w:autoSpaceDN w:val="0"/>
        <w:adjustRightInd w:val="0"/>
        <w:ind w:left="851"/>
        <w:rPr>
          <w:sz w:val="24"/>
          <w:szCs w:val="24"/>
        </w:rPr>
      </w:pPr>
      <w:r w:rsidRPr="00242CC8">
        <w:rPr>
          <w:sz w:val="24"/>
          <w:szCs w:val="24"/>
        </w:rPr>
        <w:t xml:space="preserve">Hvis patienten udvikler en af disse bivirkninger under behandlingen med </w:t>
      </w:r>
      <w:proofErr w:type="spellStart"/>
      <w:r w:rsidRPr="00242CC8">
        <w:rPr>
          <w:sz w:val="24"/>
          <w:szCs w:val="24"/>
        </w:rPr>
        <w:t>mirtazapin</w:t>
      </w:r>
      <w:proofErr w:type="spellEnd"/>
      <w:r w:rsidRPr="00242CC8">
        <w:rPr>
          <w:sz w:val="24"/>
          <w:szCs w:val="24"/>
        </w:rPr>
        <w:t xml:space="preserve">, må behandling med </w:t>
      </w:r>
      <w:proofErr w:type="spellStart"/>
      <w:r w:rsidRPr="00242CC8">
        <w:rPr>
          <w:sz w:val="24"/>
          <w:szCs w:val="24"/>
        </w:rPr>
        <w:t>mirtazapin</w:t>
      </w:r>
      <w:proofErr w:type="spellEnd"/>
      <w:r w:rsidRPr="00242CC8">
        <w:rPr>
          <w:sz w:val="24"/>
          <w:szCs w:val="24"/>
        </w:rPr>
        <w:t xml:space="preserve"> ikke genstartes på noget tidspunkt hos denne patient.</w:t>
      </w:r>
    </w:p>
    <w:p w:rsidR="0057627E" w:rsidRPr="0057627E" w:rsidRDefault="0057627E" w:rsidP="00DF7D66">
      <w:pPr>
        <w:tabs>
          <w:tab w:val="left" w:pos="851"/>
        </w:tabs>
        <w:autoSpaceDE w:val="0"/>
        <w:autoSpaceDN w:val="0"/>
        <w:adjustRightInd w:val="0"/>
        <w:ind w:left="851"/>
        <w:rPr>
          <w:sz w:val="24"/>
          <w:szCs w:val="24"/>
        </w:rPr>
      </w:pPr>
    </w:p>
    <w:p w:rsidR="00DF7D66" w:rsidRPr="00C761F9" w:rsidRDefault="00DF7D66" w:rsidP="00DF7D66">
      <w:pPr>
        <w:tabs>
          <w:tab w:val="left" w:pos="851"/>
        </w:tabs>
        <w:autoSpaceDE w:val="0"/>
        <w:autoSpaceDN w:val="0"/>
        <w:adjustRightInd w:val="0"/>
        <w:ind w:left="851"/>
        <w:rPr>
          <w:sz w:val="24"/>
          <w:szCs w:val="24"/>
          <w:u w:val="single"/>
        </w:rPr>
      </w:pPr>
      <w:proofErr w:type="spellStart"/>
      <w:r>
        <w:rPr>
          <w:sz w:val="24"/>
          <w:szCs w:val="24"/>
          <w:u w:val="single"/>
        </w:rPr>
        <w:t>Hyponatriæmi</w:t>
      </w:r>
      <w:proofErr w:type="spellEnd"/>
    </w:p>
    <w:p w:rsidR="00DF7D66" w:rsidRPr="00C761F9" w:rsidRDefault="00DF7D66" w:rsidP="00DF7D66">
      <w:pPr>
        <w:tabs>
          <w:tab w:val="left" w:pos="851"/>
        </w:tabs>
        <w:autoSpaceDE w:val="0"/>
        <w:autoSpaceDN w:val="0"/>
        <w:adjustRightInd w:val="0"/>
        <w:ind w:left="851"/>
        <w:rPr>
          <w:sz w:val="24"/>
          <w:szCs w:val="24"/>
        </w:rPr>
      </w:pPr>
      <w:proofErr w:type="spellStart"/>
      <w:r w:rsidRPr="00C761F9">
        <w:rPr>
          <w:sz w:val="24"/>
          <w:szCs w:val="24"/>
        </w:rPr>
        <w:t>Hyponatriæmi</w:t>
      </w:r>
      <w:proofErr w:type="spellEnd"/>
      <w:r w:rsidRPr="00C761F9">
        <w:rPr>
          <w:sz w:val="24"/>
          <w:szCs w:val="24"/>
        </w:rPr>
        <w:t xml:space="preserve">, sandsynligvis forårsaget af uhensigtsmæssig produktion af antidiuretisk hormon (SIADH), har været rapporteret i meget sjældne tilfælde med </w:t>
      </w:r>
      <w:proofErr w:type="spellStart"/>
      <w:r w:rsidRPr="00C761F9">
        <w:rPr>
          <w:sz w:val="24"/>
          <w:szCs w:val="24"/>
        </w:rPr>
        <w:t>mirtazapin</w:t>
      </w:r>
      <w:proofErr w:type="spellEnd"/>
      <w:r w:rsidRPr="00C761F9">
        <w:rPr>
          <w:sz w:val="24"/>
          <w:szCs w:val="24"/>
        </w:rPr>
        <w:t xml:space="preserve">. Der bør udvises forsigtighed ved behandling af patienter, der har denne risiko, f.eks. ældre patienter eller patienter, der samtidig behandles med medicin, der er kendt for at kunne forårsage </w:t>
      </w:r>
      <w:proofErr w:type="spellStart"/>
      <w:r w:rsidRPr="00C761F9">
        <w:rPr>
          <w:sz w:val="24"/>
          <w:szCs w:val="24"/>
        </w:rPr>
        <w:t>hyponatriæmi</w:t>
      </w:r>
      <w:proofErr w:type="spellEnd"/>
      <w:r w:rsidRPr="00C761F9">
        <w:rPr>
          <w:sz w:val="24"/>
          <w:szCs w:val="24"/>
        </w:rPr>
        <w:t>.</w:t>
      </w:r>
    </w:p>
    <w:p w:rsidR="00DF7D66" w:rsidRPr="00C761F9" w:rsidRDefault="00DF7D66" w:rsidP="00DF7D66">
      <w:pPr>
        <w:tabs>
          <w:tab w:val="left" w:pos="851"/>
        </w:tabs>
        <w:autoSpaceDE w:val="0"/>
        <w:autoSpaceDN w:val="0"/>
        <w:adjustRightInd w:val="0"/>
        <w:ind w:left="851"/>
        <w:rPr>
          <w:sz w:val="24"/>
          <w:szCs w:val="24"/>
        </w:rPr>
      </w:pPr>
    </w:p>
    <w:p w:rsidR="00DF7D66" w:rsidRPr="00C761F9" w:rsidRDefault="00DF7D66" w:rsidP="00DF7D66">
      <w:pPr>
        <w:tabs>
          <w:tab w:val="left" w:pos="851"/>
        </w:tabs>
        <w:autoSpaceDE w:val="0"/>
        <w:autoSpaceDN w:val="0"/>
        <w:adjustRightInd w:val="0"/>
        <w:ind w:left="851"/>
        <w:rPr>
          <w:sz w:val="24"/>
          <w:szCs w:val="24"/>
          <w:u w:val="single"/>
        </w:rPr>
      </w:pPr>
      <w:proofErr w:type="spellStart"/>
      <w:r>
        <w:rPr>
          <w:sz w:val="24"/>
          <w:szCs w:val="24"/>
          <w:u w:val="single"/>
        </w:rPr>
        <w:t>Serotonergt</w:t>
      </w:r>
      <w:proofErr w:type="spellEnd"/>
      <w:r>
        <w:rPr>
          <w:sz w:val="24"/>
          <w:szCs w:val="24"/>
          <w:u w:val="single"/>
        </w:rPr>
        <w:t xml:space="preserve"> syndrom</w:t>
      </w:r>
    </w:p>
    <w:p w:rsidR="00DF7D66" w:rsidRPr="00C761F9" w:rsidRDefault="00DF7D66" w:rsidP="00DF7D66">
      <w:pPr>
        <w:tabs>
          <w:tab w:val="left" w:pos="851"/>
        </w:tabs>
        <w:autoSpaceDE w:val="0"/>
        <w:autoSpaceDN w:val="0"/>
        <w:adjustRightInd w:val="0"/>
        <w:ind w:left="851"/>
        <w:rPr>
          <w:sz w:val="24"/>
          <w:szCs w:val="24"/>
        </w:rPr>
      </w:pPr>
      <w:r w:rsidRPr="00C761F9">
        <w:rPr>
          <w:sz w:val="24"/>
          <w:szCs w:val="24"/>
        </w:rPr>
        <w:t xml:space="preserve">Interaktion med </w:t>
      </w:r>
      <w:proofErr w:type="spellStart"/>
      <w:r w:rsidRPr="00C761F9">
        <w:rPr>
          <w:sz w:val="24"/>
          <w:szCs w:val="24"/>
        </w:rPr>
        <w:t>serotonerge</w:t>
      </w:r>
      <w:proofErr w:type="spellEnd"/>
      <w:r w:rsidRPr="00C761F9">
        <w:rPr>
          <w:sz w:val="24"/>
          <w:szCs w:val="24"/>
        </w:rPr>
        <w:t xml:space="preserve"> aktive stoffer: </w:t>
      </w:r>
      <w:proofErr w:type="spellStart"/>
      <w:r w:rsidRPr="00C761F9">
        <w:rPr>
          <w:sz w:val="24"/>
          <w:szCs w:val="24"/>
        </w:rPr>
        <w:t>Serotonergt</w:t>
      </w:r>
      <w:proofErr w:type="spellEnd"/>
      <w:r w:rsidRPr="00C761F9">
        <w:rPr>
          <w:sz w:val="24"/>
          <w:szCs w:val="24"/>
        </w:rPr>
        <w:t xml:space="preserve"> syndrom kan forekomme, når selektive serotonin </w:t>
      </w:r>
      <w:proofErr w:type="spellStart"/>
      <w:r w:rsidRPr="00C761F9">
        <w:rPr>
          <w:sz w:val="24"/>
          <w:szCs w:val="24"/>
        </w:rPr>
        <w:t>reuptake</w:t>
      </w:r>
      <w:proofErr w:type="spellEnd"/>
      <w:r w:rsidRPr="00C761F9">
        <w:rPr>
          <w:sz w:val="24"/>
          <w:szCs w:val="24"/>
        </w:rPr>
        <w:t xml:space="preserve"> inhibitorer (</w:t>
      </w:r>
      <w:proofErr w:type="spellStart"/>
      <w:r w:rsidRPr="00C761F9">
        <w:rPr>
          <w:sz w:val="24"/>
          <w:szCs w:val="24"/>
        </w:rPr>
        <w:t>SSRI’er</w:t>
      </w:r>
      <w:proofErr w:type="spellEnd"/>
      <w:r w:rsidRPr="00C761F9">
        <w:rPr>
          <w:sz w:val="24"/>
          <w:szCs w:val="24"/>
        </w:rPr>
        <w:t xml:space="preserve">) gives samtidig med andre </w:t>
      </w:r>
      <w:proofErr w:type="spellStart"/>
      <w:r w:rsidRPr="00C761F9">
        <w:rPr>
          <w:sz w:val="24"/>
          <w:szCs w:val="24"/>
        </w:rPr>
        <w:t>serotonerge</w:t>
      </w:r>
      <w:proofErr w:type="spellEnd"/>
      <w:r w:rsidRPr="00C761F9">
        <w:rPr>
          <w:sz w:val="24"/>
          <w:szCs w:val="24"/>
        </w:rPr>
        <w:t xml:space="preserve"> aktive stoffer (se pkt. 4.5). Symptomer på </w:t>
      </w:r>
      <w:proofErr w:type="spellStart"/>
      <w:r w:rsidRPr="00C761F9">
        <w:rPr>
          <w:sz w:val="24"/>
          <w:szCs w:val="24"/>
        </w:rPr>
        <w:t>serotonergt</w:t>
      </w:r>
      <w:proofErr w:type="spellEnd"/>
      <w:r w:rsidRPr="00C761F9">
        <w:rPr>
          <w:sz w:val="24"/>
          <w:szCs w:val="24"/>
        </w:rPr>
        <w:t xml:space="preserve"> syndrom kan være forhøjet legemstemperatur, stivhed, </w:t>
      </w:r>
      <w:proofErr w:type="spellStart"/>
      <w:r w:rsidRPr="00C761F9">
        <w:rPr>
          <w:sz w:val="24"/>
          <w:szCs w:val="24"/>
        </w:rPr>
        <w:t>myokloni</w:t>
      </w:r>
      <w:proofErr w:type="spellEnd"/>
      <w:r w:rsidRPr="00C761F9">
        <w:rPr>
          <w:sz w:val="24"/>
          <w:szCs w:val="24"/>
        </w:rPr>
        <w:t xml:space="preserve">, autonom </w:t>
      </w:r>
      <w:proofErr w:type="spellStart"/>
      <w:r w:rsidRPr="00C761F9">
        <w:rPr>
          <w:sz w:val="24"/>
          <w:szCs w:val="24"/>
        </w:rPr>
        <w:t>instabilitet</w:t>
      </w:r>
      <w:proofErr w:type="spellEnd"/>
      <w:r w:rsidRPr="00C761F9">
        <w:rPr>
          <w:sz w:val="24"/>
          <w:szCs w:val="24"/>
        </w:rPr>
        <w:t xml:space="preserve"> eventuelt med hurtige fluktuationer af vitale funktioner, mentale ændringer som inkluderer konfusion, irritabilitet og ekstrem agitation, der kan udvikle sig til delirium og koma. Forsigtighed tilrådes og tæt klinisk monitorering kræves, når disse aktive substanser kombineres med </w:t>
      </w:r>
      <w:proofErr w:type="spellStart"/>
      <w:r w:rsidRPr="00C761F9">
        <w:rPr>
          <w:sz w:val="24"/>
          <w:szCs w:val="24"/>
        </w:rPr>
        <w:t>mirtazapin</w:t>
      </w:r>
      <w:proofErr w:type="spellEnd"/>
      <w:r w:rsidRPr="00C761F9">
        <w:rPr>
          <w:sz w:val="24"/>
          <w:szCs w:val="24"/>
        </w:rPr>
        <w:t xml:space="preserve">. Behandling med </w:t>
      </w:r>
      <w:proofErr w:type="spellStart"/>
      <w:r w:rsidRPr="00C761F9">
        <w:rPr>
          <w:sz w:val="24"/>
          <w:szCs w:val="24"/>
        </w:rPr>
        <w:t>mirtazapin</w:t>
      </w:r>
      <w:proofErr w:type="spellEnd"/>
      <w:r w:rsidRPr="00C761F9">
        <w:rPr>
          <w:sz w:val="24"/>
          <w:szCs w:val="24"/>
        </w:rPr>
        <w:t xml:space="preserve"> bør seponeres, hvis sådanne hændelser forekommer og understøttende symptomatisk behandling bør indledes. Postmarketingerfaringen viser, at </w:t>
      </w:r>
      <w:proofErr w:type="spellStart"/>
      <w:r w:rsidRPr="00C761F9">
        <w:rPr>
          <w:sz w:val="24"/>
          <w:szCs w:val="24"/>
        </w:rPr>
        <w:t>serotonergt</w:t>
      </w:r>
      <w:proofErr w:type="spellEnd"/>
      <w:r w:rsidRPr="00C761F9">
        <w:rPr>
          <w:sz w:val="24"/>
          <w:szCs w:val="24"/>
        </w:rPr>
        <w:t xml:space="preserve"> syndrom sjældent optræder hos patienter, der alene behandles med </w:t>
      </w:r>
      <w:proofErr w:type="spellStart"/>
      <w:r w:rsidRPr="00C761F9">
        <w:rPr>
          <w:sz w:val="24"/>
          <w:szCs w:val="24"/>
        </w:rPr>
        <w:t>mirtazapin</w:t>
      </w:r>
      <w:proofErr w:type="spellEnd"/>
      <w:r w:rsidRPr="00C761F9">
        <w:rPr>
          <w:sz w:val="24"/>
          <w:szCs w:val="24"/>
        </w:rPr>
        <w:t xml:space="preserve"> (se pkt. 4.8).</w:t>
      </w:r>
    </w:p>
    <w:p w:rsidR="00242CC8" w:rsidRDefault="00242CC8" w:rsidP="00242CC8">
      <w:pPr>
        <w:tabs>
          <w:tab w:val="left" w:pos="851"/>
        </w:tabs>
        <w:autoSpaceDE w:val="0"/>
        <w:autoSpaceDN w:val="0"/>
        <w:adjustRightInd w:val="0"/>
        <w:ind w:left="851"/>
        <w:rPr>
          <w:sz w:val="24"/>
          <w:szCs w:val="24"/>
        </w:rPr>
      </w:pPr>
    </w:p>
    <w:p w:rsidR="00242CC8" w:rsidRDefault="00242CC8" w:rsidP="00242CC8">
      <w:pPr>
        <w:tabs>
          <w:tab w:val="left" w:pos="851"/>
        </w:tabs>
        <w:autoSpaceDE w:val="0"/>
        <w:autoSpaceDN w:val="0"/>
        <w:adjustRightInd w:val="0"/>
        <w:ind w:left="851"/>
        <w:rPr>
          <w:sz w:val="24"/>
          <w:u w:val="single"/>
        </w:rPr>
      </w:pPr>
      <w:r>
        <w:rPr>
          <w:sz w:val="24"/>
          <w:u w:val="single"/>
        </w:rPr>
        <w:t>Ældre</w:t>
      </w:r>
    </w:p>
    <w:p w:rsidR="00242CC8" w:rsidRDefault="00242CC8" w:rsidP="00242CC8">
      <w:pPr>
        <w:tabs>
          <w:tab w:val="left" w:pos="851"/>
        </w:tabs>
        <w:autoSpaceDE w:val="0"/>
        <w:autoSpaceDN w:val="0"/>
        <w:adjustRightInd w:val="0"/>
        <w:ind w:left="851"/>
        <w:rPr>
          <w:sz w:val="24"/>
          <w:szCs w:val="24"/>
        </w:rPr>
      </w:pPr>
      <w:r>
        <w:rPr>
          <w:sz w:val="24"/>
          <w:szCs w:val="24"/>
        </w:rPr>
        <w:t xml:space="preserve">Ældre er ofte mere følsomme, især hvad angår bivirkninger ved brug af </w:t>
      </w:r>
      <w:proofErr w:type="spellStart"/>
      <w:r>
        <w:rPr>
          <w:sz w:val="24"/>
          <w:szCs w:val="24"/>
        </w:rPr>
        <w:t>antidepressiva</w:t>
      </w:r>
      <w:proofErr w:type="spellEnd"/>
      <w:r>
        <w:rPr>
          <w:sz w:val="24"/>
          <w:szCs w:val="24"/>
        </w:rPr>
        <w:t>.</w:t>
      </w:r>
    </w:p>
    <w:p w:rsidR="00242CC8" w:rsidRDefault="00242CC8" w:rsidP="00242CC8">
      <w:pPr>
        <w:tabs>
          <w:tab w:val="left" w:pos="851"/>
        </w:tabs>
        <w:autoSpaceDE w:val="0"/>
        <w:autoSpaceDN w:val="0"/>
        <w:adjustRightInd w:val="0"/>
        <w:ind w:left="851"/>
        <w:rPr>
          <w:sz w:val="24"/>
          <w:szCs w:val="24"/>
        </w:rPr>
      </w:pPr>
      <w:r>
        <w:rPr>
          <w:sz w:val="24"/>
          <w:szCs w:val="24"/>
        </w:rPr>
        <w:t xml:space="preserve">Klinisk forskning med </w:t>
      </w:r>
      <w:proofErr w:type="spellStart"/>
      <w:r>
        <w:rPr>
          <w:sz w:val="24"/>
          <w:szCs w:val="24"/>
        </w:rPr>
        <w:t>mirtazapin</w:t>
      </w:r>
      <w:proofErr w:type="spellEnd"/>
      <w:r>
        <w:rPr>
          <w:sz w:val="24"/>
          <w:szCs w:val="24"/>
        </w:rPr>
        <w:t xml:space="preserve"> har ikke vist en hyppigere frekvens af bivirkninger hos ældre patienter end hos andre aldersgrupper.</w:t>
      </w:r>
    </w:p>
    <w:p w:rsidR="00242CC8" w:rsidRDefault="00242CC8" w:rsidP="00242CC8">
      <w:pPr>
        <w:tabs>
          <w:tab w:val="left" w:pos="851"/>
        </w:tabs>
        <w:ind w:left="851"/>
        <w:rPr>
          <w:sz w:val="24"/>
          <w:szCs w:val="24"/>
        </w:rPr>
      </w:pPr>
    </w:p>
    <w:p w:rsidR="00242CC8" w:rsidRDefault="00242CC8" w:rsidP="00242CC8">
      <w:pPr>
        <w:tabs>
          <w:tab w:val="left" w:pos="851"/>
        </w:tabs>
        <w:ind w:left="851"/>
        <w:rPr>
          <w:sz w:val="24"/>
          <w:szCs w:val="24"/>
          <w:u w:val="single"/>
        </w:rPr>
      </w:pPr>
      <w:r>
        <w:rPr>
          <w:sz w:val="24"/>
          <w:szCs w:val="24"/>
          <w:u w:val="single"/>
        </w:rPr>
        <w:t>Hjælp</w:t>
      </w:r>
      <w:r w:rsidR="0053329E">
        <w:rPr>
          <w:sz w:val="24"/>
          <w:szCs w:val="24"/>
          <w:u w:val="single"/>
        </w:rPr>
        <w:t>e</w:t>
      </w:r>
      <w:r>
        <w:rPr>
          <w:sz w:val="24"/>
          <w:szCs w:val="24"/>
          <w:u w:val="single"/>
        </w:rPr>
        <w:t>stoffer</w:t>
      </w:r>
    </w:p>
    <w:p w:rsidR="00242CC8" w:rsidRDefault="00242CC8" w:rsidP="00242CC8">
      <w:pPr>
        <w:tabs>
          <w:tab w:val="left" w:pos="851"/>
        </w:tabs>
        <w:ind w:left="851"/>
        <w:rPr>
          <w:sz w:val="24"/>
          <w:szCs w:val="24"/>
        </w:rPr>
      </w:pPr>
      <w:proofErr w:type="spellStart"/>
      <w:r>
        <w:rPr>
          <w:szCs w:val="24"/>
        </w:rPr>
        <w:t>Mirtazapin</w:t>
      </w:r>
      <w:proofErr w:type="spellEnd"/>
      <w:r>
        <w:rPr>
          <w:szCs w:val="24"/>
        </w:rPr>
        <w:t xml:space="preserve"> "Orion"</w:t>
      </w:r>
      <w:r>
        <w:rPr>
          <w:sz w:val="24"/>
          <w:szCs w:val="24"/>
        </w:rPr>
        <w:t xml:space="preserve"> indeholder </w:t>
      </w:r>
      <w:proofErr w:type="spellStart"/>
      <w:r>
        <w:rPr>
          <w:sz w:val="24"/>
          <w:szCs w:val="24"/>
        </w:rPr>
        <w:t>lactose</w:t>
      </w:r>
      <w:proofErr w:type="spellEnd"/>
      <w:r>
        <w:rPr>
          <w:sz w:val="24"/>
          <w:szCs w:val="24"/>
        </w:rPr>
        <w:t xml:space="preserve">. Det bør ikke anvendes til patienter med </w:t>
      </w:r>
      <w:r>
        <w:t xml:space="preserve">hereditær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w:t>
      </w:r>
    </w:p>
    <w:p w:rsidR="00DF7D66" w:rsidRPr="00C84483" w:rsidRDefault="00DF7D66" w:rsidP="00DF7D66">
      <w:pPr>
        <w:tabs>
          <w:tab w:val="left" w:pos="851"/>
        </w:tabs>
        <w:rPr>
          <w:sz w:val="24"/>
          <w:szCs w:val="24"/>
        </w:rPr>
      </w:pPr>
    </w:p>
    <w:p w:rsidR="00DF7D66" w:rsidRPr="00734C26" w:rsidRDefault="00DF7D66" w:rsidP="00DF7D66">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242CC8" w:rsidRDefault="00242CC8" w:rsidP="00242CC8">
      <w:pPr>
        <w:tabs>
          <w:tab w:val="left" w:pos="851"/>
        </w:tabs>
        <w:ind w:left="851"/>
        <w:rPr>
          <w:sz w:val="24"/>
          <w:szCs w:val="22"/>
          <w:u w:val="single"/>
        </w:rPr>
      </w:pPr>
      <w:proofErr w:type="spellStart"/>
      <w:r>
        <w:rPr>
          <w:sz w:val="24"/>
          <w:szCs w:val="22"/>
          <w:u w:val="single"/>
        </w:rPr>
        <w:t>Farmakodynamiske</w:t>
      </w:r>
      <w:proofErr w:type="spellEnd"/>
      <w:r>
        <w:rPr>
          <w:sz w:val="24"/>
          <w:szCs w:val="22"/>
          <w:u w:val="single"/>
        </w:rPr>
        <w:t xml:space="preserve"> interaktioner</w:t>
      </w:r>
    </w:p>
    <w:p w:rsidR="00242CC8" w:rsidRDefault="00242CC8" w:rsidP="00242CC8">
      <w:pPr>
        <w:pStyle w:val="Listeafsnit"/>
        <w:numPr>
          <w:ilvl w:val="0"/>
          <w:numId w:val="9"/>
        </w:numPr>
        <w:tabs>
          <w:tab w:val="left" w:pos="284"/>
          <w:tab w:val="left" w:pos="1418"/>
        </w:tabs>
        <w:autoSpaceDE w:val="0"/>
        <w:autoSpaceDN w:val="0"/>
        <w:adjustRightInd w:val="0"/>
        <w:ind w:left="1418" w:hanging="567"/>
        <w:rPr>
          <w:sz w:val="24"/>
          <w:szCs w:val="24"/>
        </w:rPr>
      </w:pPr>
      <w:proofErr w:type="spellStart"/>
      <w:r>
        <w:rPr>
          <w:sz w:val="24"/>
          <w:szCs w:val="24"/>
        </w:rPr>
        <w:t>Mirtazapin</w:t>
      </w:r>
      <w:proofErr w:type="spellEnd"/>
      <w:r>
        <w:rPr>
          <w:sz w:val="24"/>
          <w:szCs w:val="24"/>
        </w:rPr>
        <w:t xml:space="preserve"> bør ikke administreres samtidig med MAO-</w:t>
      </w:r>
      <w:proofErr w:type="spellStart"/>
      <w:r>
        <w:rPr>
          <w:sz w:val="24"/>
          <w:szCs w:val="24"/>
        </w:rPr>
        <w:t>hæmmere</w:t>
      </w:r>
      <w:proofErr w:type="spellEnd"/>
      <w:r>
        <w:rPr>
          <w:sz w:val="24"/>
          <w:szCs w:val="24"/>
        </w:rPr>
        <w:t xml:space="preserve"> eller inden for to uger efter ophør med MAO-</w:t>
      </w:r>
      <w:proofErr w:type="spellStart"/>
      <w:r>
        <w:rPr>
          <w:sz w:val="24"/>
          <w:szCs w:val="24"/>
        </w:rPr>
        <w:t>hæmmerbehandling</w:t>
      </w:r>
      <w:proofErr w:type="spellEnd"/>
      <w:r>
        <w:rPr>
          <w:sz w:val="24"/>
          <w:szCs w:val="24"/>
        </w:rPr>
        <w:t xml:space="preserve">. Omvendt bør der gå ca. to uger, inden patienter, der er blevet behandlet med </w:t>
      </w:r>
      <w:proofErr w:type="spellStart"/>
      <w:r>
        <w:rPr>
          <w:sz w:val="24"/>
          <w:szCs w:val="24"/>
        </w:rPr>
        <w:t>mirtazapin</w:t>
      </w:r>
      <w:proofErr w:type="spellEnd"/>
      <w:r>
        <w:rPr>
          <w:sz w:val="24"/>
          <w:szCs w:val="24"/>
        </w:rPr>
        <w:t>, behandles med MAO-</w:t>
      </w:r>
      <w:proofErr w:type="spellStart"/>
      <w:r>
        <w:rPr>
          <w:sz w:val="24"/>
          <w:szCs w:val="24"/>
        </w:rPr>
        <w:t>hæmmere</w:t>
      </w:r>
      <w:proofErr w:type="spellEnd"/>
      <w:r>
        <w:rPr>
          <w:sz w:val="24"/>
          <w:szCs w:val="24"/>
        </w:rPr>
        <w:t xml:space="preserve"> (se pkt. 4.3).</w:t>
      </w:r>
    </w:p>
    <w:p w:rsidR="00242CC8" w:rsidRDefault="00242CC8" w:rsidP="00242CC8">
      <w:pPr>
        <w:pStyle w:val="Listeafsnit"/>
        <w:tabs>
          <w:tab w:val="left" w:pos="284"/>
          <w:tab w:val="left" w:pos="1418"/>
        </w:tabs>
        <w:autoSpaceDE w:val="0"/>
        <w:autoSpaceDN w:val="0"/>
        <w:adjustRightInd w:val="0"/>
        <w:ind w:left="1418"/>
        <w:rPr>
          <w:sz w:val="24"/>
          <w:szCs w:val="24"/>
        </w:rPr>
      </w:pPr>
      <w:r>
        <w:rPr>
          <w:sz w:val="24"/>
          <w:szCs w:val="24"/>
        </w:rPr>
        <w:t xml:space="preserve">Som med </w:t>
      </w:r>
      <w:proofErr w:type="spellStart"/>
      <w:r>
        <w:rPr>
          <w:sz w:val="24"/>
          <w:szCs w:val="24"/>
        </w:rPr>
        <w:t>SSRI’er</w:t>
      </w:r>
      <w:proofErr w:type="spellEnd"/>
      <w:r>
        <w:rPr>
          <w:sz w:val="24"/>
          <w:szCs w:val="24"/>
        </w:rPr>
        <w:t xml:space="preserve"> kan samtidig administration med andre </w:t>
      </w:r>
      <w:proofErr w:type="spellStart"/>
      <w:r>
        <w:rPr>
          <w:sz w:val="24"/>
          <w:szCs w:val="24"/>
        </w:rPr>
        <w:t>serotonerge</w:t>
      </w:r>
      <w:proofErr w:type="spellEnd"/>
      <w:r>
        <w:rPr>
          <w:sz w:val="24"/>
          <w:szCs w:val="24"/>
        </w:rPr>
        <w:t xml:space="preserve"> aktive stoffer (L-tryptophan, </w:t>
      </w:r>
      <w:proofErr w:type="spellStart"/>
      <w:r>
        <w:rPr>
          <w:sz w:val="24"/>
          <w:szCs w:val="24"/>
        </w:rPr>
        <w:t>triptaner</w:t>
      </w:r>
      <w:proofErr w:type="spellEnd"/>
      <w:r>
        <w:rPr>
          <w:sz w:val="24"/>
          <w:szCs w:val="24"/>
        </w:rPr>
        <w:t xml:space="preserve">, </w:t>
      </w:r>
      <w:proofErr w:type="spellStart"/>
      <w:r>
        <w:rPr>
          <w:sz w:val="24"/>
          <w:szCs w:val="24"/>
        </w:rPr>
        <w:t>tramadol</w:t>
      </w:r>
      <w:proofErr w:type="spellEnd"/>
      <w:r>
        <w:rPr>
          <w:sz w:val="24"/>
          <w:szCs w:val="24"/>
        </w:rPr>
        <w:t>,</w:t>
      </w:r>
      <w:r>
        <w:t xml:space="preserve"> </w:t>
      </w:r>
      <w:proofErr w:type="spellStart"/>
      <w:r w:rsidRPr="00242CC8">
        <w:rPr>
          <w:sz w:val="24"/>
          <w:szCs w:val="24"/>
        </w:rPr>
        <w:t>buprenorphin</w:t>
      </w:r>
      <w:proofErr w:type="spellEnd"/>
      <w:r>
        <w:rPr>
          <w:sz w:val="24"/>
          <w:szCs w:val="24"/>
        </w:rPr>
        <w:t xml:space="preserve">, </w:t>
      </w:r>
      <w:proofErr w:type="spellStart"/>
      <w:r>
        <w:rPr>
          <w:sz w:val="24"/>
          <w:szCs w:val="24"/>
        </w:rPr>
        <w:t>linezolid</w:t>
      </w:r>
      <w:proofErr w:type="spellEnd"/>
      <w:r>
        <w:rPr>
          <w:sz w:val="24"/>
          <w:szCs w:val="24"/>
        </w:rPr>
        <w:t xml:space="preserve">, </w:t>
      </w:r>
      <w:proofErr w:type="spellStart"/>
      <w:r>
        <w:rPr>
          <w:sz w:val="24"/>
          <w:szCs w:val="24"/>
        </w:rPr>
        <w:t>methylenblåt</w:t>
      </w:r>
      <w:proofErr w:type="spellEnd"/>
      <w:r>
        <w:rPr>
          <w:sz w:val="24"/>
          <w:szCs w:val="24"/>
        </w:rPr>
        <w:t xml:space="preserve">, </w:t>
      </w:r>
      <w:proofErr w:type="spellStart"/>
      <w:r>
        <w:rPr>
          <w:sz w:val="24"/>
          <w:szCs w:val="24"/>
        </w:rPr>
        <w:t>SSRI’er</w:t>
      </w:r>
      <w:proofErr w:type="spellEnd"/>
      <w:r>
        <w:rPr>
          <w:sz w:val="24"/>
          <w:szCs w:val="24"/>
        </w:rPr>
        <w:t xml:space="preserve">, </w:t>
      </w:r>
      <w:proofErr w:type="spellStart"/>
      <w:r>
        <w:rPr>
          <w:sz w:val="24"/>
          <w:szCs w:val="24"/>
        </w:rPr>
        <w:t>venlafaxine</w:t>
      </w:r>
      <w:proofErr w:type="spellEnd"/>
      <w:r>
        <w:rPr>
          <w:sz w:val="24"/>
          <w:szCs w:val="24"/>
        </w:rPr>
        <w:t xml:space="preserve">, </w:t>
      </w:r>
      <w:proofErr w:type="spellStart"/>
      <w:r>
        <w:rPr>
          <w:sz w:val="24"/>
          <w:szCs w:val="24"/>
        </w:rPr>
        <w:t>lithium</w:t>
      </w:r>
      <w:proofErr w:type="spellEnd"/>
      <w:r>
        <w:rPr>
          <w:sz w:val="24"/>
          <w:szCs w:val="24"/>
        </w:rPr>
        <w:t xml:space="preserve"> og perikum – </w:t>
      </w:r>
      <w:proofErr w:type="spellStart"/>
      <w:r>
        <w:rPr>
          <w:sz w:val="24"/>
          <w:szCs w:val="24"/>
        </w:rPr>
        <w:t>Hyperikum</w:t>
      </w:r>
      <w:proofErr w:type="spellEnd"/>
      <w:r>
        <w:rPr>
          <w:sz w:val="24"/>
          <w:szCs w:val="24"/>
        </w:rPr>
        <w:t xml:space="preserve"> </w:t>
      </w:r>
      <w:proofErr w:type="spellStart"/>
      <w:r>
        <w:rPr>
          <w:sz w:val="24"/>
          <w:szCs w:val="24"/>
        </w:rPr>
        <w:t>perforatum</w:t>
      </w:r>
      <w:proofErr w:type="spellEnd"/>
      <w:r>
        <w:rPr>
          <w:sz w:val="24"/>
          <w:szCs w:val="24"/>
        </w:rPr>
        <w:t xml:space="preserve"> produkter) også føre til tilfælde af serotonin-associerede virkninger (</w:t>
      </w:r>
      <w:proofErr w:type="spellStart"/>
      <w:r>
        <w:rPr>
          <w:sz w:val="24"/>
          <w:szCs w:val="24"/>
        </w:rPr>
        <w:t>serotonergt</w:t>
      </w:r>
      <w:proofErr w:type="spellEnd"/>
      <w:r>
        <w:rPr>
          <w:sz w:val="24"/>
          <w:szCs w:val="24"/>
        </w:rPr>
        <w:t xml:space="preserve"> syndrom: se pkt. 4.4). Forsigtighed bør udvises og tæt opfølgning er nødvendig, når disse aktive stoffer kombineres med </w:t>
      </w:r>
      <w:proofErr w:type="spellStart"/>
      <w:r>
        <w:rPr>
          <w:sz w:val="24"/>
          <w:szCs w:val="24"/>
        </w:rPr>
        <w:t>mirtazapin</w:t>
      </w:r>
      <w:proofErr w:type="spellEnd"/>
      <w:r>
        <w:rPr>
          <w:sz w:val="24"/>
          <w:szCs w:val="24"/>
        </w:rPr>
        <w:t>.</w:t>
      </w:r>
    </w:p>
    <w:p w:rsidR="00242CC8" w:rsidRDefault="00242CC8" w:rsidP="00242CC8">
      <w:pPr>
        <w:pStyle w:val="Listeafsnit"/>
        <w:numPr>
          <w:ilvl w:val="0"/>
          <w:numId w:val="9"/>
        </w:numPr>
        <w:tabs>
          <w:tab w:val="left" w:pos="284"/>
          <w:tab w:val="left" w:pos="1418"/>
        </w:tabs>
        <w:autoSpaceDE w:val="0"/>
        <w:autoSpaceDN w:val="0"/>
        <w:adjustRightInd w:val="0"/>
        <w:ind w:left="1418" w:hanging="567"/>
        <w:rPr>
          <w:sz w:val="24"/>
          <w:szCs w:val="24"/>
        </w:rPr>
      </w:pPr>
      <w:proofErr w:type="spellStart"/>
      <w:r>
        <w:rPr>
          <w:sz w:val="24"/>
          <w:szCs w:val="24"/>
        </w:rPr>
        <w:t>Mirtazapin</w:t>
      </w:r>
      <w:proofErr w:type="spellEnd"/>
      <w:r>
        <w:rPr>
          <w:sz w:val="24"/>
          <w:szCs w:val="24"/>
        </w:rPr>
        <w:t xml:space="preserve"> kan øge de sederende egenskaber ved benzodiazepiner og andre sedativer (især de fleste former for antipsykotika, antihistamin H1-antagonister, opioider). Der bør udvises forsigtighed i de tilfælde, hvor disse lægemidler er ordineret sammen med </w:t>
      </w:r>
      <w:proofErr w:type="spellStart"/>
      <w:r>
        <w:rPr>
          <w:sz w:val="24"/>
          <w:szCs w:val="24"/>
        </w:rPr>
        <w:t>mirtazapin</w:t>
      </w:r>
      <w:proofErr w:type="spellEnd"/>
      <w:r>
        <w:rPr>
          <w:sz w:val="24"/>
          <w:szCs w:val="24"/>
        </w:rPr>
        <w:t>.</w:t>
      </w:r>
    </w:p>
    <w:p w:rsidR="00242CC8" w:rsidRDefault="00242CC8" w:rsidP="00242CC8">
      <w:pPr>
        <w:pStyle w:val="Listeafsnit"/>
        <w:numPr>
          <w:ilvl w:val="0"/>
          <w:numId w:val="9"/>
        </w:numPr>
        <w:tabs>
          <w:tab w:val="left" w:pos="284"/>
          <w:tab w:val="left" w:pos="1418"/>
        </w:tabs>
        <w:autoSpaceDE w:val="0"/>
        <w:autoSpaceDN w:val="0"/>
        <w:adjustRightInd w:val="0"/>
        <w:ind w:left="1418" w:hanging="567"/>
        <w:rPr>
          <w:sz w:val="24"/>
          <w:szCs w:val="24"/>
        </w:rPr>
      </w:pPr>
      <w:proofErr w:type="spellStart"/>
      <w:r>
        <w:rPr>
          <w:sz w:val="24"/>
          <w:szCs w:val="24"/>
        </w:rPr>
        <w:t>Mirtazapin</w:t>
      </w:r>
      <w:proofErr w:type="spellEnd"/>
      <w:r>
        <w:rPr>
          <w:sz w:val="24"/>
          <w:szCs w:val="24"/>
        </w:rPr>
        <w:t xml:space="preserve"> kan øge den CNS-deprimerende virkning af alkohol. Patienter bør derfor tilrådes at undgå alkoholiske drikke, mens de tager </w:t>
      </w:r>
      <w:proofErr w:type="spellStart"/>
      <w:r>
        <w:rPr>
          <w:sz w:val="24"/>
          <w:szCs w:val="24"/>
        </w:rPr>
        <w:t>mirtazapin</w:t>
      </w:r>
      <w:proofErr w:type="spellEnd"/>
      <w:r>
        <w:rPr>
          <w:sz w:val="24"/>
          <w:szCs w:val="24"/>
        </w:rPr>
        <w:t>.</w:t>
      </w:r>
    </w:p>
    <w:p w:rsidR="00242CC8" w:rsidRDefault="00242CC8" w:rsidP="00242CC8">
      <w:pPr>
        <w:pStyle w:val="Listeafsnit"/>
        <w:numPr>
          <w:ilvl w:val="0"/>
          <w:numId w:val="9"/>
        </w:numPr>
        <w:tabs>
          <w:tab w:val="left" w:pos="284"/>
          <w:tab w:val="left" w:pos="1418"/>
        </w:tabs>
        <w:autoSpaceDE w:val="0"/>
        <w:autoSpaceDN w:val="0"/>
        <w:adjustRightInd w:val="0"/>
        <w:ind w:left="1418" w:hanging="567"/>
        <w:rPr>
          <w:sz w:val="24"/>
          <w:szCs w:val="24"/>
        </w:rPr>
      </w:pPr>
      <w:r>
        <w:rPr>
          <w:sz w:val="24"/>
          <w:szCs w:val="24"/>
        </w:rPr>
        <w:t xml:space="preserve">Hos personer i behandling med </w:t>
      </w:r>
      <w:proofErr w:type="spellStart"/>
      <w:r>
        <w:rPr>
          <w:sz w:val="24"/>
          <w:szCs w:val="24"/>
        </w:rPr>
        <w:t>warfarin</w:t>
      </w:r>
      <w:proofErr w:type="spellEnd"/>
      <w:r>
        <w:rPr>
          <w:sz w:val="24"/>
          <w:szCs w:val="24"/>
        </w:rPr>
        <w:t xml:space="preserve"> forårsagede </w:t>
      </w:r>
      <w:proofErr w:type="spellStart"/>
      <w:r>
        <w:rPr>
          <w:sz w:val="24"/>
          <w:szCs w:val="24"/>
        </w:rPr>
        <w:t>mirtazapin</w:t>
      </w:r>
      <w:proofErr w:type="spellEnd"/>
      <w:r>
        <w:rPr>
          <w:sz w:val="24"/>
          <w:szCs w:val="24"/>
        </w:rPr>
        <w:t xml:space="preserve"> doseret som 30 mg én gang daglig en lille, men statistisk signifikant, øgning i international normaliseret ratio (INR). Da det ikke kan udelukkes, at højere doser af </w:t>
      </w:r>
      <w:proofErr w:type="spellStart"/>
      <w:r>
        <w:rPr>
          <w:sz w:val="24"/>
          <w:szCs w:val="24"/>
        </w:rPr>
        <w:t>mirtazapin</w:t>
      </w:r>
      <w:proofErr w:type="spellEnd"/>
      <w:r>
        <w:rPr>
          <w:sz w:val="24"/>
          <w:szCs w:val="24"/>
        </w:rPr>
        <w:t xml:space="preserve"> kan forårsage en mere udtalt virkning, er det tilrådeligt at monitorere INR i tilfælde af samtidig behandling med </w:t>
      </w:r>
      <w:proofErr w:type="spellStart"/>
      <w:r>
        <w:rPr>
          <w:sz w:val="24"/>
          <w:szCs w:val="24"/>
        </w:rPr>
        <w:t>warfarin</w:t>
      </w:r>
      <w:proofErr w:type="spellEnd"/>
      <w:r>
        <w:rPr>
          <w:sz w:val="24"/>
          <w:szCs w:val="24"/>
        </w:rPr>
        <w:t xml:space="preserve"> og </w:t>
      </w:r>
      <w:proofErr w:type="spellStart"/>
      <w:r>
        <w:rPr>
          <w:sz w:val="24"/>
          <w:szCs w:val="24"/>
        </w:rPr>
        <w:t>mirtazapin</w:t>
      </w:r>
      <w:proofErr w:type="spellEnd"/>
      <w:r>
        <w:rPr>
          <w:sz w:val="24"/>
          <w:szCs w:val="24"/>
        </w:rPr>
        <w:t>.</w:t>
      </w:r>
    </w:p>
    <w:p w:rsidR="00242CC8" w:rsidRDefault="00242CC8" w:rsidP="00242CC8">
      <w:pPr>
        <w:pStyle w:val="Listeafsnit"/>
        <w:numPr>
          <w:ilvl w:val="0"/>
          <w:numId w:val="9"/>
        </w:numPr>
        <w:tabs>
          <w:tab w:val="left" w:pos="284"/>
          <w:tab w:val="left" w:pos="1418"/>
        </w:tabs>
        <w:autoSpaceDE w:val="0"/>
        <w:autoSpaceDN w:val="0"/>
        <w:adjustRightInd w:val="0"/>
        <w:ind w:left="1418" w:hanging="567"/>
        <w:rPr>
          <w:sz w:val="24"/>
          <w:szCs w:val="24"/>
        </w:rPr>
      </w:pPr>
      <w:r>
        <w:rPr>
          <w:sz w:val="24"/>
          <w:szCs w:val="24"/>
        </w:rPr>
        <w:t xml:space="preserve">Risikoen for QT-forlængelse og/eller </w:t>
      </w:r>
      <w:proofErr w:type="spellStart"/>
      <w:r>
        <w:rPr>
          <w:sz w:val="24"/>
          <w:szCs w:val="24"/>
        </w:rPr>
        <w:t>ventrikulære</w:t>
      </w:r>
      <w:proofErr w:type="spellEnd"/>
      <w:r>
        <w:rPr>
          <w:sz w:val="24"/>
          <w:szCs w:val="24"/>
        </w:rPr>
        <w:t xml:space="preserve"> </w:t>
      </w:r>
      <w:proofErr w:type="spellStart"/>
      <w:r>
        <w:rPr>
          <w:sz w:val="24"/>
          <w:szCs w:val="24"/>
        </w:rPr>
        <w:t>arytmier</w:t>
      </w:r>
      <w:proofErr w:type="spellEnd"/>
      <w:r>
        <w:rPr>
          <w:sz w:val="24"/>
          <w:szCs w:val="24"/>
        </w:rPr>
        <w:t xml:space="preserve"> (f.eks. </w:t>
      </w:r>
      <w:proofErr w:type="spellStart"/>
      <w:r>
        <w:rPr>
          <w:sz w:val="24"/>
          <w:szCs w:val="24"/>
        </w:rPr>
        <w:t>torsades</w:t>
      </w:r>
      <w:proofErr w:type="spellEnd"/>
      <w:r>
        <w:rPr>
          <w:sz w:val="24"/>
          <w:szCs w:val="24"/>
        </w:rPr>
        <w:t xml:space="preserve"> de pointes) kan øges ved samtidig anvendelse af lægemidler, der forlænger </w:t>
      </w:r>
      <w:proofErr w:type="spellStart"/>
      <w:r>
        <w:rPr>
          <w:sz w:val="24"/>
          <w:szCs w:val="24"/>
        </w:rPr>
        <w:t>QTc</w:t>
      </w:r>
      <w:proofErr w:type="spellEnd"/>
      <w:r>
        <w:rPr>
          <w:sz w:val="24"/>
          <w:szCs w:val="24"/>
        </w:rPr>
        <w:t xml:space="preserve">-intervallet (f.eks. nogle antipsykotika og antibiotika). </w:t>
      </w:r>
    </w:p>
    <w:p w:rsidR="00242CC8" w:rsidRDefault="00242CC8" w:rsidP="00242CC8">
      <w:pPr>
        <w:tabs>
          <w:tab w:val="left" w:pos="851"/>
        </w:tabs>
        <w:ind w:left="851"/>
        <w:rPr>
          <w:sz w:val="24"/>
          <w:szCs w:val="24"/>
        </w:rPr>
      </w:pPr>
    </w:p>
    <w:p w:rsidR="00242CC8" w:rsidRDefault="00242CC8" w:rsidP="00242CC8">
      <w:pPr>
        <w:tabs>
          <w:tab w:val="left" w:pos="851"/>
        </w:tabs>
        <w:ind w:left="851"/>
        <w:rPr>
          <w:sz w:val="24"/>
          <w:szCs w:val="24"/>
          <w:u w:val="single"/>
        </w:rPr>
      </w:pPr>
      <w:proofErr w:type="spellStart"/>
      <w:r>
        <w:rPr>
          <w:sz w:val="24"/>
          <w:szCs w:val="24"/>
          <w:u w:val="single"/>
        </w:rPr>
        <w:t>Farmakokinetiske</w:t>
      </w:r>
      <w:proofErr w:type="spellEnd"/>
      <w:r>
        <w:rPr>
          <w:sz w:val="24"/>
          <w:szCs w:val="24"/>
          <w:u w:val="single"/>
        </w:rPr>
        <w:t xml:space="preserve"> interaktioner</w:t>
      </w:r>
    </w:p>
    <w:p w:rsidR="00242CC8" w:rsidRDefault="00242CC8" w:rsidP="00242CC8">
      <w:pPr>
        <w:pStyle w:val="Listeafsnit"/>
        <w:numPr>
          <w:ilvl w:val="0"/>
          <w:numId w:val="9"/>
        </w:numPr>
        <w:tabs>
          <w:tab w:val="left" w:pos="284"/>
          <w:tab w:val="left" w:pos="1418"/>
        </w:tabs>
        <w:autoSpaceDE w:val="0"/>
        <w:autoSpaceDN w:val="0"/>
        <w:adjustRightInd w:val="0"/>
        <w:ind w:left="1418" w:hanging="567"/>
        <w:rPr>
          <w:sz w:val="24"/>
          <w:szCs w:val="24"/>
        </w:rPr>
      </w:pPr>
      <w:proofErr w:type="spellStart"/>
      <w:r>
        <w:rPr>
          <w:sz w:val="24"/>
          <w:szCs w:val="24"/>
        </w:rPr>
        <w:t>Carbamazapin</w:t>
      </w:r>
      <w:proofErr w:type="spellEnd"/>
      <w:r>
        <w:rPr>
          <w:sz w:val="24"/>
          <w:szCs w:val="24"/>
        </w:rPr>
        <w:t xml:space="preserve"> og </w:t>
      </w:r>
      <w:proofErr w:type="spellStart"/>
      <w:r>
        <w:rPr>
          <w:sz w:val="24"/>
          <w:szCs w:val="24"/>
        </w:rPr>
        <w:t>phenytoin</w:t>
      </w:r>
      <w:proofErr w:type="spellEnd"/>
      <w:r>
        <w:rPr>
          <w:sz w:val="24"/>
          <w:szCs w:val="24"/>
        </w:rPr>
        <w:t xml:space="preserve">, som inducerer CYP3A4, øgede </w:t>
      </w:r>
      <w:proofErr w:type="spellStart"/>
      <w:r>
        <w:rPr>
          <w:sz w:val="24"/>
          <w:szCs w:val="24"/>
        </w:rPr>
        <w:t>mirtazapins</w:t>
      </w:r>
      <w:proofErr w:type="spellEnd"/>
      <w:r>
        <w:rPr>
          <w:sz w:val="24"/>
          <w:szCs w:val="24"/>
        </w:rPr>
        <w:t xml:space="preserve"> </w:t>
      </w:r>
      <w:proofErr w:type="spellStart"/>
      <w:r>
        <w:rPr>
          <w:sz w:val="24"/>
          <w:szCs w:val="24"/>
        </w:rPr>
        <w:t>clearance</w:t>
      </w:r>
      <w:proofErr w:type="spellEnd"/>
      <w:r>
        <w:rPr>
          <w:sz w:val="24"/>
          <w:szCs w:val="24"/>
        </w:rPr>
        <w:t xml:space="preserve"> ca. to gange, hvilket medførte et fald i den gennemsnitlige </w:t>
      </w:r>
      <w:proofErr w:type="spellStart"/>
      <w:r>
        <w:rPr>
          <w:sz w:val="24"/>
          <w:szCs w:val="24"/>
        </w:rPr>
        <w:t>mirtazapin</w:t>
      </w:r>
      <w:proofErr w:type="spellEnd"/>
      <w:r>
        <w:rPr>
          <w:sz w:val="24"/>
          <w:szCs w:val="24"/>
        </w:rPr>
        <w:t xml:space="preserve"> plasmakoncentrationen på hhv. ca. 60 % og 45 %. Når </w:t>
      </w:r>
      <w:proofErr w:type="spellStart"/>
      <w:r>
        <w:rPr>
          <w:sz w:val="24"/>
          <w:szCs w:val="24"/>
        </w:rPr>
        <w:t>carbamazapin</w:t>
      </w:r>
      <w:proofErr w:type="spellEnd"/>
      <w:r>
        <w:rPr>
          <w:sz w:val="24"/>
          <w:szCs w:val="24"/>
        </w:rPr>
        <w:t xml:space="preserve"> eller en hvilken som helst anden inducer af levermetabolisme (såsom </w:t>
      </w:r>
      <w:proofErr w:type="spellStart"/>
      <w:r>
        <w:rPr>
          <w:sz w:val="24"/>
          <w:szCs w:val="24"/>
        </w:rPr>
        <w:t>rifampicin</w:t>
      </w:r>
      <w:proofErr w:type="spellEnd"/>
      <w:r>
        <w:rPr>
          <w:sz w:val="24"/>
          <w:szCs w:val="24"/>
        </w:rPr>
        <w:t xml:space="preserve">) anvendes samtidig med </w:t>
      </w:r>
      <w:proofErr w:type="spellStart"/>
      <w:r>
        <w:rPr>
          <w:sz w:val="24"/>
          <w:szCs w:val="24"/>
        </w:rPr>
        <w:t>mirtazapinbehandling</w:t>
      </w:r>
      <w:proofErr w:type="spellEnd"/>
      <w:r>
        <w:rPr>
          <w:sz w:val="24"/>
          <w:szCs w:val="24"/>
        </w:rPr>
        <w:t xml:space="preserve">, skal </w:t>
      </w:r>
      <w:proofErr w:type="spellStart"/>
      <w:r>
        <w:rPr>
          <w:sz w:val="24"/>
          <w:szCs w:val="24"/>
        </w:rPr>
        <w:t>mirtazapindosis</w:t>
      </w:r>
      <w:proofErr w:type="spellEnd"/>
      <w:r>
        <w:rPr>
          <w:sz w:val="24"/>
          <w:szCs w:val="24"/>
        </w:rPr>
        <w:t xml:space="preserve"> muligvis forhøjes. Hvis behandlingen med disse lægemidler stoppes, skal </w:t>
      </w:r>
      <w:proofErr w:type="spellStart"/>
      <w:r>
        <w:rPr>
          <w:sz w:val="24"/>
          <w:szCs w:val="24"/>
        </w:rPr>
        <w:t>mirtazapindosis</w:t>
      </w:r>
      <w:proofErr w:type="spellEnd"/>
      <w:r>
        <w:rPr>
          <w:sz w:val="24"/>
          <w:szCs w:val="24"/>
        </w:rPr>
        <w:t xml:space="preserve"> muligvis nedsættes.</w:t>
      </w:r>
    </w:p>
    <w:p w:rsidR="00242CC8" w:rsidRDefault="00242CC8" w:rsidP="00242CC8">
      <w:pPr>
        <w:pStyle w:val="Listeafsnit"/>
        <w:numPr>
          <w:ilvl w:val="0"/>
          <w:numId w:val="9"/>
        </w:numPr>
        <w:tabs>
          <w:tab w:val="left" w:pos="284"/>
          <w:tab w:val="left" w:pos="1418"/>
        </w:tabs>
        <w:autoSpaceDE w:val="0"/>
        <w:autoSpaceDN w:val="0"/>
        <w:adjustRightInd w:val="0"/>
        <w:ind w:left="1418" w:hanging="567"/>
        <w:rPr>
          <w:sz w:val="24"/>
          <w:szCs w:val="24"/>
        </w:rPr>
      </w:pPr>
      <w:r>
        <w:rPr>
          <w:sz w:val="24"/>
          <w:szCs w:val="24"/>
        </w:rPr>
        <w:t xml:space="preserve">Samtidig administration af den potente CYP3A4-hæmmer </w:t>
      </w:r>
      <w:proofErr w:type="spellStart"/>
      <w:r>
        <w:rPr>
          <w:sz w:val="24"/>
          <w:szCs w:val="24"/>
        </w:rPr>
        <w:t>ketoconazol</w:t>
      </w:r>
      <w:proofErr w:type="spellEnd"/>
      <w:r>
        <w:rPr>
          <w:sz w:val="24"/>
          <w:szCs w:val="24"/>
        </w:rPr>
        <w:t xml:space="preserve"> øgede det maksimale plasmaniveau og </w:t>
      </w:r>
      <w:proofErr w:type="spellStart"/>
      <w:r>
        <w:rPr>
          <w:sz w:val="24"/>
          <w:szCs w:val="24"/>
        </w:rPr>
        <w:t>mirtazapins</w:t>
      </w:r>
      <w:proofErr w:type="spellEnd"/>
      <w:r>
        <w:rPr>
          <w:sz w:val="24"/>
          <w:szCs w:val="24"/>
        </w:rPr>
        <w:t xml:space="preserve"> AUC med henholdsvis ca. 40 % og 50 %.</w:t>
      </w:r>
    </w:p>
    <w:p w:rsidR="00242CC8" w:rsidRDefault="00242CC8" w:rsidP="00242CC8">
      <w:pPr>
        <w:pStyle w:val="Listeafsnit"/>
        <w:numPr>
          <w:ilvl w:val="0"/>
          <w:numId w:val="9"/>
        </w:numPr>
        <w:tabs>
          <w:tab w:val="left" w:pos="284"/>
          <w:tab w:val="left" w:pos="1418"/>
        </w:tabs>
        <w:autoSpaceDE w:val="0"/>
        <w:autoSpaceDN w:val="0"/>
        <w:adjustRightInd w:val="0"/>
        <w:ind w:left="1418" w:hanging="567"/>
        <w:rPr>
          <w:sz w:val="24"/>
          <w:szCs w:val="24"/>
        </w:rPr>
      </w:pPr>
      <w:r>
        <w:rPr>
          <w:sz w:val="24"/>
          <w:szCs w:val="24"/>
        </w:rPr>
        <w:t xml:space="preserve">Når </w:t>
      </w:r>
      <w:proofErr w:type="spellStart"/>
      <w:r>
        <w:rPr>
          <w:sz w:val="24"/>
          <w:szCs w:val="24"/>
        </w:rPr>
        <w:t>cimetidin</w:t>
      </w:r>
      <w:proofErr w:type="spellEnd"/>
      <w:r>
        <w:rPr>
          <w:sz w:val="24"/>
          <w:szCs w:val="24"/>
        </w:rPr>
        <w:t xml:space="preserve"> (svag inhibitor af CYP1A2, CYP2D6 og CYP3A4) administreres sammen med </w:t>
      </w:r>
      <w:proofErr w:type="spellStart"/>
      <w:r>
        <w:rPr>
          <w:sz w:val="24"/>
          <w:szCs w:val="24"/>
        </w:rPr>
        <w:t>mirtazapin</w:t>
      </w:r>
      <w:proofErr w:type="spellEnd"/>
      <w:r>
        <w:rPr>
          <w:sz w:val="24"/>
          <w:szCs w:val="24"/>
        </w:rPr>
        <w:t xml:space="preserve">, kan </w:t>
      </w:r>
      <w:proofErr w:type="spellStart"/>
      <w:r>
        <w:rPr>
          <w:sz w:val="24"/>
          <w:szCs w:val="24"/>
        </w:rPr>
        <w:t>mirtazapins</w:t>
      </w:r>
      <w:proofErr w:type="spellEnd"/>
      <w:r>
        <w:rPr>
          <w:sz w:val="24"/>
          <w:szCs w:val="24"/>
        </w:rPr>
        <w:t xml:space="preserve"> gennemsnitlige plasmakoncentration stige med mere end 50 %. Forsigtighed bør udvises, og dosis skal måske nedsættes, når </w:t>
      </w:r>
      <w:proofErr w:type="spellStart"/>
      <w:r>
        <w:rPr>
          <w:sz w:val="24"/>
          <w:szCs w:val="24"/>
        </w:rPr>
        <w:lastRenderedPageBreak/>
        <w:t>mirtazapin</w:t>
      </w:r>
      <w:proofErr w:type="spellEnd"/>
      <w:r>
        <w:rPr>
          <w:sz w:val="24"/>
          <w:szCs w:val="24"/>
        </w:rPr>
        <w:t xml:space="preserve"> administreres sammen med potente CYP3A4</w:t>
      </w:r>
      <w:r>
        <w:rPr>
          <w:sz w:val="24"/>
          <w:szCs w:val="24"/>
        </w:rPr>
        <w:noBreakHyphen/>
        <w:t>hæmmere, hiv-</w:t>
      </w:r>
      <w:proofErr w:type="spellStart"/>
      <w:r>
        <w:rPr>
          <w:sz w:val="24"/>
          <w:szCs w:val="24"/>
        </w:rPr>
        <w:t>proteasehæmmere</w:t>
      </w:r>
      <w:proofErr w:type="spellEnd"/>
      <w:r>
        <w:rPr>
          <w:sz w:val="24"/>
          <w:szCs w:val="24"/>
        </w:rPr>
        <w:t xml:space="preserve">, </w:t>
      </w:r>
      <w:proofErr w:type="spellStart"/>
      <w:r>
        <w:rPr>
          <w:sz w:val="24"/>
          <w:szCs w:val="24"/>
        </w:rPr>
        <w:t>azolantimykotika</w:t>
      </w:r>
      <w:proofErr w:type="spellEnd"/>
      <w:r>
        <w:rPr>
          <w:sz w:val="24"/>
          <w:szCs w:val="24"/>
        </w:rPr>
        <w:t xml:space="preserve">, </w:t>
      </w:r>
      <w:proofErr w:type="spellStart"/>
      <w:r>
        <w:rPr>
          <w:sz w:val="24"/>
          <w:szCs w:val="24"/>
        </w:rPr>
        <w:t>erythromycin</w:t>
      </w:r>
      <w:proofErr w:type="spellEnd"/>
      <w:r>
        <w:rPr>
          <w:sz w:val="24"/>
          <w:szCs w:val="24"/>
        </w:rPr>
        <w:t xml:space="preserve">, </w:t>
      </w:r>
      <w:proofErr w:type="spellStart"/>
      <w:r>
        <w:rPr>
          <w:sz w:val="24"/>
          <w:szCs w:val="24"/>
        </w:rPr>
        <w:t>cimetidin</w:t>
      </w:r>
      <w:proofErr w:type="spellEnd"/>
      <w:r>
        <w:rPr>
          <w:sz w:val="24"/>
          <w:szCs w:val="24"/>
        </w:rPr>
        <w:t xml:space="preserve"> eller </w:t>
      </w:r>
      <w:proofErr w:type="spellStart"/>
      <w:r>
        <w:rPr>
          <w:sz w:val="24"/>
          <w:szCs w:val="24"/>
        </w:rPr>
        <w:t>nefazodon</w:t>
      </w:r>
      <w:proofErr w:type="spellEnd"/>
      <w:r>
        <w:rPr>
          <w:sz w:val="24"/>
          <w:szCs w:val="24"/>
        </w:rPr>
        <w:t>.</w:t>
      </w:r>
    </w:p>
    <w:p w:rsidR="00242CC8" w:rsidRDefault="00242CC8" w:rsidP="00242CC8">
      <w:pPr>
        <w:pStyle w:val="Listeafsnit"/>
        <w:numPr>
          <w:ilvl w:val="0"/>
          <w:numId w:val="9"/>
        </w:numPr>
        <w:tabs>
          <w:tab w:val="left" w:pos="284"/>
          <w:tab w:val="left" w:pos="1418"/>
        </w:tabs>
        <w:autoSpaceDE w:val="0"/>
        <w:autoSpaceDN w:val="0"/>
        <w:adjustRightInd w:val="0"/>
        <w:ind w:left="1418" w:hanging="567"/>
        <w:rPr>
          <w:sz w:val="24"/>
          <w:szCs w:val="24"/>
        </w:rPr>
      </w:pPr>
      <w:r>
        <w:rPr>
          <w:sz w:val="24"/>
          <w:szCs w:val="24"/>
        </w:rPr>
        <w:t xml:space="preserve">Interaktionsstudier indicerede ingen relevante </w:t>
      </w:r>
      <w:proofErr w:type="spellStart"/>
      <w:r>
        <w:rPr>
          <w:sz w:val="24"/>
          <w:szCs w:val="24"/>
        </w:rPr>
        <w:t>farmakokinetiske</w:t>
      </w:r>
      <w:proofErr w:type="spellEnd"/>
      <w:r>
        <w:rPr>
          <w:sz w:val="24"/>
          <w:szCs w:val="24"/>
        </w:rPr>
        <w:t xml:space="preserve"> virkninger på samtidig behandling med </w:t>
      </w:r>
      <w:proofErr w:type="spellStart"/>
      <w:r>
        <w:rPr>
          <w:sz w:val="24"/>
          <w:szCs w:val="24"/>
        </w:rPr>
        <w:t>mirtazapin</w:t>
      </w:r>
      <w:proofErr w:type="spellEnd"/>
      <w:r>
        <w:rPr>
          <w:sz w:val="24"/>
          <w:szCs w:val="24"/>
        </w:rPr>
        <w:t xml:space="preserve"> og </w:t>
      </w:r>
      <w:proofErr w:type="spellStart"/>
      <w:r>
        <w:rPr>
          <w:sz w:val="24"/>
          <w:szCs w:val="24"/>
        </w:rPr>
        <w:t>paroxetin</w:t>
      </w:r>
      <w:proofErr w:type="spellEnd"/>
      <w:r>
        <w:rPr>
          <w:sz w:val="24"/>
          <w:szCs w:val="24"/>
        </w:rPr>
        <w:t xml:space="preserve">, </w:t>
      </w:r>
      <w:proofErr w:type="spellStart"/>
      <w:r>
        <w:rPr>
          <w:sz w:val="24"/>
          <w:szCs w:val="24"/>
        </w:rPr>
        <w:t>amitriptylin</w:t>
      </w:r>
      <w:proofErr w:type="spellEnd"/>
      <w:r>
        <w:rPr>
          <w:sz w:val="24"/>
          <w:szCs w:val="24"/>
        </w:rPr>
        <w:t xml:space="preserve">, </w:t>
      </w:r>
      <w:proofErr w:type="spellStart"/>
      <w:r>
        <w:rPr>
          <w:sz w:val="24"/>
          <w:szCs w:val="24"/>
        </w:rPr>
        <w:t>risperidon</w:t>
      </w:r>
      <w:proofErr w:type="spellEnd"/>
      <w:r>
        <w:rPr>
          <w:sz w:val="24"/>
          <w:szCs w:val="24"/>
        </w:rPr>
        <w:t xml:space="preserve"> eller </w:t>
      </w:r>
      <w:proofErr w:type="spellStart"/>
      <w:r>
        <w:rPr>
          <w:sz w:val="24"/>
          <w:szCs w:val="24"/>
        </w:rPr>
        <w:t>lithium</w:t>
      </w:r>
      <w:proofErr w:type="spellEnd"/>
      <w:r>
        <w:rPr>
          <w:sz w:val="24"/>
          <w:szCs w:val="24"/>
        </w:rPr>
        <w:t>.</w:t>
      </w:r>
    </w:p>
    <w:p w:rsidR="00242CC8" w:rsidRDefault="00242CC8" w:rsidP="00242CC8">
      <w:pPr>
        <w:tabs>
          <w:tab w:val="left" w:pos="851"/>
        </w:tabs>
        <w:autoSpaceDE w:val="0"/>
        <w:autoSpaceDN w:val="0"/>
        <w:adjustRightInd w:val="0"/>
        <w:ind w:left="851" w:hanging="567"/>
        <w:rPr>
          <w:sz w:val="24"/>
          <w:szCs w:val="24"/>
        </w:rPr>
      </w:pPr>
    </w:p>
    <w:p w:rsidR="00242CC8" w:rsidRDefault="00242CC8" w:rsidP="00242CC8">
      <w:pPr>
        <w:tabs>
          <w:tab w:val="left" w:pos="851"/>
        </w:tabs>
        <w:autoSpaceDE w:val="0"/>
        <w:autoSpaceDN w:val="0"/>
        <w:adjustRightInd w:val="0"/>
        <w:ind w:left="851"/>
        <w:rPr>
          <w:i/>
          <w:sz w:val="24"/>
          <w:szCs w:val="24"/>
        </w:rPr>
      </w:pPr>
      <w:r>
        <w:rPr>
          <w:i/>
          <w:sz w:val="24"/>
          <w:szCs w:val="24"/>
        </w:rPr>
        <w:t>Pædiatrisk population</w:t>
      </w:r>
    </w:p>
    <w:p w:rsidR="00242CC8" w:rsidRDefault="00242CC8" w:rsidP="00242CC8">
      <w:pPr>
        <w:tabs>
          <w:tab w:val="left" w:pos="851"/>
        </w:tabs>
        <w:autoSpaceDE w:val="0"/>
        <w:autoSpaceDN w:val="0"/>
        <w:adjustRightInd w:val="0"/>
        <w:ind w:left="851"/>
        <w:rPr>
          <w:sz w:val="24"/>
          <w:szCs w:val="24"/>
        </w:rPr>
      </w:pPr>
      <w:r>
        <w:rPr>
          <w:sz w:val="24"/>
          <w:szCs w:val="24"/>
        </w:rPr>
        <w:t>Interaktionsstudier er kun udført hos voksne.</w:t>
      </w:r>
    </w:p>
    <w:p w:rsidR="00DF7D66" w:rsidRPr="00C84483" w:rsidRDefault="00DF7D66" w:rsidP="00DF7D66">
      <w:pPr>
        <w:tabs>
          <w:tab w:val="left" w:pos="851"/>
        </w:tabs>
        <w:rPr>
          <w:sz w:val="24"/>
          <w:szCs w:val="24"/>
        </w:rPr>
      </w:pPr>
    </w:p>
    <w:p w:rsidR="00DF7D66" w:rsidRPr="00C84483" w:rsidRDefault="00DF7D66" w:rsidP="00DF7D66">
      <w:pPr>
        <w:tabs>
          <w:tab w:val="left" w:pos="851"/>
        </w:tabs>
        <w:ind w:left="851" w:hanging="851"/>
        <w:rPr>
          <w:b/>
          <w:sz w:val="24"/>
          <w:szCs w:val="24"/>
        </w:rPr>
      </w:pPr>
      <w:r w:rsidRPr="00C84483">
        <w:rPr>
          <w:b/>
          <w:sz w:val="24"/>
          <w:szCs w:val="24"/>
        </w:rPr>
        <w:t>4.6</w:t>
      </w:r>
      <w:r w:rsidRPr="00C84483">
        <w:rPr>
          <w:b/>
          <w:sz w:val="24"/>
          <w:szCs w:val="24"/>
        </w:rPr>
        <w:tab/>
        <w:t>Graviditet og amning</w:t>
      </w:r>
    </w:p>
    <w:p w:rsidR="00DF7D66" w:rsidRPr="00734C26" w:rsidRDefault="00DF7D66" w:rsidP="00DF7D66">
      <w:pPr>
        <w:tabs>
          <w:tab w:val="left" w:pos="851"/>
        </w:tabs>
        <w:autoSpaceDE w:val="0"/>
        <w:autoSpaceDN w:val="0"/>
        <w:adjustRightInd w:val="0"/>
        <w:ind w:left="851"/>
        <w:rPr>
          <w:sz w:val="24"/>
          <w:szCs w:val="24"/>
        </w:rPr>
      </w:pPr>
      <w:r w:rsidRPr="00734C26">
        <w:rPr>
          <w:sz w:val="24"/>
          <w:szCs w:val="24"/>
          <w:u w:val="single"/>
        </w:rPr>
        <w:t>Graviditet</w:t>
      </w:r>
    </w:p>
    <w:p w:rsidR="00DF7D66" w:rsidRPr="00734C26" w:rsidRDefault="00DF7D66" w:rsidP="00DF7D66">
      <w:pPr>
        <w:tabs>
          <w:tab w:val="left" w:pos="851"/>
        </w:tabs>
        <w:autoSpaceDE w:val="0"/>
        <w:autoSpaceDN w:val="0"/>
        <w:adjustRightInd w:val="0"/>
        <w:ind w:left="851"/>
        <w:rPr>
          <w:sz w:val="24"/>
          <w:szCs w:val="24"/>
        </w:rPr>
      </w:pPr>
      <w:r w:rsidRPr="00734C26">
        <w:rPr>
          <w:sz w:val="24"/>
          <w:szCs w:val="24"/>
        </w:rPr>
        <w:t xml:space="preserve">Begrænsede data vedrørende gravide kvinders brug af </w:t>
      </w:r>
      <w:proofErr w:type="spellStart"/>
      <w:r w:rsidRPr="00734C26">
        <w:rPr>
          <w:sz w:val="24"/>
          <w:szCs w:val="24"/>
        </w:rPr>
        <w:t>mirtazapin</w:t>
      </w:r>
      <w:proofErr w:type="spellEnd"/>
      <w:r w:rsidRPr="00734C26">
        <w:rPr>
          <w:sz w:val="24"/>
          <w:szCs w:val="24"/>
        </w:rPr>
        <w:t xml:space="preserve"> indicerer ikke øget risiko for medfødte misdannelser. Dyreforsøg har ikke vist </w:t>
      </w:r>
      <w:proofErr w:type="spellStart"/>
      <w:r w:rsidRPr="00734C26">
        <w:rPr>
          <w:sz w:val="24"/>
          <w:szCs w:val="24"/>
        </w:rPr>
        <w:t>teratogene</w:t>
      </w:r>
      <w:proofErr w:type="spellEnd"/>
      <w:r w:rsidRPr="00734C26">
        <w:rPr>
          <w:sz w:val="24"/>
          <w:szCs w:val="24"/>
        </w:rPr>
        <w:t xml:space="preserve"> virkninger af klinisk relevans; dog er der observeret tilfælde af toksicitet for udvikling (se pkt. 5.3). </w:t>
      </w:r>
    </w:p>
    <w:p w:rsidR="00DF7D66" w:rsidRPr="00734C26" w:rsidRDefault="00DF7D66" w:rsidP="00DF7D66">
      <w:pPr>
        <w:tabs>
          <w:tab w:val="left" w:pos="851"/>
        </w:tabs>
        <w:autoSpaceDE w:val="0"/>
        <w:autoSpaceDN w:val="0"/>
        <w:adjustRightInd w:val="0"/>
        <w:ind w:left="851"/>
        <w:rPr>
          <w:sz w:val="24"/>
          <w:szCs w:val="24"/>
        </w:rPr>
      </w:pPr>
    </w:p>
    <w:p w:rsidR="00242CC8" w:rsidRDefault="00DF7D66" w:rsidP="00DF7D66">
      <w:pPr>
        <w:pStyle w:val="Sidehoved"/>
        <w:tabs>
          <w:tab w:val="left" w:pos="0"/>
          <w:tab w:val="left" w:pos="851"/>
        </w:tabs>
        <w:ind w:left="851"/>
        <w:rPr>
          <w:szCs w:val="24"/>
        </w:rPr>
      </w:pPr>
      <w:r w:rsidRPr="00734C26">
        <w:rPr>
          <w:szCs w:val="24"/>
        </w:rPr>
        <w:t xml:space="preserve">Epidemiologiske data tyder på at brug af </w:t>
      </w:r>
      <w:proofErr w:type="spellStart"/>
      <w:r w:rsidRPr="00734C26">
        <w:rPr>
          <w:szCs w:val="24"/>
        </w:rPr>
        <w:t>SSRI’er</w:t>
      </w:r>
      <w:proofErr w:type="spellEnd"/>
      <w:r w:rsidRPr="00734C26">
        <w:rPr>
          <w:szCs w:val="24"/>
        </w:rPr>
        <w:t xml:space="preserve"> under graviditet, især sidst i graviditeten, kan forøge risikoen for Persisterende </w:t>
      </w:r>
      <w:proofErr w:type="spellStart"/>
      <w:r w:rsidRPr="00734C26">
        <w:rPr>
          <w:szCs w:val="24"/>
        </w:rPr>
        <w:t>Pulmonal</w:t>
      </w:r>
      <w:proofErr w:type="spellEnd"/>
      <w:r w:rsidRPr="00734C26">
        <w:rPr>
          <w:szCs w:val="24"/>
        </w:rPr>
        <w:t xml:space="preserve"> Hypertension hos den Nyfødte (PPHN). Selvom ingen studier har undersøgt den mulige forbindelse mellem PPHN og </w:t>
      </w:r>
      <w:proofErr w:type="gramStart"/>
      <w:r w:rsidRPr="00734C26">
        <w:rPr>
          <w:szCs w:val="24"/>
        </w:rPr>
        <w:t>SNRI behandling</w:t>
      </w:r>
      <w:proofErr w:type="gramEnd"/>
      <w:r w:rsidRPr="00734C26">
        <w:rPr>
          <w:szCs w:val="24"/>
        </w:rPr>
        <w:t xml:space="preserve">, kan den potentielle risiko ikke udelukkes med </w:t>
      </w:r>
      <w:proofErr w:type="spellStart"/>
      <w:r w:rsidRPr="00734C26">
        <w:rPr>
          <w:szCs w:val="24"/>
        </w:rPr>
        <w:t>Mirtazepin</w:t>
      </w:r>
      <w:proofErr w:type="spellEnd"/>
      <w:r w:rsidRPr="00734C26">
        <w:rPr>
          <w:szCs w:val="24"/>
        </w:rPr>
        <w:t xml:space="preserve"> Orion i betragtning af den relaterede mekanisme (forøgelse af serotonin koncentrationer). </w:t>
      </w:r>
    </w:p>
    <w:p w:rsidR="00242CC8" w:rsidRDefault="00242CC8" w:rsidP="00DF7D66">
      <w:pPr>
        <w:pStyle w:val="Sidehoved"/>
        <w:tabs>
          <w:tab w:val="left" w:pos="0"/>
          <w:tab w:val="left" w:pos="851"/>
        </w:tabs>
        <w:ind w:left="851"/>
        <w:rPr>
          <w:szCs w:val="24"/>
        </w:rPr>
      </w:pPr>
    </w:p>
    <w:p w:rsidR="00DF7D66" w:rsidRPr="00734C26" w:rsidRDefault="00DF7D66" w:rsidP="00DF7D66">
      <w:pPr>
        <w:pStyle w:val="Sidehoved"/>
        <w:tabs>
          <w:tab w:val="left" w:pos="0"/>
          <w:tab w:val="left" w:pos="851"/>
        </w:tabs>
        <w:ind w:left="851"/>
        <w:rPr>
          <w:szCs w:val="24"/>
        </w:rPr>
      </w:pPr>
      <w:r w:rsidRPr="00734C26">
        <w:rPr>
          <w:szCs w:val="24"/>
        </w:rPr>
        <w:t xml:space="preserve">Forsigtighed bør udvises ved ordination til gravide kvinder. Hvis </w:t>
      </w:r>
      <w:proofErr w:type="spellStart"/>
      <w:r w:rsidRPr="00734C26">
        <w:rPr>
          <w:szCs w:val="24"/>
        </w:rPr>
        <w:t>mirtazepin</w:t>
      </w:r>
      <w:proofErr w:type="spellEnd"/>
      <w:r w:rsidRPr="00734C26">
        <w:rPr>
          <w:szCs w:val="24"/>
        </w:rPr>
        <w:t xml:space="preserve"> bruges indtil, eller til kort før fødslen, anbefales </w:t>
      </w:r>
      <w:proofErr w:type="spellStart"/>
      <w:r w:rsidRPr="00734C26">
        <w:rPr>
          <w:szCs w:val="24"/>
        </w:rPr>
        <w:t>postnatal</w:t>
      </w:r>
      <w:proofErr w:type="spellEnd"/>
      <w:r w:rsidRPr="00734C26">
        <w:rPr>
          <w:szCs w:val="24"/>
        </w:rPr>
        <w:t xml:space="preserve"> monitorering af den nyfødte, med henblik på mulige abstinenssymptomer.</w:t>
      </w:r>
    </w:p>
    <w:p w:rsidR="00DF7D66" w:rsidRPr="00734C26" w:rsidRDefault="00DF7D66" w:rsidP="00DF7D66">
      <w:pPr>
        <w:tabs>
          <w:tab w:val="left" w:pos="851"/>
        </w:tabs>
        <w:autoSpaceDE w:val="0"/>
        <w:autoSpaceDN w:val="0"/>
        <w:adjustRightInd w:val="0"/>
        <w:ind w:left="851"/>
        <w:rPr>
          <w:sz w:val="24"/>
          <w:szCs w:val="24"/>
        </w:rPr>
      </w:pPr>
    </w:p>
    <w:p w:rsidR="00DF7D66" w:rsidRPr="00734C26" w:rsidRDefault="00DF7D66" w:rsidP="00DF7D66">
      <w:pPr>
        <w:tabs>
          <w:tab w:val="left" w:pos="851"/>
        </w:tabs>
        <w:autoSpaceDE w:val="0"/>
        <w:autoSpaceDN w:val="0"/>
        <w:adjustRightInd w:val="0"/>
        <w:ind w:left="851"/>
        <w:rPr>
          <w:sz w:val="24"/>
          <w:szCs w:val="24"/>
          <w:u w:val="single"/>
        </w:rPr>
      </w:pPr>
      <w:r w:rsidRPr="00734C26">
        <w:rPr>
          <w:sz w:val="24"/>
          <w:szCs w:val="24"/>
          <w:u w:val="single"/>
        </w:rPr>
        <w:t xml:space="preserve">Amning </w:t>
      </w:r>
    </w:p>
    <w:p w:rsidR="00DF7D66" w:rsidRPr="00734C26" w:rsidRDefault="00DF7D66" w:rsidP="00DF7D66">
      <w:pPr>
        <w:tabs>
          <w:tab w:val="left" w:pos="851"/>
        </w:tabs>
        <w:autoSpaceDE w:val="0"/>
        <w:autoSpaceDN w:val="0"/>
        <w:adjustRightInd w:val="0"/>
        <w:ind w:left="851"/>
        <w:rPr>
          <w:sz w:val="24"/>
          <w:szCs w:val="24"/>
        </w:rPr>
      </w:pPr>
      <w:r w:rsidRPr="00734C26">
        <w:rPr>
          <w:sz w:val="24"/>
          <w:szCs w:val="24"/>
        </w:rPr>
        <w:t xml:space="preserve">Dyrestudier og begrænset erfaring fra kvinder har vist, at </w:t>
      </w:r>
      <w:proofErr w:type="spellStart"/>
      <w:r w:rsidRPr="00734C26">
        <w:rPr>
          <w:sz w:val="24"/>
          <w:szCs w:val="24"/>
        </w:rPr>
        <w:t>mirtazapin</w:t>
      </w:r>
      <w:proofErr w:type="spellEnd"/>
      <w:r w:rsidRPr="00734C26">
        <w:rPr>
          <w:sz w:val="24"/>
          <w:szCs w:val="24"/>
        </w:rPr>
        <w:t xml:space="preserve"> kun udskilles i meget små mængder i modermælk. En beslutning om, hvorvidt amningen skal fortsætte/stoppe eller om behandlingen med </w:t>
      </w:r>
      <w:proofErr w:type="spellStart"/>
      <w:r w:rsidRPr="00734C26">
        <w:rPr>
          <w:sz w:val="24"/>
          <w:szCs w:val="24"/>
        </w:rPr>
        <w:t>mirtazapin</w:t>
      </w:r>
      <w:proofErr w:type="spellEnd"/>
      <w:r w:rsidRPr="00734C26">
        <w:rPr>
          <w:sz w:val="24"/>
          <w:szCs w:val="24"/>
        </w:rPr>
        <w:t xml:space="preserve"> skal fortsætte/stoppe, bør være baseret på afvejning af fordelene for barnet ved amning og fordelene af </w:t>
      </w:r>
      <w:proofErr w:type="spellStart"/>
      <w:r w:rsidRPr="00734C26">
        <w:rPr>
          <w:sz w:val="24"/>
          <w:szCs w:val="24"/>
        </w:rPr>
        <w:t>mirtazapinbehandlingen</w:t>
      </w:r>
      <w:proofErr w:type="spellEnd"/>
      <w:r w:rsidRPr="00734C26">
        <w:rPr>
          <w:sz w:val="24"/>
          <w:szCs w:val="24"/>
        </w:rPr>
        <w:t xml:space="preserve"> for kvinden.</w:t>
      </w:r>
    </w:p>
    <w:p w:rsidR="00DF7D66" w:rsidRPr="00734C26" w:rsidRDefault="00DF7D66" w:rsidP="00DF7D66">
      <w:pPr>
        <w:tabs>
          <w:tab w:val="left" w:pos="851"/>
        </w:tabs>
        <w:autoSpaceDE w:val="0"/>
        <w:autoSpaceDN w:val="0"/>
        <w:adjustRightInd w:val="0"/>
        <w:ind w:left="851"/>
        <w:rPr>
          <w:sz w:val="24"/>
          <w:szCs w:val="24"/>
        </w:rPr>
      </w:pPr>
    </w:p>
    <w:p w:rsidR="00DF7D66" w:rsidRPr="00734C26" w:rsidRDefault="00DF7D66" w:rsidP="00DF7D66">
      <w:pPr>
        <w:tabs>
          <w:tab w:val="left" w:pos="851"/>
        </w:tabs>
        <w:autoSpaceDE w:val="0"/>
        <w:autoSpaceDN w:val="0"/>
        <w:adjustRightInd w:val="0"/>
        <w:ind w:left="851"/>
        <w:rPr>
          <w:sz w:val="24"/>
          <w:szCs w:val="24"/>
          <w:u w:val="single"/>
        </w:rPr>
      </w:pPr>
      <w:r w:rsidRPr="00734C26">
        <w:rPr>
          <w:sz w:val="24"/>
          <w:szCs w:val="24"/>
          <w:u w:val="single"/>
        </w:rPr>
        <w:t>Fertilitet</w:t>
      </w:r>
    </w:p>
    <w:p w:rsidR="00DF7D66" w:rsidRPr="00734C26" w:rsidRDefault="00DF7D66" w:rsidP="00DF7D66">
      <w:pPr>
        <w:tabs>
          <w:tab w:val="left" w:pos="851"/>
        </w:tabs>
        <w:autoSpaceDE w:val="0"/>
        <w:autoSpaceDN w:val="0"/>
        <w:adjustRightInd w:val="0"/>
        <w:ind w:left="851"/>
        <w:rPr>
          <w:sz w:val="24"/>
          <w:szCs w:val="24"/>
        </w:rPr>
      </w:pPr>
      <w:r w:rsidRPr="00734C26">
        <w:rPr>
          <w:sz w:val="24"/>
          <w:szCs w:val="24"/>
        </w:rPr>
        <w:t>Prækliniske studier af reproduktionstoksicitet hos dyr viser ingen speciel risiko på fertiliteten.</w:t>
      </w:r>
    </w:p>
    <w:p w:rsidR="00DF7D66" w:rsidRPr="00C84483" w:rsidRDefault="00DF7D66" w:rsidP="00DF7D66">
      <w:pPr>
        <w:tabs>
          <w:tab w:val="left" w:pos="851"/>
        </w:tabs>
        <w:rPr>
          <w:sz w:val="24"/>
          <w:szCs w:val="24"/>
        </w:rPr>
      </w:pPr>
    </w:p>
    <w:p w:rsidR="00DF7D66" w:rsidRPr="00C84483" w:rsidRDefault="00DF7D66" w:rsidP="00DF7D66">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DF7D66" w:rsidRPr="00C761F9" w:rsidRDefault="00DF7D66" w:rsidP="00DF7D66">
      <w:pPr>
        <w:tabs>
          <w:tab w:val="left" w:pos="851"/>
        </w:tabs>
        <w:ind w:left="851"/>
        <w:rPr>
          <w:sz w:val="24"/>
          <w:szCs w:val="24"/>
        </w:rPr>
      </w:pPr>
      <w:r w:rsidRPr="00C761F9">
        <w:rPr>
          <w:sz w:val="24"/>
          <w:szCs w:val="24"/>
        </w:rPr>
        <w:t>Ikke mærkning.</w:t>
      </w:r>
    </w:p>
    <w:p w:rsidR="00DF7D66" w:rsidRPr="00C84483" w:rsidRDefault="00DF7D66" w:rsidP="00DF7D66">
      <w:pPr>
        <w:tabs>
          <w:tab w:val="left" w:pos="851"/>
        </w:tabs>
        <w:ind w:left="851"/>
        <w:rPr>
          <w:sz w:val="24"/>
          <w:szCs w:val="24"/>
        </w:rPr>
      </w:pPr>
      <w:proofErr w:type="spellStart"/>
      <w:r w:rsidRPr="00C761F9">
        <w:rPr>
          <w:sz w:val="24"/>
          <w:szCs w:val="24"/>
        </w:rPr>
        <w:t>Mirtazapin</w:t>
      </w:r>
      <w:proofErr w:type="spellEnd"/>
      <w:r w:rsidRPr="00C761F9">
        <w:rPr>
          <w:sz w:val="24"/>
          <w:szCs w:val="24"/>
        </w:rPr>
        <w:t xml:space="preserve"> påvirker i mindre eller mo</w:t>
      </w:r>
      <w:r>
        <w:rPr>
          <w:sz w:val="24"/>
          <w:szCs w:val="24"/>
        </w:rPr>
        <w:t>derat grad evnen til at føre motorkøretøj</w:t>
      </w:r>
      <w:r w:rsidRPr="00C761F9">
        <w:rPr>
          <w:sz w:val="24"/>
          <w:szCs w:val="24"/>
        </w:rPr>
        <w:t xml:space="preserve"> og betjene maskiner. </w:t>
      </w:r>
      <w:proofErr w:type="spellStart"/>
      <w:r w:rsidRPr="00C761F9">
        <w:rPr>
          <w:sz w:val="24"/>
          <w:szCs w:val="24"/>
        </w:rPr>
        <w:t>Mirtazapin</w:t>
      </w:r>
      <w:proofErr w:type="spellEnd"/>
      <w:r w:rsidRPr="00C761F9">
        <w:rPr>
          <w:sz w:val="24"/>
          <w:szCs w:val="24"/>
        </w:rPr>
        <w:t xml:space="preserve"> kan svække koncentrationsevnen og årvågenheden (især i begyndelsen af behandlingen). Patienter, som er påvirkede, bør på ethvert tidspunkt undgå at udføre potentielt farlige opgaver, som kræver årvågenhed og stor koncentration, såsom at føre motorkøretøj eller betjene maskiner.</w:t>
      </w:r>
    </w:p>
    <w:p w:rsidR="00DF7D66" w:rsidRPr="00C84483" w:rsidRDefault="00DF7D66" w:rsidP="00DF7D66">
      <w:pPr>
        <w:tabs>
          <w:tab w:val="left" w:pos="851"/>
        </w:tabs>
        <w:rPr>
          <w:sz w:val="24"/>
          <w:szCs w:val="24"/>
        </w:rPr>
      </w:pPr>
    </w:p>
    <w:p w:rsidR="00DF7D66" w:rsidRPr="00C84483" w:rsidRDefault="00DF7D66" w:rsidP="00DF7D66">
      <w:pPr>
        <w:tabs>
          <w:tab w:val="left" w:pos="851"/>
        </w:tabs>
        <w:ind w:left="851" w:hanging="851"/>
        <w:rPr>
          <w:b/>
          <w:sz w:val="24"/>
          <w:szCs w:val="24"/>
        </w:rPr>
      </w:pPr>
      <w:r w:rsidRPr="00C84483">
        <w:rPr>
          <w:b/>
          <w:sz w:val="24"/>
          <w:szCs w:val="24"/>
        </w:rPr>
        <w:t>4.8</w:t>
      </w:r>
      <w:r w:rsidRPr="00C84483">
        <w:rPr>
          <w:b/>
          <w:sz w:val="24"/>
          <w:szCs w:val="24"/>
        </w:rPr>
        <w:tab/>
        <w:t>Bivirkninger</w:t>
      </w:r>
    </w:p>
    <w:p w:rsidR="006A4A22" w:rsidRPr="00734C26" w:rsidRDefault="006A4A22" w:rsidP="006A4A22">
      <w:pPr>
        <w:tabs>
          <w:tab w:val="left" w:pos="851"/>
        </w:tabs>
        <w:autoSpaceDE w:val="0"/>
        <w:autoSpaceDN w:val="0"/>
        <w:adjustRightInd w:val="0"/>
        <w:ind w:left="851"/>
        <w:rPr>
          <w:sz w:val="24"/>
          <w:szCs w:val="22"/>
        </w:rPr>
      </w:pPr>
      <w:r w:rsidRPr="00734C26">
        <w:rPr>
          <w:sz w:val="24"/>
          <w:szCs w:val="22"/>
        </w:rPr>
        <w:t xml:space="preserve">Deprimerede patienter udviser en række symptomer, som forbindes med selve sygdommen. Det er derfor undertiden vanskeligt at skelne, hvilke symptomer der er en følge af selve sygdommen, og hvilke der er en følge af behandling med </w:t>
      </w:r>
      <w:proofErr w:type="spellStart"/>
      <w:r w:rsidRPr="00734C26">
        <w:rPr>
          <w:sz w:val="24"/>
          <w:szCs w:val="22"/>
        </w:rPr>
        <w:t>mirtazapin</w:t>
      </w:r>
      <w:proofErr w:type="spellEnd"/>
      <w:r w:rsidRPr="00734C26">
        <w:rPr>
          <w:sz w:val="24"/>
          <w:szCs w:val="22"/>
        </w:rPr>
        <w:t>.</w:t>
      </w:r>
    </w:p>
    <w:p w:rsidR="006A4A22" w:rsidRDefault="006A4A22" w:rsidP="006A4A22">
      <w:pPr>
        <w:tabs>
          <w:tab w:val="left" w:pos="851"/>
        </w:tabs>
        <w:autoSpaceDE w:val="0"/>
        <w:autoSpaceDN w:val="0"/>
        <w:adjustRightInd w:val="0"/>
        <w:ind w:left="851"/>
        <w:rPr>
          <w:sz w:val="24"/>
          <w:szCs w:val="22"/>
          <w:u w:val="single"/>
        </w:rPr>
      </w:pPr>
    </w:p>
    <w:p w:rsidR="006A4A22" w:rsidRPr="00242CC8" w:rsidRDefault="006A4A22" w:rsidP="006A4A22">
      <w:pPr>
        <w:tabs>
          <w:tab w:val="left" w:pos="851"/>
        </w:tabs>
        <w:autoSpaceDE w:val="0"/>
        <w:autoSpaceDN w:val="0"/>
        <w:adjustRightInd w:val="0"/>
        <w:ind w:left="851"/>
        <w:rPr>
          <w:sz w:val="24"/>
          <w:szCs w:val="22"/>
          <w:u w:val="single"/>
        </w:rPr>
      </w:pPr>
      <w:r w:rsidRPr="00242CC8">
        <w:rPr>
          <w:sz w:val="24"/>
          <w:szCs w:val="22"/>
          <w:u w:val="single"/>
        </w:rPr>
        <w:t>Resumé af sikkerhedsprofilen</w:t>
      </w:r>
    </w:p>
    <w:p w:rsidR="006A4A22" w:rsidRDefault="006A4A22" w:rsidP="006A4A22">
      <w:pPr>
        <w:tabs>
          <w:tab w:val="left" w:pos="851"/>
        </w:tabs>
        <w:autoSpaceDE w:val="0"/>
        <w:autoSpaceDN w:val="0"/>
        <w:adjustRightInd w:val="0"/>
        <w:ind w:left="851"/>
        <w:rPr>
          <w:sz w:val="24"/>
          <w:szCs w:val="22"/>
        </w:rPr>
      </w:pPr>
      <w:r w:rsidRPr="00734C26">
        <w:rPr>
          <w:sz w:val="24"/>
          <w:szCs w:val="22"/>
        </w:rPr>
        <w:t xml:space="preserve">De mest almindeligt rapporterede bivirkninger, der forekom hos mere end 5 % af de patienter, der blev behandlet med </w:t>
      </w:r>
      <w:proofErr w:type="spellStart"/>
      <w:r w:rsidRPr="00734C26">
        <w:rPr>
          <w:sz w:val="24"/>
          <w:szCs w:val="22"/>
        </w:rPr>
        <w:t>mirtazapin</w:t>
      </w:r>
      <w:proofErr w:type="spellEnd"/>
      <w:r w:rsidRPr="00734C26">
        <w:rPr>
          <w:sz w:val="24"/>
          <w:szCs w:val="22"/>
        </w:rPr>
        <w:t xml:space="preserve"> i randomiserede, placebo-kontrollerede </w:t>
      </w:r>
      <w:r w:rsidRPr="00734C26">
        <w:rPr>
          <w:sz w:val="24"/>
          <w:szCs w:val="22"/>
        </w:rPr>
        <w:lastRenderedPageBreak/>
        <w:t>studier (se herunder), er døsighed, sedation, mundtørhed, vægtøgning, øget appetit, svimmelhed og træthed.</w:t>
      </w:r>
    </w:p>
    <w:p w:rsidR="006A4A22" w:rsidRPr="00734C26" w:rsidRDefault="006A4A22" w:rsidP="006A4A22">
      <w:pPr>
        <w:tabs>
          <w:tab w:val="left" w:pos="851"/>
        </w:tabs>
        <w:autoSpaceDE w:val="0"/>
        <w:autoSpaceDN w:val="0"/>
        <w:adjustRightInd w:val="0"/>
        <w:ind w:left="851"/>
        <w:rPr>
          <w:sz w:val="24"/>
          <w:szCs w:val="22"/>
        </w:rPr>
      </w:pPr>
    </w:p>
    <w:p w:rsidR="006A4A22" w:rsidRDefault="006A4A22" w:rsidP="006A4A22">
      <w:pPr>
        <w:tabs>
          <w:tab w:val="left" w:pos="851"/>
        </w:tabs>
        <w:autoSpaceDE w:val="0"/>
        <w:autoSpaceDN w:val="0"/>
        <w:adjustRightInd w:val="0"/>
        <w:ind w:left="851"/>
        <w:rPr>
          <w:sz w:val="24"/>
          <w:szCs w:val="22"/>
        </w:rPr>
      </w:pPr>
      <w:r w:rsidRPr="00242CC8">
        <w:rPr>
          <w:sz w:val="24"/>
          <w:szCs w:val="22"/>
        </w:rPr>
        <w:t xml:space="preserve">Svære </w:t>
      </w:r>
      <w:proofErr w:type="spellStart"/>
      <w:r w:rsidRPr="00242CC8">
        <w:rPr>
          <w:sz w:val="24"/>
          <w:szCs w:val="22"/>
        </w:rPr>
        <w:t>kutane</w:t>
      </w:r>
      <w:proofErr w:type="spellEnd"/>
      <w:r w:rsidRPr="00242CC8">
        <w:rPr>
          <w:sz w:val="24"/>
          <w:szCs w:val="22"/>
        </w:rPr>
        <w:t xml:space="preserve"> bivirkninger (</w:t>
      </w:r>
      <w:proofErr w:type="spellStart"/>
      <w:r w:rsidRPr="00242CC8">
        <w:rPr>
          <w:sz w:val="24"/>
          <w:szCs w:val="22"/>
        </w:rPr>
        <w:t>SCARs</w:t>
      </w:r>
      <w:proofErr w:type="spellEnd"/>
      <w:r w:rsidRPr="00242CC8">
        <w:rPr>
          <w:sz w:val="24"/>
          <w:szCs w:val="22"/>
        </w:rPr>
        <w:t xml:space="preserve">), herunder Stevens-Johnsons syndrom (SJS), toksisk </w:t>
      </w:r>
      <w:proofErr w:type="spellStart"/>
      <w:r w:rsidRPr="00242CC8">
        <w:rPr>
          <w:sz w:val="24"/>
          <w:szCs w:val="22"/>
        </w:rPr>
        <w:t>epidermal</w:t>
      </w:r>
      <w:proofErr w:type="spellEnd"/>
      <w:r w:rsidRPr="00242CC8">
        <w:rPr>
          <w:sz w:val="24"/>
          <w:szCs w:val="22"/>
        </w:rPr>
        <w:t xml:space="preserve"> </w:t>
      </w:r>
      <w:proofErr w:type="spellStart"/>
      <w:r w:rsidRPr="00242CC8">
        <w:rPr>
          <w:sz w:val="24"/>
          <w:szCs w:val="22"/>
        </w:rPr>
        <w:t>nekrolyse</w:t>
      </w:r>
      <w:proofErr w:type="spellEnd"/>
      <w:r w:rsidRPr="00242CC8">
        <w:rPr>
          <w:sz w:val="24"/>
          <w:szCs w:val="22"/>
        </w:rPr>
        <w:t xml:space="preserve"> (TEN), lægemiddelreaktion med </w:t>
      </w:r>
      <w:proofErr w:type="spellStart"/>
      <w:r w:rsidRPr="00242CC8">
        <w:rPr>
          <w:sz w:val="24"/>
          <w:szCs w:val="22"/>
        </w:rPr>
        <w:t>eosinofili</w:t>
      </w:r>
      <w:proofErr w:type="spellEnd"/>
      <w:r w:rsidRPr="00242CC8">
        <w:rPr>
          <w:sz w:val="24"/>
          <w:szCs w:val="22"/>
        </w:rPr>
        <w:t xml:space="preserve"> og systemiske symptomer (DRESS), </w:t>
      </w:r>
      <w:proofErr w:type="spellStart"/>
      <w:r w:rsidRPr="00242CC8">
        <w:rPr>
          <w:sz w:val="24"/>
          <w:szCs w:val="22"/>
        </w:rPr>
        <w:t>bulløs</w:t>
      </w:r>
      <w:proofErr w:type="spellEnd"/>
      <w:r w:rsidRPr="00242CC8">
        <w:rPr>
          <w:sz w:val="24"/>
          <w:szCs w:val="22"/>
        </w:rPr>
        <w:t xml:space="preserve"> </w:t>
      </w:r>
      <w:proofErr w:type="spellStart"/>
      <w:r w:rsidRPr="00242CC8">
        <w:rPr>
          <w:sz w:val="24"/>
          <w:szCs w:val="22"/>
        </w:rPr>
        <w:t>dermatitis</w:t>
      </w:r>
      <w:proofErr w:type="spellEnd"/>
      <w:r w:rsidRPr="00242CC8">
        <w:rPr>
          <w:sz w:val="24"/>
          <w:szCs w:val="22"/>
        </w:rPr>
        <w:t xml:space="preserve"> og </w:t>
      </w:r>
      <w:proofErr w:type="spellStart"/>
      <w:r w:rsidRPr="00242CC8">
        <w:rPr>
          <w:sz w:val="24"/>
          <w:szCs w:val="22"/>
        </w:rPr>
        <w:t>erythema</w:t>
      </w:r>
      <w:proofErr w:type="spellEnd"/>
      <w:r w:rsidRPr="00242CC8">
        <w:rPr>
          <w:sz w:val="24"/>
          <w:szCs w:val="22"/>
        </w:rPr>
        <w:t xml:space="preserve"> multiforme er rapporteret i forbindelse med </w:t>
      </w:r>
      <w:proofErr w:type="spellStart"/>
      <w:r w:rsidRPr="00242CC8">
        <w:rPr>
          <w:sz w:val="24"/>
          <w:szCs w:val="22"/>
        </w:rPr>
        <w:t>mirtazapin</w:t>
      </w:r>
      <w:proofErr w:type="spellEnd"/>
      <w:r w:rsidRPr="00242CC8">
        <w:rPr>
          <w:sz w:val="24"/>
          <w:szCs w:val="22"/>
        </w:rPr>
        <w:noBreakHyphen/>
        <w:t>behandling (se pkt. 4.4).</w:t>
      </w:r>
    </w:p>
    <w:p w:rsidR="006A4A22" w:rsidRPr="00734C26" w:rsidRDefault="006A4A22" w:rsidP="006A4A22">
      <w:pPr>
        <w:tabs>
          <w:tab w:val="left" w:pos="851"/>
        </w:tabs>
        <w:autoSpaceDE w:val="0"/>
        <w:autoSpaceDN w:val="0"/>
        <w:adjustRightInd w:val="0"/>
        <w:ind w:left="851"/>
        <w:rPr>
          <w:sz w:val="24"/>
          <w:szCs w:val="22"/>
        </w:rPr>
      </w:pPr>
    </w:p>
    <w:p w:rsidR="006A4A22" w:rsidRPr="00C50302" w:rsidRDefault="006A4A22" w:rsidP="006A4A22">
      <w:pPr>
        <w:tabs>
          <w:tab w:val="left" w:pos="851"/>
        </w:tabs>
        <w:autoSpaceDE w:val="0"/>
        <w:autoSpaceDN w:val="0"/>
        <w:adjustRightInd w:val="0"/>
        <w:ind w:left="851"/>
        <w:rPr>
          <w:sz w:val="24"/>
          <w:szCs w:val="22"/>
          <w:u w:val="single"/>
        </w:rPr>
      </w:pPr>
      <w:r w:rsidRPr="00C50302">
        <w:rPr>
          <w:sz w:val="24"/>
          <w:szCs w:val="22"/>
          <w:u w:val="single"/>
        </w:rPr>
        <w:t xml:space="preserve">Tabel over </w:t>
      </w:r>
      <w:r w:rsidRPr="00791E22">
        <w:rPr>
          <w:sz w:val="24"/>
          <w:szCs w:val="22"/>
          <w:u w:val="single"/>
        </w:rPr>
        <w:t>bivirkninger</w:t>
      </w:r>
    </w:p>
    <w:p w:rsidR="006A4A22" w:rsidRPr="00734C26" w:rsidRDefault="006A4A22" w:rsidP="006A4A22">
      <w:pPr>
        <w:tabs>
          <w:tab w:val="left" w:pos="851"/>
        </w:tabs>
        <w:autoSpaceDE w:val="0"/>
        <w:autoSpaceDN w:val="0"/>
        <w:adjustRightInd w:val="0"/>
        <w:ind w:left="851"/>
        <w:rPr>
          <w:sz w:val="24"/>
          <w:szCs w:val="22"/>
        </w:rPr>
      </w:pPr>
      <w:r w:rsidRPr="00734C26">
        <w:rPr>
          <w:sz w:val="24"/>
          <w:szCs w:val="22"/>
        </w:rPr>
        <w:t xml:space="preserve">Alle randomiserede placebo-kontrollerede studier (inklusive andre indikationer end major depression) er blevet vurderet mht. bivirkninger ved </w:t>
      </w:r>
      <w:proofErr w:type="spellStart"/>
      <w:r w:rsidRPr="00734C26">
        <w:rPr>
          <w:sz w:val="24"/>
          <w:szCs w:val="22"/>
        </w:rPr>
        <w:t>mirtazapin</w:t>
      </w:r>
      <w:proofErr w:type="spellEnd"/>
      <w:r w:rsidRPr="00734C26">
        <w:rPr>
          <w:sz w:val="24"/>
          <w:szCs w:val="22"/>
        </w:rPr>
        <w:t>. Metaanalysen omfattede 20</w:t>
      </w:r>
      <w:r>
        <w:rPr>
          <w:sz w:val="24"/>
          <w:szCs w:val="22"/>
        </w:rPr>
        <w:t> </w:t>
      </w:r>
      <w:r w:rsidRPr="00734C26">
        <w:rPr>
          <w:sz w:val="24"/>
          <w:szCs w:val="22"/>
        </w:rPr>
        <w:t>studier med en planlagt behandlingsvarighed på op til 12</w:t>
      </w:r>
      <w:r>
        <w:rPr>
          <w:sz w:val="24"/>
          <w:szCs w:val="22"/>
        </w:rPr>
        <w:t> </w:t>
      </w:r>
      <w:r w:rsidRPr="00734C26">
        <w:rPr>
          <w:sz w:val="24"/>
          <w:szCs w:val="22"/>
        </w:rPr>
        <w:t>uger med 1501</w:t>
      </w:r>
      <w:r>
        <w:rPr>
          <w:sz w:val="24"/>
          <w:szCs w:val="22"/>
        </w:rPr>
        <w:t> </w:t>
      </w:r>
      <w:r w:rsidRPr="00734C26">
        <w:rPr>
          <w:sz w:val="24"/>
          <w:szCs w:val="22"/>
        </w:rPr>
        <w:t>patienter (134</w:t>
      </w:r>
      <w:r>
        <w:rPr>
          <w:sz w:val="24"/>
          <w:szCs w:val="22"/>
        </w:rPr>
        <w:t> </w:t>
      </w:r>
      <w:r w:rsidRPr="00734C26">
        <w:rPr>
          <w:sz w:val="24"/>
          <w:szCs w:val="22"/>
        </w:rPr>
        <w:t xml:space="preserve">person-år), som fik </w:t>
      </w:r>
      <w:proofErr w:type="spellStart"/>
      <w:r w:rsidRPr="00734C26">
        <w:rPr>
          <w:sz w:val="24"/>
          <w:szCs w:val="22"/>
        </w:rPr>
        <w:t>mirtazapindoser</w:t>
      </w:r>
      <w:proofErr w:type="spellEnd"/>
      <w:r w:rsidRPr="00734C26">
        <w:rPr>
          <w:sz w:val="24"/>
          <w:szCs w:val="22"/>
        </w:rPr>
        <w:t xml:space="preserve"> op til 60</w:t>
      </w:r>
      <w:r>
        <w:rPr>
          <w:sz w:val="24"/>
          <w:szCs w:val="22"/>
        </w:rPr>
        <w:t> </w:t>
      </w:r>
      <w:r w:rsidRPr="00734C26">
        <w:rPr>
          <w:sz w:val="24"/>
          <w:szCs w:val="22"/>
        </w:rPr>
        <w:t>mg, og 850</w:t>
      </w:r>
      <w:r>
        <w:rPr>
          <w:sz w:val="24"/>
          <w:szCs w:val="22"/>
        </w:rPr>
        <w:t> </w:t>
      </w:r>
      <w:r w:rsidRPr="00734C26">
        <w:rPr>
          <w:sz w:val="24"/>
          <w:szCs w:val="22"/>
        </w:rPr>
        <w:t>patienter (79</w:t>
      </w:r>
      <w:r>
        <w:rPr>
          <w:sz w:val="24"/>
          <w:szCs w:val="22"/>
        </w:rPr>
        <w:t> </w:t>
      </w:r>
      <w:r w:rsidRPr="00734C26">
        <w:rPr>
          <w:sz w:val="24"/>
          <w:szCs w:val="22"/>
        </w:rPr>
        <w:t>person-år), der fik placebo. Forlængede faser i disse studier er udelukket for at bevare sammenligneligheden med placebo-behandlingen.</w:t>
      </w:r>
    </w:p>
    <w:p w:rsidR="006A4A22" w:rsidRPr="00734C26" w:rsidRDefault="006A4A22" w:rsidP="006A4A22">
      <w:pPr>
        <w:tabs>
          <w:tab w:val="left" w:pos="851"/>
        </w:tabs>
        <w:autoSpaceDE w:val="0"/>
        <w:autoSpaceDN w:val="0"/>
        <w:adjustRightInd w:val="0"/>
        <w:ind w:left="851"/>
        <w:rPr>
          <w:sz w:val="24"/>
          <w:szCs w:val="22"/>
        </w:rPr>
      </w:pPr>
    </w:p>
    <w:p w:rsidR="006A4A22" w:rsidRPr="00734C26" w:rsidRDefault="006A4A22" w:rsidP="006A4A22">
      <w:pPr>
        <w:tabs>
          <w:tab w:val="left" w:pos="851"/>
        </w:tabs>
        <w:autoSpaceDE w:val="0"/>
        <w:autoSpaceDN w:val="0"/>
        <w:adjustRightInd w:val="0"/>
        <w:ind w:left="851"/>
        <w:rPr>
          <w:sz w:val="24"/>
          <w:szCs w:val="22"/>
        </w:rPr>
      </w:pPr>
      <w:r w:rsidRPr="00734C26">
        <w:rPr>
          <w:sz w:val="24"/>
          <w:szCs w:val="22"/>
        </w:rPr>
        <w:t xml:space="preserve">Tabel 1 viser den kategoriserede forekomst af bivirkninger, der forekom statistisk signifikant hyppigere i de kliniske studier under behandlingen med </w:t>
      </w:r>
      <w:proofErr w:type="spellStart"/>
      <w:r w:rsidRPr="00734C26">
        <w:rPr>
          <w:sz w:val="24"/>
          <w:szCs w:val="22"/>
        </w:rPr>
        <w:t>mirtazapin</w:t>
      </w:r>
      <w:proofErr w:type="spellEnd"/>
      <w:r w:rsidRPr="00734C26">
        <w:rPr>
          <w:sz w:val="24"/>
          <w:szCs w:val="22"/>
        </w:rPr>
        <w:t xml:space="preserve">, sammenlignet med placebo, med tilføjelse af bivirkninger fra spontan rapportering. Hyppigheden af bivirkningerne fra spontan rapportering er baseret på rapporteringshyppigheden for disse hændelser i de kliniske studier. Hyppigheden af bivirkninger fra spontan rapportering, for hvilke der ikke blev observeret tilfælde i de randomiserede placebo-kontrollerede patientstudier med </w:t>
      </w:r>
      <w:proofErr w:type="spellStart"/>
      <w:r w:rsidRPr="00734C26">
        <w:rPr>
          <w:sz w:val="24"/>
          <w:szCs w:val="22"/>
        </w:rPr>
        <w:t>mirtazapin</w:t>
      </w:r>
      <w:proofErr w:type="spellEnd"/>
      <w:r w:rsidRPr="00734C26">
        <w:rPr>
          <w:sz w:val="24"/>
          <w:szCs w:val="22"/>
        </w:rPr>
        <w:t>, er klassificeret som ‘ikke kendt’.</w:t>
      </w:r>
    </w:p>
    <w:p w:rsidR="006A4A22" w:rsidRPr="00C761F9" w:rsidRDefault="006A4A22" w:rsidP="006A4A22">
      <w:pPr>
        <w:tabs>
          <w:tab w:val="left" w:pos="851"/>
        </w:tabs>
        <w:ind w:left="851"/>
        <w:rPr>
          <w:b/>
          <w:sz w:val="24"/>
          <w:szCs w:val="24"/>
        </w:rPr>
      </w:pPr>
    </w:p>
    <w:p w:rsidR="006A4A22" w:rsidRDefault="006A4A22" w:rsidP="006A4A22">
      <w:pPr>
        <w:tabs>
          <w:tab w:val="left" w:pos="851"/>
        </w:tabs>
        <w:ind w:left="851"/>
        <w:rPr>
          <w:b/>
          <w:sz w:val="24"/>
          <w:szCs w:val="24"/>
        </w:rPr>
      </w:pPr>
      <w:r>
        <w:rPr>
          <w:b/>
          <w:sz w:val="24"/>
          <w:szCs w:val="24"/>
        </w:rPr>
        <w:t xml:space="preserve">Tabel 1 Bivirkninger ved </w:t>
      </w:r>
      <w:proofErr w:type="spellStart"/>
      <w:r>
        <w:rPr>
          <w:b/>
          <w:sz w:val="24"/>
          <w:szCs w:val="24"/>
        </w:rPr>
        <w:t>mirtazapin</w:t>
      </w:r>
      <w:proofErr w:type="spellEnd"/>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1"/>
        <w:gridCol w:w="1485"/>
        <w:gridCol w:w="1559"/>
        <w:gridCol w:w="1701"/>
        <w:gridCol w:w="1559"/>
        <w:gridCol w:w="2275"/>
      </w:tblGrid>
      <w:tr w:rsidR="006A4A22" w:rsidTr="00C50302">
        <w:trPr>
          <w:trHeight w:val="397"/>
          <w:tblHeader/>
        </w:trPr>
        <w:tc>
          <w:tcPr>
            <w:tcW w:w="1771" w:type="dxa"/>
            <w:tcBorders>
              <w:top w:val="single" w:sz="4" w:space="0" w:color="auto"/>
              <w:left w:val="single" w:sz="4" w:space="0" w:color="auto"/>
              <w:bottom w:val="single" w:sz="4" w:space="0" w:color="auto"/>
              <w:right w:val="single" w:sz="4" w:space="0" w:color="auto"/>
            </w:tcBorders>
            <w:hideMark/>
          </w:tcPr>
          <w:p w:rsidR="006A4A22" w:rsidRDefault="006A4A22" w:rsidP="00C50302">
            <w:pPr>
              <w:tabs>
                <w:tab w:val="left" w:pos="0"/>
                <w:tab w:val="left" w:pos="142"/>
              </w:tabs>
              <w:ind w:left="142"/>
              <w:rPr>
                <w:b/>
                <w:sz w:val="22"/>
                <w:szCs w:val="22"/>
                <w:lang w:eastAsia="fi-FI"/>
              </w:rPr>
            </w:pPr>
            <w:r>
              <w:rPr>
                <w:b/>
                <w:sz w:val="22"/>
                <w:szCs w:val="22"/>
                <w:lang w:eastAsia="fi-FI"/>
              </w:rPr>
              <w:t>Systemorgan-klasse</w:t>
            </w:r>
          </w:p>
        </w:tc>
        <w:tc>
          <w:tcPr>
            <w:tcW w:w="1485" w:type="dxa"/>
            <w:tcBorders>
              <w:top w:val="single" w:sz="4" w:space="0" w:color="auto"/>
              <w:left w:val="single" w:sz="4" w:space="0" w:color="auto"/>
              <w:bottom w:val="single" w:sz="4" w:space="0" w:color="auto"/>
              <w:right w:val="single" w:sz="4" w:space="0" w:color="auto"/>
            </w:tcBorders>
            <w:hideMark/>
          </w:tcPr>
          <w:p w:rsidR="006A4A22" w:rsidRDefault="006A4A22" w:rsidP="00C50302">
            <w:pPr>
              <w:tabs>
                <w:tab w:val="left" w:pos="0"/>
                <w:tab w:val="left" w:pos="71"/>
              </w:tabs>
              <w:rPr>
                <w:b/>
                <w:sz w:val="22"/>
                <w:szCs w:val="22"/>
              </w:rPr>
            </w:pPr>
            <w:r>
              <w:rPr>
                <w:b/>
                <w:sz w:val="22"/>
                <w:szCs w:val="22"/>
              </w:rPr>
              <w:t>Meget almindelig</w:t>
            </w:r>
          </w:p>
          <w:p w:rsidR="006A4A22" w:rsidRDefault="006A4A22" w:rsidP="00C50302">
            <w:pPr>
              <w:tabs>
                <w:tab w:val="left" w:pos="71"/>
              </w:tabs>
              <w:rPr>
                <w:b/>
                <w:sz w:val="22"/>
                <w:szCs w:val="22"/>
              </w:rPr>
            </w:pPr>
            <w:r>
              <w:rPr>
                <w:b/>
                <w:sz w:val="22"/>
                <w:szCs w:val="22"/>
              </w:rPr>
              <w:t>(</w:t>
            </w:r>
            <w:r>
              <w:rPr>
                <w:b/>
                <w:sz w:val="22"/>
                <w:szCs w:val="22"/>
              </w:rPr>
              <w:sym w:font="Symbol" w:char="F0B3"/>
            </w:r>
            <w:r>
              <w:rPr>
                <w:b/>
                <w:sz w:val="22"/>
                <w:szCs w:val="22"/>
              </w:rPr>
              <w:t xml:space="preserve"> 1/10)</w:t>
            </w:r>
          </w:p>
        </w:tc>
        <w:tc>
          <w:tcPr>
            <w:tcW w:w="1559" w:type="dxa"/>
            <w:tcBorders>
              <w:top w:val="single" w:sz="4" w:space="0" w:color="auto"/>
              <w:left w:val="single" w:sz="4" w:space="0" w:color="auto"/>
              <w:bottom w:val="single" w:sz="4" w:space="0" w:color="auto"/>
              <w:right w:val="single" w:sz="4" w:space="0" w:color="auto"/>
            </w:tcBorders>
            <w:hideMark/>
          </w:tcPr>
          <w:p w:rsidR="006A4A22" w:rsidRDefault="006A4A22" w:rsidP="00C50302">
            <w:pPr>
              <w:tabs>
                <w:tab w:val="left" w:pos="0"/>
              </w:tabs>
              <w:rPr>
                <w:b/>
                <w:sz w:val="22"/>
                <w:szCs w:val="22"/>
              </w:rPr>
            </w:pPr>
            <w:r>
              <w:rPr>
                <w:b/>
                <w:sz w:val="22"/>
                <w:szCs w:val="22"/>
              </w:rPr>
              <w:t>Almindelig</w:t>
            </w:r>
          </w:p>
          <w:p w:rsidR="006A4A22" w:rsidRDefault="006A4A22" w:rsidP="00C50302">
            <w:pPr>
              <w:tabs>
                <w:tab w:val="left" w:pos="71"/>
              </w:tabs>
              <w:ind w:left="213"/>
              <w:rPr>
                <w:b/>
                <w:sz w:val="22"/>
                <w:szCs w:val="22"/>
                <w:lang w:val="fi-FI" w:eastAsia="fi-FI"/>
              </w:rPr>
            </w:pPr>
            <w:r>
              <w:rPr>
                <w:b/>
                <w:sz w:val="22"/>
                <w:szCs w:val="22"/>
                <w:lang w:val="fi-FI" w:eastAsia="fi-FI"/>
              </w:rPr>
              <w:t>(≥1/100 til&lt;1/10)</w:t>
            </w:r>
          </w:p>
        </w:tc>
        <w:tc>
          <w:tcPr>
            <w:tcW w:w="1701" w:type="dxa"/>
            <w:tcBorders>
              <w:top w:val="single" w:sz="4" w:space="0" w:color="auto"/>
              <w:left w:val="single" w:sz="4" w:space="0" w:color="auto"/>
              <w:bottom w:val="single" w:sz="4" w:space="0" w:color="auto"/>
              <w:right w:val="single" w:sz="4" w:space="0" w:color="auto"/>
            </w:tcBorders>
            <w:hideMark/>
          </w:tcPr>
          <w:p w:rsidR="006A4A22" w:rsidRDefault="006A4A22" w:rsidP="00C50302">
            <w:pPr>
              <w:tabs>
                <w:tab w:val="left" w:pos="0"/>
              </w:tabs>
              <w:rPr>
                <w:b/>
                <w:sz w:val="22"/>
                <w:szCs w:val="22"/>
              </w:rPr>
            </w:pPr>
            <w:r>
              <w:rPr>
                <w:b/>
                <w:sz w:val="22"/>
                <w:szCs w:val="22"/>
              </w:rPr>
              <w:t>Ikke almindelig</w:t>
            </w:r>
          </w:p>
          <w:p w:rsidR="006A4A22" w:rsidRDefault="006A4A22" w:rsidP="00C50302">
            <w:pPr>
              <w:tabs>
                <w:tab w:val="left" w:pos="0"/>
              </w:tabs>
              <w:rPr>
                <w:b/>
                <w:sz w:val="22"/>
                <w:szCs w:val="22"/>
                <w:lang w:val="fi-FI" w:eastAsia="fi-FI"/>
              </w:rPr>
            </w:pPr>
            <w:r>
              <w:rPr>
                <w:b/>
                <w:sz w:val="22"/>
                <w:szCs w:val="22"/>
                <w:lang w:val="fi-FI" w:eastAsia="fi-FI"/>
              </w:rPr>
              <w:t>(≥1/1.000 til&lt;1/100)</w:t>
            </w:r>
          </w:p>
        </w:tc>
        <w:tc>
          <w:tcPr>
            <w:tcW w:w="1559" w:type="dxa"/>
            <w:tcBorders>
              <w:top w:val="single" w:sz="4" w:space="0" w:color="auto"/>
              <w:left w:val="single" w:sz="4" w:space="0" w:color="auto"/>
              <w:bottom w:val="single" w:sz="4" w:space="0" w:color="auto"/>
              <w:right w:val="single" w:sz="4" w:space="0" w:color="auto"/>
            </w:tcBorders>
            <w:hideMark/>
          </w:tcPr>
          <w:p w:rsidR="006A4A22" w:rsidRDefault="006A4A22" w:rsidP="00C50302">
            <w:pPr>
              <w:tabs>
                <w:tab w:val="left" w:pos="0"/>
              </w:tabs>
              <w:rPr>
                <w:b/>
                <w:sz w:val="22"/>
                <w:szCs w:val="22"/>
              </w:rPr>
            </w:pPr>
            <w:r>
              <w:rPr>
                <w:b/>
                <w:sz w:val="22"/>
                <w:szCs w:val="22"/>
              </w:rPr>
              <w:t>Sjælden</w:t>
            </w:r>
          </w:p>
          <w:p w:rsidR="006A4A22" w:rsidRDefault="006A4A22" w:rsidP="00C50302">
            <w:pPr>
              <w:tabs>
                <w:tab w:val="left" w:pos="0"/>
              </w:tabs>
              <w:rPr>
                <w:b/>
                <w:sz w:val="22"/>
                <w:szCs w:val="22"/>
                <w:lang w:val="fi-FI" w:eastAsia="fi-FI"/>
              </w:rPr>
            </w:pPr>
            <w:r>
              <w:rPr>
                <w:b/>
                <w:sz w:val="22"/>
                <w:szCs w:val="22"/>
                <w:lang w:val="fi-FI" w:eastAsia="fi-FI"/>
              </w:rPr>
              <w:t>(≥1/10.000 til&lt;1/1.000)</w:t>
            </w:r>
          </w:p>
        </w:tc>
        <w:tc>
          <w:tcPr>
            <w:tcW w:w="2275" w:type="dxa"/>
            <w:tcBorders>
              <w:top w:val="single" w:sz="4" w:space="0" w:color="auto"/>
              <w:left w:val="single" w:sz="4" w:space="0" w:color="auto"/>
              <w:bottom w:val="single" w:sz="4" w:space="0" w:color="auto"/>
              <w:right w:val="single" w:sz="4" w:space="0" w:color="auto"/>
            </w:tcBorders>
            <w:hideMark/>
          </w:tcPr>
          <w:p w:rsidR="006A4A22" w:rsidRDefault="006A4A22" w:rsidP="00C50302">
            <w:pPr>
              <w:tabs>
                <w:tab w:val="left" w:pos="71"/>
              </w:tabs>
              <w:ind w:left="71"/>
              <w:rPr>
                <w:b/>
                <w:sz w:val="22"/>
                <w:szCs w:val="22"/>
              </w:rPr>
            </w:pPr>
            <w:r>
              <w:rPr>
                <w:b/>
                <w:sz w:val="22"/>
                <w:szCs w:val="22"/>
              </w:rPr>
              <w:t>Ikke kendt (kan ikke estimeres ud fra forhåndenværende data)</w:t>
            </w:r>
          </w:p>
        </w:tc>
      </w:tr>
      <w:tr w:rsidR="006A4A22" w:rsidTr="00C50302">
        <w:tc>
          <w:tcPr>
            <w:tcW w:w="1771" w:type="dxa"/>
            <w:tcBorders>
              <w:top w:val="single" w:sz="4" w:space="0" w:color="auto"/>
              <w:left w:val="single" w:sz="4" w:space="0" w:color="auto"/>
              <w:bottom w:val="single" w:sz="4" w:space="0" w:color="auto"/>
              <w:right w:val="single" w:sz="4" w:space="0" w:color="auto"/>
            </w:tcBorders>
            <w:hideMark/>
          </w:tcPr>
          <w:p w:rsidR="006A4A22" w:rsidRDefault="006A4A22" w:rsidP="00C50302">
            <w:pPr>
              <w:tabs>
                <w:tab w:val="left" w:pos="142"/>
              </w:tabs>
              <w:ind w:left="142"/>
              <w:rPr>
                <w:b/>
                <w:sz w:val="22"/>
                <w:szCs w:val="22"/>
                <w:lang w:eastAsia="fi-FI"/>
              </w:rPr>
            </w:pPr>
            <w:r>
              <w:rPr>
                <w:b/>
                <w:sz w:val="22"/>
                <w:szCs w:val="22"/>
              </w:rPr>
              <w:t>Blod og lymfesystem</w:t>
            </w:r>
          </w:p>
        </w:tc>
        <w:tc>
          <w:tcPr>
            <w:tcW w:w="1485" w:type="dxa"/>
            <w:tcBorders>
              <w:top w:val="single" w:sz="4" w:space="0" w:color="auto"/>
              <w:left w:val="single" w:sz="4" w:space="0" w:color="auto"/>
              <w:bottom w:val="single" w:sz="4" w:space="0" w:color="auto"/>
              <w:right w:val="single" w:sz="4" w:space="0" w:color="auto"/>
            </w:tcBorders>
          </w:tcPr>
          <w:p w:rsidR="006A4A22" w:rsidRDefault="006A4A22" w:rsidP="00C50302">
            <w:pPr>
              <w:tabs>
                <w:tab w:val="left" w:pos="71"/>
              </w:tabs>
              <w:rPr>
                <w:sz w:val="22"/>
                <w:szCs w:val="22"/>
                <w:lang w:eastAsia="fi-FI"/>
              </w:rPr>
            </w:pPr>
          </w:p>
        </w:tc>
        <w:tc>
          <w:tcPr>
            <w:tcW w:w="1559" w:type="dxa"/>
            <w:tcBorders>
              <w:top w:val="single" w:sz="4" w:space="0" w:color="auto"/>
              <w:left w:val="single" w:sz="4" w:space="0" w:color="auto"/>
              <w:bottom w:val="single" w:sz="4" w:space="0" w:color="auto"/>
              <w:right w:val="single" w:sz="4" w:space="0" w:color="auto"/>
            </w:tcBorders>
            <w:vAlign w:val="center"/>
          </w:tcPr>
          <w:p w:rsidR="006A4A22" w:rsidRDefault="006A4A22" w:rsidP="005C64F5">
            <w:pPr>
              <w:tabs>
                <w:tab w:val="left" w:pos="71"/>
              </w:tabs>
              <w:ind w:left="73"/>
              <w:rPr>
                <w:sz w:val="22"/>
                <w:szCs w:val="22"/>
                <w:lang w:eastAsia="fi-FI"/>
              </w:rPr>
            </w:pPr>
          </w:p>
        </w:tc>
        <w:tc>
          <w:tcPr>
            <w:tcW w:w="1701" w:type="dxa"/>
            <w:tcBorders>
              <w:top w:val="single" w:sz="4" w:space="0" w:color="auto"/>
              <w:left w:val="single" w:sz="4" w:space="0" w:color="auto"/>
              <w:bottom w:val="single" w:sz="4" w:space="0" w:color="auto"/>
              <w:right w:val="single" w:sz="4" w:space="0" w:color="auto"/>
            </w:tcBorders>
          </w:tcPr>
          <w:p w:rsidR="006A4A22" w:rsidRDefault="006A4A22" w:rsidP="00C50302">
            <w:pPr>
              <w:tabs>
                <w:tab w:val="left" w:pos="0"/>
              </w:tabs>
              <w:rPr>
                <w:sz w:val="22"/>
                <w:szCs w:val="22"/>
                <w:lang w:eastAsia="fi-FI"/>
              </w:rPr>
            </w:pPr>
          </w:p>
        </w:tc>
        <w:tc>
          <w:tcPr>
            <w:tcW w:w="1559" w:type="dxa"/>
            <w:tcBorders>
              <w:top w:val="single" w:sz="4" w:space="0" w:color="auto"/>
              <w:left w:val="single" w:sz="4" w:space="0" w:color="auto"/>
              <w:bottom w:val="single" w:sz="4" w:space="0" w:color="auto"/>
              <w:right w:val="single" w:sz="4" w:space="0" w:color="auto"/>
            </w:tcBorders>
          </w:tcPr>
          <w:p w:rsidR="006A4A22" w:rsidRDefault="006A4A22" w:rsidP="00C50302">
            <w:pPr>
              <w:tabs>
                <w:tab w:val="left" w:pos="0"/>
                <w:tab w:val="left" w:pos="213"/>
              </w:tabs>
              <w:rPr>
                <w:sz w:val="22"/>
                <w:szCs w:val="22"/>
                <w:lang w:eastAsia="fi-FI"/>
              </w:rPr>
            </w:pPr>
          </w:p>
        </w:tc>
        <w:tc>
          <w:tcPr>
            <w:tcW w:w="2275" w:type="dxa"/>
            <w:tcBorders>
              <w:top w:val="single" w:sz="4" w:space="0" w:color="auto"/>
              <w:left w:val="single" w:sz="4" w:space="0" w:color="auto"/>
              <w:bottom w:val="single" w:sz="4" w:space="0" w:color="auto"/>
              <w:right w:val="single" w:sz="4" w:space="0" w:color="auto"/>
            </w:tcBorders>
            <w:hideMark/>
          </w:tcPr>
          <w:p w:rsidR="006A4A22" w:rsidRDefault="006A4A22" w:rsidP="00C50302">
            <w:pPr>
              <w:tabs>
                <w:tab w:val="left" w:pos="0"/>
                <w:tab w:val="left" w:pos="71"/>
              </w:tabs>
              <w:ind w:left="71"/>
              <w:rPr>
                <w:sz w:val="22"/>
                <w:szCs w:val="22"/>
                <w:lang w:eastAsia="fi-FI"/>
              </w:rPr>
            </w:pPr>
            <w:r>
              <w:rPr>
                <w:sz w:val="22"/>
                <w:szCs w:val="22"/>
                <w:lang w:eastAsia="fi-FI"/>
              </w:rPr>
              <w:t>Knoglemarvs</w:t>
            </w:r>
            <w:r>
              <w:rPr>
                <w:sz w:val="22"/>
                <w:szCs w:val="22"/>
                <w:lang w:eastAsia="fi-FI"/>
              </w:rPr>
              <w:softHyphen/>
              <w:t>depres</w:t>
            </w:r>
            <w:r>
              <w:rPr>
                <w:sz w:val="22"/>
                <w:szCs w:val="22"/>
                <w:lang w:eastAsia="fi-FI"/>
              </w:rPr>
              <w:softHyphen/>
              <w:t xml:space="preserve">sion </w:t>
            </w:r>
          </w:p>
          <w:p w:rsidR="006A4A22" w:rsidRDefault="006A4A22" w:rsidP="00C50302">
            <w:pPr>
              <w:tabs>
                <w:tab w:val="left" w:pos="0"/>
                <w:tab w:val="left" w:pos="71"/>
              </w:tabs>
              <w:ind w:left="71"/>
              <w:rPr>
                <w:sz w:val="22"/>
                <w:szCs w:val="22"/>
                <w:lang w:eastAsia="fi-FI"/>
              </w:rPr>
            </w:pPr>
            <w:r>
              <w:rPr>
                <w:sz w:val="22"/>
                <w:szCs w:val="22"/>
                <w:lang w:eastAsia="fi-FI"/>
              </w:rPr>
              <w:t>(</w:t>
            </w:r>
            <w:proofErr w:type="spellStart"/>
            <w:r>
              <w:rPr>
                <w:sz w:val="22"/>
                <w:szCs w:val="22"/>
                <w:lang w:eastAsia="fi-FI"/>
              </w:rPr>
              <w:t>granulocyto</w:t>
            </w:r>
            <w:r>
              <w:rPr>
                <w:sz w:val="22"/>
                <w:szCs w:val="22"/>
                <w:lang w:eastAsia="fi-FI"/>
              </w:rPr>
              <w:softHyphen/>
              <w:t>peni</w:t>
            </w:r>
            <w:proofErr w:type="spellEnd"/>
            <w:r>
              <w:rPr>
                <w:sz w:val="22"/>
                <w:szCs w:val="22"/>
                <w:lang w:eastAsia="fi-FI"/>
              </w:rPr>
              <w:t xml:space="preserve">, </w:t>
            </w:r>
            <w:proofErr w:type="spellStart"/>
            <w:r>
              <w:rPr>
                <w:sz w:val="22"/>
                <w:szCs w:val="22"/>
                <w:lang w:eastAsia="fi-FI"/>
              </w:rPr>
              <w:t>agranulo</w:t>
            </w:r>
            <w:r>
              <w:rPr>
                <w:sz w:val="22"/>
                <w:szCs w:val="22"/>
                <w:lang w:eastAsia="fi-FI"/>
              </w:rPr>
              <w:softHyphen/>
              <w:t>cytose</w:t>
            </w:r>
            <w:proofErr w:type="spellEnd"/>
            <w:r>
              <w:rPr>
                <w:sz w:val="22"/>
                <w:szCs w:val="22"/>
                <w:lang w:eastAsia="fi-FI"/>
              </w:rPr>
              <w:t xml:space="preserve">, </w:t>
            </w:r>
            <w:proofErr w:type="spellStart"/>
            <w:r>
              <w:rPr>
                <w:sz w:val="22"/>
                <w:szCs w:val="22"/>
                <w:lang w:eastAsia="fi-FI"/>
              </w:rPr>
              <w:t>aplastisk</w:t>
            </w:r>
            <w:proofErr w:type="spellEnd"/>
            <w:r>
              <w:rPr>
                <w:sz w:val="22"/>
                <w:szCs w:val="22"/>
                <w:lang w:eastAsia="fi-FI"/>
              </w:rPr>
              <w:t xml:space="preserve"> anæmi og </w:t>
            </w:r>
            <w:proofErr w:type="spellStart"/>
            <w:r>
              <w:rPr>
                <w:sz w:val="22"/>
                <w:szCs w:val="22"/>
                <w:lang w:eastAsia="fi-FI"/>
              </w:rPr>
              <w:t>trombocyto</w:t>
            </w:r>
            <w:r>
              <w:rPr>
                <w:sz w:val="22"/>
                <w:szCs w:val="22"/>
                <w:lang w:eastAsia="fi-FI"/>
              </w:rPr>
              <w:softHyphen/>
              <w:t>peni</w:t>
            </w:r>
            <w:proofErr w:type="spellEnd"/>
            <w:r>
              <w:rPr>
                <w:sz w:val="22"/>
                <w:szCs w:val="22"/>
                <w:lang w:eastAsia="fi-FI"/>
              </w:rPr>
              <w:t xml:space="preserve">), </w:t>
            </w:r>
            <w:proofErr w:type="spellStart"/>
            <w:r>
              <w:rPr>
                <w:sz w:val="22"/>
                <w:szCs w:val="22"/>
                <w:lang w:eastAsia="fi-FI"/>
              </w:rPr>
              <w:t>eosinofili</w:t>
            </w:r>
            <w:proofErr w:type="spellEnd"/>
          </w:p>
        </w:tc>
      </w:tr>
      <w:tr w:rsidR="006A4A22" w:rsidRPr="002C35F0" w:rsidTr="00C50302">
        <w:tc>
          <w:tcPr>
            <w:tcW w:w="1771" w:type="dxa"/>
            <w:tcBorders>
              <w:top w:val="single" w:sz="4" w:space="0" w:color="auto"/>
              <w:left w:val="single" w:sz="4" w:space="0" w:color="auto"/>
              <w:bottom w:val="single" w:sz="4" w:space="0" w:color="auto"/>
              <w:right w:val="single" w:sz="4" w:space="0" w:color="auto"/>
            </w:tcBorders>
            <w:hideMark/>
          </w:tcPr>
          <w:p w:rsidR="006A4A22" w:rsidRDefault="006A4A22" w:rsidP="00C50302">
            <w:pPr>
              <w:tabs>
                <w:tab w:val="left" w:pos="142"/>
              </w:tabs>
              <w:ind w:left="142"/>
              <w:rPr>
                <w:b/>
                <w:sz w:val="22"/>
                <w:szCs w:val="22"/>
              </w:rPr>
            </w:pPr>
            <w:r>
              <w:rPr>
                <w:b/>
                <w:sz w:val="22"/>
                <w:szCs w:val="22"/>
              </w:rPr>
              <w:t>Det endokrine system</w:t>
            </w:r>
          </w:p>
        </w:tc>
        <w:tc>
          <w:tcPr>
            <w:tcW w:w="1485" w:type="dxa"/>
            <w:tcBorders>
              <w:top w:val="single" w:sz="4" w:space="0" w:color="auto"/>
              <w:left w:val="single" w:sz="4" w:space="0" w:color="auto"/>
              <w:bottom w:val="single" w:sz="4" w:space="0" w:color="auto"/>
              <w:right w:val="single" w:sz="4" w:space="0" w:color="auto"/>
            </w:tcBorders>
          </w:tcPr>
          <w:p w:rsidR="006A4A22" w:rsidRDefault="006A4A22" w:rsidP="00C50302">
            <w:pPr>
              <w:tabs>
                <w:tab w:val="left" w:pos="71"/>
              </w:tabs>
              <w:rPr>
                <w:sz w:val="22"/>
                <w:szCs w:val="22"/>
                <w:lang w:eastAsia="fi-FI"/>
              </w:rPr>
            </w:pPr>
          </w:p>
        </w:tc>
        <w:tc>
          <w:tcPr>
            <w:tcW w:w="1559" w:type="dxa"/>
            <w:tcBorders>
              <w:top w:val="single" w:sz="4" w:space="0" w:color="auto"/>
              <w:left w:val="single" w:sz="4" w:space="0" w:color="auto"/>
              <w:bottom w:val="single" w:sz="4" w:space="0" w:color="auto"/>
              <w:right w:val="single" w:sz="4" w:space="0" w:color="auto"/>
            </w:tcBorders>
            <w:vAlign w:val="center"/>
          </w:tcPr>
          <w:p w:rsidR="006A4A22" w:rsidRDefault="006A4A22" w:rsidP="005C64F5">
            <w:pPr>
              <w:tabs>
                <w:tab w:val="left" w:pos="71"/>
              </w:tabs>
              <w:ind w:left="73"/>
              <w:rPr>
                <w:sz w:val="22"/>
                <w:szCs w:val="22"/>
                <w:lang w:eastAsia="fi-FI"/>
              </w:rPr>
            </w:pPr>
          </w:p>
        </w:tc>
        <w:tc>
          <w:tcPr>
            <w:tcW w:w="1701" w:type="dxa"/>
            <w:tcBorders>
              <w:top w:val="single" w:sz="4" w:space="0" w:color="auto"/>
              <w:left w:val="single" w:sz="4" w:space="0" w:color="auto"/>
              <w:bottom w:val="single" w:sz="4" w:space="0" w:color="auto"/>
              <w:right w:val="single" w:sz="4" w:space="0" w:color="auto"/>
            </w:tcBorders>
          </w:tcPr>
          <w:p w:rsidR="006A4A22" w:rsidRDefault="006A4A22" w:rsidP="00C50302">
            <w:pPr>
              <w:tabs>
                <w:tab w:val="left" w:pos="0"/>
              </w:tabs>
              <w:rPr>
                <w:sz w:val="22"/>
                <w:szCs w:val="22"/>
                <w:lang w:eastAsia="fi-FI"/>
              </w:rPr>
            </w:pPr>
          </w:p>
        </w:tc>
        <w:tc>
          <w:tcPr>
            <w:tcW w:w="1559" w:type="dxa"/>
            <w:tcBorders>
              <w:top w:val="single" w:sz="4" w:space="0" w:color="auto"/>
              <w:left w:val="single" w:sz="4" w:space="0" w:color="auto"/>
              <w:bottom w:val="single" w:sz="4" w:space="0" w:color="auto"/>
              <w:right w:val="single" w:sz="4" w:space="0" w:color="auto"/>
            </w:tcBorders>
          </w:tcPr>
          <w:p w:rsidR="006A4A22" w:rsidRDefault="006A4A22" w:rsidP="00C50302">
            <w:pPr>
              <w:tabs>
                <w:tab w:val="left" w:pos="0"/>
                <w:tab w:val="left" w:pos="213"/>
              </w:tabs>
              <w:rPr>
                <w:sz w:val="22"/>
                <w:szCs w:val="22"/>
                <w:lang w:eastAsia="fi-FI"/>
              </w:rPr>
            </w:pPr>
          </w:p>
        </w:tc>
        <w:tc>
          <w:tcPr>
            <w:tcW w:w="2275" w:type="dxa"/>
            <w:tcBorders>
              <w:top w:val="single" w:sz="4" w:space="0" w:color="auto"/>
              <w:left w:val="single" w:sz="4" w:space="0" w:color="auto"/>
              <w:bottom w:val="single" w:sz="4" w:space="0" w:color="auto"/>
              <w:right w:val="single" w:sz="4" w:space="0" w:color="auto"/>
            </w:tcBorders>
            <w:hideMark/>
          </w:tcPr>
          <w:p w:rsidR="006A4A22" w:rsidRPr="002C35F0" w:rsidRDefault="006A4A22" w:rsidP="00C50302">
            <w:pPr>
              <w:tabs>
                <w:tab w:val="left" w:pos="0"/>
                <w:tab w:val="left" w:pos="71"/>
              </w:tabs>
              <w:ind w:left="71"/>
              <w:rPr>
                <w:sz w:val="22"/>
                <w:szCs w:val="22"/>
                <w:lang w:eastAsia="fi-FI"/>
              </w:rPr>
            </w:pPr>
            <w:r>
              <w:rPr>
                <w:sz w:val="22"/>
                <w:szCs w:val="22"/>
                <w:lang w:eastAsia="fi-FI"/>
              </w:rPr>
              <w:t xml:space="preserve">Uhensigtsmæssig produktion af antidiuretisk hormon, </w:t>
            </w:r>
            <w:proofErr w:type="spellStart"/>
            <w:r>
              <w:rPr>
                <w:sz w:val="22"/>
                <w:szCs w:val="22"/>
                <w:lang w:eastAsia="fi-FI"/>
              </w:rPr>
              <w:t>h</w:t>
            </w:r>
            <w:r w:rsidRPr="00D66671">
              <w:rPr>
                <w:sz w:val="22"/>
                <w:szCs w:val="22"/>
                <w:lang w:eastAsia="fi-FI"/>
              </w:rPr>
              <w:t>yperprolaktinæmi</w:t>
            </w:r>
            <w:proofErr w:type="spellEnd"/>
            <w:r w:rsidRPr="00D66671">
              <w:rPr>
                <w:sz w:val="22"/>
                <w:szCs w:val="22"/>
                <w:lang w:eastAsia="fi-FI"/>
              </w:rPr>
              <w:t xml:space="preserve"> (og relaterede symptomer såsom </w:t>
            </w:r>
            <w:proofErr w:type="spellStart"/>
            <w:r w:rsidRPr="00D66671">
              <w:rPr>
                <w:sz w:val="22"/>
                <w:szCs w:val="22"/>
                <w:lang w:eastAsia="fi-FI"/>
              </w:rPr>
              <w:t>galaktoré</w:t>
            </w:r>
            <w:proofErr w:type="spellEnd"/>
            <w:r w:rsidRPr="00D66671">
              <w:rPr>
                <w:sz w:val="22"/>
                <w:szCs w:val="22"/>
                <w:lang w:eastAsia="fi-FI"/>
              </w:rPr>
              <w:t xml:space="preserve"> og </w:t>
            </w:r>
            <w:proofErr w:type="spellStart"/>
            <w:r w:rsidRPr="00D66671">
              <w:rPr>
                <w:sz w:val="22"/>
                <w:szCs w:val="22"/>
                <w:lang w:eastAsia="fi-FI"/>
              </w:rPr>
              <w:t>gynækomasti</w:t>
            </w:r>
            <w:proofErr w:type="spellEnd"/>
            <w:r w:rsidRPr="00D66671">
              <w:rPr>
                <w:sz w:val="22"/>
                <w:szCs w:val="22"/>
                <w:lang w:eastAsia="fi-FI"/>
              </w:rPr>
              <w:t>)</w:t>
            </w:r>
          </w:p>
        </w:tc>
      </w:tr>
      <w:tr w:rsidR="006A4A22" w:rsidTr="00C50302">
        <w:tc>
          <w:tcPr>
            <w:tcW w:w="1771" w:type="dxa"/>
            <w:tcBorders>
              <w:top w:val="single" w:sz="4" w:space="0" w:color="auto"/>
              <w:left w:val="single" w:sz="4" w:space="0" w:color="auto"/>
              <w:bottom w:val="single" w:sz="4" w:space="0" w:color="auto"/>
              <w:right w:val="single" w:sz="4" w:space="0" w:color="auto"/>
            </w:tcBorders>
            <w:hideMark/>
          </w:tcPr>
          <w:p w:rsidR="006A4A22" w:rsidRDefault="006A4A22" w:rsidP="00C50302">
            <w:pPr>
              <w:tabs>
                <w:tab w:val="left" w:pos="142"/>
              </w:tabs>
              <w:ind w:left="142"/>
              <w:rPr>
                <w:b/>
                <w:sz w:val="22"/>
                <w:szCs w:val="22"/>
              </w:rPr>
            </w:pPr>
            <w:r>
              <w:rPr>
                <w:b/>
                <w:sz w:val="22"/>
                <w:szCs w:val="22"/>
              </w:rPr>
              <w:t xml:space="preserve">Metabolisme og ernæring </w:t>
            </w:r>
          </w:p>
        </w:tc>
        <w:tc>
          <w:tcPr>
            <w:tcW w:w="1485" w:type="dxa"/>
            <w:tcBorders>
              <w:top w:val="single" w:sz="4" w:space="0" w:color="auto"/>
              <w:left w:val="single" w:sz="4" w:space="0" w:color="auto"/>
              <w:bottom w:val="single" w:sz="4" w:space="0" w:color="auto"/>
              <w:right w:val="single" w:sz="4" w:space="0" w:color="auto"/>
            </w:tcBorders>
            <w:hideMark/>
          </w:tcPr>
          <w:p w:rsidR="006A4A22" w:rsidRDefault="006A4A22" w:rsidP="00C50302">
            <w:pPr>
              <w:tabs>
                <w:tab w:val="left" w:pos="71"/>
              </w:tabs>
              <w:rPr>
                <w:sz w:val="22"/>
                <w:szCs w:val="22"/>
                <w:vertAlign w:val="superscript"/>
                <w:lang w:eastAsia="fi-FI"/>
              </w:rPr>
            </w:pPr>
            <w:r>
              <w:rPr>
                <w:sz w:val="22"/>
                <w:szCs w:val="22"/>
                <w:lang w:eastAsia="fi-FI"/>
              </w:rPr>
              <w:t>Vægtøgning</w:t>
            </w:r>
            <w:r>
              <w:rPr>
                <w:sz w:val="22"/>
                <w:szCs w:val="22"/>
                <w:vertAlign w:val="superscript"/>
                <w:lang w:eastAsia="fi-FI"/>
              </w:rPr>
              <w:t>1</w:t>
            </w:r>
          </w:p>
          <w:p w:rsidR="006A4A22" w:rsidRDefault="006A4A22" w:rsidP="00C50302">
            <w:pPr>
              <w:tabs>
                <w:tab w:val="left" w:pos="71"/>
              </w:tabs>
              <w:rPr>
                <w:sz w:val="22"/>
                <w:szCs w:val="22"/>
                <w:lang w:eastAsia="fi-FI"/>
              </w:rPr>
            </w:pPr>
            <w:r>
              <w:rPr>
                <w:sz w:val="22"/>
                <w:szCs w:val="22"/>
                <w:lang w:eastAsia="fi-FI"/>
              </w:rPr>
              <w:t>øget appetit</w:t>
            </w:r>
            <w:r>
              <w:rPr>
                <w:sz w:val="22"/>
                <w:szCs w:val="22"/>
                <w:vertAlign w:val="superscript"/>
                <w:lang w:eastAsia="fi-FI"/>
              </w:rPr>
              <w:t>1</w:t>
            </w:r>
            <w:r>
              <w:rPr>
                <w:sz w:val="22"/>
                <w:szCs w:val="22"/>
                <w:lang w:eastAsia="fi-FI"/>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6A4A22" w:rsidRDefault="006A4A22" w:rsidP="005C64F5">
            <w:pPr>
              <w:tabs>
                <w:tab w:val="left" w:pos="71"/>
              </w:tabs>
              <w:ind w:left="73"/>
              <w:rPr>
                <w:sz w:val="22"/>
                <w:szCs w:val="22"/>
                <w:lang w:eastAsia="fi-FI"/>
              </w:rPr>
            </w:pPr>
          </w:p>
        </w:tc>
        <w:tc>
          <w:tcPr>
            <w:tcW w:w="1701" w:type="dxa"/>
            <w:tcBorders>
              <w:top w:val="single" w:sz="4" w:space="0" w:color="auto"/>
              <w:left w:val="single" w:sz="4" w:space="0" w:color="auto"/>
              <w:bottom w:val="single" w:sz="4" w:space="0" w:color="auto"/>
              <w:right w:val="single" w:sz="4" w:space="0" w:color="auto"/>
            </w:tcBorders>
          </w:tcPr>
          <w:p w:rsidR="006A4A22" w:rsidRDefault="006A4A22" w:rsidP="00C50302">
            <w:pPr>
              <w:tabs>
                <w:tab w:val="left" w:pos="0"/>
              </w:tabs>
              <w:rPr>
                <w:sz w:val="22"/>
                <w:szCs w:val="22"/>
                <w:lang w:eastAsia="fi-FI"/>
              </w:rPr>
            </w:pPr>
          </w:p>
        </w:tc>
        <w:tc>
          <w:tcPr>
            <w:tcW w:w="1559" w:type="dxa"/>
            <w:tcBorders>
              <w:top w:val="single" w:sz="4" w:space="0" w:color="auto"/>
              <w:left w:val="single" w:sz="4" w:space="0" w:color="auto"/>
              <w:bottom w:val="single" w:sz="4" w:space="0" w:color="auto"/>
              <w:right w:val="single" w:sz="4" w:space="0" w:color="auto"/>
            </w:tcBorders>
          </w:tcPr>
          <w:p w:rsidR="006A4A22" w:rsidRDefault="006A4A22" w:rsidP="00C50302">
            <w:pPr>
              <w:tabs>
                <w:tab w:val="left" w:pos="0"/>
                <w:tab w:val="left" w:pos="213"/>
              </w:tabs>
              <w:rPr>
                <w:sz w:val="22"/>
                <w:szCs w:val="22"/>
                <w:lang w:eastAsia="fi-FI"/>
              </w:rPr>
            </w:pPr>
          </w:p>
        </w:tc>
        <w:tc>
          <w:tcPr>
            <w:tcW w:w="2275" w:type="dxa"/>
            <w:tcBorders>
              <w:top w:val="single" w:sz="4" w:space="0" w:color="auto"/>
              <w:left w:val="single" w:sz="4" w:space="0" w:color="auto"/>
              <w:bottom w:val="single" w:sz="4" w:space="0" w:color="auto"/>
              <w:right w:val="single" w:sz="4" w:space="0" w:color="auto"/>
            </w:tcBorders>
            <w:hideMark/>
          </w:tcPr>
          <w:p w:rsidR="006A4A22" w:rsidRDefault="006A4A22" w:rsidP="00C50302">
            <w:pPr>
              <w:tabs>
                <w:tab w:val="left" w:pos="0"/>
                <w:tab w:val="left" w:pos="71"/>
              </w:tabs>
              <w:ind w:left="71"/>
              <w:rPr>
                <w:sz w:val="22"/>
                <w:szCs w:val="22"/>
                <w:lang w:eastAsia="fi-FI"/>
              </w:rPr>
            </w:pPr>
            <w:proofErr w:type="spellStart"/>
            <w:r>
              <w:rPr>
                <w:sz w:val="22"/>
                <w:szCs w:val="22"/>
                <w:lang w:eastAsia="fi-FI"/>
              </w:rPr>
              <w:t>Hyponatriæmi</w:t>
            </w:r>
            <w:proofErr w:type="spellEnd"/>
            <w:r>
              <w:rPr>
                <w:sz w:val="22"/>
                <w:szCs w:val="22"/>
                <w:lang w:eastAsia="fi-FI"/>
              </w:rPr>
              <w:t xml:space="preserve"> </w:t>
            </w:r>
          </w:p>
        </w:tc>
      </w:tr>
      <w:tr w:rsidR="006A4A22" w:rsidTr="00C50302">
        <w:tc>
          <w:tcPr>
            <w:tcW w:w="1771" w:type="dxa"/>
            <w:tcBorders>
              <w:top w:val="single" w:sz="4" w:space="0" w:color="auto"/>
              <w:left w:val="single" w:sz="4" w:space="0" w:color="auto"/>
              <w:bottom w:val="single" w:sz="4" w:space="0" w:color="auto"/>
              <w:right w:val="single" w:sz="4" w:space="0" w:color="auto"/>
            </w:tcBorders>
            <w:hideMark/>
          </w:tcPr>
          <w:p w:rsidR="006A4A22" w:rsidRDefault="006A4A22" w:rsidP="00C50302">
            <w:pPr>
              <w:tabs>
                <w:tab w:val="left" w:pos="142"/>
              </w:tabs>
              <w:ind w:left="142"/>
              <w:rPr>
                <w:b/>
                <w:sz w:val="22"/>
                <w:szCs w:val="22"/>
              </w:rPr>
            </w:pPr>
            <w:r>
              <w:rPr>
                <w:b/>
                <w:sz w:val="22"/>
                <w:szCs w:val="22"/>
              </w:rPr>
              <w:t xml:space="preserve">Psykiske forstyrrelser </w:t>
            </w:r>
          </w:p>
        </w:tc>
        <w:tc>
          <w:tcPr>
            <w:tcW w:w="1485" w:type="dxa"/>
            <w:tcBorders>
              <w:top w:val="single" w:sz="4" w:space="0" w:color="auto"/>
              <w:left w:val="single" w:sz="4" w:space="0" w:color="auto"/>
              <w:bottom w:val="single" w:sz="4" w:space="0" w:color="auto"/>
              <w:right w:val="single" w:sz="4" w:space="0" w:color="auto"/>
            </w:tcBorders>
          </w:tcPr>
          <w:p w:rsidR="006A4A22" w:rsidRDefault="006A4A22" w:rsidP="00C50302">
            <w:pPr>
              <w:tabs>
                <w:tab w:val="left" w:pos="71"/>
              </w:tabs>
              <w:rPr>
                <w:sz w:val="22"/>
                <w:szCs w:val="22"/>
                <w:lang w:eastAsia="fi-FI"/>
              </w:rPr>
            </w:pPr>
          </w:p>
        </w:tc>
        <w:tc>
          <w:tcPr>
            <w:tcW w:w="1559" w:type="dxa"/>
            <w:tcBorders>
              <w:top w:val="single" w:sz="4" w:space="0" w:color="auto"/>
              <w:left w:val="single" w:sz="4" w:space="0" w:color="auto"/>
              <w:bottom w:val="single" w:sz="4" w:space="0" w:color="auto"/>
              <w:right w:val="single" w:sz="4" w:space="0" w:color="auto"/>
            </w:tcBorders>
          </w:tcPr>
          <w:p w:rsidR="006A4A22" w:rsidRDefault="006A4A22" w:rsidP="005C64F5">
            <w:pPr>
              <w:tabs>
                <w:tab w:val="left" w:pos="71"/>
              </w:tabs>
              <w:ind w:left="73"/>
              <w:rPr>
                <w:sz w:val="22"/>
                <w:szCs w:val="22"/>
                <w:lang w:eastAsia="fi-FI"/>
              </w:rPr>
            </w:pPr>
            <w:r>
              <w:rPr>
                <w:sz w:val="22"/>
                <w:szCs w:val="22"/>
                <w:lang w:eastAsia="fi-FI"/>
              </w:rPr>
              <w:t>Livagtige drømme, konfusion, angst</w:t>
            </w:r>
            <w:r>
              <w:rPr>
                <w:sz w:val="22"/>
                <w:szCs w:val="22"/>
                <w:vertAlign w:val="superscript"/>
                <w:lang w:eastAsia="fi-FI"/>
              </w:rPr>
              <w:t>2,5</w:t>
            </w:r>
            <w:r>
              <w:rPr>
                <w:sz w:val="22"/>
                <w:szCs w:val="22"/>
                <w:lang w:eastAsia="fi-FI"/>
              </w:rPr>
              <w:t>, søvnløshed</w:t>
            </w:r>
            <w:r>
              <w:rPr>
                <w:sz w:val="22"/>
                <w:szCs w:val="22"/>
                <w:vertAlign w:val="superscript"/>
                <w:lang w:eastAsia="fi-FI"/>
              </w:rPr>
              <w:t>3,5</w:t>
            </w:r>
          </w:p>
          <w:p w:rsidR="006A4A22" w:rsidRDefault="006A4A22" w:rsidP="005C64F5">
            <w:pPr>
              <w:tabs>
                <w:tab w:val="left" w:pos="71"/>
              </w:tabs>
              <w:ind w:left="73"/>
              <w:rPr>
                <w:sz w:val="22"/>
                <w:szCs w:val="22"/>
                <w:lang w:eastAsia="fi-FI"/>
              </w:rPr>
            </w:pPr>
          </w:p>
          <w:p w:rsidR="006A4A22" w:rsidRDefault="006A4A22" w:rsidP="005C64F5">
            <w:pPr>
              <w:tabs>
                <w:tab w:val="left" w:pos="71"/>
              </w:tabs>
              <w:ind w:left="73"/>
              <w:rPr>
                <w:sz w:val="22"/>
                <w:szCs w:val="22"/>
                <w:lang w:eastAsia="fi-FI"/>
              </w:rPr>
            </w:pPr>
          </w:p>
        </w:tc>
        <w:tc>
          <w:tcPr>
            <w:tcW w:w="1701" w:type="dxa"/>
            <w:tcBorders>
              <w:top w:val="single" w:sz="4" w:space="0" w:color="auto"/>
              <w:left w:val="single" w:sz="4" w:space="0" w:color="auto"/>
              <w:bottom w:val="single" w:sz="4" w:space="0" w:color="auto"/>
              <w:right w:val="single" w:sz="4" w:space="0" w:color="auto"/>
            </w:tcBorders>
            <w:hideMark/>
          </w:tcPr>
          <w:p w:rsidR="006A4A22" w:rsidRDefault="006A4A22" w:rsidP="00C50302">
            <w:pPr>
              <w:tabs>
                <w:tab w:val="left" w:pos="0"/>
              </w:tabs>
              <w:rPr>
                <w:sz w:val="22"/>
                <w:szCs w:val="22"/>
                <w:lang w:eastAsia="fi-FI"/>
              </w:rPr>
            </w:pPr>
            <w:r>
              <w:rPr>
                <w:sz w:val="22"/>
                <w:szCs w:val="22"/>
                <w:lang w:eastAsia="fi-FI"/>
              </w:rPr>
              <w:t>Mareridt</w:t>
            </w:r>
            <w:r>
              <w:rPr>
                <w:sz w:val="22"/>
                <w:szCs w:val="22"/>
                <w:vertAlign w:val="superscript"/>
                <w:lang w:eastAsia="fi-FI"/>
              </w:rPr>
              <w:t>2</w:t>
            </w:r>
            <w:r>
              <w:rPr>
                <w:sz w:val="22"/>
                <w:szCs w:val="22"/>
                <w:lang w:eastAsia="fi-FI"/>
              </w:rPr>
              <w:t>, mani, agitation</w:t>
            </w:r>
            <w:r>
              <w:rPr>
                <w:sz w:val="22"/>
                <w:szCs w:val="22"/>
                <w:vertAlign w:val="superscript"/>
                <w:lang w:eastAsia="fi-FI"/>
              </w:rPr>
              <w:t>2</w:t>
            </w:r>
            <w:r>
              <w:rPr>
                <w:sz w:val="22"/>
                <w:szCs w:val="22"/>
                <w:lang w:eastAsia="fi-FI"/>
              </w:rPr>
              <w:t xml:space="preserve">, hallucinationer, </w:t>
            </w:r>
            <w:proofErr w:type="spellStart"/>
            <w:r>
              <w:rPr>
                <w:sz w:val="22"/>
                <w:szCs w:val="22"/>
                <w:lang w:eastAsia="fi-FI"/>
              </w:rPr>
              <w:t>psykomotorisk</w:t>
            </w:r>
            <w:proofErr w:type="spellEnd"/>
            <w:r>
              <w:rPr>
                <w:sz w:val="22"/>
                <w:szCs w:val="22"/>
                <w:lang w:eastAsia="fi-FI"/>
              </w:rPr>
              <w:t xml:space="preserve"> uro (inklusive </w:t>
            </w:r>
            <w:proofErr w:type="spellStart"/>
            <w:r>
              <w:rPr>
                <w:sz w:val="22"/>
                <w:szCs w:val="22"/>
                <w:lang w:eastAsia="fi-FI"/>
              </w:rPr>
              <w:t>akatasi</w:t>
            </w:r>
            <w:proofErr w:type="spellEnd"/>
            <w:r>
              <w:rPr>
                <w:sz w:val="22"/>
                <w:szCs w:val="22"/>
                <w:lang w:eastAsia="fi-FI"/>
              </w:rPr>
              <w:t xml:space="preserve">, </w:t>
            </w:r>
            <w:proofErr w:type="spellStart"/>
            <w:r>
              <w:rPr>
                <w:sz w:val="22"/>
                <w:szCs w:val="22"/>
                <w:lang w:eastAsia="fi-FI"/>
              </w:rPr>
              <w:t>hyperkinesi</w:t>
            </w:r>
            <w:proofErr w:type="spellEnd"/>
            <w:r>
              <w:rPr>
                <w:sz w:val="22"/>
                <w:szCs w:val="22"/>
                <w:lang w:eastAsia="fi-FI"/>
              </w:rPr>
              <w:t>)</w:t>
            </w:r>
          </w:p>
        </w:tc>
        <w:tc>
          <w:tcPr>
            <w:tcW w:w="1559" w:type="dxa"/>
            <w:tcBorders>
              <w:top w:val="single" w:sz="4" w:space="0" w:color="auto"/>
              <w:left w:val="single" w:sz="4" w:space="0" w:color="auto"/>
              <w:bottom w:val="single" w:sz="4" w:space="0" w:color="auto"/>
              <w:right w:val="single" w:sz="4" w:space="0" w:color="auto"/>
            </w:tcBorders>
            <w:hideMark/>
          </w:tcPr>
          <w:p w:rsidR="006A4A22" w:rsidRDefault="006A4A22" w:rsidP="00C50302">
            <w:pPr>
              <w:tabs>
                <w:tab w:val="left" w:pos="0"/>
                <w:tab w:val="left" w:pos="213"/>
              </w:tabs>
              <w:rPr>
                <w:sz w:val="22"/>
                <w:szCs w:val="22"/>
                <w:lang w:eastAsia="fi-FI"/>
              </w:rPr>
            </w:pPr>
            <w:r>
              <w:rPr>
                <w:sz w:val="22"/>
                <w:szCs w:val="22"/>
                <w:lang w:eastAsia="fi-FI"/>
              </w:rPr>
              <w:t xml:space="preserve">Aggression </w:t>
            </w:r>
          </w:p>
        </w:tc>
        <w:tc>
          <w:tcPr>
            <w:tcW w:w="2275" w:type="dxa"/>
            <w:tcBorders>
              <w:top w:val="single" w:sz="4" w:space="0" w:color="auto"/>
              <w:left w:val="single" w:sz="4" w:space="0" w:color="auto"/>
              <w:bottom w:val="single" w:sz="4" w:space="0" w:color="auto"/>
              <w:right w:val="single" w:sz="4" w:space="0" w:color="auto"/>
            </w:tcBorders>
            <w:hideMark/>
          </w:tcPr>
          <w:p w:rsidR="006A4A22" w:rsidRPr="00BB5CF7" w:rsidRDefault="006A4A22" w:rsidP="00C50302">
            <w:pPr>
              <w:tabs>
                <w:tab w:val="left" w:pos="0"/>
                <w:tab w:val="left" w:pos="71"/>
              </w:tabs>
              <w:ind w:left="71"/>
              <w:rPr>
                <w:sz w:val="22"/>
                <w:szCs w:val="22"/>
                <w:lang w:eastAsia="fi-FI"/>
              </w:rPr>
            </w:pPr>
            <w:r>
              <w:rPr>
                <w:sz w:val="22"/>
                <w:szCs w:val="22"/>
                <w:lang w:val="sv-SE" w:eastAsia="fi-FI"/>
              </w:rPr>
              <w:t>Selvmordstanker</w:t>
            </w:r>
            <w:r>
              <w:rPr>
                <w:sz w:val="22"/>
                <w:szCs w:val="22"/>
                <w:vertAlign w:val="superscript"/>
                <w:lang w:val="sv-SE" w:eastAsia="fi-FI"/>
              </w:rPr>
              <w:t>6</w:t>
            </w:r>
            <w:r>
              <w:rPr>
                <w:sz w:val="22"/>
                <w:szCs w:val="22"/>
                <w:lang w:val="sv-SE" w:eastAsia="fi-FI"/>
              </w:rPr>
              <w:t>, selvmordsadfærd</w:t>
            </w:r>
            <w:r>
              <w:rPr>
                <w:sz w:val="22"/>
                <w:szCs w:val="22"/>
                <w:vertAlign w:val="superscript"/>
                <w:lang w:val="sv-SE" w:eastAsia="fi-FI"/>
              </w:rPr>
              <w:t>6</w:t>
            </w:r>
            <w:r w:rsidRPr="00C50302">
              <w:rPr>
                <w:sz w:val="22"/>
                <w:szCs w:val="22"/>
                <w:lang w:val="sv-SE" w:eastAsia="fi-FI"/>
              </w:rPr>
              <w:t>,</w:t>
            </w:r>
            <w:r>
              <w:rPr>
                <w:sz w:val="22"/>
                <w:szCs w:val="22"/>
                <w:lang w:val="sv-SE" w:eastAsia="fi-FI"/>
              </w:rPr>
              <w:t xml:space="preserve"> </w:t>
            </w:r>
            <w:r>
              <w:rPr>
                <w:sz w:val="22"/>
                <w:szCs w:val="22"/>
                <w:lang w:eastAsia="fi-FI"/>
              </w:rPr>
              <w:t>s</w:t>
            </w:r>
            <w:r w:rsidRPr="00BB5CF7">
              <w:rPr>
                <w:sz w:val="22"/>
                <w:szCs w:val="22"/>
                <w:lang w:eastAsia="fi-FI"/>
              </w:rPr>
              <w:t>omnambulisme</w:t>
            </w:r>
          </w:p>
          <w:p w:rsidR="006A4A22" w:rsidRDefault="006A4A22" w:rsidP="00C50302">
            <w:pPr>
              <w:tabs>
                <w:tab w:val="left" w:pos="0"/>
                <w:tab w:val="left" w:pos="71"/>
              </w:tabs>
              <w:ind w:left="71"/>
              <w:rPr>
                <w:sz w:val="22"/>
                <w:szCs w:val="22"/>
                <w:lang w:eastAsia="fi-FI"/>
              </w:rPr>
            </w:pPr>
          </w:p>
        </w:tc>
      </w:tr>
      <w:tr w:rsidR="006A4A22" w:rsidRPr="008B15B2" w:rsidTr="00C50302">
        <w:tc>
          <w:tcPr>
            <w:tcW w:w="1771" w:type="dxa"/>
            <w:tcBorders>
              <w:top w:val="single" w:sz="4" w:space="0" w:color="auto"/>
              <w:left w:val="single" w:sz="4" w:space="0" w:color="auto"/>
              <w:bottom w:val="single" w:sz="4" w:space="0" w:color="auto"/>
              <w:right w:val="single" w:sz="4" w:space="0" w:color="auto"/>
            </w:tcBorders>
            <w:hideMark/>
          </w:tcPr>
          <w:p w:rsidR="006A4A22" w:rsidRDefault="006A4A22" w:rsidP="00C50302">
            <w:pPr>
              <w:tabs>
                <w:tab w:val="left" w:pos="142"/>
              </w:tabs>
              <w:ind w:left="142"/>
              <w:rPr>
                <w:b/>
                <w:sz w:val="22"/>
                <w:szCs w:val="22"/>
              </w:rPr>
            </w:pPr>
            <w:r>
              <w:rPr>
                <w:b/>
                <w:sz w:val="22"/>
                <w:szCs w:val="22"/>
              </w:rPr>
              <w:lastRenderedPageBreak/>
              <w:t xml:space="preserve">Nervesystemet </w:t>
            </w:r>
          </w:p>
        </w:tc>
        <w:tc>
          <w:tcPr>
            <w:tcW w:w="1485" w:type="dxa"/>
            <w:tcBorders>
              <w:top w:val="single" w:sz="4" w:space="0" w:color="auto"/>
              <w:left w:val="single" w:sz="4" w:space="0" w:color="auto"/>
              <w:bottom w:val="single" w:sz="4" w:space="0" w:color="auto"/>
              <w:right w:val="single" w:sz="4" w:space="0" w:color="auto"/>
            </w:tcBorders>
            <w:hideMark/>
          </w:tcPr>
          <w:p w:rsidR="006A4A22" w:rsidRDefault="006A4A22" w:rsidP="00C50302">
            <w:pPr>
              <w:tabs>
                <w:tab w:val="left" w:pos="-142"/>
                <w:tab w:val="left" w:pos="71"/>
              </w:tabs>
              <w:rPr>
                <w:sz w:val="22"/>
                <w:szCs w:val="22"/>
                <w:lang w:eastAsia="fi-FI"/>
              </w:rPr>
            </w:pPr>
            <w:proofErr w:type="spellStart"/>
            <w:r>
              <w:rPr>
                <w:sz w:val="22"/>
                <w:szCs w:val="22"/>
                <w:lang w:eastAsia="fi-FI"/>
              </w:rPr>
              <w:t>Somnolens</w:t>
            </w:r>
            <w:proofErr w:type="spellEnd"/>
            <w:r>
              <w:rPr>
                <w:sz w:val="22"/>
                <w:szCs w:val="22"/>
                <w:lang w:eastAsia="fi-FI"/>
              </w:rPr>
              <w:t xml:space="preserve"> </w:t>
            </w:r>
            <w:r>
              <w:rPr>
                <w:sz w:val="22"/>
                <w:szCs w:val="22"/>
                <w:vertAlign w:val="superscript"/>
                <w:lang w:eastAsia="fi-FI"/>
              </w:rPr>
              <w:t>1,4</w:t>
            </w:r>
            <w:r>
              <w:rPr>
                <w:sz w:val="22"/>
                <w:szCs w:val="22"/>
                <w:lang w:eastAsia="fi-FI"/>
              </w:rPr>
              <w:t>, sedation</w:t>
            </w:r>
            <w:r>
              <w:rPr>
                <w:sz w:val="22"/>
                <w:szCs w:val="22"/>
                <w:vertAlign w:val="superscript"/>
                <w:lang w:eastAsia="fi-FI"/>
              </w:rPr>
              <w:t>1,4</w:t>
            </w:r>
            <w:r>
              <w:rPr>
                <w:sz w:val="22"/>
                <w:szCs w:val="22"/>
                <w:lang w:eastAsia="fi-FI"/>
              </w:rPr>
              <w:t>, hovedpine</w:t>
            </w:r>
            <w:r>
              <w:rPr>
                <w:sz w:val="22"/>
                <w:szCs w:val="22"/>
                <w:vertAlign w:val="superscript"/>
                <w:lang w:eastAsia="fi-FI"/>
              </w:rPr>
              <w:t>2</w:t>
            </w:r>
          </w:p>
        </w:tc>
        <w:tc>
          <w:tcPr>
            <w:tcW w:w="1559" w:type="dxa"/>
            <w:tcBorders>
              <w:top w:val="single" w:sz="4" w:space="0" w:color="auto"/>
              <w:left w:val="single" w:sz="4" w:space="0" w:color="auto"/>
              <w:bottom w:val="single" w:sz="4" w:space="0" w:color="auto"/>
              <w:right w:val="single" w:sz="4" w:space="0" w:color="auto"/>
            </w:tcBorders>
            <w:hideMark/>
          </w:tcPr>
          <w:p w:rsidR="006A4A22" w:rsidRDefault="006A4A22" w:rsidP="005C64F5">
            <w:pPr>
              <w:tabs>
                <w:tab w:val="left" w:pos="71"/>
              </w:tabs>
              <w:ind w:left="73"/>
              <w:rPr>
                <w:sz w:val="22"/>
                <w:szCs w:val="22"/>
                <w:lang w:eastAsia="fi-FI"/>
              </w:rPr>
            </w:pPr>
            <w:r>
              <w:rPr>
                <w:sz w:val="22"/>
                <w:szCs w:val="22"/>
                <w:lang w:eastAsia="fi-FI"/>
              </w:rPr>
              <w:t>Døsighed</w:t>
            </w:r>
            <w:r>
              <w:rPr>
                <w:sz w:val="22"/>
                <w:szCs w:val="22"/>
                <w:vertAlign w:val="superscript"/>
                <w:lang w:eastAsia="fi-FI"/>
              </w:rPr>
              <w:t>1</w:t>
            </w:r>
            <w:r>
              <w:rPr>
                <w:sz w:val="22"/>
                <w:szCs w:val="22"/>
                <w:lang w:eastAsia="fi-FI"/>
              </w:rPr>
              <w:t>,</w:t>
            </w:r>
          </w:p>
          <w:p w:rsidR="006A4A22" w:rsidRDefault="006A4A22" w:rsidP="005C64F5">
            <w:pPr>
              <w:tabs>
                <w:tab w:val="left" w:pos="71"/>
              </w:tabs>
              <w:ind w:left="73"/>
              <w:rPr>
                <w:sz w:val="22"/>
                <w:szCs w:val="22"/>
                <w:lang w:eastAsia="fi-FI"/>
              </w:rPr>
            </w:pPr>
            <w:r>
              <w:rPr>
                <w:sz w:val="22"/>
                <w:szCs w:val="22"/>
                <w:lang w:eastAsia="fi-FI"/>
              </w:rPr>
              <w:t>svimmelhed,</w:t>
            </w:r>
          </w:p>
          <w:p w:rsidR="006A4A22" w:rsidRDefault="006A4A22" w:rsidP="005C64F5">
            <w:pPr>
              <w:tabs>
                <w:tab w:val="left" w:pos="71"/>
              </w:tabs>
              <w:ind w:left="73"/>
              <w:rPr>
                <w:sz w:val="22"/>
                <w:szCs w:val="22"/>
                <w:lang w:eastAsia="fi-FI"/>
              </w:rPr>
            </w:pPr>
            <w:proofErr w:type="spellStart"/>
            <w:r>
              <w:rPr>
                <w:sz w:val="22"/>
                <w:szCs w:val="22"/>
                <w:lang w:eastAsia="fi-FI"/>
              </w:rPr>
              <w:t>tremor</w:t>
            </w:r>
            <w:proofErr w:type="spellEnd"/>
            <w:r>
              <w:rPr>
                <w:sz w:val="22"/>
                <w:szCs w:val="22"/>
                <w:lang w:eastAsia="fi-FI"/>
              </w:rPr>
              <w:t xml:space="preserve">, </w:t>
            </w:r>
            <w:r w:rsidRPr="000954F3">
              <w:rPr>
                <w:sz w:val="22"/>
                <w:szCs w:val="22"/>
                <w:lang w:eastAsia="fi-FI"/>
              </w:rPr>
              <w:t>hukommelses</w:t>
            </w:r>
            <w:r w:rsidR="005C64F5">
              <w:rPr>
                <w:sz w:val="22"/>
                <w:szCs w:val="22"/>
                <w:lang w:eastAsia="fi-FI"/>
              </w:rPr>
              <w:softHyphen/>
            </w:r>
            <w:r w:rsidRPr="000954F3">
              <w:rPr>
                <w:sz w:val="22"/>
                <w:szCs w:val="22"/>
                <w:lang w:eastAsia="fi-FI"/>
              </w:rPr>
              <w:t>tab</w:t>
            </w:r>
            <w:r w:rsidRPr="000954F3">
              <w:rPr>
                <w:sz w:val="22"/>
                <w:szCs w:val="22"/>
                <w:vertAlign w:val="superscript"/>
                <w:lang w:eastAsia="fi-FI"/>
              </w:rPr>
              <w:t>7</w:t>
            </w:r>
          </w:p>
        </w:tc>
        <w:tc>
          <w:tcPr>
            <w:tcW w:w="1701" w:type="dxa"/>
            <w:tcBorders>
              <w:top w:val="single" w:sz="4" w:space="0" w:color="auto"/>
              <w:left w:val="single" w:sz="4" w:space="0" w:color="auto"/>
              <w:bottom w:val="single" w:sz="4" w:space="0" w:color="auto"/>
              <w:right w:val="single" w:sz="4" w:space="0" w:color="auto"/>
            </w:tcBorders>
          </w:tcPr>
          <w:p w:rsidR="006A4A22" w:rsidRDefault="006A4A22" w:rsidP="00C50302">
            <w:pPr>
              <w:tabs>
                <w:tab w:val="left" w:pos="0"/>
              </w:tabs>
              <w:rPr>
                <w:sz w:val="22"/>
                <w:szCs w:val="22"/>
                <w:lang w:eastAsia="fi-FI"/>
              </w:rPr>
            </w:pPr>
            <w:r>
              <w:rPr>
                <w:sz w:val="22"/>
                <w:szCs w:val="22"/>
                <w:lang w:eastAsia="fi-FI"/>
              </w:rPr>
              <w:t>Paræstesi</w:t>
            </w:r>
            <w:r>
              <w:rPr>
                <w:sz w:val="22"/>
                <w:szCs w:val="22"/>
                <w:vertAlign w:val="superscript"/>
                <w:lang w:eastAsia="fi-FI"/>
              </w:rPr>
              <w:t>2</w:t>
            </w:r>
            <w:r>
              <w:rPr>
                <w:sz w:val="22"/>
                <w:szCs w:val="22"/>
                <w:lang w:eastAsia="fi-FI"/>
              </w:rPr>
              <w:t xml:space="preserve">, uro i benene, synkope </w:t>
            </w:r>
          </w:p>
          <w:p w:rsidR="006A4A22" w:rsidRDefault="006A4A22" w:rsidP="00C50302">
            <w:pPr>
              <w:tabs>
                <w:tab w:val="left" w:pos="0"/>
              </w:tabs>
              <w:rPr>
                <w:sz w:val="22"/>
                <w:szCs w:val="22"/>
                <w:lang w:eastAsia="fi-FI"/>
              </w:rPr>
            </w:pPr>
          </w:p>
        </w:tc>
        <w:tc>
          <w:tcPr>
            <w:tcW w:w="1559" w:type="dxa"/>
            <w:tcBorders>
              <w:top w:val="single" w:sz="4" w:space="0" w:color="auto"/>
              <w:left w:val="single" w:sz="4" w:space="0" w:color="auto"/>
              <w:bottom w:val="single" w:sz="4" w:space="0" w:color="auto"/>
              <w:right w:val="single" w:sz="4" w:space="0" w:color="auto"/>
            </w:tcBorders>
            <w:hideMark/>
          </w:tcPr>
          <w:p w:rsidR="006A4A22" w:rsidRDefault="006A4A22" w:rsidP="00C50302">
            <w:pPr>
              <w:tabs>
                <w:tab w:val="left" w:pos="0"/>
              </w:tabs>
              <w:rPr>
                <w:sz w:val="22"/>
                <w:szCs w:val="22"/>
                <w:lang w:val="en-US" w:eastAsia="fi-FI"/>
              </w:rPr>
            </w:pPr>
            <w:proofErr w:type="spellStart"/>
            <w:r>
              <w:rPr>
                <w:sz w:val="22"/>
                <w:szCs w:val="22"/>
                <w:lang w:val="en-US" w:eastAsia="fi-FI"/>
              </w:rPr>
              <w:t>Myoklonus</w:t>
            </w:r>
            <w:proofErr w:type="spellEnd"/>
          </w:p>
        </w:tc>
        <w:tc>
          <w:tcPr>
            <w:tcW w:w="2275" w:type="dxa"/>
            <w:tcBorders>
              <w:top w:val="single" w:sz="4" w:space="0" w:color="auto"/>
              <w:left w:val="single" w:sz="4" w:space="0" w:color="auto"/>
              <w:bottom w:val="single" w:sz="4" w:space="0" w:color="auto"/>
              <w:right w:val="single" w:sz="4" w:space="0" w:color="auto"/>
            </w:tcBorders>
            <w:hideMark/>
          </w:tcPr>
          <w:p w:rsidR="006A4A22" w:rsidRDefault="006A4A22" w:rsidP="00C50302">
            <w:pPr>
              <w:tabs>
                <w:tab w:val="left" w:pos="71"/>
              </w:tabs>
              <w:ind w:left="71"/>
              <w:rPr>
                <w:sz w:val="22"/>
                <w:szCs w:val="22"/>
                <w:lang w:val="sv-SE" w:eastAsia="fi-FI"/>
              </w:rPr>
            </w:pPr>
            <w:r>
              <w:rPr>
                <w:sz w:val="22"/>
                <w:szCs w:val="22"/>
                <w:lang w:val="sv-SE" w:eastAsia="fi-FI"/>
              </w:rPr>
              <w:t>Kramper (</w:t>
            </w:r>
            <w:proofErr w:type="spellStart"/>
            <w:r>
              <w:rPr>
                <w:sz w:val="22"/>
                <w:szCs w:val="22"/>
                <w:lang w:val="sv-SE" w:eastAsia="fi-FI"/>
              </w:rPr>
              <w:t>anfald</w:t>
            </w:r>
            <w:proofErr w:type="spellEnd"/>
            <w:r>
              <w:rPr>
                <w:sz w:val="22"/>
                <w:szCs w:val="22"/>
                <w:lang w:val="sv-SE" w:eastAsia="fi-FI"/>
              </w:rPr>
              <w:t xml:space="preserve">), </w:t>
            </w:r>
            <w:proofErr w:type="spellStart"/>
            <w:r>
              <w:rPr>
                <w:sz w:val="22"/>
                <w:szCs w:val="22"/>
                <w:lang w:val="sv-SE" w:eastAsia="fi-FI"/>
              </w:rPr>
              <w:t>serotonergt</w:t>
            </w:r>
            <w:proofErr w:type="spellEnd"/>
            <w:r>
              <w:rPr>
                <w:sz w:val="22"/>
                <w:szCs w:val="22"/>
                <w:lang w:val="sv-SE" w:eastAsia="fi-FI"/>
              </w:rPr>
              <w:t xml:space="preserve"> syndrom, oral </w:t>
            </w:r>
            <w:proofErr w:type="spellStart"/>
            <w:r>
              <w:rPr>
                <w:sz w:val="22"/>
                <w:szCs w:val="22"/>
                <w:lang w:val="sv-SE" w:eastAsia="fi-FI"/>
              </w:rPr>
              <w:t>paræstesi</w:t>
            </w:r>
            <w:proofErr w:type="spellEnd"/>
            <w:r>
              <w:rPr>
                <w:sz w:val="22"/>
                <w:szCs w:val="22"/>
                <w:lang w:val="sv-SE" w:eastAsia="fi-FI"/>
              </w:rPr>
              <w:t xml:space="preserve">, </w:t>
            </w:r>
            <w:proofErr w:type="spellStart"/>
            <w:r>
              <w:rPr>
                <w:sz w:val="22"/>
                <w:szCs w:val="22"/>
                <w:lang w:val="sv-SE" w:eastAsia="fi-FI"/>
              </w:rPr>
              <w:t>dysartri</w:t>
            </w:r>
            <w:proofErr w:type="spellEnd"/>
          </w:p>
        </w:tc>
      </w:tr>
      <w:tr w:rsidR="006A4A22" w:rsidTr="00C50302">
        <w:tc>
          <w:tcPr>
            <w:tcW w:w="1771" w:type="dxa"/>
            <w:tcBorders>
              <w:top w:val="single" w:sz="4" w:space="0" w:color="auto"/>
              <w:left w:val="single" w:sz="4" w:space="0" w:color="auto"/>
              <w:bottom w:val="single" w:sz="4" w:space="0" w:color="auto"/>
              <w:right w:val="single" w:sz="4" w:space="0" w:color="auto"/>
            </w:tcBorders>
            <w:hideMark/>
          </w:tcPr>
          <w:p w:rsidR="006A4A22" w:rsidRDefault="006A4A22" w:rsidP="00C50302">
            <w:pPr>
              <w:tabs>
                <w:tab w:val="left" w:pos="142"/>
              </w:tabs>
              <w:ind w:left="142"/>
              <w:rPr>
                <w:b/>
                <w:sz w:val="22"/>
                <w:szCs w:val="22"/>
              </w:rPr>
            </w:pPr>
            <w:proofErr w:type="spellStart"/>
            <w:r>
              <w:rPr>
                <w:b/>
                <w:sz w:val="22"/>
                <w:szCs w:val="22"/>
              </w:rPr>
              <w:t>Vaskulære</w:t>
            </w:r>
            <w:proofErr w:type="spellEnd"/>
            <w:r>
              <w:rPr>
                <w:b/>
                <w:sz w:val="22"/>
                <w:szCs w:val="22"/>
              </w:rPr>
              <w:t xml:space="preserve"> sygdomme</w:t>
            </w:r>
          </w:p>
        </w:tc>
        <w:tc>
          <w:tcPr>
            <w:tcW w:w="1485" w:type="dxa"/>
            <w:tcBorders>
              <w:top w:val="single" w:sz="4" w:space="0" w:color="auto"/>
              <w:left w:val="single" w:sz="4" w:space="0" w:color="auto"/>
              <w:bottom w:val="single" w:sz="4" w:space="0" w:color="auto"/>
              <w:right w:val="single" w:sz="4" w:space="0" w:color="auto"/>
            </w:tcBorders>
          </w:tcPr>
          <w:p w:rsidR="006A4A22" w:rsidRDefault="006A4A22" w:rsidP="00C50302">
            <w:pPr>
              <w:tabs>
                <w:tab w:val="left" w:pos="-142"/>
                <w:tab w:val="left" w:pos="71"/>
              </w:tabs>
              <w:rPr>
                <w:sz w:val="22"/>
                <w:szCs w:val="22"/>
                <w:lang w:eastAsia="fi-FI"/>
              </w:rPr>
            </w:pPr>
          </w:p>
        </w:tc>
        <w:tc>
          <w:tcPr>
            <w:tcW w:w="1559" w:type="dxa"/>
            <w:tcBorders>
              <w:top w:val="single" w:sz="4" w:space="0" w:color="auto"/>
              <w:left w:val="single" w:sz="4" w:space="0" w:color="auto"/>
              <w:bottom w:val="single" w:sz="4" w:space="0" w:color="auto"/>
              <w:right w:val="single" w:sz="4" w:space="0" w:color="auto"/>
            </w:tcBorders>
            <w:hideMark/>
          </w:tcPr>
          <w:p w:rsidR="006A4A22" w:rsidRDefault="006A4A22" w:rsidP="005C64F5">
            <w:pPr>
              <w:tabs>
                <w:tab w:val="left" w:pos="71"/>
              </w:tabs>
              <w:ind w:left="73"/>
              <w:rPr>
                <w:sz w:val="22"/>
                <w:szCs w:val="22"/>
                <w:lang w:eastAsia="fi-FI"/>
              </w:rPr>
            </w:pPr>
            <w:proofErr w:type="spellStart"/>
            <w:r>
              <w:rPr>
                <w:sz w:val="22"/>
                <w:szCs w:val="22"/>
                <w:lang w:eastAsia="fi-FI"/>
              </w:rPr>
              <w:t>Ortostatisk</w:t>
            </w:r>
            <w:proofErr w:type="spellEnd"/>
            <w:r>
              <w:rPr>
                <w:sz w:val="22"/>
                <w:szCs w:val="22"/>
                <w:lang w:eastAsia="fi-FI"/>
              </w:rPr>
              <w:t xml:space="preserve"> hypotension </w:t>
            </w:r>
          </w:p>
        </w:tc>
        <w:tc>
          <w:tcPr>
            <w:tcW w:w="1701" w:type="dxa"/>
            <w:tcBorders>
              <w:top w:val="single" w:sz="4" w:space="0" w:color="auto"/>
              <w:left w:val="single" w:sz="4" w:space="0" w:color="auto"/>
              <w:bottom w:val="single" w:sz="4" w:space="0" w:color="auto"/>
              <w:right w:val="single" w:sz="4" w:space="0" w:color="auto"/>
            </w:tcBorders>
            <w:hideMark/>
          </w:tcPr>
          <w:p w:rsidR="006A4A22" w:rsidRDefault="006A4A22" w:rsidP="00C50302">
            <w:pPr>
              <w:tabs>
                <w:tab w:val="left" w:pos="0"/>
              </w:tabs>
              <w:rPr>
                <w:sz w:val="22"/>
                <w:szCs w:val="22"/>
                <w:lang w:eastAsia="fi-FI"/>
              </w:rPr>
            </w:pPr>
            <w:r>
              <w:rPr>
                <w:sz w:val="22"/>
                <w:szCs w:val="22"/>
                <w:lang w:eastAsia="fi-FI"/>
              </w:rPr>
              <w:t>Hypotension</w:t>
            </w:r>
            <w:r>
              <w:rPr>
                <w:sz w:val="22"/>
                <w:szCs w:val="22"/>
                <w:vertAlign w:val="superscript"/>
                <w:lang w:eastAsia="fi-FI"/>
              </w:rPr>
              <w:t xml:space="preserve">2 </w:t>
            </w:r>
          </w:p>
        </w:tc>
        <w:tc>
          <w:tcPr>
            <w:tcW w:w="1559" w:type="dxa"/>
            <w:tcBorders>
              <w:top w:val="single" w:sz="4" w:space="0" w:color="auto"/>
              <w:left w:val="single" w:sz="4" w:space="0" w:color="auto"/>
              <w:bottom w:val="single" w:sz="4" w:space="0" w:color="auto"/>
              <w:right w:val="single" w:sz="4" w:space="0" w:color="auto"/>
            </w:tcBorders>
          </w:tcPr>
          <w:p w:rsidR="006A4A22" w:rsidRDefault="006A4A22" w:rsidP="00C50302">
            <w:pPr>
              <w:tabs>
                <w:tab w:val="left" w:pos="0"/>
              </w:tabs>
              <w:rPr>
                <w:sz w:val="22"/>
                <w:szCs w:val="22"/>
                <w:lang w:eastAsia="fi-FI"/>
              </w:rPr>
            </w:pPr>
          </w:p>
        </w:tc>
        <w:tc>
          <w:tcPr>
            <w:tcW w:w="2275" w:type="dxa"/>
            <w:tcBorders>
              <w:top w:val="single" w:sz="4" w:space="0" w:color="auto"/>
              <w:left w:val="single" w:sz="4" w:space="0" w:color="auto"/>
              <w:bottom w:val="single" w:sz="4" w:space="0" w:color="auto"/>
              <w:right w:val="single" w:sz="4" w:space="0" w:color="auto"/>
            </w:tcBorders>
          </w:tcPr>
          <w:p w:rsidR="006A4A22" w:rsidRDefault="006A4A22" w:rsidP="00C50302">
            <w:pPr>
              <w:tabs>
                <w:tab w:val="left" w:pos="71"/>
              </w:tabs>
              <w:ind w:left="71"/>
              <w:rPr>
                <w:sz w:val="22"/>
                <w:szCs w:val="22"/>
                <w:lang w:val="sv-SE" w:eastAsia="fi-FI"/>
              </w:rPr>
            </w:pPr>
          </w:p>
        </w:tc>
      </w:tr>
      <w:tr w:rsidR="006A4A22" w:rsidTr="00C50302">
        <w:tc>
          <w:tcPr>
            <w:tcW w:w="1771" w:type="dxa"/>
            <w:tcBorders>
              <w:top w:val="single" w:sz="4" w:space="0" w:color="auto"/>
              <w:left w:val="single" w:sz="4" w:space="0" w:color="auto"/>
              <w:bottom w:val="single" w:sz="4" w:space="0" w:color="auto"/>
              <w:right w:val="single" w:sz="4" w:space="0" w:color="auto"/>
            </w:tcBorders>
            <w:hideMark/>
          </w:tcPr>
          <w:p w:rsidR="006A4A22" w:rsidRDefault="006A4A22" w:rsidP="00C50302">
            <w:pPr>
              <w:tabs>
                <w:tab w:val="left" w:pos="142"/>
              </w:tabs>
              <w:ind w:left="142"/>
              <w:rPr>
                <w:b/>
                <w:sz w:val="22"/>
                <w:szCs w:val="22"/>
              </w:rPr>
            </w:pPr>
            <w:r>
              <w:rPr>
                <w:b/>
                <w:sz w:val="22"/>
                <w:szCs w:val="22"/>
              </w:rPr>
              <w:t>Mave-tarm-kanalen</w:t>
            </w:r>
          </w:p>
        </w:tc>
        <w:tc>
          <w:tcPr>
            <w:tcW w:w="1485" w:type="dxa"/>
            <w:tcBorders>
              <w:top w:val="single" w:sz="4" w:space="0" w:color="auto"/>
              <w:left w:val="single" w:sz="4" w:space="0" w:color="auto"/>
              <w:bottom w:val="single" w:sz="4" w:space="0" w:color="auto"/>
              <w:right w:val="single" w:sz="4" w:space="0" w:color="auto"/>
            </w:tcBorders>
            <w:hideMark/>
          </w:tcPr>
          <w:p w:rsidR="006A4A22" w:rsidRDefault="006A4A22" w:rsidP="00C50302">
            <w:pPr>
              <w:tabs>
                <w:tab w:val="left" w:pos="71"/>
              </w:tabs>
              <w:rPr>
                <w:sz w:val="22"/>
                <w:szCs w:val="22"/>
                <w:lang w:eastAsia="fi-FI"/>
              </w:rPr>
            </w:pPr>
            <w:r>
              <w:rPr>
                <w:sz w:val="22"/>
                <w:szCs w:val="22"/>
                <w:lang w:eastAsia="fi-FI"/>
              </w:rPr>
              <w:t xml:space="preserve">Mundtørhed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4A22" w:rsidRDefault="006A4A22" w:rsidP="005C64F5">
            <w:pPr>
              <w:tabs>
                <w:tab w:val="left" w:pos="71"/>
              </w:tabs>
              <w:ind w:left="73"/>
              <w:rPr>
                <w:sz w:val="22"/>
                <w:szCs w:val="22"/>
                <w:lang w:eastAsia="fi-FI"/>
              </w:rPr>
            </w:pPr>
            <w:r>
              <w:rPr>
                <w:sz w:val="22"/>
                <w:szCs w:val="22"/>
                <w:lang w:eastAsia="fi-FI"/>
              </w:rPr>
              <w:t>Kvalme</w:t>
            </w:r>
            <w:r>
              <w:rPr>
                <w:sz w:val="22"/>
                <w:szCs w:val="22"/>
                <w:vertAlign w:val="superscript"/>
                <w:lang w:eastAsia="fi-FI"/>
              </w:rPr>
              <w:t>3</w:t>
            </w:r>
            <w:r>
              <w:rPr>
                <w:sz w:val="22"/>
                <w:szCs w:val="22"/>
                <w:lang w:eastAsia="fi-FI"/>
              </w:rPr>
              <w:t>, diarré</w:t>
            </w:r>
            <w:r>
              <w:rPr>
                <w:sz w:val="22"/>
                <w:szCs w:val="22"/>
                <w:vertAlign w:val="superscript"/>
                <w:lang w:eastAsia="fi-FI"/>
              </w:rPr>
              <w:t>2</w:t>
            </w:r>
            <w:r>
              <w:rPr>
                <w:sz w:val="22"/>
                <w:szCs w:val="22"/>
                <w:lang w:eastAsia="fi-FI"/>
              </w:rPr>
              <w:t>, opkastning</w:t>
            </w:r>
            <w:r>
              <w:rPr>
                <w:sz w:val="22"/>
                <w:szCs w:val="22"/>
                <w:vertAlign w:val="superscript"/>
                <w:lang w:eastAsia="fi-FI"/>
              </w:rPr>
              <w:t>2</w:t>
            </w:r>
            <w:r>
              <w:rPr>
                <w:sz w:val="22"/>
                <w:szCs w:val="22"/>
                <w:lang w:eastAsia="fi-FI"/>
              </w:rPr>
              <w:t>,</w:t>
            </w:r>
          </w:p>
          <w:p w:rsidR="006A4A22" w:rsidRDefault="006A4A22" w:rsidP="005C64F5">
            <w:pPr>
              <w:tabs>
                <w:tab w:val="left" w:pos="71"/>
              </w:tabs>
              <w:ind w:left="73"/>
              <w:rPr>
                <w:sz w:val="22"/>
                <w:szCs w:val="22"/>
                <w:lang w:eastAsia="fi-FI"/>
              </w:rPr>
            </w:pPr>
            <w:r>
              <w:rPr>
                <w:sz w:val="22"/>
                <w:szCs w:val="22"/>
                <w:lang w:eastAsia="fi-FI"/>
              </w:rPr>
              <w:t>forstoppelse</w:t>
            </w:r>
            <w:r>
              <w:rPr>
                <w:sz w:val="22"/>
                <w:szCs w:val="22"/>
                <w:vertAlign w:val="superscript"/>
                <w:lang w:eastAsia="fi-FI"/>
              </w:rPr>
              <w:t>1</w:t>
            </w:r>
          </w:p>
        </w:tc>
        <w:tc>
          <w:tcPr>
            <w:tcW w:w="1701" w:type="dxa"/>
            <w:tcBorders>
              <w:top w:val="single" w:sz="4" w:space="0" w:color="auto"/>
              <w:left w:val="single" w:sz="4" w:space="0" w:color="auto"/>
              <w:bottom w:val="single" w:sz="4" w:space="0" w:color="auto"/>
              <w:right w:val="single" w:sz="4" w:space="0" w:color="auto"/>
            </w:tcBorders>
            <w:hideMark/>
          </w:tcPr>
          <w:p w:rsidR="006A4A22" w:rsidRDefault="006A4A22" w:rsidP="00C50302">
            <w:pPr>
              <w:tabs>
                <w:tab w:val="left" w:pos="0"/>
              </w:tabs>
              <w:rPr>
                <w:sz w:val="22"/>
                <w:szCs w:val="22"/>
                <w:lang w:eastAsia="fi-FI"/>
              </w:rPr>
            </w:pPr>
            <w:r>
              <w:rPr>
                <w:sz w:val="22"/>
                <w:szCs w:val="22"/>
                <w:lang w:eastAsia="fi-FI"/>
              </w:rPr>
              <w:t xml:space="preserve">Oral </w:t>
            </w:r>
            <w:proofErr w:type="spellStart"/>
            <w:r>
              <w:rPr>
                <w:sz w:val="22"/>
                <w:szCs w:val="22"/>
                <w:lang w:eastAsia="fi-FI"/>
              </w:rPr>
              <w:t>hypæstesi</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6A4A22" w:rsidRDefault="006A4A22" w:rsidP="00C50302">
            <w:pPr>
              <w:tabs>
                <w:tab w:val="left" w:pos="0"/>
                <w:tab w:val="left" w:pos="213"/>
              </w:tabs>
              <w:rPr>
                <w:sz w:val="22"/>
                <w:szCs w:val="22"/>
                <w:lang w:eastAsia="fi-FI"/>
              </w:rPr>
            </w:pPr>
            <w:proofErr w:type="spellStart"/>
            <w:r>
              <w:rPr>
                <w:sz w:val="22"/>
                <w:szCs w:val="22"/>
                <w:lang w:eastAsia="fi-FI"/>
              </w:rPr>
              <w:t>Pankreatitis</w:t>
            </w:r>
            <w:proofErr w:type="spellEnd"/>
            <w:r>
              <w:rPr>
                <w:sz w:val="22"/>
                <w:szCs w:val="22"/>
                <w:lang w:eastAsia="fi-FI"/>
              </w:rPr>
              <w:t xml:space="preserve"> </w:t>
            </w:r>
          </w:p>
        </w:tc>
        <w:tc>
          <w:tcPr>
            <w:tcW w:w="2275" w:type="dxa"/>
            <w:tcBorders>
              <w:top w:val="single" w:sz="4" w:space="0" w:color="auto"/>
              <w:left w:val="single" w:sz="4" w:space="0" w:color="auto"/>
              <w:bottom w:val="single" w:sz="4" w:space="0" w:color="auto"/>
              <w:right w:val="single" w:sz="4" w:space="0" w:color="auto"/>
            </w:tcBorders>
            <w:hideMark/>
          </w:tcPr>
          <w:p w:rsidR="006A4A22" w:rsidRDefault="006A4A22" w:rsidP="00C50302">
            <w:pPr>
              <w:tabs>
                <w:tab w:val="left" w:pos="71"/>
              </w:tabs>
              <w:ind w:left="71"/>
              <w:rPr>
                <w:sz w:val="22"/>
                <w:szCs w:val="22"/>
                <w:lang w:eastAsia="fi-FI"/>
              </w:rPr>
            </w:pPr>
            <w:r>
              <w:rPr>
                <w:sz w:val="22"/>
                <w:szCs w:val="22"/>
                <w:lang w:eastAsia="fi-FI"/>
              </w:rPr>
              <w:t>Mundødem, øget spytafsondring</w:t>
            </w:r>
          </w:p>
        </w:tc>
      </w:tr>
      <w:tr w:rsidR="006A4A22" w:rsidTr="00C50302">
        <w:tc>
          <w:tcPr>
            <w:tcW w:w="1771" w:type="dxa"/>
            <w:tcBorders>
              <w:top w:val="single" w:sz="4" w:space="0" w:color="auto"/>
              <w:left w:val="single" w:sz="4" w:space="0" w:color="auto"/>
              <w:bottom w:val="single" w:sz="4" w:space="0" w:color="auto"/>
              <w:right w:val="single" w:sz="4" w:space="0" w:color="auto"/>
            </w:tcBorders>
            <w:hideMark/>
          </w:tcPr>
          <w:p w:rsidR="006A4A22" w:rsidRDefault="006A4A22" w:rsidP="00C50302">
            <w:pPr>
              <w:tabs>
                <w:tab w:val="left" w:pos="142"/>
              </w:tabs>
              <w:ind w:left="142"/>
              <w:rPr>
                <w:b/>
                <w:sz w:val="22"/>
                <w:szCs w:val="22"/>
              </w:rPr>
            </w:pPr>
            <w:r>
              <w:rPr>
                <w:b/>
                <w:sz w:val="22"/>
                <w:szCs w:val="22"/>
              </w:rPr>
              <w:t>Lever og galdeveje</w:t>
            </w:r>
          </w:p>
        </w:tc>
        <w:tc>
          <w:tcPr>
            <w:tcW w:w="1485" w:type="dxa"/>
            <w:tcBorders>
              <w:top w:val="single" w:sz="4" w:space="0" w:color="auto"/>
              <w:left w:val="single" w:sz="4" w:space="0" w:color="auto"/>
              <w:bottom w:val="single" w:sz="4" w:space="0" w:color="auto"/>
              <w:right w:val="single" w:sz="4" w:space="0" w:color="auto"/>
            </w:tcBorders>
          </w:tcPr>
          <w:p w:rsidR="006A4A22" w:rsidRDefault="006A4A22" w:rsidP="00C50302">
            <w:pPr>
              <w:tabs>
                <w:tab w:val="left" w:pos="71"/>
              </w:tabs>
              <w:rPr>
                <w:sz w:val="22"/>
                <w:szCs w:val="22"/>
                <w:lang w:eastAsia="fi-FI"/>
              </w:rPr>
            </w:pPr>
          </w:p>
        </w:tc>
        <w:tc>
          <w:tcPr>
            <w:tcW w:w="1559" w:type="dxa"/>
            <w:tcBorders>
              <w:top w:val="single" w:sz="4" w:space="0" w:color="auto"/>
              <w:left w:val="single" w:sz="4" w:space="0" w:color="auto"/>
              <w:bottom w:val="single" w:sz="4" w:space="0" w:color="auto"/>
              <w:right w:val="single" w:sz="4" w:space="0" w:color="auto"/>
            </w:tcBorders>
            <w:vAlign w:val="center"/>
          </w:tcPr>
          <w:p w:rsidR="006A4A22" w:rsidRDefault="006A4A22" w:rsidP="005C64F5">
            <w:pPr>
              <w:tabs>
                <w:tab w:val="left" w:pos="71"/>
              </w:tabs>
              <w:ind w:left="73"/>
              <w:rPr>
                <w:sz w:val="22"/>
                <w:szCs w:val="22"/>
                <w:lang w:eastAsia="fi-FI"/>
              </w:rPr>
            </w:pPr>
          </w:p>
        </w:tc>
        <w:tc>
          <w:tcPr>
            <w:tcW w:w="1701" w:type="dxa"/>
            <w:tcBorders>
              <w:top w:val="single" w:sz="4" w:space="0" w:color="auto"/>
              <w:left w:val="single" w:sz="4" w:space="0" w:color="auto"/>
              <w:bottom w:val="single" w:sz="4" w:space="0" w:color="auto"/>
              <w:right w:val="single" w:sz="4" w:space="0" w:color="auto"/>
            </w:tcBorders>
          </w:tcPr>
          <w:p w:rsidR="006A4A22" w:rsidRDefault="006A4A22" w:rsidP="00C50302">
            <w:pPr>
              <w:tabs>
                <w:tab w:val="left" w:pos="0"/>
              </w:tabs>
              <w:rPr>
                <w:sz w:val="22"/>
                <w:szCs w:val="22"/>
                <w:lang w:eastAsia="fi-FI"/>
              </w:rPr>
            </w:pPr>
          </w:p>
        </w:tc>
        <w:tc>
          <w:tcPr>
            <w:tcW w:w="1559" w:type="dxa"/>
            <w:tcBorders>
              <w:top w:val="single" w:sz="4" w:space="0" w:color="auto"/>
              <w:left w:val="single" w:sz="4" w:space="0" w:color="auto"/>
              <w:bottom w:val="single" w:sz="4" w:space="0" w:color="auto"/>
              <w:right w:val="single" w:sz="4" w:space="0" w:color="auto"/>
            </w:tcBorders>
            <w:hideMark/>
          </w:tcPr>
          <w:p w:rsidR="006A4A22" w:rsidRDefault="006A4A22" w:rsidP="00C50302">
            <w:pPr>
              <w:tabs>
                <w:tab w:val="left" w:pos="0"/>
                <w:tab w:val="left" w:pos="213"/>
              </w:tabs>
              <w:rPr>
                <w:sz w:val="22"/>
                <w:szCs w:val="22"/>
                <w:lang w:eastAsia="fi-FI"/>
              </w:rPr>
            </w:pPr>
            <w:r>
              <w:rPr>
                <w:sz w:val="22"/>
                <w:szCs w:val="22"/>
                <w:lang w:eastAsia="fi-FI"/>
              </w:rPr>
              <w:t xml:space="preserve">Forøget </w:t>
            </w:r>
            <w:proofErr w:type="spellStart"/>
            <w:r>
              <w:rPr>
                <w:sz w:val="22"/>
                <w:szCs w:val="22"/>
                <w:lang w:eastAsia="fi-FI"/>
              </w:rPr>
              <w:t>serumtransami-nase</w:t>
            </w:r>
            <w:proofErr w:type="spellEnd"/>
            <w:r>
              <w:rPr>
                <w:sz w:val="22"/>
                <w:szCs w:val="22"/>
                <w:lang w:eastAsia="fi-FI"/>
              </w:rPr>
              <w:t xml:space="preserve"> aktivitet</w:t>
            </w:r>
          </w:p>
        </w:tc>
        <w:tc>
          <w:tcPr>
            <w:tcW w:w="2275" w:type="dxa"/>
            <w:tcBorders>
              <w:top w:val="single" w:sz="4" w:space="0" w:color="auto"/>
              <w:left w:val="single" w:sz="4" w:space="0" w:color="auto"/>
              <w:bottom w:val="single" w:sz="4" w:space="0" w:color="auto"/>
              <w:right w:val="single" w:sz="4" w:space="0" w:color="auto"/>
            </w:tcBorders>
          </w:tcPr>
          <w:p w:rsidR="006A4A22" w:rsidRDefault="006A4A22" w:rsidP="00C50302">
            <w:pPr>
              <w:tabs>
                <w:tab w:val="left" w:pos="71"/>
              </w:tabs>
              <w:ind w:left="71"/>
              <w:rPr>
                <w:sz w:val="22"/>
                <w:szCs w:val="22"/>
                <w:lang w:eastAsia="fi-FI"/>
              </w:rPr>
            </w:pPr>
          </w:p>
        </w:tc>
      </w:tr>
      <w:tr w:rsidR="006A4A22" w:rsidTr="00C50302">
        <w:tc>
          <w:tcPr>
            <w:tcW w:w="1771" w:type="dxa"/>
            <w:tcBorders>
              <w:top w:val="single" w:sz="4" w:space="0" w:color="auto"/>
              <w:left w:val="single" w:sz="4" w:space="0" w:color="auto"/>
              <w:bottom w:val="single" w:sz="4" w:space="0" w:color="auto"/>
              <w:right w:val="single" w:sz="4" w:space="0" w:color="auto"/>
            </w:tcBorders>
            <w:hideMark/>
          </w:tcPr>
          <w:p w:rsidR="006A4A22" w:rsidRDefault="006A4A22" w:rsidP="00C50302">
            <w:pPr>
              <w:tabs>
                <w:tab w:val="left" w:pos="142"/>
              </w:tabs>
              <w:ind w:left="142"/>
              <w:rPr>
                <w:b/>
                <w:sz w:val="22"/>
                <w:szCs w:val="22"/>
              </w:rPr>
            </w:pPr>
            <w:r>
              <w:rPr>
                <w:b/>
                <w:sz w:val="22"/>
                <w:szCs w:val="22"/>
              </w:rPr>
              <w:t>Hud og subkutane væv</w:t>
            </w:r>
          </w:p>
        </w:tc>
        <w:tc>
          <w:tcPr>
            <w:tcW w:w="1485" w:type="dxa"/>
            <w:tcBorders>
              <w:top w:val="single" w:sz="4" w:space="0" w:color="auto"/>
              <w:left w:val="single" w:sz="4" w:space="0" w:color="auto"/>
              <w:bottom w:val="single" w:sz="4" w:space="0" w:color="auto"/>
              <w:right w:val="single" w:sz="4" w:space="0" w:color="auto"/>
            </w:tcBorders>
          </w:tcPr>
          <w:p w:rsidR="006A4A22" w:rsidRDefault="006A4A22" w:rsidP="00C50302">
            <w:pPr>
              <w:tabs>
                <w:tab w:val="left" w:pos="71"/>
              </w:tabs>
              <w:rPr>
                <w:sz w:val="22"/>
                <w:szCs w:val="22"/>
                <w:lang w:eastAsia="fi-FI"/>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A4A22" w:rsidRDefault="006A4A22" w:rsidP="005C64F5">
            <w:pPr>
              <w:tabs>
                <w:tab w:val="left" w:pos="71"/>
              </w:tabs>
              <w:ind w:left="73" w:right="143"/>
              <w:rPr>
                <w:sz w:val="22"/>
                <w:szCs w:val="22"/>
                <w:lang w:eastAsia="fi-FI"/>
              </w:rPr>
            </w:pPr>
            <w:r>
              <w:rPr>
                <w:sz w:val="22"/>
                <w:szCs w:val="22"/>
                <w:lang w:eastAsia="fi-FI"/>
              </w:rPr>
              <w:t>Eksantem</w:t>
            </w:r>
            <w:r>
              <w:rPr>
                <w:sz w:val="22"/>
                <w:szCs w:val="22"/>
                <w:vertAlign w:val="superscript"/>
                <w:lang w:eastAsia="fi-FI"/>
              </w:rPr>
              <w:t>2</w:t>
            </w:r>
            <w:r>
              <w:rPr>
                <w:sz w:val="22"/>
                <w:szCs w:val="22"/>
                <w:lang w:eastAsia="fi-FI"/>
              </w:rPr>
              <w:t xml:space="preserve"> </w:t>
            </w:r>
          </w:p>
        </w:tc>
        <w:tc>
          <w:tcPr>
            <w:tcW w:w="1701" w:type="dxa"/>
            <w:tcBorders>
              <w:top w:val="single" w:sz="4" w:space="0" w:color="auto"/>
              <w:left w:val="single" w:sz="4" w:space="0" w:color="auto"/>
              <w:bottom w:val="single" w:sz="4" w:space="0" w:color="auto"/>
              <w:right w:val="single" w:sz="4" w:space="0" w:color="auto"/>
            </w:tcBorders>
          </w:tcPr>
          <w:p w:rsidR="006A4A22" w:rsidRDefault="006A4A22" w:rsidP="00C50302">
            <w:pPr>
              <w:tabs>
                <w:tab w:val="left" w:pos="0"/>
              </w:tabs>
              <w:rPr>
                <w:sz w:val="22"/>
                <w:szCs w:val="22"/>
                <w:lang w:eastAsia="fi-FI"/>
              </w:rPr>
            </w:pPr>
          </w:p>
        </w:tc>
        <w:tc>
          <w:tcPr>
            <w:tcW w:w="1559" w:type="dxa"/>
            <w:tcBorders>
              <w:top w:val="single" w:sz="4" w:space="0" w:color="auto"/>
              <w:left w:val="single" w:sz="4" w:space="0" w:color="auto"/>
              <w:bottom w:val="single" w:sz="4" w:space="0" w:color="auto"/>
              <w:right w:val="single" w:sz="4" w:space="0" w:color="auto"/>
            </w:tcBorders>
          </w:tcPr>
          <w:p w:rsidR="006A4A22" w:rsidRDefault="006A4A22" w:rsidP="00C50302">
            <w:pPr>
              <w:tabs>
                <w:tab w:val="left" w:pos="0"/>
                <w:tab w:val="left" w:pos="213"/>
              </w:tabs>
              <w:rPr>
                <w:sz w:val="22"/>
                <w:szCs w:val="22"/>
                <w:lang w:eastAsia="fi-FI"/>
              </w:rPr>
            </w:pPr>
          </w:p>
        </w:tc>
        <w:tc>
          <w:tcPr>
            <w:tcW w:w="2275" w:type="dxa"/>
            <w:tcBorders>
              <w:top w:val="single" w:sz="4" w:space="0" w:color="auto"/>
              <w:left w:val="single" w:sz="4" w:space="0" w:color="auto"/>
              <w:bottom w:val="single" w:sz="4" w:space="0" w:color="auto"/>
              <w:right w:val="single" w:sz="4" w:space="0" w:color="auto"/>
            </w:tcBorders>
            <w:hideMark/>
          </w:tcPr>
          <w:p w:rsidR="006A4A22" w:rsidRDefault="006A4A22" w:rsidP="00C50302">
            <w:pPr>
              <w:tabs>
                <w:tab w:val="left" w:pos="71"/>
              </w:tabs>
              <w:ind w:left="71"/>
              <w:rPr>
                <w:sz w:val="22"/>
                <w:szCs w:val="22"/>
                <w:lang w:eastAsia="fi-FI"/>
              </w:rPr>
            </w:pPr>
            <w:r>
              <w:rPr>
                <w:sz w:val="22"/>
                <w:szCs w:val="22"/>
                <w:lang w:eastAsia="fi-FI"/>
              </w:rPr>
              <w:t>Stevens-John-</w:t>
            </w:r>
            <w:proofErr w:type="spellStart"/>
            <w:r>
              <w:rPr>
                <w:sz w:val="22"/>
                <w:szCs w:val="22"/>
                <w:lang w:eastAsia="fi-FI"/>
              </w:rPr>
              <w:t>sons</w:t>
            </w:r>
            <w:proofErr w:type="spellEnd"/>
            <w:r>
              <w:rPr>
                <w:sz w:val="22"/>
                <w:szCs w:val="22"/>
                <w:lang w:eastAsia="fi-FI"/>
              </w:rPr>
              <w:t xml:space="preserve"> syndrom, </w:t>
            </w:r>
            <w:proofErr w:type="spellStart"/>
            <w:r>
              <w:rPr>
                <w:sz w:val="22"/>
                <w:szCs w:val="22"/>
                <w:lang w:eastAsia="fi-FI"/>
              </w:rPr>
              <w:t>bulløs</w:t>
            </w:r>
            <w:proofErr w:type="spellEnd"/>
            <w:r>
              <w:rPr>
                <w:sz w:val="22"/>
                <w:szCs w:val="22"/>
                <w:lang w:eastAsia="fi-FI"/>
              </w:rPr>
              <w:t xml:space="preserve"> </w:t>
            </w:r>
            <w:proofErr w:type="spellStart"/>
            <w:r>
              <w:rPr>
                <w:sz w:val="22"/>
                <w:szCs w:val="22"/>
                <w:lang w:eastAsia="fi-FI"/>
              </w:rPr>
              <w:t>dermatitis</w:t>
            </w:r>
            <w:proofErr w:type="spellEnd"/>
            <w:r>
              <w:rPr>
                <w:sz w:val="22"/>
                <w:szCs w:val="22"/>
                <w:lang w:eastAsia="fi-FI"/>
              </w:rPr>
              <w:t xml:space="preserve">, </w:t>
            </w:r>
            <w:proofErr w:type="spellStart"/>
            <w:r>
              <w:rPr>
                <w:sz w:val="22"/>
                <w:szCs w:val="22"/>
                <w:lang w:eastAsia="fi-FI"/>
              </w:rPr>
              <w:t>erythema</w:t>
            </w:r>
            <w:proofErr w:type="spellEnd"/>
            <w:r>
              <w:rPr>
                <w:sz w:val="22"/>
                <w:szCs w:val="22"/>
                <w:lang w:eastAsia="fi-FI"/>
              </w:rPr>
              <w:t xml:space="preserve"> multiforme, toksisk </w:t>
            </w:r>
            <w:proofErr w:type="spellStart"/>
            <w:r>
              <w:rPr>
                <w:sz w:val="22"/>
                <w:szCs w:val="22"/>
                <w:lang w:eastAsia="fi-FI"/>
              </w:rPr>
              <w:t>epidermal</w:t>
            </w:r>
            <w:proofErr w:type="spellEnd"/>
            <w:r>
              <w:rPr>
                <w:sz w:val="22"/>
                <w:szCs w:val="22"/>
                <w:lang w:eastAsia="fi-FI"/>
              </w:rPr>
              <w:t xml:space="preserve"> </w:t>
            </w:r>
            <w:proofErr w:type="spellStart"/>
            <w:r>
              <w:rPr>
                <w:sz w:val="22"/>
                <w:szCs w:val="22"/>
                <w:lang w:eastAsia="fi-FI"/>
              </w:rPr>
              <w:t>nekrolyse</w:t>
            </w:r>
            <w:proofErr w:type="spellEnd"/>
            <w:r>
              <w:rPr>
                <w:sz w:val="22"/>
                <w:szCs w:val="22"/>
                <w:lang w:eastAsia="fi-FI"/>
              </w:rPr>
              <w:t xml:space="preserve">, </w:t>
            </w:r>
            <w:r w:rsidRPr="000954F3">
              <w:rPr>
                <w:sz w:val="22"/>
                <w:szCs w:val="22"/>
                <w:lang w:eastAsia="fi-FI"/>
              </w:rPr>
              <w:t xml:space="preserve">lægemiddelreaktion med </w:t>
            </w:r>
            <w:proofErr w:type="spellStart"/>
            <w:r w:rsidRPr="000954F3">
              <w:rPr>
                <w:sz w:val="22"/>
                <w:szCs w:val="22"/>
                <w:lang w:eastAsia="fi-FI"/>
              </w:rPr>
              <w:t>eosinofili</w:t>
            </w:r>
            <w:proofErr w:type="spellEnd"/>
            <w:r w:rsidRPr="000954F3">
              <w:rPr>
                <w:sz w:val="22"/>
                <w:szCs w:val="22"/>
                <w:lang w:eastAsia="fi-FI"/>
              </w:rPr>
              <w:t xml:space="preserve"> og systemiske symptomer (DRESS)</w:t>
            </w:r>
          </w:p>
        </w:tc>
      </w:tr>
      <w:tr w:rsidR="006A4A22" w:rsidTr="00C50302">
        <w:tc>
          <w:tcPr>
            <w:tcW w:w="1771" w:type="dxa"/>
            <w:tcBorders>
              <w:top w:val="single" w:sz="4" w:space="0" w:color="auto"/>
              <w:left w:val="single" w:sz="4" w:space="0" w:color="auto"/>
              <w:bottom w:val="single" w:sz="4" w:space="0" w:color="auto"/>
              <w:right w:val="single" w:sz="4" w:space="0" w:color="auto"/>
            </w:tcBorders>
            <w:hideMark/>
          </w:tcPr>
          <w:p w:rsidR="006A4A22" w:rsidRDefault="006A4A22" w:rsidP="00C50302">
            <w:pPr>
              <w:tabs>
                <w:tab w:val="left" w:pos="142"/>
              </w:tabs>
              <w:ind w:left="142"/>
              <w:rPr>
                <w:b/>
                <w:sz w:val="22"/>
                <w:szCs w:val="22"/>
              </w:rPr>
            </w:pPr>
            <w:r>
              <w:rPr>
                <w:b/>
                <w:sz w:val="22"/>
                <w:szCs w:val="22"/>
              </w:rPr>
              <w:t>Knogler, led, muskler og bindevæv</w:t>
            </w:r>
          </w:p>
        </w:tc>
        <w:tc>
          <w:tcPr>
            <w:tcW w:w="1485" w:type="dxa"/>
            <w:tcBorders>
              <w:top w:val="single" w:sz="4" w:space="0" w:color="auto"/>
              <w:left w:val="single" w:sz="4" w:space="0" w:color="auto"/>
              <w:bottom w:val="single" w:sz="4" w:space="0" w:color="auto"/>
              <w:right w:val="single" w:sz="4" w:space="0" w:color="auto"/>
            </w:tcBorders>
          </w:tcPr>
          <w:p w:rsidR="006A4A22" w:rsidRDefault="006A4A22" w:rsidP="00C50302">
            <w:pPr>
              <w:tabs>
                <w:tab w:val="left" w:pos="71"/>
              </w:tabs>
              <w:rPr>
                <w:sz w:val="22"/>
                <w:szCs w:val="22"/>
                <w:lang w:eastAsia="fi-FI"/>
              </w:rPr>
            </w:pPr>
          </w:p>
        </w:tc>
        <w:tc>
          <w:tcPr>
            <w:tcW w:w="1559" w:type="dxa"/>
            <w:tcBorders>
              <w:top w:val="single" w:sz="4" w:space="0" w:color="auto"/>
              <w:left w:val="single" w:sz="4" w:space="0" w:color="auto"/>
              <w:bottom w:val="single" w:sz="4" w:space="0" w:color="auto"/>
              <w:right w:val="single" w:sz="4" w:space="0" w:color="auto"/>
            </w:tcBorders>
            <w:vAlign w:val="center"/>
          </w:tcPr>
          <w:p w:rsidR="006A4A22" w:rsidRDefault="006A4A22" w:rsidP="005C64F5">
            <w:pPr>
              <w:tabs>
                <w:tab w:val="left" w:pos="71"/>
              </w:tabs>
              <w:ind w:left="73"/>
              <w:rPr>
                <w:sz w:val="22"/>
                <w:szCs w:val="22"/>
                <w:lang w:eastAsia="fi-FI"/>
              </w:rPr>
            </w:pPr>
            <w:proofErr w:type="spellStart"/>
            <w:r>
              <w:rPr>
                <w:sz w:val="22"/>
                <w:szCs w:val="22"/>
                <w:lang w:eastAsia="fi-FI"/>
              </w:rPr>
              <w:t>Artralgi</w:t>
            </w:r>
            <w:proofErr w:type="spellEnd"/>
            <w:r>
              <w:rPr>
                <w:sz w:val="22"/>
                <w:szCs w:val="22"/>
                <w:lang w:eastAsia="fi-FI"/>
              </w:rPr>
              <w:t>, myalgi, rygsmerter</w:t>
            </w:r>
            <w:r>
              <w:rPr>
                <w:sz w:val="22"/>
                <w:szCs w:val="22"/>
                <w:vertAlign w:val="superscript"/>
                <w:lang w:eastAsia="fi-FI"/>
              </w:rPr>
              <w:t>1</w:t>
            </w:r>
          </w:p>
          <w:p w:rsidR="006A4A22" w:rsidRDefault="006A4A22" w:rsidP="005C64F5">
            <w:pPr>
              <w:tabs>
                <w:tab w:val="left" w:pos="71"/>
              </w:tabs>
              <w:ind w:left="73"/>
              <w:rPr>
                <w:sz w:val="22"/>
                <w:szCs w:val="22"/>
                <w:lang w:eastAsia="fi-FI"/>
              </w:rPr>
            </w:pPr>
          </w:p>
        </w:tc>
        <w:tc>
          <w:tcPr>
            <w:tcW w:w="1701" w:type="dxa"/>
            <w:tcBorders>
              <w:top w:val="single" w:sz="4" w:space="0" w:color="auto"/>
              <w:left w:val="single" w:sz="4" w:space="0" w:color="auto"/>
              <w:bottom w:val="single" w:sz="4" w:space="0" w:color="auto"/>
              <w:right w:val="single" w:sz="4" w:space="0" w:color="auto"/>
            </w:tcBorders>
          </w:tcPr>
          <w:p w:rsidR="006A4A22" w:rsidRDefault="006A4A22" w:rsidP="00C50302">
            <w:pPr>
              <w:tabs>
                <w:tab w:val="left" w:pos="0"/>
              </w:tabs>
              <w:rPr>
                <w:sz w:val="22"/>
                <w:szCs w:val="22"/>
                <w:lang w:eastAsia="fi-FI"/>
              </w:rPr>
            </w:pPr>
          </w:p>
        </w:tc>
        <w:tc>
          <w:tcPr>
            <w:tcW w:w="1559" w:type="dxa"/>
            <w:tcBorders>
              <w:top w:val="single" w:sz="4" w:space="0" w:color="auto"/>
              <w:left w:val="single" w:sz="4" w:space="0" w:color="auto"/>
              <w:bottom w:val="single" w:sz="4" w:space="0" w:color="auto"/>
              <w:right w:val="single" w:sz="4" w:space="0" w:color="auto"/>
            </w:tcBorders>
          </w:tcPr>
          <w:p w:rsidR="006A4A22" w:rsidRDefault="006A4A22" w:rsidP="00C50302">
            <w:pPr>
              <w:tabs>
                <w:tab w:val="left" w:pos="0"/>
                <w:tab w:val="left" w:pos="213"/>
              </w:tabs>
              <w:rPr>
                <w:sz w:val="22"/>
                <w:szCs w:val="22"/>
                <w:lang w:eastAsia="fi-FI"/>
              </w:rPr>
            </w:pPr>
          </w:p>
        </w:tc>
        <w:tc>
          <w:tcPr>
            <w:tcW w:w="2275" w:type="dxa"/>
            <w:tcBorders>
              <w:top w:val="single" w:sz="4" w:space="0" w:color="auto"/>
              <w:left w:val="single" w:sz="4" w:space="0" w:color="auto"/>
              <w:bottom w:val="single" w:sz="4" w:space="0" w:color="auto"/>
              <w:right w:val="single" w:sz="4" w:space="0" w:color="auto"/>
            </w:tcBorders>
            <w:hideMark/>
          </w:tcPr>
          <w:p w:rsidR="006A4A22" w:rsidRDefault="006A4A22" w:rsidP="00C50302">
            <w:pPr>
              <w:tabs>
                <w:tab w:val="left" w:pos="71"/>
              </w:tabs>
              <w:ind w:left="71"/>
              <w:rPr>
                <w:sz w:val="22"/>
                <w:szCs w:val="22"/>
                <w:lang w:eastAsia="fi-FI"/>
              </w:rPr>
            </w:pPr>
            <w:proofErr w:type="spellStart"/>
            <w:r>
              <w:t>Rabdomyolyse</w:t>
            </w:r>
            <w:proofErr w:type="spellEnd"/>
            <w:r>
              <w:rPr>
                <w:sz w:val="22"/>
                <w:szCs w:val="22"/>
                <w:lang w:eastAsia="fi-FI"/>
              </w:rPr>
              <w:t xml:space="preserve"> </w:t>
            </w:r>
          </w:p>
        </w:tc>
      </w:tr>
      <w:tr w:rsidR="006A4A22" w:rsidTr="00C50302">
        <w:tc>
          <w:tcPr>
            <w:tcW w:w="1771" w:type="dxa"/>
            <w:tcBorders>
              <w:top w:val="single" w:sz="4" w:space="0" w:color="auto"/>
              <w:left w:val="single" w:sz="4" w:space="0" w:color="auto"/>
              <w:bottom w:val="single" w:sz="4" w:space="0" w:color="auto"/>
              <w:right w:val="single" w:sz="4" w:space="0" w:color="auto"/>
            </w:tcBorders>
            <w:hideMark/>
          </w:tcPr>
          <w:p w:rsidR="006A4A22" w:rsidRDefault="006A4A22" w:rsidP="00C50302">
            <w:pPr>
              <w:tabs>
                <w:tab w:val="left" w:pos="142"/>
              </w:tabs>
              <w:ind w:left="142"/>
              <w:rPr>
                <w:b/>
                <w:sz w:val="22"/>
                <w:szCs w:val="22"/>
              </w:rPr>
            </w:pPr>
            <w:r>
              <w:rPr>
                <w:b/>
                <w:sz w:val="22"/>
                <w:szCs w:val="22"/>
              </w:rPr>
              <w:t>Nyrer og urinveje</w:t>
            </w:r>
          </w:p>
        </w:tc>
        <w:tc>
          <w:tcPr>
            <w:tcW w:w="1485" w:type="dxa"/>
            <w:tcBorders>
              <w:top w:val="single" w:sz="4" w:space="0" w:color="auto"/>
              <w:left w:val="single" w:sz="4" w:space="0" w:color="auto"/>
              <w:bottom w:val="single" w:sz="4" w:space="0" w:color="auto"/>
              <w:right w:val="single" w:sz="4" w:space="0" w:color="auto"/>
            </w:tcBorders>
          </w:tcPr>
          <w:p w:rsidR="006A4A22" w:rsidRDefault="006A4A22" w:rsidP="00C50302">
            <w:pPr>
              <w:tabs>
                <w:tab w:val="left" w:pos="71"/>
              </w:tabs>
              <w:rPr>
                <w:sz w:val="22"/>
                <w:szCs w:val="22"/>
                <w:lang w:eastAsia="fi-FI"/>
              </w:rPr>
            </w:pPr>
          </w:p>
        </w:tc>
        <w:tc>
          <w:tcPr>
            <w:tcW w:w="1559" w:type="dxa"/>
            <w:tcBorders>
              <w:top w:val="single" w:sz="4" w:space="0" w:color="auto"/>
              <w:left w:val="single" w:sz="4" w:space="0" w:color="auto"/>
              <w:bottom w:val="single" w:sz="4" w:space="0" w:color="auto"/>
              <w:right w:val="single" w:sz="4" w:space="0" w:color="auto"/>
            </w:tcBorders>
            <w:vAlign w:val="center"/>
          </w:tcPr>
          <w:p w:rsidR="006A4A22" w:rsidRDefault="006A4A22" w:rsidP="005C64F5">
            <w:pPr>
              <w:tabs>
                <w:tab w:val="left" w:pos="71"/>
              </w:tabs>
              <w:ind w:left="73"/>
              <w:rPr>
                <w:sz w:val="22"/>
                <w:szCs w:val="22"/>
                <w:lang w:eastAsia="fi-FI"/>
              </w:rPr>
            </w:pPr>
          </w:p>
        </w:tc>
        <w:tc>
          <w:tcPr>
            <w:tcW w:w="1701" w:type="dxa"/>
            <w:tcBorders>
              <w:top w:val="single" w:sz="4" w:space="0" w:color="auto"/>
              <w:left w:val="single" w:sz="4" w:space="0" w:color="auto"/>
              <w:bottom w:val="single" w:sz="4" w:space="0" w:color="auto"/>
              <w:right w:val="single" w:sz="4" w:space="0" w:color="auto"/>
            </w:tcBorders>
          </w:tcPr>
          <w:p w:rsidR="006A4A22" w:rsidRDefault="006A4A22" w:rsidP="00C50302">
            <w:pPr>
              <w:tabs>
                <w:tab w:val="left" w:pos="0"/>
              </w:tabs>
              <w:rPr>
                <w:sz w:val="22"/>
                <w:szCs w:val="22"/>
                <w:lang w:eastAsia="fi-FI"/>
              </w:rPr>
            </w:pPr>
          </w:p>
        </w:tc>
        <w:tc>
          <w:tcPr>
            <w:tcW w:w="1559" w:type="dxa"/>
            <w:tcBorders>
              <w:top w:val="single" w:sz="4" w:space="0" w:color="auto"/>
              <w:left w:val="single" w:sz="4" w:space="0" w:color="auto"/>
              <w:bottom w:val="single" w:sz="4" w:space="0" w:color="auto"/>
              <w:right w:val="single" w:sz="4" w:space="0" w:color="auto"/>
            </w:tcBorders>
          </w:tcPr>
          <w:p w:rsidR="006A4A22" w:rsidRDefault="006A4A22" w:rsidP="00C50302">
            <w:pPr>
              <w:tabs>
                <w:tab w:val="left" w:pos="0"/>
                <w:tab w:val="left" w:pos="213"/>
              </w:tabs>
              <w:rPr>
                <w:sz w:val="22"/>
                <w:szCs w:val="22"/>
                <w:lang w:eastAsia="fi-FI"/>
              </w:rPr>
            </w:pPr>
          </w:p>
        </w:tc>
        <w:tc>
          <w:tcPr>
            <w:tcW w:w="2275" w:type="dxa"/>
            <w:tcBorders>
              <w:top w:val="single" w:sz="4" w:space="0" w:color="auto"/>
              <w:left w:val="single" w:sz="4" w:space="0" w:color="auto"/>
              <w:bottom w:val="single" w:sz="4" w:space="0" w:color="auto"/>
              <w:right w:val="single" w:sz="4" w:space="0" w:color="auto"/>
            </w:tcBorders>
            <w:hideMark/>
          </w:tcPr>
          <w:p w:rsidR="006A4A22" w:rsidRDefault="006A4A22" w:rsidP="00C50302">
            <w:pPr>
              <w:tabs>
                <w:tab w:val="left" w:pos="71"/>
              </w:tabs>
              <w:ind w:left="71"/>
              <w:rPr>
                <w:sz w:val="22"/>
                <w:szCs w:val="22"/>
                <w:lang w:eastAsia="fi-FI"/>
              </w:rPr>
            </w:pPr>
            <w:r>
              <w:rPr>
                <w:sz w:val="22"/>
                <w:szCs w:val="22"/>
                <w:lang w:eastAsia="fi-FI"/>
              </w:rPr>
              <w:t xml:space="preserve">Urinretention </w:t>
            </w:r>
          </w:p>
        </w:tc>
      </w:tr>
      <w:tr w:rsidR="006A4A22" w:rsidTr="00C50302">
        <w:tc>
          <w:tcPr>
            <w:tcW w:w="1771" w:type="dxa"/>
            <w:tcBorders>
              <w:top w:val="single" w:sz="4" w:space="0" w:color="auto"/>
              <w:left w:val="single" w:sz="4" w:space="0" w:color="auto"/>
              <w:bottom w:val="single" w:sz="4" w:space="0" w:color="auto"/>
              <w:right w:val="single" w:sz="4" w:space="0" w:color="auto"/>
            </w:tcBorders>
          </w:tcPr>
          <w:p w:rsidR="006A4A22" w:rsidRDefault="006A4A22" w:rsidP="00C50302">
            <w:pPr>
              <w:tabs>
                <w:tab w:val="left" w:pos="142"/>
              </w:tabs>
              <w:ind w:left="142"/>
              <w:rPr>
                <w:b/>
                <w:sz w:val="22"/>
                <w:szCs w:val="22"/>
              </w:rPr>
            </w:pPr>
            <w:r w:rsidRPr="008C3E95">
              <w:rPr>
                <w:b/>
                <w:sz w:val="22"/>
                <w:szCs w:val="22"/>
              </w:rPr>
              <w:t xml:space="preserve">Det reproduktive system og mammae   </w:t>
            </w:r>
          </w:p>
        </w:tc>
        <w:tc>
          <w:tcPr>
            <w:tcW w:w="1485" w:type="dxa"/>
            <w:tcBorders>
              <w:top w:val="single" w:sz="4" w:space="0" w:color="auto"/>
              <w:left w:val="single" w:sz="4" w:space="0" w:color="auto"/>
              <w:bottom w:val="single" w:sz="4" w:space="0" w:color="auto"/>
              <w:right w:val="single" w:sz="4" w:space="0" w:color="auto"/>
            </w:tcBorders>
          </w:tcPr>
          <w:p w:rsidR="006A4A22" w:rsidRDefault="006A4A22" w:rsidP="00C50302">
            <w:pPr>
              <w:tabs>
                <w:tab w:val="left" w:pos="71"/>
              </w:tabs>
              <w:rPr>
                <w:sz w:val="22"/>
                <w:szCs w:val="22"/>
                <w:lang w:eastAsia="fi-FI"/>
              </w:rPr>
            </w:pPr>
          </w:p>
        </w:tc>
        <w:tc>
          <w:tcPr>
            <w:tcW w:w="1559" w:type="dxa"/>
            <w:tcBorders>
              <w:top w:val="single" w:sz="4" w:space="0" w:color="auto"/>
              <w:left w:val="single" w:sz="4" w:space="0" w:color="auto"/>
              <w:bottom w:val="single" w:sz="4" w:space="0" w:color="auto"/>
              <w:right w:val="single" w:sz="4" w:space="0" w:color="auto"/>
            </w:tcBorders>
            <w:vAlign w:val="center"/>
          </w:tcPr>
          <w:p w:rsidR="006A4A22" w:rsidRDefault="006A4A22" w:rsidP="005C64F5">
            <w:pPr>
              <w:tabs>
                <w:tab w:val="left" w:pos="71"/>
              </w:tabs>
              <w:ind w:left="73"/>
              <w:rPr>
                <w:sz w:val="22"/>
                <w:szCs w:val="22"/>
                <w:lang w:eastAsia="fi-FI"/>
              </w:rPr>
            </w:pPr>
          </w:p>
        </w:tc>
        <w:tc>
          <w:tcPr>
            <w:tcW w:w="1701" w:type="dxa"/>
            <w:tcBorders>
              <w:top w:val="single" w:sz="4" w:space="0" w:color="auto"/>
              <w:left w:val="single" w:sz="4" w:space="0" w:color="auto"/>
              <w:bottom w:val="single" w:sz="4" w:space="0" w:color="auto"/>
              <w:right w:val="single" w:sz="4" w:space="0" w:color="auto"/>
            </w:tcBorders>
          </w:tcPr>
          <w:p w:rsidR="006A4A22" w:rsidRDefault="006A4A22" w:rsidP="00C50302">
            <w:pPr>
              <w:tabs>
                <w:tab w:val="left" w:pos="0"/>
              </w:tabs>
              <w:rPr>
                <w:sz w:val="22"/>
                <w:szCs w:val="22"/>
                <w:lang w:eastAsia="fi-FI"/>
              </w:rPr>
            </w:pPr>
          </w:p>
        </w:tc>
        <w:tc>
          <w:tcPr>
            <w:tcW w:w="1559" w:type="dxa"/>
            <w:tcBorders>
              <w:top w:val="single" w:sz="4" w:space="0" w:color="auto"/>
              <w:left w:val="single" w:sz="4" w:space="0" w:color="auto"/>
              <w:bottom w:val="single" w:sz="4" w:space="0" w:color="auto"/>
              <w:right w:val="single" w:sz="4" w:space="0" w:color="auto"/>
            </w:tcBorders>
          </w:tcPr>
          <w:p w:rsidR="006A4A22" w:rsidRDefault="006A4A22" w:rsidP="00C50302">
            <w:pPr>
              <w:tabs>
                <w:tab w:val="left" w:pos="0"/>
                <w:tab w:val="left" w:pos="213"/>
              </w:tabs>
              <w:rPr>
                <w:sz w:val="22"/>
                <w:szCs w:val="22"/>
                <w:lang w:eastAsia="fi-FI"/>
              </w:rPr>
            </w:pPr>
          </w:p>
        </w:tc>
        <w:tc>
          <w:tcPr>
            <w:tcW w:w="2275" w:type="dxa"/>
            <w:tcBorders>
              <w:top w:val="single" w:sz="4" w:space="0" w:color="auto"/>
              <w:left w:val="single" w:sz="4" w:space="0" w:color="auto"/>
              <w:bottom w:val="single" w:sz="4" w:space="0" w:color="auto"/>
              <w:right w:val="single" w:sz="4" w:space="0" w:color="auto"/>
            </w:tcBorders>
          </w:tcPr>
          <w:p w:rsidR="006A4A22" w:rsidRDefault="006A4A22" w:rsidP="005C64F5">
            <w:pPr>
              <w:ind w:left="78"/>
              <w:rPr>
                <w:sz w:val="22"/>
                <w:szCs w:val="22"/>
                <w:lang w:eastAsia="fi-FI"/>
              </w:rPr>
            </w:pPr>
            <w:proofErr w:type="spellStart"/>
            <w:r>
              <w:rPr>
                <w:sz w:val="22"/>
                <w:szCs w:val="22"/>
                <w:lang w:eastAsia="fi-FI"/>
              </w:rPr>
              <w:t>P</w:t>
            </w:r>
            <w:r w:rsidRPr="005B2898">
              <w:rPr>
                <w:sz w:val="22"/>
                <w:szCs w:val="22"/>
                <w:lang w:eastAsia="fi-FI"/>
              </w:rPr>
              <w:t>riapisme</w:t>
            </w:r>
            <w:proofErr w:type="spellEnd"/>
          </w:p>
        </w:tc>
      </w:tr>
      <w:tr w:rsidR="006A4A22" w:rsidTr="00C50302">
        <w:tc>
          <w:tcPr>
            <w:tcW w:w="1771" w:type="dxa"/>
            <w:tcBorders>
              <w:top w:val="single" w:sz="4" w:space="0" w:color="auto"/>
              <w:left w:val="single" w:sz="4" w:space="0" w:color="auto"/>
              <w:bottom w:val="single" w:sz="4" w:space="0" w:color="auto"/>
              <w:right w:val="single" w:sz="4" w:space="0" w:color="auto"/>
            </w:tcBorders>
            <w:hideMark/>
          </w:tcPr>
          <w:p w:rsidR="006A4A22" w:rsidRDefault="006A4A22" w:rsidP="00C50302">
            <w:pPr>
              <w:tabs>
                <w:tab w:val="left" w:pos="142"/>
              </w:tabs>
              <w:ind w:left="142"/>
              <w:rPr>
                <w:b/>
                <w:sz w:val="22"/>
                <w:szCs w:val="22"/>
              </w:rPr>
            </w:pPr>
            <w:r>
              <w:rPr>
                <w:b/>
                <w:sz w:val="22"/>
                <w:szCs w:val="22"/>
              </w:rPr>
              <w:t xml:space="preserve">Almene symptomer og reaktioner på </w:t>
            </w:r>
            <w:proofErr w:type="spellStart"/>
            <w:r>
              <w:rPr>
                <w:b/>
                <w:sz w:val="22"/>
                <w:szCs w:val="22"/>
              </w:rPr>
              <w:t>administra-tionsstedet</w:t>
            </w:r>
            <w:proofErr w:type="spellEnd"/>
            <w:r>
              <w:rPr>
                <w:b/>
                <w:sz w:val="22"/>
                <w:szCs w:val="22"/>
              </w:rPr>
              <w:t xml:space="preserve"> </w:t>
            </w:r>
          </w:p>
        </w:tc>
        <w:tc>
          <w:tcPr>
            <w:tcW w:w="1485" w:type="dxa"/>
            <w:tcBorders>
              <w:top w:val="single" w:sz="4" w:space="0" w:color="auto"/>
              <w:left w:val="single" w:sz="4" w:space="0" w:color="auto"/>
              <w:bottom w:val="single" w:sz="4" w:space="0" w:color="auto"/>
              <w:right w:val="single" w:sz="4" w:space="0" w:color="auto"/>
            </w:tcBorders>
          </w:tcPr>
          <w:p w:rsidR="006A4A22" w:rsidRDefault="006A4A22" w:rsidP="00C50302">
            <w:pPr>
              <w:tabs>
                <w:tab w:val="left" w:pos="71"/>
              </w:tabs>
              <w:rPr>
                <w:sz w:val="22"/>
                <w:szCs w:val="22"/>
                <w:lang w:eastAsia="fi-FI"/>
              </w:rPr>
            </w:pPr>
          </w:p>
        </w:tc>
        <w:tc>
          <w:tcPr>
            <w:tcW w:w="1559" w:type="dxa"/>
            <w:tcBorders>
              <w:top w:val="single" w:sz="4" w:space="0" w:color="auto"/>
              <w:left w:val="single" w:sz="4" w:space="0" w:color="auto"/>
              <w:bottom w:val="single" w:sz="4" w:space="0" w:color="auto"/>
              <w:right w:val="single" w:sz="4" w:space="0" w:color="auto"/>
            </w:tcBorders>
            <w:hideMark/>
          </w:tcPr>
          <w:p w:rsidR="006A4A22" w:rsidRDefault="006A4A22" w:rsidP="005C64F5">
            <w:pPr>
              <w:tabs>
                <w:tab w:val="left" w:pos="71"/>
              </w:tabs>
              <w:ind w:left="73"/>
              <w:rPr>
                <w:sz w:val="22"/>
                <w:szCs w:val="22"/>
                <w:lang w:val="fi-FI" w:eastAsia="fi-FI"/>
              </w:rPr>
            </w:pPr>
            <w:r>
              <w:rPr>
                <w:sz w:val="22"/>
                <w:szCs w:val="22"/>
                <w:lang w:val="fi-FI" w:eastAsia="fi-FI"/>
              </w:rPr>
              <w:t>Perifere ødemer</w:t>
            </w:r>
            <w:r>
              <w:rPr>
                <w:sz w:val="22"/>
                <w:szCs w:val="22"/>
                <w:vertAlign w:val="superscript"/>
                <w:lang w:val="fi-FI" w:eastAsia="fi-FI"/>
              </w:rPr>
              <w:t>1</w:t>
            </w:r>
            <w:r>
              <w:rPr>
                <w:sz w:val="22"/>
                <w:szCs w:val="22"/>
                <w:lang w:val="fi-FI" w:eastAsia="fi-FI"/>
              </w:rPr>
              <w:t>, træthed</w:t>
            </w:r>
          </w:p>
        </w:tc>
        <w:tc>
          <w:tcPr>
            <w:tcW w:w="1701" w:type="dxa"/>
            <w:tcBorders>
              <w:top w:val="single" w:sz="4" w:space="0" w:color="auto"/>
              <w:left w:val="single" w:sz="4" w:space="0" w:color="auto"/>
              <w:bottom w:val="single" w:sz="4" w:space="0" w:color="auto"/>
              <w:right w:val="single" w:sz="4" w:space="0" w:color="auto"/>
            </w:tcBorders>
          </w:tcPr>
          <w:p w:rsidR="006A4A22" w:rsidRDefault="006A4A22" w:rsidP="00C50302">
            <w:pPr>
              <w:tabs>
                <w:tab w:val="left" w:pos="0"/>
              </w:tabs>
              <w:rPr>
                <w:sz w:val="22"/>
                <w:szCs w:val="22"/>
                <w:lang w:val="fi-FI" w:eastAsia="fi-FI"/>
              </w:rPr>
            </w:pPr>
          </w:p>
        </w:tc>
        <w:tc>
          <w:tcPr>
            <w:tcW w:w="1559" w:type="dxa"/>
            <w:tcBorders>
              <w:top w:val="single" w:sz="4" w:space="0" w:color="auto"/>
              <w:left w:val="single" w:sz="4" w:space="0" w:color="auto"/>
              <w:bottom w:val="single" w:sz="4" w:space="0" w:color="auto"/>
              <w:right w:val="single" w:sz="4" w:space="0" w:color="auto"/>
            </w:tcBorders>
          </w:tcPr>
          <w:p w:rsidR="006A4A22" w:rsidRDefault="006A4A22" w:rsidP="00C50302">
            <w:pPr>
              <w:tabs>
                <w:tab w:val="left" w:pos="0"/>
              </w:tabs>
              <w:rPr>
                <w:sz w:val="22"/>
                <w:szCs w:val="22"/>
                <w:lang w:eastAsia="fi-FI"/>
              </w:rPr>
            </w:pPr>
          </w:p>
        </w:tc>
        <w:tc>
          <w:tcPr>
            <w:tcW w:w="2275" w:type="dxa"/>
            <w:tcBorders>
              <w:top w:val="single" w:sz="4" w:space="0" w:color="auto"/>
              <w:left w:val="single" w:sz="4" w:space="0" w:color="auto"/>
              <w:bottom w:val="single" w:sz="4" w:space="0" w:color="auto"/>
              <w:right w:val="single" w:sz="4" w:space="0" w:color="auto"/>
            </w:tcBorders>
            <w:hideMark/>
          </w:tcPr>
          <w:p w:rsidR="006A4A22" w:rsidRDefault="006A4A22" w:rsidP="00C50302">
            <w:pPr>
              <w:tabs>
                <w:tab w:val="left" w:pos="71"/>
              </w:tabs>
              <w:ind w:left="71"/>
              <w:rPr>
                <w:sz w:val="22"/>
                <w:szCs w:val="22"/>
                <w:lang w:eastAsia="fi-FI"/>
              </w:rPr>
            </w:pPr>
            <w:r>
              <w:rPr>
                <w:sz w:val="22"/>
                <w:szCs w:val="22"/>
                <w:lang w:eastAsia="fi-FI"/>
              </w:rPr>
              <w:t>Generaliseret ødem, lokalt ødem</w:t>
            </w:r>
          </w:p>
        </w:tc>
      </w:tr>
      <w:tr w:rsidR="006A4A22" w:rsidTr="00C50302">
        <w:tc>
          <w:tcPr>
            <w:tcW w:w="1771" w:type="dxa"/>
            <w:tcBorders>
              <w:top w:val="single" w:sz="4" w:space="0" w:color="auto"/>
              <w:left w:val="single" w:sz="4" w:space="0" w:color="auto"/>
              <w:bottom w:val="single" w:sz="4" w:space="0" w:color="auto"/>
              <w:right w:val="single" w:sz="4" w:space="0" w:color="auto"/>
            </w:tcBorders>
            <w:hideMark/>
          </w:tcPr>
          <w:p w:rsidR="006A4A22" w:rsidRDefault="006A4A22" w:rsidP="00C50302">
            <w:pPr>
              <w:tabs>
                <w:tab w:val="left" w:pos="142"/>
              </w:tabs>
              <w:ind w:left="142"/>
              <w:rPr>
                <w:b/>
                <w:sz w:val="22"/>
                <w:szCs w:val="22"/>
              </w:rPr>
            </w:pPr>
            <w:r>
              <w:rPr>
                <w:b/>
                <w:sz w:val="22"/>
                <w:szCs w:val="22"/>
              </w:rPr>
              <w:t>Undersøgelser</w:t>
            </w:r>
          </w:p>
        </w:tc>
        <w:tc>
          <w:tcPr>
            <w:tcW w:w="1485" w:type="dxa"/>
            <w:tcBorders>
              <w:top w:val="single" w:sz="4" w:space="0" w:color="auto"/>
              <w:left w:val="single" w:sz="4" w:space="0" w:color="auto"/>
              <w:bottom w:val="single" w:sz="4" w:space="0" w:color="auto"/>
              <w:right w:val="single" w:sz="4" w:space="0" w:color="auto"/>
            </w:tcBorders>
          </w:tcPr>
          <w:p w:rsidR="006A4A22" w:rsidRDefault="006A4A22" w:rsidP="00C50302">
            <w:pPr>
              <w:tabs>
                <w:tab w:val="left" w:pos="71"/>
              </w:tabs>
              <w:rPr>
                <w:sz w:val="22"/>
                <w:szCs w:val="22"/>
                <w:lang w:eastAsia="fi-FI"/>
              </w:rPr>
            </w:pPr>
          </w:p>
        </w:tc>
        <w:tc>
          <w:tcPr>
            <w:tcW w:w="1559" w:type="dxa"/>
            <w:tcBorders>
              <w:top w:val="single" w:sz="4" w:space="0" w:color="auto"/>
              <w:left w:val="single" w:sz="4" w:space="0" w:color="auto"/>
              <w:bottom w:val="single" w:sz="4" w:space="0" w:color="auto"/>
              <w:right w:val="single" w:sz="4" w:space="0" w:color="auto"/>
            </w:tcBorders>
          </w:tcPr>
          <w:p w:rsidR="006A4A22" w:rsidRDefault="006A4A22" w:rsidP="005C64F5">
            <w:pPr>
              <w:tabs>
                <w:tab w:val="left" w:pos="71"/>
              </w:tabs>
              <w:ind w:left="73"/>
              <w:rPr>
                <w:sz w:val="22"/>
                <w:szCs w:val="22"/>
                <w:lang w:val="fi-FI" w:eastAsia="fi-FI"/>
              </w:rPr>
            </w:pPr>
          </w:p>
        </w:tc>
        <w:tc>
          <w:tcPr>
            <w:tcW w:w="1701" w:type="dxa"/>
            <w:tcBorders>
              <w:top w:val="single" w:sz="4" w:space="0" w:color="auto"/>
              <w:left w:val="single" w:sz="4" w:space="0" w:color="auto"/>
              <w:bottom w:val="single" w:sz="4" w:space="0" w:color="auto"/>
              <w:right w:val="single" w:sz="4" w:space="0" w:color="auto"/>
            </w:tcBorders>
          </w:tcPr>
          <w:p w:rsidR="006A4A22" w:rsidRDefault="006A4A22" w:rsidP="00C50302">
            <w:pPr>
              <w:tabs>
                <w:tab w:val="left" w:pos="0"/>
              </w:tabs>
              <w:rPr>
                <w:sz w:val="22"/>
                <w:szCs w:val="22"/>
                <w:lang w:val="fi-FI" w:eastAsia="fi-FI"/>
              </w:rPr>
            </w:pPr>
          </w:p>
        </w:tc>
        <w:tc>
          <w:tcPr>
            <w:tcW w:w="1559" w:type="dxa"/>
            <w:tcBorders>
              <w:top w:val="single" w:sz="4" w:space="0" w:color="auto"/>
              <w:left w:val="single" w:sz="4" w:space="0" w:color="auto"/>
              <w:bottom w:val="single" w:sz="4" w:space="0" w:color="auto"/>
              <w:right w:val="single" w:sz="4" w:space="0" w:color="auto"/>
            </w:tcBorders>
          </w:tcPr>
          <w:p w:rsidR="006A4A22" w:rsidRDefault="006A4A22" w:rsidP="00C50302">
            <w:pPr>
              <w:tabs>
                <w:tab w:val="left" w:pos="0"/>
              </w:tabs>
              <w:rPr>
                <w:sz w:val="22"/>
                <w:szCs w:val="22"/>
                <w:lang w:eastAsia="fi-FI"/>
              </w:rPr>
            </w:pPr>
          </w:p>
        </w:tc>
        <w:tc>
          <w:tcPr>
            <w:tcW w:w="2275" w:type="dxa"/>
            <w:tcBorders>
              <w:top w:val="single" w:sz="4" w:space="0" w:color="auto"/>
              <w:left w:val="single" w:sz="4" w:space="0" w:color="auto"/>
              <w:bottom w:val="single" w:sz="4" w:space="0" w:color="auto"/>
              <w:right w:val="single" w:sz="4" w:space="0" w:color="auto"/>
            </w:tcBorders>
            <w:hideMark/>
          </w:tcPr>
          <w:p w:rsidR="006A4A22" w:rsidRDefault="006A4A22" w:rsidP="00C50302">
            <w:pPr>
              <w:tabs>
                <w:tab w:val="left" w:pos="71"/>
              </w:tabs>
              <w:ind w:left="71"/>
              <w:rPr>
                <w:sz w:val="22"/>
                <w:szCs w:val="22"/>
                <w:lang w:eastAsia="fi-FI"/>
              </w:rPr>
            </w:pPr>
            <w:r>
              <w:rPr>
                <w:sz w:val="22"/>
                <w:szCs w:val="22"/>
                <w:lang w:eastAsia="fi-FI"/>
              </w:rPr>
              <w:t xml:space="preserve">Stigning i </w:t>
            </w:r>
            <w:proofErr w:type="spellStart"/>
            <w:r>
              <w:rPr>
                <w:sz w:val="22"/>
                <w:szCs w:val="22"/>
                <w:lang w:eastAsia="fi-FI"/>
              </w:rPr>
              <w:t>kreatinkinase</w:t>
            </w:r>
            <w:proofErr w:type="spellEnd"/>
          </w:p>
        </w:tc>
      </w:tr>
    </w:tbl>
    <w:p w:rsidR="000954F3" w:rsidRDefault="000954F3" w:rsidP="000954F3">
      <w:pPr>
        <w:tabs>
          <w:tab w:val="left" w:pos="851"/>
        </w:tabs>
        <w:ind w:left="851"/>
        <w:rPr>
          <w:sz w:val="24"/>
          <w:szCs w:val="24"/>
        </w:rPr>
      </w:pPr>
    </w:p>
    <w:p w:rsidR="000954F3" w:rsidRDefault="000954F3" w:rsidP="000954F3">
      <w:pPr>
        <w:tabs>
          <w:tab w:val="left" w:pos="284"/>
          <w:tab w:val="left" w:pos="851"/>
        </w:tabs>
        <w:autoSpaceDE w:val="0"/>
        <w:autoSpaceDN w:val="0"/>
        <w:adjustRightInd w:val="0"/>
        <w:ind w:left="851" w:hanging="284"/>
        <w:rPr>
          <w:i/>
          <w:sz w:val="24"/>
          <w:szCs w:val="24"/>
        </w:rPr>
      </w:pPr>
      <w:r>
        <w:rPr>
          <w:sz w:val="24"/>
          <w:szCs w:val="24"/>
          <w:vertAlign w:val="superscript"/>
        </w:rPr>
        <w:t>1)</w:t>
      </w:r>
      <w:r>
        <w:rPr>
          <w:sz w:val="24"/>
          <w:szCs w:val="24"/>
        </w:rPr>
        <w:t xml:space="preserve"> </w:t>
      </w:r>
      <w:r>
        <w:rPr>
          <w:sz w:val="24"/>
          <w:szCs w:val="24"/>
        </w:rPr>
        <w:tab/>
        <w:t xml:space="preserve">I kliniske studier forekom disse bivirkninger statistisk signifikant hyppigere under behandlingen med </w:t>
      </w:r>
      <w:proofErr w:type="spellStart"/>
      <w:r>
        <w:rPr>
          <w:sz w:val="24"/>
          <w:szCs w:val="24"/>
        </w:rPr>
        <w:t>mirtazapin</w:t>
      </w:r>
      <w:proofErr w:type="spellEnd"/>
      <w:r>
        <w:rPr>
          <w:sz w:val="24"/>
          <w:szCs w:val="24"/>
        </w:rPr>
        <w:t xml:space="preserve"> sammenlignet med placebo.</w:t>
      </w:r>
    </w:p>
    <w:p w:rsidR="000954F3" w:rsidRDefault="000954F3" w:rsidP="000954F3">
      <w:pPr>
        <w:tabs>
          <w:tab w:val="left" w:pos="284"/>
          <w:tab w:val="left" w:pos="851"/>
        </w:tabs>
        <w:autoSpaceDE w:val="0"/>
        <w:autoSpaceDN w:val="0"/>
        <w:adjustRightInd w:val="0"/>
        <w:ind w:left="851" w:hanging="284"/>
        <w:rPr>
          <w:sz w:val="24"/>
          <w:szCs w:val="24"/>
          <w:vertAlign w:val="superscript"/>
        </w:rPr>
      </w:pPr>
      <w:r>
        <w:rPr>
          <w:sz w:val="24"/>
          <w:szCs w:val="24"/>
          <w:vertAlign w:val="superscript"/>
        </w:rPr>
        <w:t xml:space="preserve">2) </w:t>
      </w:r>
      <w:r>
        <w:rPr>
          <w:sz w:val="24"/>
          <w:szCs w:val="24"/>
          <w:vertAlign w:val="superscript"/>
        </w:rPr>
        <w:tab/>
      </w:r>
      <w:r>
        <w:rPr>
          <w:sz w:val="24"/>
          <w:szCs w:val="24"/>
        </w:rPr>
        <w:t xml:space="preserve">I kliniske studier forekom disse bivirkninger hyppigere under behandlingen med placebo sammenlignet med </w:t>
      </w:r>
      <w:proofErr w:type="spellStart"/>
      <w:r>
        <w:rPr>
          <w:sz w:val="24"/>
          <w:szCs w:val="24"/>
        </w:rPr>
        <w:t>mirtazapin</w:t>
      </w:r>
      <w:proofErr w:type="spellEnd"/>
      <w:r>
        <w:rPr>
          <w:sz w:val="24"/>
          <w:szCs w:val="24"/>
        </w:rPr>
        <w:t>, men ikke statistisk signifikant hyppigere.</w:t>
      </w:r>
    </w:p>
    <w:p w:rsidR="000954F3" w:rsidRDefault="000954F3" w:rsidP="000954F3">
      <w:pPr>
        <w:tabs>
          <w:tab w:val="left" w:pos="284"/>
          <w:tab w:val="left" w:pos="851"/>
        </w:tabs>
        <w:autoSpaceDE w:val="0"/>
        <w:autoSpaceDN w:val="0"/>
        <w:adjustRightInd w:val="0"/>
        <w:ind w:left="851" w:hanging="284"/>
        <w:rPr>
          <w:sz w:val="24"/>
          <w:szCs w:val="24"/>
        </w:rPr>
      </w:pPr>
      <w:r>
        <w:rPr>
          <w:sz w:val="24"/>
          <w:szCs w:val="24"/>
          <w:vertAlign w:val="superscript"/>
        </w:rPr>
        <w:t>3)</w:t>
      </w:r>
      <w:r>
        <w:rPr>
          <w:sz w:val="24"/>
          <w:szCs w:val="24"/>
        </w:rPr>
        <w:t xml:space="preserve"> </w:t>
      </w:r>
      <w:r>
        <w:rPr>
          <w:sz w:val="24"/>
          <w:szCs w:val="24"/>
        </w:rPr>
        <w:tab/>
        <w:t xml:space="preserve">I kliniske studier forekom disse bivirkninger statistisk signifikant hyppigere under behandlingen med placebo sammenlignet med </w:t>
      </w:r>
      <w:proofErr w:type="spellStart"/>
      <w:r>
        <w:rPr>
          <w:sz w:val="24"/>
          <w:szCs w:val="24"/>
        </w:rPr>
        <w:t>mirtazapin</w:t>
      </w:r>
      <w:proofErr w:type="spellEnd"/>
      <w:r>
        <w:rPr>
          <w:sz w:val="24"/>
          <w:szCs w:val="24"/>
        </w:rPr>
        <w:t>.</w:t>
      </w:r>
    </w:p>
    <w:p w:rsidR="000954F3" w:rsidRDefault="000954F3" w:rsidP="000954F3">
      <w:pPr>
        <w:tabs>
          <w:tab w:val="left" w:pos="284"/>
          <w:tab w:val="left" w:pos="851"/>
        </w:tabs>
        <w:autoSpaceDE w:val="0"/>
        <w:autoSpaceDN w:val="0"/>
        <w:adjustRightInd w:val="0"/>
        <w:ind w:left="851" w:hanging="284"/>
        <w:rPr>
          <w:sz w:val="24"/>
          <w:szCs w:val="24"/>
        </w:rPr>
      </w:pPr>
      <w:r>
        <w:rPr>
          <w:sz w:val="24"/>
          <w:szCs w:val="24"/>
          <w:vertAlign w:val="superscript"/>
        </w:rPr>
        <w:t>4)</w:t>
      </w:r>
      <w:r>
        <w:rPr>
          <w:sz w:val="24"/>
          <w:szCs w:val="24"/>
        </w:rPr>
        <w:t xml:space="preserve"> </w:t>
      </w:r>
      <w:r>
        <w:rPr>
          <w:sz w:val="24"/>
          <w:szCs w:val="24"/>
        </w:rPr>
        <w:tab/>
        <w:t xml:space="preserve">N.B. dosisreduktion fører generelt ikke til mindre udtalt </w:t>
      </w:r>
      <w:proofErr w:type="spellStart"/>
      <w:r>
        <w:rPr>
          <w:sz w:val="24"/>
          <w:szCs w:val="24"/>
        </w:rPr>
        <w:t>somnolens</w:t>
      </w:r>
      <w:proofErr w:type="spellEnd"/>
      <w:r>
        <w:rPr>
          <w:sz w:val="24"/>
          <w:szCs w:val="24"/>
        </w:rPr>
        <w:t>/sedation, men kan nedsætte den antidepressive virkning.</w:t>
      </w:r>
    </w:p>
    <w:p w:rsidR="000954F3" w:rsidRDefault="000954F3" w:rsidP="000954F3">
      <w:pPr>
        <w:tabs>
          <w:tab w:val="left" w:pos="284"/>
          <w:tab w:val="left" w:pos="851"/>
        </w:tabs>
        <w:autoSpaceDE w:val="0"/>
        <w:autoSpaceDN w:val="0"/>
        <w:adjustRightInd w:val="0"/>
        <w:ind w:left="851" w:hanging="284"/>
        <w:rPr>
          <w:sz w:val="24"/>
          <w:szCs w:val="24"/>
        </w:rPr>
      </w:pPr>
      <w:r>
        <w:rPr>
          <w:sz w:val="24"/>
          <w:szCs w:val="24"/>
          <w:vertAlign w:val="superscript"/>
        </w:rPr>
        <w:lastRenderedPageBreak/>
        <w:t>5)</w:t>
      </w:r>
      <w:r>
        <w:rPr>
          <w:sz w:val="24"/>
          <w:szCs w:val="24"/>
        </w:rPr>
        <w:t xml:space="preserve"> </w:t>
      </w:r>
      <w:r>
        <w:rPr>
          <w:sz w:val="24"/>
          <w:szCs w:val="24"/>
        </w:rPr>
        <w:tab/>
        <w:t xml:space="preserve">Ved behandling med </w:t>
      </w:r>
      <w:proofErr w:type="spellStart"/>
      <w:r>
        <w:rPr>
          <w:sz w:val="24"/>
          <w:szCs w:val="24"/>
        </w:rPr>
        <w:t>antidepressiva</w:t>
      </w:r>
      <w:proofErr w:type="spellEnd"/>
      <w:r>
        <w:rPr>
          <w:sz w:val="24"/>
          <w:szCs w:val="24"/>
        </w:rPr>
        <w:t xml:space="preserve"> generelt, kan angst og søvnløshed (der kan være symptomer på depression) udvikle sig eller blive forværret. Udvikling eller forværring af angst og søvnløshed er blevet rapporteret under behandling med </w:t>
      </w:r>
      <w:proofErr w:type="spellStart"/>
      <w:r>
        <w:rPr>
          <w:sz w:val="24"/>
          <w:szCs w:val="24"/>
        </w:rPr>
        <w:t>mirtazapin</w:t>
      </w:r>
      <w:proofErr w:type="spellEnd"/>
      <w:r>
        <w:rPr>
          <w:sz w:val="24"/>
          <w:szCs w:val="24"/>
        </w:rPr>
        <w:t>.</w:t>
      </w:r>
    </w:p>
    <w:p w:rsidR="000954F3" w:rsidRDefault="000954F3" w:rsidP="000954F3">
      <w:pPr>
        <w:tabs>
          <w:tab w:val="left" w:pos="284"/>
          <w:tab w:val="left" w:pos="851"/>
        </w:tabs>
        <w:autoSpaceDE w:val="0"/>
        <w:autoSpaceDN w:val="0"/>
        <w:adjustRightInd w:val="0"/>
        <w:ind w:left="851" w:hanging="284"/>
        <w:rPr>
          <w:sz w:val="24"/>
          <w:szCs w:val="24"/>
        </w:rPr>
      </w:pPr>
      <w:r>
        <w:rPr>
          <w:sz w:val="24"/>
          <w:szCs w:val="24"/>
          <w:vertAlign w:val="superscript"/>
        </w:rPr>
        <w:t>6)</w:t>
      </w:r>
      <w:r>
        <w:rPr>
          <w:sz w:val="24"/>
          <w:szCs w:val="24"/>
        </w:rPr>
        <w:t xml:space="preserve"> </w:t>
      </w:r>
      <w:r>
        <w:rPr>
          <w:sz w:val="24"/>
          <w:szCs w:val="24"/>
        </w:rPr>
        <w:tab/>
        <w:t xml:space="preserve">Der er rapporteret tilfælde af selvmordstanker og selvmordsadfærd under </w:t>
      </w:r>
      <w:proofErr w:type="spellStart"/>
      <w:r>
        <w:rPr>
          <w:sz w:val="24"/>
          <w:szCs w:val="24"/>
        </w:rPr>
        <w:t>mirtazapin</w:t>
      </w:r>
      <w:proofErr w:type="spellEnd"/>
      <w:r>
        <w:rPr>
          <w:sz w:val="24"/>
          <w:szCs w:val="24"/>
        </w:rPr>
        <w:t xml:space="preserve"> behandling eller kort tid efter behandlingsophør (se pkt. 4.4).</w:t>
      </w:r>
    </w:p>
    <w:p w:rsidR="000954F3" w:rsidRDefault="000954F3" w:rsidP="000954F3">
      <w:pPr>
        <w:tabs>
          <w:tab w:val="left" w:pos="284"/>
          <w:tab w:val="left" w:pos="851"/>
        </w:tabs>
        <w:autoSpaceDE w:val="0"/>
        <w:autoSpaceDN w:val="0"/>
        <w:adjustRightInd w:val="0"/>
        <w:ind w:left="851" w:hanging="284"/>
        <w:rPr>
          <w:sz w:val="24"/>
          <w:szCs w:val="24"/>
        </w:rPr>
      </w:pPr>
      <w:r w:rsidRPr="000954F3">
        <w:rPr>
          <w:sz w:val="24"/>
          <w:szCs w:val="24"/>
          <w:vertAlign w:val="superscript"/>
        </w:rPr>
        <w:t>7)</w:t>
      </w:r>
      <w:r w:rsidRPr="000954F3">
        <w:rPr>
          <w:sz w:val="24"/>
          <w:szCs w:val="24"/>
        </w:rPr>
        <w:t xml:space="preserve"> </w:t>
      </w:r>
      <w:r w:rsidRPr="000954F3">
        <w:rPr>
          <w:sz w:val="24"/>
          <w:szCs w:val="24"/>
        </w:rPr>
        <w:tab/>
        <w:t xml:space="preserve">I de fleste tilfælde kom patienterne sig efter </w:t>
      </w:r>
      <w:proofErr w:type="spellStart"/>
      <w:r w:rsidRPr="000954F3">
        <w:rPr>
          <w:sz w:val="24"/>
          <w:szCs w:val="24"/>
        </w:rPr>
        <w:t>seponering</w:t>
      </w:r>
      <w:proofErr w:type="spellEnd"/>
      <w:r w:rsidRPr="000954F3">
        <w:rPr>
          <w:sz w:val="24"/>
          <w:szCs w:val="24"/>
        </w:rPr>
        <w:t xml:space="preserve"> af lægemidlet.</w:t>
      </w:r>
    </w:p>
    <w:p w:rsidR="00DF7D66" w:rsidRPr="00C761F9" w:rsidRDefault="00DF7D66" w:rsidP="00DF7D66">
      <w:pPr>
        <w:tabs>
          <w:tab w:val="left" w:pos="851"/>
        </w:tabs>
        <w:autoSpaceDE w:val="0"/>
        <w:autoSpaceDN w:val="0"/>
        <w:adjustRightInd w:val="0"/>
        <w:ind w:left="851"/>
        <w:rPr>
          <w:sz w:val="24"/>
          <w:szCs w:val="24"/>
        </w:rPr>
      </w:pPr>
    </w:p>
    <w:p w:rsidR="00DF7D66" w:rsidRPr="00C761F9" w:rsidRDefault="00DF7D66" w:rsidP="00DF7D66">
      <w:pPr>
        <w:tabs>
          <w:tab w:val="left" w:pos="851"/>
        </w:tabs>
        <w:autoSpaceDE w:val="0"/>
        <w:autoSpaceDN w:val="0"/>
        <w:adjustRightInd w:val="0"/>
        <w:ind w:left="851"/>
        <w:rPr>
          <w:sz w:val="24"/>
          <w:szCs w:val="24"/>
        </w:rPr>
      </w:pPr>
      <w:r w:rsidRPr="00C761F9">
        <w:rPr>
          <w:sz w:val="24"/>
          <w:szCs w:val="24"/>
        </w:rPr>
        <w:t xml:space="preserve">Laboratorievurderinger i kliniske </w:t>
      </w:r>
      <w:r>
        <w:rPr>
          <w:sz w:val="24"/>
          <w:szCs w:val="24"/>
        </w:rPr>
        <w:t>studier</w:t>
      </w:r>
      <w:r w:rsidRPr="00C761F9">
        <w:rPr>
          <w:sz w:val="24"/>
          <w:szCs w:val="24"/>
        </w:rPr>
        <w:t xml:space="preserve"> har vist kortvarige stigninger i </w:t>
      </w:r>
      <w:proofErr w:type="spellStart"/>
      <w:r w:rsidRPr="00C761F9">
        <w:rPr>
          <w:sz w:val="24"/>
          <w:szCs w:val="24"/>
        </w:rPr>
        <w:t>transaminaser</w:t>
      </w:r>
      <w:proofErr w:type="spellEnd"/>
      <w:r w:rsidRPr="00C761F9">
        <w:rPr>
          <w:sz w:val="24"/>
          <w:szCs w:val="24"/>
        </w:rPr>
        <w:t xml:space="preserve"> og</w:t>
      </w:r>
    </w:p>
    <w:p w:rsidR="00DF7D66" w:rsidRPr="00C761F9" w:rsidRDefault="00DF7D66" w:rsidP="00DF7D66">
      <w:pPr>
        <w:tabs>
          <w:tab w:val="left" w:pos="851"/>
        </w:tabs>
        <w:autoSpaceDE w:val="0"/>
        <w:autoSpaceDN w:val="0"/>
        <w:adjustRightInd w:val="0"/>
        <w:ind w:left="851"/>
        <w:rPr>
          <w:sz w:val="24"/>
          <w:szCs w:val="24"/>
        </w:rPr>
      </w:pPr>
      <w:proofErr w:type="spellStart"/>
      <w:r w:rsidRPr="00C761F9">
        <w:rPr>
          <w:sz w:val="24"/>
          <w:szCs w:val="24"/>
        </w:rPr>
        <w:t>gammaglutamyltransferaser</w:t>
      </w:r>
      <w:proofErr w:type="spellEnd"/>
      <w:r w:rsidRPr="00C761F9">
        <w:rPr>
          <w:sz w:val="24"/>
          <w:szCs w:val="24"/>
        </w:rPr>
        <w:t xml:space="preserve"> (bivirkningerne er dog ikke set statistisk signifikant hyppigere med </w:t>
      </w:r>
      <w:proofErr w:type="spellStart"/>
      <w:r w:rsidRPr="00C761F9">
        <w:rPr>
          <w:sz w:val="24"/>
          <w:szCs w:val="24"/>
        </w:rPr>
        <w:t>mirtazapin</w:t>
      </w:r>
      <w:proofErr w:type="spellEnd"/>
      <w:r w:rsidRPr="00C761F9">
        <w:rPr>
          <w:sz w:val="24"/>
          <w:szCs w:val="24"/>
        </w:rPr>
        <w:t xml:space="preserve"> sammenlignet med placebo). </w:t>
      </w:r>
    </w:p>
    <w:p w:rsidR="00DF7D66" w:rsidRPr="00C761F9" w:rsidRDefault="00DF7D66" w:rsidP="00DF7D66">
      <w:pPr>
        <w:pStyle w:val="Sidehoved"/>
        <w:tabs>
          <w:tab w:val="clear" w:pos="4819"/>
          <w:tab w:val="clear" w:pos="9638"/>
          <w:tab w:val="left" w:pos="851"/>
        </w:tabs>
        <w:ind w:left="851"/>
        <w:rPr>
          <w:szCs w:val="24"/>
        </w:rPr>
      </w:pPr>
    </w:p>
    <w:p w:rsidR="00DF7D66" w:rsidRPr="00C761F9" w:rsidRDefault="00DF7D66" w:rsidP="00DF7D66">
      <w:pPr>
        <w:tabs>
          <w:tab w:val="left" w:pos="851"/>
        </w:tabs>
        <w:autoSpaceDE w:val="0"/>
        <w:autoSpaceDN w:val="0"/>
        <w:adjustRightInd w:val="0"/>
        <w:ind w:left="851"/>
        <w:rPr>
          <w:sz w:val="24"/>
          <w:szCs w:val="24"/>
          <w:u w:val="single"/>
        </w:rPr>
      </w:pPr>
      <w:r>
        <w:rPr>
          <w:sz w:val="24"/>
          <w:szCs w:val="24"/>
          <w:u w:val="single"/>
        </w:rPr>
        <w:t>Pædiatrisk population</w:t>
      </w:r>
    </w:p>
    <w:p w:rsidR="00DF7D66" w:rsidRPr="00C761F9" w:rsidRDefault="00DF7D66" w:rsidP="00DF7D66">
      <w:pPr>
        <w:tabs>
          <w:tab w:val="left" w:pos="851"/>
        </w:tabs>
        <w:autoSpaceDE w:val="0"/>
        <w:autoSpaceDN w:val="0"/>
        <w:adjustRightInd w:val="0"/>
        <w:ind w:left="851"/>
        <w:rPr>
          <w:sz w:val="24"/>
          <w:szCs w:val="24"/>
        </w:rPr>
      </w:pPr>
      <w:r w:rsidRPr="00C761F9">
        <w:rPr>
          <w:sz w:val="24"/>
          <w:szCs w:val="24"/>
        </w:rPr>
        <w:t xml:space="preserve">I kliniske studier med børn blev følgende bivirkninger almindeligt observeret: vægtøgning, </w:t>
      </w:r>
      <w:proofErr w:type="spellStart"/>
      <w:r w:rsidRPr="00C761F9">
        <w:rPr>
          <w:sz w:val="24"/>
          <w:szCs w:val="24"/>
        </w:rPr>
        <w:t>urticaria</w:t>
      </w:r>
      <w:proofErr w:type="spellEnd"/>
      <w:r w:rsidRPr="00C761F9">
        <w:rPr>
          <w:sz w:val="24"/>
          <w:szCs w:val="24"/>
        </w:rPr>
        <w:t xml:space="preserve"> og </w:t>
      </w:r>
      <w:proofErr w:type="spellStart"/>
      <w:r w:rsidRPr="00C761F9">
        <w:rPr>
          <w:sz w:val="24"/>
          <w:szCs w:val="24"/>
        </w:rPr>
        <w:t>hypertriglyceridæmi</w:t>
      </w:r>
      <w:proofErr w:type="spellEnd"/>
      <w:r w:rsidRPr="00C761F9">
        <w:rPr>
          <w:sz w:val="24"/>
          <w:szCs w:val="24"/>
        </w:rPr>
        <w:t xml:space="preserve"> (se også pkt. 5.1).</w:t>
      </w:r>
    </w:p>
    <w:p w:rsidR="00DF7D66" w:rsidRPr="00C761F9" w:rsidRDefault="00DF7D66" w:rsidP="00DF7D66">
      <w:pPr>
        <w:tabs>
          <w:tab w:val="left" w:pos="851"/>
        </w:tabs>
        <w:autoSpaceDE w:val="0"/>
        <w:autoSpaceDN w:val="0"/>
        <w:adjustRightInd w:val="0"/>
        <w:ind w:left="851"/>
        <w:rPr>
          <w:sz w:val="24"/>
          <w:szCs w:val="24"/>
        </w:rPr>
      </w:pPr>
    </w:p>
    <w:p w:rsidR="00DF7D66" w:rsidRDefault="00DF7D66" w:rsidP="00DF7D66">
      <w:pPr>
        <w:autoSpaceDE w:val="0"/>
        <w:autoSpaceDN w:val="0"/>
        <w:ind w:left="851"/>
        <w:rPr>
          <w:sz w:val="24"/>
          <w:szCs w:val="24"/>
          <w:u w:val="single"/>
          <w:lang w:eastAsia="da-DK"/>
        </w:rPr>
      </w:pPr>
      <w:r>
        <w:rPr>
          <w:sz w:val="24"/>
          <w:szCs w:val="24"/>
          <w:u w:val="single"/>
          <w:lang w:eastAsia="da-DK"/>
        </w:rPr>
        <w:t>Indberetning af formodede bivirkninger</w:t>
      </w:r>
    </w:p>
    <w:p w:rsidR="00DF7D66" w:rsidRDefault="00DF7D66" w:rsidP="00DF7D66">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-forholdet for lægemidlet.</w:t>
      </w:r>
      <w:r w:rsidR="00EA6BF2">
        <w:rPr>
          <w:sz w:val="24"/>
          <w:szCs w:val="24"/>
          <w:lang w:eastAsia="da-DK"/>
        </w:rPr>
        <w:t xml:space="preserve"> </w:t>
      </w:r>
      <w:r w:rsidR="000954F3">
        <w:rPr>
          <w:sz w:val="24"/>
          <w:szCs w:val="24"/>
          <w:lang w:eastAsia="da-DK"/>
        </w:rPr>
        <w:t>S</w:t>
      </w:r>
      <w:r>
        <w:rPr>
          <w:sz w:val="24"/>
          <w:szCs w:val="24"/>
          <w:lang w:eastAsia="da-DK"/>
        </w:rPr>
        <w:t>undhedsperson</w:t>
      </w:r>
      <w:r w:rsidR="000954F3">
        <w:rPr>
          <w:sz w:val="24"/>
          <w:szCs w:val="24"/>
          <w:lang w:eastAsia="da-DK"/>
        </w:rPr>
        <w:t>er</w:t>
      </w:r>
      <w:r>
        <w:rPr>
          <w:sz w:val="24"/>
          <w:szCs w:val="24"/>
          <w:lang w:eastAsia="da-DK"/>
        </w:rPr>
        <w:t xml:space="preserve"> anmodes om at indberette alle formodede bivirkninger via:</w:t>
      </w:r>
    </w:p>
    <w:p w:rsidR="00DF7D66" w:rsidRPr="000E1F54" w:rsidRDefault="00DF7D66" w:rsidP="00DF7D66">
      <w:pPr>
        <w:ind w:left="851"/>
        <w:rPr>
          <w:sz w:val="24"/>
          <w:szCs w:val="24"/>
          <w:lang w:eastAsia="da-DK"/>
        </w:rPr>
      </w:pPr>
    </w:p>
    <w:p w:rsidR="00DF7D66" w:rsidRPr="000E1F54" w:rsidRDefault="00DF7D66" w:rsidP="00DF7D66">
      <w:pPr>
        <w:ind w:left="851"/>
        <w:rPr>
          <w:sz w:val="24"/>
          <w:szCs w:val="24"/>
          <w:lang w:eastAsia="da-DK"/>
        </w:rPr>
      </w:pPr>
      <w:r>
        <w:rPr>
          <w:sz w:val="24"/>
          <w:szCs w:val="24"/>
          <w:lang w:eastAsia="da-DK"/>
        </w:rPr>
        <w:t>Lægemiddel</w:t>
      </w:r>
      <w:r w:rsidRPr="000E1F54">
        <w:rPr>
          <w:sz w:val="24"/>
          <w:szCs w:val="24"/>
          <w:lang w:eastAsia="da-DK"/>
        </w:rPr>
        <w:t>styrelsen</w:t>
      </w:r>
    </w:p>
    <w:p w:rsidR="00DF7D66" w:rsidRPr="000E1F54" w:rsidRDefault="00DF7D66" w:rsidP="00DF7D66">
      <w:pPr>
        <w:ind w:left="851"/>
        <w:rPr>
          <w:sz w:val="24"/>
          <w:szCs w:val="24"/>
          <w:lang w:eastAsia="da-DK"/>
        </w:rPr>
      </w:pPr>
      <w:r w:rsidRPr="000E1F54">
        <w:rPr>
          <w:sz w:val="24"/>
          <w:szCs w:val="24"/>
          <w:lang w:eastAsia="da-DK"/>
        </w:rPr>
        <w:t>Axel Heides Gade 1</w:t>
      </w:r>
    </w:p>
    <w:p w:rsidR="00DF7D66" w:rsidRPr="000E1F54" w:rsidRDefault="00DF7D66" w:rsidP="00DF7D66">
      <w:pPr>
        <w:ind w:left="851"/>
        <w:rPr>
          <w:sz w:val="24"/>
          <w:szCs w:val="24"/>
          <w:lang w:eastAsia="da-DK"/>
        </w:rPr>
      </w:pPr>
      <w:r w:rsidRPr="000E1F54">
        <w:rPr>
          <w:sz w:val="24"/>
          <w:szCs w:val="24"/>
          <w:lang w:eastAsia="da-DK"/>
        </w:rPr>
        <w:t>DK-2300 København S</w:t>
      </w:r>
    </w:p>
    <w:p w:rsidR="00DF7D66" w:rsidRPr="00F94339" w:rsidRDefault="00DF7D66" w:rsidP="00DF7D66">
      <w:pPr>
        <w:ind w:left="851"/>
        <w:rPr>
          <w:sz w:val="24"/>
          <w:szCs w:val="24"/>
          <w:lang w:eastAsia="da-DK"/>
        </w:rPr>
      </w:pPr>
      <w:r w:rsidRPr="00F94339">
        <w:rPr>
          <w:sz w:val="24"/>
          <w:szCs w:val="24"/>
          <w:lang w:eastAsia="da-DK"/>
        </w:rPr>
        <w:t xml:space="preserve">Websted: </w:t>
      </w:r>
      <w:hyperlink r:id="rId9" w:history="1">
        <w:r w:rsidRPr="00F94339">
          <w:rPr>
            <w:color w:val="0000FF"/>
            <w:sz w:val="24"/>
            <w:szCs w:val="22"/>
            <w:u w:val="single"/>
            <w:lang w:eastAsia="da-DK"/>
          </w:rPr>
          <w:t>www.meldenbivirkning.dk</w:t>
        </w:r>
      </w:hyperlink>
    </w:p>
    <w:p w:rsidR="00DF7D66" w:rsidRPr="00F94339" w:rsidRDefault="00DF7D66" w:rsidP="00DF7D66">
      <w:pPr>
        <w:pStyle w:val="Sidehoved"/>
        <w:tabs>
          <w:tab w:val="left" w:pos="851"/>
        </w:tabs>
        <w:rPr>
          <w:szCs w:val="24"/>
        </w:rPr>
      </w:pPr>
    </w:p>
    <w:p w:rsidR="00DF7D66" w:rsidRPr="00C84483" w:rsidRDefault="00DF7D66" w:rsidP="00DF7D66">
      <w:pPr>
        <w:tabs>
          <w:tab w:val="left" w:pos="851"/>
        </w:tabs>
        <w:ind w:left="851" w:hanging="851"/>
        <w:rPr>
          <w:b/>
          <w:sz w:val="24"/>
          <w:szCs w:val="24"/>
        </w:rPr>
      </w:pPr>
      <w:r w:rsidRPr="00C84483">
        <w:rPr>
          <w:b/>
          <w:sz w:val="24"/>
          <w:szCs w:val="24"/>
        </w:rPr>
        <w:t>4.9</w:t>
      </w:r>
      <w:r w:rsidRPr="00C84483">
        <w:rPr>
          <w:b/>
          <w:sz w:val="24"/>
          <w:szCs w:val="24"/>
        </w:rPr>
        <w:tab/>
        <w:t>Overdosering</w:t>
      </w:r>
    </w:p>
    <w:p w:rsidR="00DF7D66" w:rsidRPr="001E5D3F" w:rsidRDefault="00DF7D66" w:rsidP="00DF7D66">
      <w:pPr>
        <w:tabs>
          <w:tab w:val="left" w:pos="851"/>
        </w:tabs>
        <w:autoSpaceDE w:val="0"/>
        <w:autoSpaceDN w:val="0"/>
        <w:adjustRightInd w:val="0"/>
        <w:ind w:left="851"/>
        <w:rPr>
          <w:sz w:val="24"/>
          <w:szCs w:val="22"/>
        </w:rPr>
      </w:pPr>
      <w:r w:rsidRPr="001E5D3F">
        <w:rPr>
          <w:sz w:val="24"/>
          <w:szCs w:val="22"/>
        </w:rPr>
        <w:t xml:space="preserve">Nuværende erfaring vedrørende overdosering med </w:t>
      </w:r>
      <w:proofErr w:type="spellStart"/>
      <w:r w:rsidRPr="001E5D3F">
        <w:rPr>
          <w:sz w:val="24"/>
          <w:szCs w:val="22"/>
        </w:rPr>
        <w:t>mirtazapin</w:t>
      </w:r>
      <w:proofErr w:type="spellEnd"/>
      <w:r w:rsidRPr="001E5D3F">
        <w:rPr>
          <w:sz w:val="24"/>
          <w:szCs w:val="22"/>
        </w:rPr>
        <w:t xml:space="preserve"> alene viser, at symptomerne sædvanligvis er lette. </w:t>
      </w:r>
    </w:p>
    <w:p w:rsidR="00DF7D66" w:rsidRPr="001E5D3F" w:rsidRDefault="00DF7D66" w:rsidP="00DF7D66">
      <w:pPr>
        <w:tabs>
          <w:tab w:val="left" w:pos="851"/>
        </w:tabs>
        <w:autoSpaceDE w:val="0"/>
        <w:autoSpaceDN w:val="0"/>
        <w:adjustRightInd w:val="0"/>
        <w:ind w:left="851"/>
        <w:rPr>
          <w:sz w:val="24"/>
          <w:szCs w:val="22"/>
        </w:rPr>
      </w:pPr>
      <w:r w:rsidRPr="001E5D3F">
        <w:rPr>
          <w:sz w:val="24"/>
          <w:szCs w:val="22"/>
        </w:rPr>
        <w:t xml:space="preserve">Der er rapporteret om depression af centralnervesystemet med desorientering og længerevarende sedation samtidig med </w:t>
      </w:r>
      <w:proofErr w:type="spellStart"/>
      <w:r w:rsidRPr="001E5D3F">
        <w:rPr>
          <w:sz w:val="24"/>
          <w:szCs w:val="22"/>
        </w:rPr>
        <w:t>takykardi</w:t>
      </w:r>
      <w:proofErr w:type="spellEnd"/>
      <w:r w:rsidRPr="001E5D3F">
        <w:rPr>
          <w:sz w:val="24"/>
          <w:szCs w:val="22"/>
        </w:rPr>
        <w:t xml:space="preserve"> og let hyper- eller hypotension. Alvorligere følger (inklusive dødsfald) er dog mulige ved doser, der er meget højere end den terapeutiske dosis, specielt i tilfælde af blandingsoverdosering. I disse tilfælde er der også rapporteret om QT-forlængelse og </w:t>
      </w:r>
      <w:proofErr w:type="spellStart"/>
      <w:r w:rsidRPr="001E5D3F">
        <w:rPr>
          <w:sz w:val="24"/>
          <w:szCs w:val="22"/>
        </w:rPr>
        <w:t>torsades</w:t>
      </w:r>
      <w:proofErr w:type="spellEnd"/>
      <w:r w:rsidRPr="001E5D3F">
        <w:rPr>
          <w:sz w:val="24"/>
          <w:szCs w:val="22"/>
        </w:rPr>
        <w:t xml:space="preserve"> de pointes.</w:t>
      </w:r>
      <w:r w:rsidRPr="001E5D3F">
        <w:rPr>
          <w:sz w:val="24"/>
          <w:szCs w:val="22"/>
        </w:rPr>
        <w:tab/>
      </w:r>
    </w:p>
    <w:p w:rsidR="00DF7D66" w:rsidRPr="001E5D3F" w:rsidRDefault="00DF7D66" w:rsidP="00DF7D66">
      <w:pPr>
        <w:tabs>
          <w:tab w:val="left" w:pos="851"/>
        </w:tabs>
        <w:autoSpaceDE w:val="0"/>
        <w:autoSpaceDN w:val="0"/>
        <w:adjustRightInd w:val="0"/>
        <w:ind w:left="851"/>
        <w:rPr>
          <w:sz w:val="24"/>
          <w:szCs w:val="22"/>
        </w:rPr>
      </w:pPr>
    </w:p>
    <w:p w:rsidR="00DF7D66" w:rsidRPr="001E5D3F" w:rsidRDefault="00DF7D66" w:rsidP="00DF7D66">
      <w:pPr>
        <w:tabs>
          <w:tab w:val="left" w:pos="851"/>
        </w:tabs>
        <w:autoSpaceDE w:val="0"/>
        <w:autoSpaceDN w:val="0"/>
        <w:adjustRightInd w:val="0"/>
        <w:ind w:left="851"/>
        <w:rPr>
          <w:sz w:val="24"/>
          <w:szCs w:val="22"/>
        </w:rPr>
      </w:pPr>
      <w:r w:rsidRPr="001E5D3F">
        <w:rPr>
          <w:sz w:val="24"/>
          <w:szCs w:val="22"/>
        </w:rPr>
        <w:t>I tilfælde af overdosis gives passende symptomatisk behandling og understøttelse af vitale funktioner. Ekg-monitorering bør foretages.</w:t>
      </w:r>
    </w:p>
    <w:p w:rsidR="00DF7D66" w:rsidRPr="001E5D3F" w:rsidRDefault="00DF7D66" w:rsidP="00DF7D66">
      <w:pPr>
        <w:tabs>
          <w:tab w:val="left" w:pos="851"/>
        </w:tabs>
        <w:ind w:left="851"/>
        <w:rPr>
          <w:sz w:val="24"/>
          <w:szCs w:val="22"/>
        </w:rPr>
      </w:pPr>
      <w:r w:rsidRPr="001E5D3F">
        <w:rPr>
          <w:sz w:val="24"/>
          <w:szCs w:val="22"/>
        </w:rPr>
        <w:t>Aktivt kul eller ventrikelskylning bør også overvejes.</w:t>
      </w:r>
    </w:p>
    <w:p w:rsidR="00DF7D66" w:rsidRPr="001E5D3F" w:rsidRDefault="00DF7D66" w:rsidP="00DF7D66">
      <w:pPr>
        <w:rPr>
          <w:sz w:val="24"/>
          <w:szCs w:val="22"/>
        </w:rPr>
      </w:pPr>
    </w:p>
    <w:p w:rsidR="00DF7D66" w:rsidRPr="001E5D3F" w:rsidRDefault="00DF7D66" w:rsidP="00DF7D66">
      <w:pPr>
        <w:tabs>
          <w:tab w:val="left" w:pos="851"/>
        </w:tabs>
        <w:autoSpaceDE w:val="0"/>
        <w:autoSpaceDN w:val="0"/>
        <w:adjustRightInd w:val="0"/>
        <w:ind w:left="851"/>
        <w:rPr>
          <w:sz w:val="24"/>
          <w:szCs w:val="22"/>
          <w:u w:val="single"/>
        </w:rPr>
      </w:pPr>
      <w:r w:rsidRPr="001E5D3F">
        <w:rPr>
          <w:sz w:val="24"/>
          <w:szCs w:val="22"/>
          <w:u w:val="single"/>
        </w:rPr>
        <w:t>Pædiatrisk population</w:t>
      </w:r>
    </w:p>
    <w:p w:rsidR="00DF7D66" w:rsidRPr="001E5D3F" w:rsidRDefault="00DF7D66" w:rsidP="00DF7D66">
      <w:pPr>
        <w:tabs>
          <w:tab w:val="left" w:pos="851"/>
        </w:tabs>
        <w:ind w:left="851"/>
        <w:rPr>
          <w:sz w:val="24"/>
          <w:szCs w:val="22"/>
        </w:rPr>
      </w:pPr>
      <w:r w:rsidRPr="001E5D3F">
        <w:rPr>
          <w:sz w:val="24"/>
          <w:szCs w:val="22"/>
        </w:rPr>
        <w:t>I tilfælde af overdosering hos pædiatriske patienter bør der udvises samme handlinger som hos voksne.</w:t>
      </w:r>
    </w:p>
    <w:p w:rsidR="00DF7D66" w:rsidRPr="00C84483" w:rsidRDefault="00DF7D66" w:rsidP="00DF7D66">
      <w:pPr>
        <w:tabs>
          <w:tab w:val="left" w:pos="851"/>
        </w:tabs>
        <w:rPr>
          <w:sz w:val="24"/>
          <w:szCs w:val="24"/>
        </w:rPr>
      </w:pPr>
    </w:p>
    <w:p w:rsidR="00DF7D66" w:rsidRPr="00C84483" w:rsidRDefault="00DF7D66" w:rsidP="00DF7D66">
      <w:pPr>
        <w:tabs>
          <w:tab w:val="left" w:pos="851"/>
        </w:tabs>
        <w:ind w:left="851" w:hanging="851"/>
        <w:rPr>
          <w:b/>
          <w:sz w:val="24"/>
          <w:szCs w:val="24"/>
        </w:rPr>
      </w:pPr>
      <w:r w:rsidRPr="00C84483">
        <w:rPr>
          <w:b/>
          <w:sz w:val="24"/>
          <w:szCs w:val="24"/>
        </w:rPr>
        <w:t>4.10</w:t>
      </w:r>
      <w:r w:rsidRPr="00C84483">
        <w:rPr>
          <w:b/>
          <w:sz w:val="24"/>
          <w:szCs w:val="24"/>
        </w:rPr>
        <w:tab/>
        <w:t>Udlevering</w:t>
      </w:r>
    </w:p>
    <w:p w:rsidR="00DF7D66" w:rsidRPr="00C84483" w:rsidRDefault="00DF7D66" w:rsidP="00DF7D66">
      <w:pPr>
        <w:tabs>
          <w:tab w:val="left" w:pos="851"/>
        </w:tabs>
        <w:ind w:left="851" w:hanging="851"/>
        <w:rPr>
          <w:sz w:val="24"/>
          <w:szCs w:val="24"/>
        </w:rPr>
      </w:pPr>
      <w:r w:rsidRPr="00C84483">
        <w:rPr>
          <w:sz w:val="24"/>
          <w:szCs w:val="24"/>
        </w:rPr>
        <w:tab/>
      </w:r>
      <w:r>
        <w:rPr>
          <w:sz w:val="24"/>
          <w:szCs w:val="24"/>
        </w:rPr>
        <w:t>B</w:t>
      </w:r>
    </w:p>
    <w:p w:rsidR="00DF7D66" w:rsidRPr="00C84483" w:rsidRDefault="00DF7D66" w:rsidP="00DF7D66">
      <w:pPr>
        <w:tabs>
          <w:tab w:val="left" w:pos="851"/>
        </w:tabs>
        <w:rPr>
          <w:sz w:val="24"/>
          <w:szCs w:val="24"/>
        </w:rPr>
      </w:pPr>
    </w:p>
    <w:p w:rsidR="00DF7D66" w:rsidRPr="00C84483" w:rsidRDefault="00DF7D66" w:rsidP="00DF7D66">
      <w:pPr>
        <w:tabs>
          <w:tab w:val="left" w:pos="851"/>
        </w:tabs>
        <w:rPr>
          <w:sz w:val="24"/>
          <w:szCs w:val="24"/>
        </w:rPr>
      </w:pPr>
    </w:p>
    <w:p w:rsidR="00DF7D66" w:rsidRPr="00C84483" w:rsidRDefault="00DF7D66" w:rsidP="00DF7D66">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DF7D66" w:rsidRPr="00C84483" w:rsidRDefault="00DF7D66" w:rsidP="00DF7D66">
      <w:pPr>
        <w:tabs>
          <w:tab w:val="left" w:pos="851"/>
        </w:tabs>
        <w:rPr>
          <w:sz w:val="24"/>
          <w:szCs w:val="24"/>
        </w:rPr>
      </w:pPr>
    </w:p>
    <w:p w:rsidR="00DF7D66" w:rsidRPr="00C84483" w:rsidRDefault="00DF7D66" w:rsidP="00DF7D66">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DF7D66" w:rsidRDefault="00DF7D66" w:rsidP="00DF7D66">
      <w:pPr>
        <w:tabs>
          <w:tab w:val="left" w:pos="851"/>
        </w:tabs>
        <w:autoSpaceDE w:val="0"/>
        <w:autoSpaceDN w:val="0"/>
        <w:adjustRightInd w:val="0"/>
        <w:ind w:left="851"/>
        <w:rPr>
          <w:sz w:val="24"/>
          <w:szCs w:val="24"/>
        </w:rPr>
      </w:pPr>
      <w:r>
        <w:rPr>
          <w:sz w:val="24"/>
          <w:szCs w:val="24"/>
        </w:rPr>
        <w:t xml:space="preserve">ATC-kode: </w:t>
      </w:r>
      <w:r w:rsidR="000954F3">
        <w:rPr>
          <w:sz w:val="24"/>
          <w:szCs w:val="24"/>
        </w:rPr>
        <w:t>N 06 AX 11</w:t>
      </w:r>
      <w:r>
        <w:rPr>
          <w:sz w:val="24"/>
          <w:szCs w:val="24"/>
        </w:rPr>
        <w:t xml:space="preserve">. </w:t>
      </w:r>
      <w:proofErr w:type="spellStart"/>
      <w:r w:rsidR="000954F3">
        <w:rPr>
          <w:sz w:val="24"/>
          <w:szCs w:val="24"/>
        </w:rPr>
        <w:t>Psychoanaleptica</w:t>
      </w:r>
      <w:proofErr w:type="spellEnd"/>
      <w:r w:rsidR="000954F3">
        <w:rPr>
          <w:sz w:val="24"/>
          <w:szCs w:val="24"/>
        </w:rPr>
        <w:t xml:space="preserve">, andre </w:t>
      </w:r>
      <w:proofErr w:type="spellStart"/>
      <w:r w:rsidR="000954F3">
        <w:rPr>
          <w:sz w:val="24"/>
          <w:szCs w:val="24"/>
        </w:rPr>
        <w:t>antidepressiva</w:t>
      </w:r>
      <w:proofErr w:type="spellEnd"/>
      <w:r w:rsidR="000954F3">
        <w:rPr>
          <w:sz w:val="24"/>
          <w:szCs w:val="24"/>
        </w:rPr>
        <w:t xml:space="preserve">. </w:t>
      </w:r>
      <w:r>
        <w:rPr>
          <w:sz w:val="24"/>
          <w:szCs w:val="24"/>
        </w:rPr>
        <w:t xml:space="preserve"> </w:t>
      </w:r>
    </w:p>
    <w:p w:rsidR="00DF7D66" w:rsidRPr="00C84483" w:rsidRDefault="00DF7D66" w:rsidP="00DF7D66">
      <w:pPr>
        <w:tabs>
          <w:tab w:val="left" w:pos="851"/>
        </w:tabs>
        <w:rPr>
          <w:sz w:val="24"/>
          <w:szCs w:val="24"/>
        </w:rPr>
      </w:pPr>
    </w:p>
    <w:p w:rsidR="00DF7D66" w:rsidRPr="00C84483" w:rsidRDefault="00DF7D66" w:rsidP="00DF7D66">
      <w:pPr>
        <w:tabs>
          <w:tab w:val="num" w:pos="851"/>
        </w:tabs>
        <w:ind w:left="851" w:hanging="851"/>
        <w:rPr>
          <w:b/>
          <w:sz w:val="24"/>
          <w:szCs w:val="24"/>
        </w:rPr>
      </w:pPr>
      <w:r w:rsidRPr="00C84483">
        <w:rPr>
          <w:b/>
          <w:sz w:val="24"/>
          <w:szCs w:val="24"/>
        </w:rPr>
        <w:lastRenderedPageBreak/>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DF7D66" w:rsidRPr="00C761F9" w:rsidRDefault="00DF7D66" w:rsidP="00DF7D66">
      <w:pPr>
        <w:tabs>
          <w:tab w:val="left" w:pos="851"/>
        </w:tabs>
        <w:autoSpaceDE w:val="0"/>
        <w:autoSpaceDN w:val="0"/>
        <w:adjustRightInd w:val="0"/>
        <w:ind w:left="851"/>
        <w:rPr>
          <w:sz w:val="24"/>
          <w:szCs w:val="24"/>
          <w:u w:val="single"/>
        </w:rPr>
      </w:pPr>
      <w:r w:rsidRPr="00C761F9">
        <w:rPr>
          <w:sz w:val="24"/>
          <w:szCs w:val="24"/>
          <w:u w:val="single"/>
        </w:rPr>
        <w:t>Virkningsmekaniske/</w:t>
      </w:r>
      <w:proofErr w:type="spellStart"/>
      <w:r>
        <w:rPr>
          <w:sz w:val="24"/>
          <w:szCs w:val="24"/>
          <w:u w:val="single"/>
        </w:rPr>
        <w:t>f</w:t>
      </w:r>
      <w:r w:rsidRPr="00C761F9">
        <w:rPr>
          <w:sz w:val="24"/>
          <w:szCs w:val="24"/>
          <w:u w:val="single"/>
        </w:rPr>
        <w:t>armakodynamisk</w:t>
      </w:r>
      <w:proofErr w:type="spellEnd"/>
      <w:r w:rsidRPr="00C761F9">
        <w:rPr>
          <w:sz w:val="24"/>
          <w:szCs w:val="24"/>
          <w:u w:val="single"/>
        </w:rPr>
        <w:t xml:space="preserve"> virkning</w:t>
      </w:r>
    </w:p>
    <w:p w:rsidR="00DF7D66" w:rsidRPr="00C761F9" w:rsidRDefault="00DF7D66" w:rsidP="00DF7D66">
      <w:pPr>
        <w:tabs>
          <w:tab w:val="left" w:pos="851"/>
        </w:tabs>
        <w:autoSpaceDE w:val="0"/>
        <w:autoSpaceDN w:val="0"/>
        <w:adjustRightInd w:val="0"/>
        <w:ind w:left="851"/>
        <w:rPr>
          <w:sz w:val="24"/>
          <w:szCs w:val="24"/>
        </w:rPr>
      </w:pPr>
      <w:proofErr w:type="spellStart"/>
      <w:r w:rsidRPr="00C761F9">
        <w:rPr>
          <w:sz w:val="24"/>
          <w:szCs w:val="24"/>
        </w:rPr>
        <w:t>Mirtazapin</w:t>
      </w:r>
      <w:proofErr w:type="spellEnd"/>
      <w:r w:rsidRPr="00C761F9">
        <w:rPr>
          <w:sz w:val="24"/>
          <w:szCs w:val="24"/>
        </w:rPr>
        <w:t xml:space="preserve"> er en centralt virkende </w:t>
      </w:r>
      <w:proofErr w:type="spellStart"/>
      <w:r w:rsidRPr="00C761F9">
        <w:rPr>
          <w:sz w:val="24"/>
          <w:szCs w:val="24"/>
        </w:rPr>
        <w:t>præsynaptisk</w:t>
      </w:r>
      <w:proofErr w:type="spellEnd"/>
      <w:r w:rsidRPr="00C761F9">
        <w:rPr>
          <w:sz w:val="24"/>
          <w:szCs w:val="24"/>
        </w:rPr>
        <w:t xml:space="preserve"> </w:t>
      </w:r>
      <w:r w:rsidRPr="00C761F9">
        <w:rPr>
          <w:noProof/>
          <w:sz w:val="24"/>
          <w:szCs w:val="24"/>
        </w:rPr>
        <w:t>α</w:t>
      </w:r>
      <w:r w:rsidRPr="00C761F9">
        <w:rPr>
          <w:noProof/>
          <w:sz w:val="24"/>
          <w:szCs w:val="24"/>
          <w:vertAlign w:val="subscript"/>
        </w:rPr>
        <w:t>2</w:t>
      </w:r>
      <w:r w:rsidRPr="00C761F9">
        <w:rPr>
          <w:sz w:val="24"/>
          <w:szCs w:val="24"/>
        </w:rPr>
        <w:t xml:space="preserve">-antagonist, som øger den centrale </w:t>
      </w:r>
      <w:proofErr w:type="spellStart"/>
      <w:r w:rsidRPr="00C761F9">
        <w:rPr>
          <w:sz w:val="24"/>
          <w:szCs w:val="24"/>
        </w:rPr>
        <w:t>noradrenerge</w:t>
      </w:r>
      <w:proofErr w:type="spellEnd"/>
      <w:r w:rsidRPr="00C761F9">
        <w:rPr>
          <w:sz w:val="24"/>
          <w:szCs w:val="24"/>
        </w:rPr>
        <w:t xml:space="preserve"> og </w:t>
      </w:r>
      <w:proofErr w:type="spellStart"/>
      <w:r w:rsidRPr="00C761F9">
        <w:rPr>
          <w:sz w:val="24"/>
          <w:szCs w:val="24"/>
        </w:rPr>
        <w:t>serotonerge</w:t>
      </w:r>
      <w:proofErr w:type="spellEnd"/>
      <w:r w:rsidRPr="00C761F9">
        <w:rPr>
          <w:sz w:val="24"/>
          <w:szCs w:val="24"/>
        </w:rPr>
        <w:t xml:space="preserve"> </w:t>
      </w:r>
      <w:proofErr w:type="spellStart"/>
      <w:r w:rsidRPr="00C761F9">
        <w:rPr>
          <w:sz w:val="24"/>
          <w:szCs w:val="24"/>
        </w:rPr>
        <w:t>neurotransmission</w:t>
      </w:r>
      <w:proofErr w:type="spellEnd"/>
      <w:r w:rsidRPr="00C761F9">
        <w:rPr>
          <w:sz w:val="24"/>
          <w:szCs w:val="24"/>
        </w:rPr>
        <w:t xml:space="preserve">. Øgningen af den </w:t>
      </w:r>
      <w:proofErr w:type="spellStart"/>
      <w:r w:rsidRPr="00C761F9">
        <w:rPr>
          <w:sz w:val="24"/>
          <w:szCs w:val="24"/>
        </w:rPr>
        <w:t>serotonerge</w:t>
      </w:r>
      <w:proofErr w:type="spellEnd"/>
      <w:r w:rsidRPr="00C761F9">
        <w:rPr>
          <w:sz w:val="24"/>
          <w:szCs w:val="24"/>
        </w:rPr>
        <w:t xml:space="preserve"> </w:t>
      </w:r>
      <w:proofErr w:type="spellStart"/>
      <w:r w:rsidRPr="00C761F9">
        <w:rPr>
          <w:sz w:val="24"/>
          <w:szCs w:val="24"/>
        </w:rPr>
        <w:t>neurotransmission</w:t>
      </w:r>
      <w:proofErr w:type="spellEnd"/>
      <w:r w:rsidRPr="00C761F9">
        <w:rPr>
          <w:sz w:val="24"/>
          <w:szCs w:val="24"/>
        </w:rPr>
        <w:t xml:space="preserve"> er specifikt medieret via 5-HT</w:t>
      </w:r>
      <w:r w:rsidRPr="00C761F9">
        <w:rPr>
          <w:sz w:val="24"/>
          <w:szCs w:val="24"/>
          <w:vertAlign w:val="subscript"/>
        </w:rPr>
        <w:t>1</w:t>
      </w:r>
      <w:r w:rsidRPr="00C761F9">
        <w:rPr>
          <w:sz w:val="24"/>
          <w:szCs w:val="24"/>
        </w:rPr>
        <w:t>-receptorer, fordi 5-HT</w:t>
      </w:r>
      <w:r w:rsidRPr="00C761F9">
        <w:rPr>
          <w:sz w:val="24"/>
          <w:szCs w:val="24"/>
          <w:vertAlign w:val="subscript"/>
        </w:rPr>
        <w:t>2</w:t>
      </w:r>
      <w:r w:rsidRPr="00C761F9">
        <w:rPr>
          <w:sz w:val="24"/>
          <w:szCs w:val="24"/>
        </w:rPr>
        <w:t>- og 5-HT</w:t>
      </w:r>
      <w:r w:rsidRPr="00C761F9">
        <w:rPr>
          <w:sz w:val="24"/>
          <w:szCs w:val="24"/>
          <w:vertAlign w:val="subscript"/>
        </w:rPr>
        <w:t>3</w:t>
      </w:r>
      <w:r w:rsidRPr="00C761F9">
        <w:rPr>
          <w:sz w:val="24"/>
          <w:szCs w:val="24"/>
        </w:rPr>
        <w:t xml:space="preserve">- receptorerne bliver blokeret af </w:t>
      </w:r>
      <w:proofErr w:type="spellStart"/>
      <w:r w:rsidRPr="00C761F9">
        <w:rPr>
          <w:sz w:val="24"/>
          <w:szCs w:val="24"/>
        </w:rPr>
        <w:t>mirtazapin</w:t>
      </w:r>
      <w:proofErr w:type="spellEnd"/>
      <w:r w:rsidRPr="00C761F9">
        <w:rPr>
          <w:sz w:val="24"/>
          <w:szCs w:val="24"/>
        </w:rPr>
        <w:t xml:space="preserve">. Begge </w:t>
      </w:r>
      <w:proofErr w:type="spellStart"/>
      <w:r w:rsidRPr="00C761F9">
        <w:rPr>
          <w:sz w:val="24"/>
          <w:szCs w:val="24"/>
        </w:rPr>
        <w:t>mirtazapins</w:t>
      </w:r>
      <w:proofErr w:type="spellEnd"/>
      <w:r w:rsidRPr="00C761F9">
        <w:rPr>
          <w:sz w:val="24"/>
          <w:szCs w:val="24"/>
        </w:rPr>
        <w:t xml:space="preserve"> </w:t>
      </w:r>
      <w:proofErr w:type="spellStart"/>
      <w:r w:rsidRPr="00C761F9">
        <w:rPr>
          <w:sz w:val="24"/>
          <w:szCs w:val="24"/>
        </w:rPr>
        <w:t>enantiomerer</w:t>
      </w:r>
      <w:proofErr w:type="spellEnd"/>
      <w:r w:rsidRPr="00C761F9">
        <w:rPr>
          <w:sz w:val="24"/>
          <w:szCs w:val="24"/>
        </w:rPr>
        <w:t xml:space="preserve"> menes at medvirke til den antidepressive virkning, </w:t>
      </w:r>
      <w:proofErr w:type="gramStart"/>
      <w:r w:rsidRPr="00C761F9">
        <w:rPr>
          <w:sz w:val="24"/>
          <w:szCs w:val="24"/>
        </w:rPr>
        <w:t>S(</w:t>
      </w:r>
      <w:proofErr w:type="gramEnd"/>
      <w:r w:rsidRPr="00C761F9">
        <w:rPr>
          <w:sz w:val="24"/>
          <w:szCs w:val="24"/>
        </w:rPr>
        <w:t xml:space="preserve">+) </w:t>
      </w:r>
      <w:proofErr w:type="spellStart"/>
      <w:r w:rsidRPr="00C761F9">
        <w:rPr>
          <w:sz w:val="24"/>
          <w:szCs w:val="24"/>
        </w:rPr>
        <w:t>enantiomeren</w:t>
      </w:r>
      <w:proofErr w:type="spellEnd"/>
      <w:r w:rsidRPr="00C761F9">
        <w:rPr>
          <w:sz w:val="24"/>
          <w:szCs w:val="24"/>
        </w:rPr>
        <w:t xml:space="preserve"> ved at blokere </w:t>
      </w:r>
      <w:r w:rsidRPr="00C761F9">
        <w:rPr>
          <w:noProof/>
          <w:sz w:val="24"/>
          <w:szCs w:val="24"/>
        </w:rPr>
        <w:t>α</w:t>
      </w:r>
      <w:r w:rsidRPr="00C761F9">
        <w:rPr>
          <w:noProof/>
          <w:sz w:val="24"/>
          <w:szCs w:val="24"/>
          <w:vertAlign w:val="subscript"/>
        </w:rPr>
        <w:t>2</w:t>
      </w:r>
      <w:r w:rsidRPr="00C761F9">
        <w:rPr>
          <w:sz w:val="24"/>
          <w:szCs w:val="24"/>
        </w:rPr>
        <w:t xml:space="preserve"> og 5-HT</w:t>
      </w:r>
      <w:r w:rsidRPr="00C761F9">
        <w:rPr>
          <w:sz w:val="24"/>
          <w:szCs w:val="24"/>
          <w:vertAlign w:val="subscript"/>
        </w:rPr>
        <w:t>2</w:t>
      </w:r>
      <w:r w:rsidRPr="00C761F9">
        <w:rPr>
          <w:sz w:val="24"/>
          <w:szCs w:val="24"/>
        </w:rPr>
        <w:t xml:space="preserve">- receptorerne, og R(-) </w:t>
      </w:r>
      <w:proofErr w:type="spellStart"/>
      <w:r w:rsidRPr="00C761F9">
        <w:rPr>
          <w:sz w:val="24"/>
          <w:szCs w:val="24"/>
        </w:rPr>
        <w:t>enantiomeren</w:t>
      </w:r>
      <w:proofErr w:type="spellEnd"/>
      <w:r w:rsidRPr="00C761F9">
        <w:rPr>
          <w:sz w:val="24"/>
          <w:szCs w:val="24"/>
        </w:rPr>
        <w:t xml:space="preserve"> ved at blokere 5-HT</w:t>
      </w:r>
      <w:r w:rsidRPr="00C761F9">
        <w:rPr>
          <w:sz w:val="24"/>
          <w:szCs w:val="24"/>
          <w:vertAlign w:val="subscript"/>
        </w:rPr>
        <w:t>3</w:t>
      </w:r>
      <w:r w:rsidRPr="00C761F9">
        <w:rPr>
          <w:sz w:val="24"/>
          <w:szCs w:val="24"/>
        </w:rPr>
        <w:t>receptorerne.</w:t>
      </w:r>
    </w:p>
    <w:p w:rsidR="00DF7D66" w:rsidRPr="00C761F9" w:rsidRDefault="00DF7D66" w:rsidP="00DF7D66">
      <w:pPr>
        <w:tabs>
          <w:tab w:val="left" w:pos="851"/>
        </w:tabs>
        <w:autoSpaceDE w:val="0"/>
        <w:autoSpaceDN w:val="0"/>
        <w:adjustRightInd w:val="0"/>
        <w:ind w:left="851"/>
        <w:rPr>
          <w:sz w:val="24"/>
          <w:szCs w:val="24"/>
        </w:rPr>
      </w:pPr>
    </w:p>
    <w:p w:rsidR="00DF7D66" w:rsidRPr="00C761F9" w:rsidRDefault="00DF7D66" w:rsidP="00DF7D66">
      <w:pPr>
        <w:tabs>
          <w:tab w:val="left" w:pos="851"/>
        </w:tabs>
        <w:autoSpaceDE w:val="0"/>
        <w:autoSpaceDN w:val="0"/>
        <w:adjustRightInd w:val="0"/>
        <w:ind w:left="851"/>
        <w:rPr>
          <w:sz w:val="24"/>
          <w:szCs w:val="24"/>
        </w:rPr>
      </w:pPr>
      <w:r w:rsidRPr="00C761F9">
        <w:rPr>
          <w:sz w:val="24"/>
          <w:szCs w:val="24"/>
          <w:u w:val="single"/>
        </w:rPr>
        <w:t>Klinisk virkning og sikkerhed</w:t>
      </w:r>
      <w:r w:rsidRPr="00C761F9">
        <w:rPr>
          <w:sz w:val="24"/>
          <w:szCs w:val="24"/>
        </w:rPr>
        <w:t xml:space="preserve"> </w:t>
      </w:r>
    </w:p>
    <w:p w:rsidR="00DF7D66" w:rsidRPr="00C761F9" w:rsidRDefault="00DF7D66" w:rsidP="00DF7D66">
      <w:pPr>
        <w:tabs>
          <w:tab w:val="left" w:pos="851"/>
        </w:tabs>
        <w:autoSpaceDE w:val="0"/>
        <w:autoSpaceDN w:val="0"/>
        <w:adjustRightInd w:val="0"/>
        <w:ind w:left="851"/>
        <w:rPr>
          <w:sz w:val="24"/>
          <w:szCs w:val="24"/>
        </w:rPr>
      </w:pPr>
      <w:proofErr w:type="spellStart"/>
      <w:r w:rsidRPr="00C761F9">
        <w:rPr>
          <w:sz w:val="24"/>
          <w:szCs w:val="24"/>
        </w:rPr>
        <w:t>Mirtazapins</w:t>
      </w:r>
      <w:proofErr w:type="spellEnd"/>
      <w:r w:rsidRPr="00C761F9">
        <w:rPr>
          <w:sz w:val="24"/>
          <w:szCs w:val="24"/>
        </w:rPr>
        <w:t xml:space="preserve"> histamin H1-antagonistiske aktivitet er forbundet med dets sederende egenskaber. Det har praktisk taget ingen </w:t>
      </w:r>
      <w:proofErr w:type="spellStart"/>
      <w:r w:rsidRPr="00C761F9">
        <w:rPr>
          <w:sz w:val="24"/>
          <w:szCs w:val="24"/>
        </w:rPr>
        <w:t>antikolinerg</w:t>
      </w:r>
      <w:proofErr w:type="spellEnd"/>
      <w:r w:rsidRPr="00C761F9">
        <w:rPr>
          <w:sz w:val="24"/>
          <w:szCs w:val="24"/>
        </w:rPr>
        <w:t xml:space="preserve"> aktivitet og har kun begrænset indvirkning (f.eks. </w:t>
      </w:r>
      <w:proofErr w:type="spellStart"/>
      <w:r w:rsidRPr="00C761F9">
        <w:rPr>
          <w:sz w:val="24"/>
          <w:szCs w:val="24"/>
        </w:rPr>
        <w:t>ortostatisk</w:t>
      </w:r>
      <w:proofErr w:type="spellEnd"/>
      <w:r w:rsidRPr="00C761F9">
        <w:rPr>
          <w:sz w:val="24"/>
          <w:szCs w:val="24"/>
        </w:rPr>
        <w:t xml:space="preserve"> hypotension) på det </w:t>
      </w:r>
      <w:proofErr w:type="spellStart"/>
      <w:r w:rsidRPr="00C761F9">
        <w:rPr>
          <w:sz w:val="24"/>
          <w:szCs w:val="24"/>
        </w:rPr>
        <w:t>kardiovaskulære</w:t>
      </w:r>
      <w:proofErr w:type="spellEnd"/>
      <w:r w:rsidRPr="00C761F9">
        <w:rPr>
          <w:sz w:val="24"/>
          <w:szCs w:val="24"/>
        </w:rPr>
        <w:t xml:space="preserve"> system, når det gives i terapeutiske doser.</w:t>
      </w:r>
    </w:p>
    <w:p w:rsidR="00DF7D66" w:rsidRDefault="00DF7D66" w:rsidP="00DF7D66">
      <w:pPr>
        <w:tabs>
          <w:tab w:val="left" w:pos="851"/>
        </w:tabs>
        <w:autoSpaceDE w:val="0"/>
        <w:autoSpaceDN w:val="0"/>
        <w:adjustRightInd w:val="0"/>
        <w:ind w:left="851"/>
        <w:rPr>
          <w:sz w:val="24"/>
          <w:szCs w:val="24"/>
        </w:rPr>
      </w:pPr>
    </w:p>
    <w:p w:rsidR="00DF7D66" w:rsidRDefault="00DF7D66" w:rsidP="00DF7D66">
      <w:pPr>
        <w:tabs>
          <w:tab w:val="left" w:pos="851"/>
        </w:tabs>
        <w:autoSpaceDE w:val="0"/>
        <w:autoSpaceDN w:val="0"/>
        <w:adjustRightInd w:val="0"/>
        <w:ind w:left="851"/>
        <w:rPr>
          <w:sz w:val="24"/>
        </w:rPr>
      </w:pPr>
      <w:r>
        <w:rPr>
          <w:sz w:val="24"/>
        </w:rPr>
        <w:t xml:space="preserve">Virkningen af </w:t>
      </w:r>
      <w:proofErr w:type="spellStart"/>
      <w:r>
        <w:rPr>
          <w:sz w:val="24"/>
        </w:rPr>
        <w:t>mirtazapin</w:t>
      </w:r>
      <w:proofErr w:type="spellEnd"/>
      <w:r>
        <w:rPr>
          <w:sz w:val="24"/>
        </w:rPr>
        <w:t xml:space="preserve"> på </w:t>
      </w:r>
      <w:proofErr w:type="spellStart"/>
      <w:r>
        <w:rPr>
          <w:sz w:val="24"/>
        </w:rPr>
        <w:t>QTc</w:t>
      </w:r>
      <w:proofErr w:type="spellEnd"/>
      <w:r>
        <w:rPr>
          <w:sz w:val="24"/>
        </w:rPr>
        <w:t xml:space="preserve">-intervallet blev undersøgt i et randomiseret, placebo- og </w:t>
      </w:r>
      <w:proofErr w:type="spellStart"/>
      <w:r>
        <w:rPr>
          <w:sz w:val="24"/>
        </w:rPr>
        <w:t>moxifloxacin</w:t>
      </w:r>
      <w:proofErr w:type="spellEnd"/>
      <w:r>
        <w:rPr>
          <w:sz w:val="24"/>
        </w:rPr>
        <w:t xml:space="preserve">-kontrolleret klinisk forsøg med 54 raske frivillige som fik en fast dosis på 45 mg og en supraterapeutisk dosis på 75 mg. Lineær e-max modellering antyder, at forlængelse af </w:t>
      </w:r>
      <w:proofErr w:type="spellStart"/>
      <w:r>
        <w:rPr>
          <w:sz w:val="24"/>
        </w:rPr>
        <w:t>QTc</w:t>
      </w:r>
      <w:proofErr w:type="spellEnd"/>
      <w:r>
        <w:rPr>
          <w:sz w:val="24"/>
        </w:rPr>
        <w:t>-intervallet forblev under tærsklen for klinisk relevant forlængelse (se pkt. 4.4).</w:t>
      </w:r>
    </w:p>
    <w:p w:rsidR="00DF7D66" w:rsidRPr="00C761F9" w:rsidRDefault="00DF7D66" w:rsidP="00DF7D66">
      <w:pPr>
        <w:tabs>
          <w:tab w:val="left" w:pos="851"/>
        </w:tabs>
        <w:autoSpaceDE w:val="0"/>
        <w:autoSpaceDN w:val="0"/>
        <w:adjustRightInd w:val="0"/>
        <w:ind w:left="851"/>
        <w:rPr>
          <w:sz w:val="24"/>
          <w:szCs w:val="24"/>
        </w:rPr>
      </w:pPr>
    </w:p>
    <w:p w:rsidR="00DF7D66" w:rsidRPr="00C761F9" w:rsidRDefault="00DF7D66" w:rsidP="00DF7D66">
      <w:pPr>
        <w:tabs>
          <w:tab w:val="left" w:pos="851"/>
        </w:tabs>
        <w:autoSpaceDE w:val="0"/>
        <w:autoSpaceDN w:val="0"/>
        <w:adjustRightInd w:val="0"/>
        <w:ind w:left="851"/>
        <w:rPr>
          <w:sz w:val="24"/>
          <w:szCs w:val="24"/>
          <w:u w:val="single"/>
        </w:rPr>
      </w:pPr>
      <w:r w:rsidRPr="00C761F9">
        <w:rPr>
          <w:sz w:val="24"/>
          <w:szCs w:val="24"/>
          <w:u w:val="single"/>
        </w:rPr>
        <w:t>Pædiatrisk popul</w:t>
      </w:r>
      <w:r>
        <w:rPr>
          <w:sz w:val="24"/>
          <w:szCs w:val="24"/>
          <w:u w:val="single"/>
        </w:rPr>
        <w:t>ation</w:t>
      </w:r>
    </w:p>
    <w:p w:rsidR="00D22B35" w:rsidRDefault="00D22B35" w:rsidP="00D22B35">
      <w:pPr>
        <w:tabs>
          <w:tab w:val="left" w:pos="851"/>
        </w:tabs>
        <w:autoSpaceDE w:val="0"/>
        <w:autoSpaceDN w:val="0"/>
        <w:adjustRightInd w:val="0"/>
        <w:ind w:left="851"/>
        <w:rPr>
          <w:sz w:val="24"/>
          <w:szCs w:val="24"/>
        </w:rPr>
      </w:pPr>
      <w:r>
        <w:rPr>
          <w:sz w:val="24"/>
          <w:szCs w:val="24"/>
        </w:rPr>
        <w:t>To randomiserede, dobbeltblinde, placebokontrollerede studier hos børn i alderen 7–18 år med major depression (n=259), som fik en fleksibel dosis i de første 4 uger (15</w:t>
      </w:r>
      <w:r>
        <w:rPr>
          <w:sz w:val="24"/>
          <w:szCs w:val="24"/>
        </w:rPr>
        <w:noBreakHyphen/>
        <w:t xml:space="preserve">45 mg </w:t>
      </w:r>
      <w:proofErr w:type="spellStart"/>
      <w:r>
        <w:rPr>
          <w:sz w:val="24"/>
          <w:szCs w:val="24"/>
        </w:rPr>
        <w:t>mirtazapin</w:t>
      </w:r>
      <w:proofErr w:type="spellEnd"/>
      <w:r>
        <w:rPr>
          <w:sz w:val="24"/>
          <w:szCs w:val="24"/>
        </w:rPr>
        <w:t xml:space="preserve">), efterfulgt af en fast dosis (15, 30 eller 45 mg </w:t>
      </w:r>
      <w:proofErr w:type="spellStart"/>
      <w:r>
        <w:rPr>
          <w:sz w:val="24"/>
          <w:szCs w:val="24"/>
        </w:rPr>
        <w:t>mirtazapin</w:t>
      </w:r>
      <w:proofErr w:type="spellEnd"/>
      <w:r>
        <w:rPr>
          <w:sz w:val="24"/>
          <w:szCs w:val="24"/>
        </w:rPr>
        <w:t xml:space="preserve">) i yderligere 4 uger, kunne ikke påvise signifikante forskelle mellem </w:t>
      </w:r>
      <w:proofErr w:type="spellStart"/>
      <w:r>
        <w:rPr>
          <w:sz w:val="24"/>
          <w:szCs w:val="24"/>
        </w:rPr>
        <w:t>mirtazapin</w:t>
      </w:r>
      <w:proofErr w:type="spellEnd"/>
      <w:r>
        <w:rPr>
          <w:sz w:val="24"/>
          <w:szCs w:val="24"/>
        </w:rPr>
        <w:t xml:space="preserve"> og placebo for det primære endepunkt og for alle sekundære endepunkter. Der blev set signifikant vægtøgning (≥7 %) hos 48,8 % af de patienter, som blev behandlet med </w:t>
      </w:r>
      <w:proofErr w:type="spellStart"/>
      <w:r>
        <w:rPr>
          <w:sz w:val="24"/>
          <w:szCs w:val="24"/>
        </w:rPr>
        <w:t>mirtazapin</w:t>
      </w:r>
      <w:proofErr w:type="spellEnd"/>
      <w:r>
        <w:rPr>
          <w:sz w:val="24"/>
          <w:szCs w:val="24"/>
        </w:rPr>
        <w:t xml:space="preserve">, sammenlignet med 5,7 % i placeboarmen. </w:t>
      </w:r>
      <w:proofErr w:type="spellStart"/>
      <w:r>
        <w:rPr>
          <w:sz w:val="24"/>
          <w:szCs w:val="24"/>
        </w:rPr>
        <w:t>Urticaria</w:t>
      </w:r>
      <w:proofErr w:type="spellEnd"/>
      <w:r>
        <w:rPr>
          <w:sz w:val="24"/>
          <w:szCs w:val="24"/>
        </w:rPr>
        <w:t xml:space="preserve"> (11,8 % versus 6,8 %) og </w:t>
      </w:r>
      <w:proofErr w:type="spellStart"/>
      <w:r>
        <w:rPr>
          <w:sz w:val="24"/>
          <w:szCs w:val="24"/>
        </w:rPr>
        <w:t>hypertriglyceridæmi</w:t>
      </w:r>
      <w:proofErr w:type="spellEnd"/>
      <w:r>
        <w:rPr>
          <w:sz w:val="24"/>
          <w:szCs w:val="24"/>
        </w:rPr>
        <w:t xml:space="preserve"> (2,9 % versus 0 %) blev også almindeligt set.</w:t>
      </w:r>
    </w:p>
    <w:p w:rsidR="00DF7D66" w:rsidRPr="00C84483" w:rsidRDefault="00DF7D66" w:rsidP="00DF7D66">
      <w:pPr>
        <w:tabs>
          <w:tab w:val="left" w:pos="851"/>
        </w:tabs>
        <w:autoSpaceDE w:val="0"/>
        <w:autoSpaceDN w:val="0"/>
        <w:adjustRightInd w:val="0"/>
        <w:ind w:left="851"/>
        <w:rPr>
          <w:sz w:val="24"/>
          <w:szCs w:val="24"/>
        </w:rPr>
      </w:pPr>
    </w:p>
    <w:p w:rsidR="00DF7D66" w:rsidRPr="00C84483" w:rsidRDefault="00DF7D66" w:rsidP="00DF7D66">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DF7D66" w:rsidRPr="00C761F9" w:rsidRDefault="00DF7D66" w:rsidP="00DF7D66">
      <w:pPr>
        <w:tabs>
          <w:tab w:val="left" w:pos="851"/>
        </w:tabs>
        <w:autoSpaceDE w:val="0"/>
        <w:autoSpaceDN w:val="0"/>
        <w:adjustRightInd w:val="0"/>
        <w:ind w:left="851"/>
        <w:rPr>
          <w:sz w:val="24"/>
          <w:szCs w:val="24"/>
          <w:u w:val="single"/>
        </w:rPr>
      </w:pPr>
      <w:r w:rsidRPr="00C761F9">
        <w:rPr>
          <w:sz w:val="24"/>
          <w:szCs w:val="24"/>
          <w:u w:val="single"/>
        </w:rPr>
        <w:t>Absorption</w:t>
      </w:r>
    </w:p>
    <w:p w:rsidR="00DF7D66" w:rsidRPr="00C761F9" w:rsidRDefault="00DF7D66" w:rsidP="00DF7D66">
      <w:pPr>
        <w:tabs>
          <w:tab w:val="left" w:pos="851"/>
        </w:tabs>
        <w:autoSpaceDE w:val="0"/>
        <w:autoSpaceDN w:val="0"/>
        <w:adjustRightInd w:val="0"/>
        <w:ind w:left="851"/>
        <w:rPr>
          <w:sz w:val="24"/>
          <w:szCs w:val="24"/>
        </w:rPr>
      </w:pPr>
      <w:r w:rsidRPr="00C761F9">
        <w:rPr>
          <w:sz w:val="24"/>
          <w:szCs w:val="24"/>
        </w:rPr>
        <w:t xml:space="preserve">Efter oral indtagelse af </w:t>
      </w:r>
      <w:proofErr w:type="spellStart"/>
      <w:r>
        <w:rPr>
          <w:szCs w:val="24"/>
        </w:rPr>
        <w:t>Mirtazapin</w:t>
      </w:r>
      <w:proofErr w:type="spellEnd"/>
      <w:r>
        <w:rPr>
          <w:szCs w:val="24"/>
        </w:rPr>
        <w:t xml:space="preserve"> "Orion"</w:t>
      </w:r>
      <w:r w:rsidRPr="00C761F9">
        <w:rPr>
          <w:sz w:val="24"/>
          <w:szCs w:val="24"/>
        </w:rPr>
        <w:t xml:space="preserve"> absorberes det aktive stof </w:t>
      </w:r>
      <w:proofErr w:type="spellStart"/>
      <w:r w:rsidRPr="00C761F9">
        <w:rPr>
          <w:sz w:val="24"/>
          <w:szCs w:val="24"/>
        </w:rPr>
        <w:t>mirtazapin</w:t>
      </w:r>
      <w:proofErr w:type="spellEnd"/>
      <w:r w:rsidRPr="00C761F9">
        <w:rPr>
          <w:sz w:val="24"/>
          <w:szCs w:val="24"/>
        </w:rPr>
        <w:t xml:space="preserve"> hurtigt og godt</w:t>
      </w:r>
      <w:r>
        <w:rPr>
          <w:sz w:val="24"/>
          <w:szCs w:val="24"/>
        </w:rPr>
        <w:t xml:space="preserve"> </w:t>
      </w:r>
      <w:r w:rsidRPr="00C761F9">
        <w:rPr>
          <w:sz w:val="24"/>
          <w:szCs w:val="24"/>
        </w:rPr>
        <w:t>(biotilgængelighed ≈</w:t>
      </w:r>
      <w:r w:rsidRPr="00C761F9">
        <w:rPr>
          <w:rFonts w:ascii="Symbol" w:hAnsi="Symbol" w:cs="Symbol"/>
          <w:sz w:val="24"/>
          <w:szCs w:val="24"/>
          <w:lang w:val="en-US"/>
        </w:rPr>
        <w:t></w:t>
      </w:r>
      <w:r w:rsidRPr="00C761F9">
        <w:rPr>
          <w:sz w:val="24"/>
          <w:szCs w:val="24"/>
        </w:rPr>
        <w:t>50</w:t>
      </w:r>
      <w:r w:rsidR="00D22B35">
        <w:rPr>
          <w:sz w:val="24"/>
          <w:szCs w:val="24"/>
        </w:rPr>
        <w:t> </w:t>
      </w:r>
      <w:r w:rsidRPr="00C761F9">
        <w:rPr>
          <w:sz w:val="24"/>
          <w:szCs w:val="24"/>
        </w:rPr>
        <w:t xml:space="preserve">%), og maksimale plasmaniveauer nås efter ca. to timer. Indtagelse af føde har ingen indflydelse på </w:t>
      </w:r>
      <w:proofErr w:type="spellStart"/>
      <w:r w:rsidRPr="00C761F9">
        <w:rPr>
          <w:sz w:val="24"/>
          <w:szCs w:val="24"/>
        </w:rPr>
        <w:t>mirtazapins</w:t>
      </w:r>
      <w:proofErr w:type="spellEnd"/>
      <w:r w:rsidRPr="00C761F9">
        <w:rPr>
          <w:sz w:val="24"/>
          <w:szCs w:val="24"/>
        </w:rPr>
        <w:t xml:space="preserve"> farmakokinetik.</w:t>
      </w:r>
    </w:p>
    <w:p w:rsidR="00DF7D66" w:rsidRPr="00C761F9" w:rsidRDefault="00DF7D66" w:rsidP="00DF7D66">
      <w:pPr>
        <w:tabs>
          <w:tab w:val="left" w:pos="851"/>
        </w:tabs>
        <w:autoSpaceDE w:val="0"/>
        <w:autoSpaceDN w:val="0"/>
        <w:adjustRightInd w:val="0"/>
        <w:ind w:left="851"/>
        <w:rPr>
          <w:sz w:val="24"/>
          <w:szCs w:val="24"/>
        </w:rPr>
      </w:pPr>
    </w:p>
    <w:p w:rsidR="00DF7D66" w:rsidRPr="00C761F9" w:rsidRDefault="00DF7D66" w:rsidP="00DF7D66">
      <w:pPr>
        <w:tabs>
          <w:tab w:val="left" w:pos="851"/>
        </w:tabs>
        <w:autoSpaceDE w:val="0"/>
        <w:autoSpaceDN w:val="0"/>
        <w:adjustRightInd w:val="0"/>
        <w:ind w:left="851"/>
        <w:rPr>
          <w:sz w:val="24"/>
          <w:szCs w:val="24"/>
          <w:u w:val="single"/>
        </w:rPr>
      </w:pPr>
      <w:r w:rsidRPr="00C761F9">
        <w:rPr>
          <w:sz w:val="24"/>
          <w:szCs w:val="24"/>
          <w:u w:val="single"/>
        </w:rPr>
        <w:t>Fordeling</w:t>
      </w:r>
    </w:p>
    <w:p w:rsidR="00DF7D66" w:rsidRDefault="00DF7D66" w:rsidP="00DF7D66">
      <w:pPr>
        <w:tabs>
          <w:tab w:val="left" w:pos="851"/>
        </w:tabs>
        <w:autoSpaceDE w:val="0"/>
        <w:autoSpaceDN w:val="0"/>
        <w:adjustRightInd w:val="0"/>
        <w:ind w:left="851"/>
        <w:rPr>
          <w:sz w:val="24"/>
          <w:szCs w:val="24"/>
        </w:rPr>
      </w:pPr>
      <w:r w:rsidRPr="00C761F9">
        <w:rPr>
          <w:sz w:val="24"/>
          <w:szCs w:val="24"/>
        </w:rPr>
        <w:t xml:space="preserve">Ca. 85 % af </w:t>
      </w:r>
      <w:proofErr w:type="spellStart"/>
      <w:r w:rsidRPr="00C761F9">
        <w:rPr>
          <w:sz w:val="24"/>
          <w:szCs w:val="24"/>
        </w:rPr>
        <w:t>mirtazapin</w:t>
      </w:r>
      <w:proofErr w:type="spellEnd"/>
      <w:r w:rsidRPr="00C761F9">
        <w:rPr>
          <w:sz w:val="24"/>
          <w:szCs w:val="24"/>
        </w:rPr>
        <w:t xml:space="preserve"> bindes til plasmaproteiner. </w:t>
      </w:r>
    </w:p>
    <w:p w:rsidR="00DF7D66" w:rsidRPr="00C761F9" w:rsidRDefault="00DF7D66" w:rsidP="00DF7D66">
      <w:pPr>
        <w:tabs>
          <w:tab w:val="left" w:pos="851"/>
        </w:tabs>
        <w:autoSpaceDE w:val="0"/>
        <w:autoSpaceDN w:val="0"/>
        <w:adjustRightInd w:val="0"/>
        <w:ind w:left="851"/>
        <w:rPr>
          <w:sz w:val="24"/>
          <w:szCs w:val="24"/>
        </w:rPr>
      </w:pPr>
    </w:p>
    <w:p w:rsidR="00DF7D66" w:rsidRPr="00C761F9" w:rsidRDefault="00DF7D66" w:rsidP="00DF7D66">
      <w:pPr>
        <w:tabs>
          <w:tab w:val="left" w:pos="851"/>
        </w:tabs>
        <w:autoSpaceDE w:val="0"/>
        <w:autoSpaceDN w:val="0"/>
        <w:adjustRightInd w:val="0"/>
        <w:ind w:left="851"/>
        <w:rPr>
          <w:sz w:val="24"/>
          <w:szCs w:val="24"/>
          <w:u w:val="single"/>
        </w:rPr>
      </w:pPr>
      <w:r w:rsidRPr="00C761F9">
        <w:rPr>
          <w:sz w:val="24"/>
          <w:szCs w:val="24"/>
          <w:u w:val="single"/>
        </w:rPr>
        <w:t>Biotransformation</w:t>
      </w:r>
    </w:p>
    <w:p w:rsidR="00DF7D66" w:rsidRPr="00C761F9" w:rsidRDefault="00DF7D66" w:rsidP="00DF7D66">
      <w:pPr>
        <w:tabs>
          <w:tab w:val="left" w:pos="851"/>
        </w:tabs>
        <w:autoSpaceDE w:val="0"/>
        <w:autoSpaceDN w:val="0"/>
        <w:adjustRightInd w:val="0"/>
        <w:ind w:left="851"/>
        <w:rPr>
          <w:sz w:val="24"/>
          <w:szCs w:val="24"/>
        </w:rPr>
      </w:pPr>
      <w:r w:rsidRPr="00C761F9">
        <w:rPr>
          <w:sz w:val="24"/>
          <w:szCs w:val="24"/>
        </w:rPr>
        <w:t xml:space="preserve">Biotransformationsvejene er hovedsageligt </w:t>
      </w:r>
      <w:proofErr w:type="spellStart"/>
      <w:r w:rsidRPr="00C761F9">
        <w:rPr>
          <w:sz w:val="24"/>
          <w:szCs w:val="24"/>
        </w:rPr>
        <w:t>demethylering</w:t>
      </w:r>
      <w:proofErr w:type="spellEnd"/>
      <w:r w:rsidRPr="00C761F9">
        <w:rPr>
          <w:sz w:val="24"/>
          <w:szCs w:val="24"/>
        </w:rPr>
        <w:t xml:space="preserve"> og oxidering efterfulgt af </w:t>
      </w:r>
      <w:proofErr w:type="spellStart"/>
      <w:r w:rsidRPr="00C761F9">
        <w:rPr>
          <w:sz w:val="24"/>
          <w:szCs w:val="24"/>
        </w:rPr>
        <w:t>konjugering</w:t>
      </w:r>
      <w:proofErr w:type="spellEnd"/>
      <w:r w:rsidRPr="00C761F9">
        <w:rPr>
          <w:sz w:val="24"/>
          <w:szCs w:val="24"/>
        </w:rPr>
        <w:t xml:space="preserve">. In </w:t>
      </w:r>
      <w:proofErr w:type="spellStart"/>
      <w:r w:rsidRPr="00C761F9">
        <w:rPr>
          <w:sz w:val="24"/>
          <w:szCs w:val="24"/>
        </w:rPr>
        <w:t>vitro</w:t>
      </w:r>
      <w:proofErr w:type="spellEnd"/>
      <w:r w:rsidRPr="00C761F9">
        <w:rPr>
          <w:sz w:val="24"/>
          <w:szCs w:val="24"/>
        </w:rPr>
        <w:t xml:space="preserve">-data fra humane </w:t>
      </w:r>
      <w:proofErr w:type="spellStart"/>
      <w:r w:rsidRPr="00C761F9">
        <w:rPr>
          <w:sz w:val="24"/>
          <w:szCs w:val="24"/>
        </w:rPr>
        <w:t>levermikrosomer</w:t>
      </w:r>
      <w:proofErr w:type="spellEnd"/>
      <w:r w:rsidRPr="00C761F9">
        <w:rPr>
          <w:sz w:val="24"/>
          <w:szCs w:val="24"/>
        </w:rPr>
        <w:t xml:space="preserve"> indicerer at </w:t>
      </w:r>
      <w:proofErr w:type="spellStart"/>
      <w:r w:rsidRPr="00C761F9">
        <w:rPr>
          <w:sz w:val="24"/>
          <w:szCs w:val="24"/>
        </w:rPr>
        <w:t>cytokrom</w:t>
      </w:r>
      <w:proofErr w:type="spellEnd"/>
      <w:r w:rsidRPr="00C761F9">
        <w:rPr>
          <w:sz w:val="24"/>
          <w:szCs w:val="24"/>
        </w:rPr>
        <w:t xml:space="preserve"> P450 enzymerne CYP2D6 og CYP1A2 er involveret i dannelsen af 8-hydroxymetabolitten af </w:t>
      </w:r>
      <w:proofErr w:type="spellStart"/>
      <w:r w:rsidRPr="00C761F9">
        <w:rPr>
          <w:sz w:val="24"/>
          <w:szCs w:val="24"/>
        </w:rPr>
        <w:t>mirtazapin</w:t>
      </w:r>
      <w:proofErr w:type="spellEnd"/>
      <w:r w:rsidRPr="00C761F9">
        <w:rPr>
          <w:sz w:val="24"/>
          <w:szCs w:val="24"/>
        </w:rPr>
        <w:t xml:space="preserve">, og at CYP3A4 er ansvarlig for dannelsen af N-demethyl- og N-oxidmetabolitterne. </w:t>
      </w:r>
      <w:proofErr w:type="spellStart"/>
      <w:r w:rsidRPr="00C761F9">
        <w:rPr>
          <w:sz w:val="24"/>
          <w:szCs w:val="24"/>
        </w:rPr>
        <w:t>Demethylmetabolitten</w:t>
      </w:r>
      <w:proofErr w:type="spellEnd"/>
      <w:r w:rsidRPr="00C761F9">
        <w:rPr>
          <w:sz w:val="24"/>
          <w:szCs w:val="24"/>
        </w:rPr>
        <w:t xml:space="preserve"> er farmakologisk aktiv og synes at have den samme </w:t>
      </w:r>
      <w:proofErr w:type="spellStart"/>
      <w:r w:rsidRPr="00C761F9">
        <w:rPr>
          <w:sz w:val="24"/>
          <w:szCs w:val="24"/>
        </w:rPr>
        <w:t>farmakokinetiske</w:t>
      </w:r>
      <w:proofErr w:type="spellEnd"/>
      <w:r w:rsidRPr="00C761F9">
        <w:rPr>
          <w:sz w:val="24"/>
          <w:szCs w:val="24"/>
        </w:rPr>
        <w:t xml:space="preserve"> profil som </w:t>
      </w:r>
      <w:proofErr w:type="spellStart"/>
      <w:r w:rsidRPr="00C761F9">
        <w:rPr>
          <w:sz w:val="24"/>
          <w:szCs w:val="24"/>
        </w:rPr>
        <w:t>mirtazapin</w:t>
      </w:r>
      <w:proofErr w:type="spellEnd"/>
      <w:r w:rsidRPr="00C761F9">
        <w:rPr>
          <w:sz w:val="24"/>
          <w:szCs w:val="24"/>
        </w:rPr>
        <w:t>.</w:t>
      </w:r>
    </w:p>
    <w:p w:rsidR="00DF7D66" w:rsidRPr="00C761F9" w:rsidRDefault="00DF7D66" w:rsidP="00DF7D66">
      <w:pPr>
        <w:tabs>
          <w:tab w:val="left" w:pos="851"/>
        </w:tabs>
        <w:autoSpaceDE w:val="0"/>
        <w:autoSpaceDN w:val="0"/>
        <w:adjustRightInd w:val="0"/>
        <w:ind w:left="851"/>
        <w:rPr>
          <w:sz w:val="24"/>
          <w:szCs w:val="24"/>
        </w:rPr>
      </w:pPr>
    </w:p>
    <w:p w:rsidR="00DF7D66" w:rsidRPr="00C761F9" w:rsidRDefault="00DF7D66" w:rsidP="00DF7D66">
      <w:pPr>
        <w:tabs>
          <w:tab w:val="left" w:pos="851"/>
        </w:tabs>
        <w:autoSpaceDE w:val="0"/>
        <w:autoSpaceDN w:val="0"/>
        <w:adjustRightInd w:val="0"/>
        <w:ind w:left="851"/>
        <w:rPr>
          <w:sz w:val="24"/>
          <w:szCs w:val="24"/>
          <w:u w:val="single"/>
        </w:rPr>
      </w:pPr>
      <w:r w:rsidRPr="00C761F9">
        <w:rPr>
          <w:sz w:val="24"/>
          <w:szCs w:val="24"/>
          <w:u w:val="single"/>
        </w:rPr>
        <w:t>Elimination</w:t>
      </w:r>
    </w:p>
    <w:p w:rsidR="00D22B35" w:rsidRDefault="00D22B35" w:rsidP="00D22B35">
      <w:pPr>
        <w:tabs>
          <w:tab w:val="left" w:pos="851"/>
        </w:tabs>
        <w:autoSpaceDE w:val="0"/>
        <w:autoSpaceDN w:val="0"/>
        <w:adjustRightInd w:val="0"/>
        <w:ind w:left="851"/>
        <w:rPr>
          <w:sz w:val="24"/>
          <w:szCs w:val="24"/>
        </w:rPr>
      </w:pPr>
      <w:proofErr w:type="spellStart"/>
      <w:r>
        <w:rPr>
          <w:sz w:val="24"/>
          <w:szCs w:val="24"/>
        </w:rPr>
        <w:t>Mirtazapin</w:t>
      </w:r>
      <w:proofErr w:type="spellEnd"/>
      <w:r>
        <w:rPr>
          <w:sz w:val="24"/>
          <w:szCs w:val="24"/>
        </w:rPr>
        <w:t xml:space="preserve"> </w:t>
      </w:r>
      <w:proofErr w:type="spellStart"/>
      <w:r>
        <w:rPr>
          <w:sz w:val="24"/>
          <w:szCs w:val="24"/>
        </w:rPr>
        <w:t>metaboliseres</w:t>
      </w:r>
      <w:proofErr w:type="spellEnd"/>
      <w:r>
        <w:rPr>
          <w:sz w:val="24"/>
          <w:szCs w:val="24"/>
        </w:rPr>
        <w:t xml:space="preserve"> effektivt og udskilles via urinen og afføringen indenfor få dage. </w:t>
      </w:r>
      <w:proofErr w:type="spellStart"/>
      <w:r>
        <w:rPr>
          <w:sz w:val="24"/>
          <w:szCs w:val="24"/>
        </w:rPr>
        <w:t>Mirtazapin</w:t>
      </w:r>
      <w:proofErr w:type="spellEnd"/>
      <w:r>
        <w:rPr>
          <w:sz w:val="24"/>
          <w:szCs w:val="24"/>
        </w:rPr>
        <w:t xml:space="preserve"> elimineres med en gennemsnitlig halveringstid på 20</w:t>
      </w:r>
      <w:r>
        <w:rPr>
          <w:sz w:val="24"/>
          <w:szCs w:val="24"/>
        </w:rPr>
        <w:noBreakHyphen/>
        <w:t xml:space="preserve">40 timer; der er </w:t>
      </w:r>
      <w:r>
        <w:rPr>
          <w:sz w:val="24"/>
          <w:szCs w:val="24"/>
        </w:rPr>
        <w:lastRenderedPageBreak/>
        <w:t xml:space="preserve">lejlighedsvis konstateret længere halveringstider på op til 65 timer, og kortere halveringstider er set hos unge mænd. Halveringstiden er tilstrækkelig til at begrunde doseringen med én daglig dosis. </w:t>
      </w:r>
      <w:proofErr w:type="spellStart"/>
      <w:r>
        <w:rPr>
          <w:sz w:val="24"/>
          <w:szCs w:val="24"/>
        </w:rPr>
        <w:t>Steady-state</w:t>
      </w:r>
      <w:proofErr w:type="spellEnd"/>
      <w:r>
        <w:rPr>
          <w:sz w:val="24"/>
          <w:szCs w:val="24"/>
        </w:rPr>
        <w:t xml:space="preserve"> nås efter 3</w:t>
      </w:r>
      <w:r>
        <w:rPr>
          <w:sz w:val="24"/>
          <w:szCs w:val="24"/>
        </w:rPr>
        <w:noBreakHyphen/>
        <w:t xml:space="preserve">4 dage, hvorefter der ikke sker yderligere akkumulation. </w:t>
      </w:r>
    </w:p>
    <w:p w:rsidR="00DF7D66" w:rsidRPr="00C761F9" w:rsidRDefault="00DF7D66" w:rsidP="00DF7D66">
      <w:pPr>
        <w:tabs>
          <w:tab w:val="left" w:pos="851"/>
        </w:tabs>
        <w:autoSpaceDE w:val="0"/>
        <w:autoSpaceDN w:val="0"/>
        <w:adjustRightInd w:val="0"/>
        <w:ind w:left="851"/>
        <w:rPr>
          <w:sz w:val="24"/>
          <w:szCs w:val="24"/>
        </w:rPr>
      </w:pPr>
    </w:p>
    <w:p w:rsidR="00DF7D66" w:rsidRPr="00C761F9" w:rsidRDefault="00DF7D66" w:rsidP="00EA6BF2">
      <w:pPr>
        <w:keepNext/>
        <w:tabs>
          <w:tab w:val="left" w:pos="851"/>
        </w:tabs>
        <w:autoSpaceDE w:val="0"/>
        <w:autoSpaceDN w:val="0"/>
        <w:adjustRightInd w:val="0"/>
        <w:ind w:left="851"/>
        <w:rPr>
          <w:sz w:val="24"/>
          <w:szCs w:val="24"/>
          <w:u w:val="single"/>
        </w:rPr>
      </w:pPr>
      <w:r w:rsidRPr="00C761F9">
        <w:rPr>
          <w:sz w:val="24"/>
          <w:szCs w:val="24"/>
          <w:u w:val="single"/>
        </w:rPr>
        <w:t xml:space="preserve">Linearitet/non-linearitet </w:t>
      </w:r>
    </w:p>
    <w:p w:rsidR="00DF7D66" w:rsidRPr="00C761F9" w:rsidRDefault="00DF7D66" w:rsidP="00DF7D66">
      <w:pPr>
        <w:tabs>
          <w:tab w:val="left" w:pos="851"/>
        </w:tabs>
        <w:autoSpaceDE w:val="0"/>
        <w:autoSpaceDN w:val="0"/>
        <w:adjustRightInd w:val="0"/>
        <w:ind w:left="851"/>
        <w:rPr>
          <w:sz w:val="24"/>
          <w:szCs w:val="24"/>
        </w:rPr>
      </w:pPr>
      <w:proofErr w:type="spellStart"/>
      <w:r w:rsidRPr="00C761F9">
        <w:rPr>
          <w:sz w:val="24"/>
          <w:szCs w:val="24"/>
        </w:rPr>
        <w:t>Mirtazapin</w:t>
      </w:r>
      <w:proofErr w:type="spellEnd"/>
      <w:r w:rsidRPr="00C761F9">
        <w:rPr>
          <w:sz w:val="24"/>
          <w:szCs w:val="24"/>
        </w:rPr>
        <w:t xml:space="preserve"> udviser lineær farmakokinetik indenfor det anbefalede doseringsområde. </w:t>
      </w:r>
    </w:p>
    <w:p w:rsidR="00DF7D66" w:rsidRPr="00C761F9" w:rsidRDefault="00DF7D66" w:rsidP="00DF7D66">
      <w:pPr>
        <w:numPr>
          <w:ilvl w:val="12"/>
          <w:numId w:val="0"/>
        </w:numPr>
        <w:tabs>
          <w:tab w:val="left" w:pos="851"/>
        </w:tabs>
        <w:ind w:left="851" w:right="11"/>
        <w:rPr>
          <w:sz w:val="24"/>
          <w:szCs w:val="24"/>
        </w:rPr>
      </w:pPr>
      <w:r w:rsidRPr="00C761F9">
        <w:rPr>
          <w:sz w:val="24"/>
          <w:szCs w:val="24"/>
        </w:rPr>
        <w:tab/>
      </w:r>
    </w:p>
    <w:p w:rsidR="00DF7D66" w:rsidRPr="00C761F9" w:rsidRDefault="00DF7D66" w:rsidP="00DF7D66">
      <w:pPr>
        <w:numPr>
          <w:ilvl w:val="12"/>
          <w:numId w:val="0"/>
        </w:numPr>
        <w:tabs>
          <w:tab w:val="left" w:pos="851"/>
        </w:tabs>
        <w:ind w:left="851" w:right="11"/>
        <w:rPr>
          <w:sz w:val="24"/>
          <w:szCs w:val="24"/>
          <w:u w:val="single"/>
        </w:rPr>
      </w:pPr>
      <w:r w:rsidRPr="00C761F9">
        <w:rPr>
          <w:sz w:val="24"/>
          <w:szCs w:val="24"/>
          <w:u w:val="single"/>
        </w:rPr>
        <w:t>Særlig</w:t>
      </w:r>
      <w:r>
        <w:rPr>
          <w:sz w:val="24"/>
          <w:szCs w:val="24"/>
          <w:u w:val="single"/>
        </w:rPr>
        <w:t>e</w:t>
      </w:r>
      <w:r w:rsidRPr="00C761F9">
        <w:rPr>
          <w:sz w:val="24"/>
          <w:szCs w:val="24"/>
          <w:u w:val="single"/>
        </w:rPr>
        <w:t xml:space="preserve"> population</w:t>
      </w:r>
      <w:r>
        <w:rPr>
          <w:sz w:val="24"/>
          <w:szCs w:val="24"/>
          <w:u w:val="single"/>
        </w:rPr>
        <w:t>er</w:t>
      </w:r>
    </w:p>
    <w:p w:rsidR="00DF7D66" w:rsidRPr="00C84483" w:rsidRDefault="00DF7D66" w:rsidP="00DF7D66">
      <w:pPr>
        <w:numPr>
          <w:ilvl w:val="12"/>
          <w:numId w:val="0"/>
        </w:numPr>
        <w:tabs>
          <w:tab w:val="left" w:pos="851"/>
        </w:tabs>
        <w:ind w:left="851" w:right="11"/>
        <w:rPr>
          <w:sz w:val="24"/>
          <w:szCs w:val="24"/>
        </w:rPr>
      </w:pPr>
      <w:proofErr w:type="spellStart"/>
      <w:r w:rsidRPr="00C761F9">
        <w:rPr>
          <w:sz w:val="24"/>
          <w:szCs w:val="24"/>
        </w:rPr>
        <w:t>Mirtazapins</w:t>
      </w:r>
      <w:proofErr w:type="spellEnd"/>
      <w:r w:rsidRPr="00C761F9">
        <w:rPr>
          <w:sz w:val="24"/>
          <w:szCs w:val="24"/>
        </w:rPr>
        <w:t xml:space="preserve"> </w:t>
      </w:r>
      <w:proofErr w:type="spellStart"/>
      <w:r w:rsidRPr="00C761F9">
        <w:rPr>
          <w:sz w:val="24"/>
          <w:szCs w:val="24"/>
        </w:rPr>
        <w:t>clearance</w:t>
      </w:r>
      <w:proofErr w:type="spellEnd"/>
      <w:r w:rsidRPr="00C761F9">
        <w:rPr>
          <w:sz w:val="24"/>
          <w:szCs w:val="24"/>
        </w:rPr>
        <w:t xml:space="preserve"> kan blive nedsat hos patienter med nedsat nyre- eller leverfunktion.</w:t>
      </w:r>
    </w:p>
    <w:p w:rsidR="00DF7D66" w:rsidRPr="00C84483" w:rsidRDefault="00DF7D66" w:rsidP="00DF7D66">
      <w:pPr>
        <w:tabs>
          <w:tab w:val="left" w:pos="851"/>
        </w:tabs>
        <w:rPr>
          <w:sz w:val="24"/>
          <w:szCs w:val="24"/>
        </w:rPr>
      </w:pPr>
    </w:p>
    <w:p w:rsidR="00DF7D66" w:rsidRPr="00C84483" w:rsidRDefault="00DF7D66" w:rsidP="00DF7D66">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DF7D66" w:rsidRPr="00172C58" w:rsidRDefault="00DF7D66" w:rsidP="00DF7D66">
      <w:pPr>
        <w:tabs>
          <w:tab w:val="left" w:pos="851"/>
        </w:tabs>
        <w:autoSpaceDE w:val="0"/>
        <w:autoSpaceDN w:val="0"/>
        <w:adjustRightInd w:val="0"/>
        <w:ind w:left="851"/>
        <w:rPr>
          <w:sz w:val="24"/>
          <w:szCs w:val="22"/>
        </w:rPr>
      </w:pPr>
      <w:r w:rsidRPr="00172C58">
        <w:rPr>
          <w:sz w:val="24"/>
          <w:szCs w:val="22"/>
        </w:rPr>
        <w:t xml:space="preserve">Prækliniske data viser ingen speciel risiko for mennesker vurderet ud fra konventionelle studier af sikkerhedsfarmakologi, toksicitet efter gentagne doser, genotoksicitet, </w:t>
      </w:r>
      <w:proofErr w:type="spellStart"/>
      <w:r w:rsidRPr="00172C58">
        <w:rPr>
          <w:sz w:val="24"/>
          <w:szCs w:val="22"/>
        </w:rPr>
        <w:t>karcinogenicitet</w:t>
      </w:r>
      <w:proofErr w:type="spellEnd"/>
      <w:r w:rsidRPr="00172C58">
        <w:rPr>
          <w:sz w:val="24"/>
          <w:szCs w:val="22"/>
        </w:rPr>
        <w:t xml:space="preserve"> samt reproduktions- og udviklingstoksicitet.</w:t>
      </w:r>
    </w:p>
    <w:p w:rsidR="00DF7D66" w:rsidRPr="00C761F9" w:rsidRDefault="00DF7D66" w:rsidP="00DF7D66">
      <w:pPr>
        <w:tabs>
          <w:tab w:val="left" w:pos="851"/>
        </w:tabs>
        <w:autoSpaceDE w:val="0"/>
        <w:autoSpaceDN w:val="0"/>
        <w:adjustRightInd w:val="0"/>
        <w:ind w:left="851"/>
        <w:rPr>
          <w:sz w:val="24"/>
          <w:szCs w:val="24"/>
        </w:rPr>
      </w:pPr>
    </w:p>
    <w:p w:rsidR="00DF7D66" w:rsidRPr="00C761F9" w:rsidRDefault="00DF7D66" w:rsidP="00DF7D66">
      <w:pPr>
        <w:tabs>
          <w:tab w:val="left" w:pos="851"/>
        </w:tabs>
        <w:autoSpaceDE w:val="0"/>
        <w:autoSpaceDN w:val="0"/>
        <w:adjustRightInd w:val="0"/>
        <w:ind w:left="851"/>
        <w:rPr>
          <w:sz w:val="24"/>
          <w:szCs w:val="24"/>
        </w:rPr>
      </w:pPr>
      <w:r w:rsidRPr="00C761F9">
        <w:rPr>
          <w:sz w:val="24"/>
          <w:szCs w:val="24"/>
        </w:rPr>
        <w:t xml:space="preserve">I studier af reproduktionstoksicitet på rotter og kaniner påvistes ingen </w:t>
      </w:r>
      <w:proofErr w:type="spellStart"/>
      <w:r w:rsidRPr="00C761F9">
        <w:rPr>
          <w:sz w:val="24"/>
          <w:szCs w:val="24"/>
        </w:rPr>
        <w:t>teratogen</w:t>
      </w:r>
      <w:proofErr w:type="spellEnd"/>
      <w:r w:rsidRPr="00C761F9">
        <w:rPr>
          <w:sz w:val="24"/>
          <w:szCs w:val="24"/>
        </w:rPr>
        <w:t xml:space="preserve"> virkning. Ved dobbeltsystemisk eksponering sammenlignet med maksimal human terapeutisk eksponering var der en stigning i postimplantationstab, et fald i ungernes fødselsvægt og en reduktion i ungernes overlevelse de første tre dage af amningen hos rotter.</w:t>
      </w:r>
    </w:p>
    <w:p w:rsidR="00DF7D66" w:rsidRPr="00C761F9" w:rsidRDefault="00DF7D66" w:rsidP="00DF7D66">
      <w:pPr>
        <w:tabs>
          <w:tab w:val="left" w:pos="851"/>
        </w:tabs>
        <w:autoSpaceDE w:val="0"/>
        <w:autoSpaceDN w:val="0"/>
        <w:adjustRightInd w:val="0"/>
        <w:ind w:left="851"/>
        <w:rPr>
          <w:sz w:val="24"/>
          <w:szCs w:val="24"/>
        </w:rPr>
      </w:pPr>
    </w:p>
    <w:p w:rsidR="00DF7D66" w:rsidRPr="00C761F9" w:rsidRDefault="00DF7D66" w:rsidP="00DF7D66">
      <w:pPr>
        <w:tabs>
          <w:tab w:val="left" w:pos="851"/>
        </w:tabs>
        <w:ind w:left="851"/>
        <w:rPr>
          <w:sz w:val="24"/>
          <w:szCs w:val="24"/>
        </w:rPr>
      </w:pPr>
      <w:proofErr w:type="spellStart"/>
      <w:r w:rsidRPr="00C761F9">
        <w:rPr>
          <w:sz w:val="24"/>
          <w:szCs w:val="24"/>
        </w:rPr>
        <w:t>Mirtazapin</w:t>
      </w:r>
      <w:proofErr w:type="spellEnd"/>
      <w:r w:rsidRPr="00C761F9">
        <w:rPr>
          <w:sz w:val="24"/>
          <w:szCs w:val="24"/>
        </w:rPr>
        <w:t xml:space="preserve"> udviste ikke genotoksicitet i en række tests for genmutation og kromosom- og DNA-skader. Fundet af tumorer i skjoldbruskkirtlen i et </w:t>
      </w:r>
      <w:proofErr w:type="spellStart"/>
      <w:r w:rsidRPr="00C761F9">
        <w:rPr>
          <w:sz w:val="24"/>
          <w:szCs w:val="24"/>
        </w:rPr>
        <w:t>karcinogenicitetsstudie</w:t>
      </w:r>
      <w:proofErr w:type="spellEnd"/>
      <w:r w:rsidRPr="00C761F9">
        <w:rPr>
          <w:sz w:val="24"/>
          <w:szCs w:val="24"/>
        </w:rPr>
        <w:t xml:space="preserve"> hos rotter og fundet af </w:t>
      </w:r>
      <w:proofErr w:type="spellStart"/>
      <w:r w:rsidRPr="00C761F9">
        <w:rPr>
          <w:sz w:val="24"/>
          <w:szCs w:val="24"/>
        </w:rPr>
        <w:t>hepatocellulære</w:t>
      </w:r>
      <w:proofErr w:type="spellEnd"/>
      <w:r w:rsidRPr="00C761F9">
        <w:rPr>
          <w:sz w:val="24"/>
          <w:szCs w:val="24"/>
        </w:rPr>
        <w:t xml:space="preserve"> neoplasmer i et </w:t>
      </w:r>
      <w:proofErr w:type="spellStart"/>
      <w:r w:rsidRPr="00C761F9">
        <w:rPr>
          <w:sz w:val="24"/>
          <w:szCs w:val="24"/>
        </w:rPr>
        <w:t>karcinogenicitetsstudie</w:t>
      </w:r>
      <w:proofErr w:type="spellEnd"/>
      <w:r w:rsidRPr="00C761F9">
        <w:rPr>
          <w:sz w:val="24"/>
          <w:szCs w:val="24"/>
        </w:rPr>
        <w:t xml:space="preserve"> hos mus anses for at være artsbestemt, non-genotoksisk respons i forbindelse med langtidsbehandling med høje doser af leverenzyminduktorer.</w:t>
      </w:r>
    </w:p>
    <w:p w:rsidR="00DF7D66" w:rsidRDefault="00DF7D66" w:rsidP="00DF7D66">
      <w:pPr>
        <w:tabs>
          <w:tab w:val="left" w:pos="851"/>
        </w:tabs>
        <w:rPr>
          <w:sz w:val="24"/>
          <w:szCs w:val="24"/>
        </w:rPr>
      </w:pPr>
    </w:p>
    <w:p w:rsidR="00DF7D66" w:rsidRPr="00C84483" w:rsidRDefault="00DF7D66" w:rsidP="00DF7D66">
      <w:pPr>
        <w:tabs>
          <w:tab w:val="left" w:pos="851"/>
        </w:tabs>
        <w:rPr>
          <w:sz w:val="24"/>
          <w:szCs w:val="24"/>
        </w:rPr>
      </w:pPr>
    </w:p>
    <w:p w:rsidR="00DF7D66" w:rsidRPr="00C84483" w:rsidRDefault="00DF7D66" w:rsidP="00DF7D66">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DF7D66" w:rsidRPr="00C84483" w:rsidRDefault="00DF7D66" w:rsidP="00DF7D66">
      <w:pPr>
        <w:tabs>
          <w:tab w:val="left" w:pos="851"/>
        </w:tabs>
        <w:rPr>
          <w:b/>
          <w:sz w:val="24"/>
          <w:szCs w:val="24"/>
        </w:rPr>
      </w:pPr>
    </w:p>
    <w:p w:rsidR="00DF7D66" w:rsidRPr="00C84483" w:rsidRDefault="00DF7D66" w:rsidP="00DF7D66">
      <w:pPr>
        <w:tabs>
          <w:tab w:val="left" w:pos="851"/>
        </w:tabs>
        <w:ind w:left="851" w:hanging="851"/>
        <w:rPr>
          <w:b/>
          <w:sz w:val="24"/>
          <w:szCs w:val="24"/>
        </w:rPr>
      </w:pPr>
      <w:r w:rsidRPr="00C84483">
        <w:rPr>
          <w:b/>
          <w:sz w:val="24"/>
          <w:szCs w:val="24"/>
        </w:rPr>
        <w:t>6.1</w:t>
      </w:r>
      <w:r w:rsidRPr="00C84483">
        <w:rPr>
          <w:b/>
          <w:sz w:val="24"/>
          <w:szCs w:val="24"/>
        </w:rPr>
        <w:tab/>
        <w:t>Hjælpestoffer</w:t>
      </w:r>
    </w:p>
    <w:p w:rsidR="00DF7D66" w:rsidRPr="00C761F9" w:rsidRDefault="00DF7D66" w:rsidP="00DF7D66">
      <w:pPr>
        <w:tabs>
          <w:tab w:val="left" w:pos="851"/>
        </w:tabs>
        <w:ind w:left="851"/>
        <w:rPr>
          <w:sz w:val="24"/>
          <w:szCs w:val="24"/>
          <w:u w:val="single"/>
        </w:rPr>
      </w:pPr>
      <w:r w:rsidRPr="00C761F9">
        <w:rPr>
          <w:sz w:val="24"/>
          <w:szCs w:val="24"/>
          <w:u w:val="single"/>
        </w:rPr>
        <w:t>Tabletkerne</w:t>
      </w:r>
    </w:p>
    <w:p w:rsidR="00DF7D66" w:rsidRPr="00C761F9" w:rsidRDefault="00DF7D66" w:rsidP="00DF7D66">
      <w:pPr>
        <w:tabs>
          <w:tab w:val="left" w:pos="851"/>
        </w:tabs>
        <w:ind w:left="851"/>
        <w:rPr>
          <w:sz w:val="24"/>
          <w:szCs w:val="24"/>
        </w:rPr>
      </w:pPr>
      <w:proofErr w:type="spellStart"/>
      <w:r w:rsidRPr="00C761F9">
        <w:rPr>
          <w:sz w:val="24"/>
          <w:szCs w:val="24"/>
        </w:rPr>
        <w:t>Lactosemonohydrat</w:t>
      </w:r>
      <w:proofErr w:type="spellEnd"/>
    </w:p>
    <w:p w:rsidR="00DF7D66" w:rsidRPr="00C761F9" w:rsidRDefault="00DF7D66" w:rsidP="00DF7D66">
      <w:pPr>
        <w:tabs>
          <w:tab w:val="left" w:pos="851"/>
        </w:tabs>
        <w:ind w:left="851"/>
        <w:rPr>
          <w:sz w:val="24"/>
          <w:szCs w:val="24"/>
        </w:rPr>
      </w:pPr>
      <w:r w:rsidRPr="00C761F9">
        <w:rPr>
          <w:sz w:val="24"/>
          <w:szCs w:val="24"/>
        </w:rPr>
        <w:t xml:space="preserve">Majsstivelse </w:t>
      </w:r>
    </w:p>
    <w:p w:rsidR="00DF7D66" w:rsidRPr="00C761F9" w:rsidRDefault="00DF7D66" w:rsidP="00DF7D66">
      <w:pPr>
        <w:tabs>
          <w:tab w:val="left" w:pos="851"/>
        </w:tabs>
        <w:ind w:left="851"/>
        <w:rPr>
          <w:sz w:val="24"/>
          <w:szCs w:val="24"/>
        </w:rPr>
      </w:pPr>
      <w:proofErr w:type="spellStart"/>
      <w:r w:rsidRPr="00C761F9">
        <w:rPr>
          <w:sz w:val="24"/>
          <w:szCs w:val="24"/>
        </w:rPr>
        <w:t>Hydroxypropylcellulose</w:t>
      </w:r>
      <w:proofErr w:type="spellEnd"/>
      <w:r w:rsidRPr="00C761F9">
        <w:rPr>
          <w:sz w:val="24"/>
          <w:szCs w:val="24"/>
        </w:rPr>
        <w:t xml:space="preserve"> </w:t>
      </w:r>
    </w:p>
    <w:p w:rsidR="00DF7D66" w:rsidRPr="00C761F9" w:rsidRDefault="00DF7D66" w:rsidP="00DF7D66">
      <w:pPr>
        <w:tabs>
          <w:tab w:val="left" w:pos="851"/>
        </w:tabs>
        <w:ind w:left="851"/>
        <w:rPr>
          <w:sz w:val="24"/>
          <w:szCs w:val="24"/>
        </w:rPr>
      </w:pPr>
      <w:r w:rsidRPr="00C761F9">
        <w:rPr>
          <w:sz w:val="24"/>
          <w:szCs w:val="24"/>
        </w:rPr>
        <w:t xml:space="preserve">Lav-substitueret </w:t>
      </w:r>
      <w:proofErr w:type="spellStart"/>
      <w:r w:rsidRPr="00C761F9">
        <w:rPr>
          <w:sz w:val="24"/>
          <w:szCs w:val="24"/>
        </w:rPr>
        <w:t>hydroxypropylcellulose</w:t>
      </w:r>
      <w:proofErr w:type="spellEnd"/>
    </w:p>
    <w:p w:rsidR="00DF7D66" w:rsidRPr="00C761F9" w:rsidRDefault="00DF7D66" w:rsidP="00DF7D66">
      <w:pPr>
        <w:tabs>
          <w:tab w:val="left" w:pos="851"/>
        </w:tabs>
        <w:ind w:left="851"/>
        <w:rPr>
          <w:sz w:val="24"/>
          <w:szCs w:val="24"/>
        </w:rPr>
      </w:pPr>
      <w:proofErr w:type="spellStart"/>
      <w:r>
        <w:rPr>
          <w:sz w:val="24"/>
          <w:szCs w:val="24"/>
        </w:rPr>
        <w:t>Magnesiumstearat</w:t>
      </w:r>
      <w:proofErr w:type="spellEnd"/>
    </w:p>
    <w:p w:rsidR="00DF7D66" w:rsidRPr="008058C7" w:rsidRDefault="00DF7D66" w:rsidP="00DF7D66">
      <w:pPr>
        <w:tabs>
          <w:tab w:val="left" w:pos="851"/>
        </w:tabs>
        <w:ind w:left="851"/>
        <w:rPr>
          <w:sz w:val="24"/>
          <w:szCs w:val="24"/>
        </w:rPr>
      </w:pPr>
      <w:r w:rsidRPr="008058C7">
        <w:rPr>
          <w:sz w:val="24"/>
          <w:szCs w:val="24"/>
        </w:rPr>
        <w:t xml:space="preserve">Kolloid vandfri </w:t>
      </w:r>
      <w:proofErr w:type="spellStart"/>
      <w:r w:rsidRPr="008058C7">
        <w:rPr>
          <w:sz w:val="24"/>
          <w:szCs w:val="24"/>
        </w:rPr>
        <w:t>silica</w:t>
      </w:r>
      <w:proofErr w:type="spellEnd"/>
    </w:p>
    <w:p w:rsidR="00DF7D66" w:rsidRPr="008058C7" w:rsidRDefault="00DF7D66" w:rsidP="00DF7D66">
      <w:pPr>
        <w:tabs>
          <w:tab w:val="left" w:pos="851"/>
        </w:tabs>
        <w:ind w:left="851"/>
        <w:rPr>
          <w:sz w:val="24"/>
          <w:szCs w:val="24"/>
        </w:rPr>
      </w:pPr>
    </w:p>
    <w:p w:rsidR="00DF7D66" w:rsidRPr="008058C7" w:rsidRDefault="00DF7D66" w:rsidP="00DF7D66">
      <w:pPr>
        <w:tabs>
          <w:tab w:val="left" w:pos="851"/>
        </w:tabs>
        <w:ind w:left="851"/>
        <w:rPr>
          <w:sz w:val="24"/>
          <w:szCs w:val="24"/>
          <w:u w:val="single"/>
        </w:rPr>
      </w:pPr>
      <w:r w:rsidRPr="008058C7">
        <w:rPr>
          <w:sz w:val="24"/>
          <w:szCs w:val="24"/>
          <w:u w:val="single"/>
        </w:rPr>
        <w:t>Filmovertræk</w:t>
      </w:r>
    </w:p>
    <w:p w:rsidR="00DF7D66" w:rsidRPr="008058C7" w:rsidRDefault="00DF7D66" w:rsidP="00DF7D66">
      <w:pPr>
        <w:tabs>
          <w:tab w:val="left" w:pos="851"/>
        </w:tabs>
        <w:ind w:left="851"/>
        <w:rPr>
          <w:sz w:val="24"/>
          <w:szCs w:val="24"/>
        </w:rPr>
      </w:pPr>
      <w:proofErr w:type="spellStart"/>
      <w:r w:rsidRPr="008058C7">
        <w:rPr>
          <w:sz w:val="24"/>
          <w:szCs w:val="24"/>
        </w:rPr>
        <w:t>Hypromellose</w:t>
      </w:r>
      <w:proofErr w:type="spellEnd"/>
    </w:p>
    <w:p w:rsidR="00DF7D66" w:rsidRPr="00C761F9" w:rsidRDefault="00DF7D66" w:rsidP="00DF7D66">
      <w:pPr>
        <w:tabs>
          <w:tab w:val="left" w:pos="851"/>
        </w:tabs>
        <w:ind w:left="851"/>
        <w:rPr>
          <w:sz w:val="24"/>
          <w:szCs w:val="24"/>
        </w:rPr>
      </w:pPr>
      <w:proofErr w:type="spellStart"/>
      <w:r w:rsidRPr="008058C7">
        <w:rPr>
          <w:sz w:val="24"/>
          <w:szCs w:val="24"/>
        </w:rPr>
        <w:t>Hydroxypropylcellulose</w:t>
      </w:r>
      <w:proofErr w:type="spellEnd"/>
      <w:r w:rsidRPr="008058C7">
        <w:rPr>
          <w:sz w:val="24"/>
          <w:szCs w:val="24"/>
        </w:rPr>
        <w:t xml:space="preserve"> </w:t>
      </w:r>
    </w:p>
    <w:p w:rsidR="00DF7D66" w:rsidRPr="00C761F9" w:rsidRDefault="00DF7D66" w:rsidP="00DF7D66">
      <w:pPr>
        <w:tabs>
          <w:tab w:val="left" w:pos="851"/>
        </w:tabs>
        <w:ind w:left="851"/>
        <w:rPr>
          <w:sz w:val="24"/>
          <w:szCs w:val="24"/>
        </w:rPr>
      </w:pPr>
      <w:r>
        <w:rPr>
          <w:sz w:val="24"/>
          <w:szCs w:val="24"/>
        </w:rPr>
        <w:t>Titandioxid (E171)</w:t>
      </w:r>
    </w:p>
    <w:p w:rsidR="00DF7D66" w:rsidRPr="00C761F9" w:rsidRDefault="00DF7D66" w:rsidP="00DF7D66">
      <w:pPr>
        <w:tabs>
          <w:tab w:val="left" w:pos="851"/>
        </w:tabs>
        <w:ind w:left="851"/>
        <w:rPr>
          <w:sz w:val="24"/>
          <w:szCs w:val="24"/>
        </w:rPr>
      </w:pPr>
    </w:p>
    <w:p w:rsidR="00DF7D66" w:rsidRDefault="00DF7D66" w:rsidP="00DF7D66">
      <w:pPr>
        <w:tabs>
          <w:tab w:val="left" w:pos="851"/>
        </w:tabs>
        <w:ind w:left="851"/>
        <w:rPr>
          <w:sz w:val="24"/>
          <w:szCs w:val="24"/>
        </w:rPr>
      </w:pPr>
      <w:r w:rsidRPr="00C761F9">
        <w:rPr>
          <w:sz w:val="24"/>
          <w:szCs w:val="24"/>
          <w:u w:val="single"/>
        </w:rPr>
        <w:t>15 mg tabletterne indeholder desuden</w:t>
      </w:r>
    </w:p>
    <w:p w:rsidR="00DF7D66" w:rsidRPr="00C761F9" w:rsidRDefault="00DF7D66" w:rsidP="00DF7D66">
      <w:pPr>
        <w:tabs>
          <w:tab w:val="left" w:pos="851"/>
        </w:tabs>
        <w:ind w:left="851"/>
        <w:rPr>
          <w:sz w:val="24"/>
          <w:szCs w:val="24"/>
        </w:rPr>
      </w:pPr>
      <w:r w:rsidRPr="00C761F9">
        <w:rPr>
          <w:sz w:val="24"/>
          <w:szCs w:val="24"/>
        </w:rPr>
        <w:t>G</w:t>
      </w:r>
      <w:r>
        <w:rPr>
          <w:sz w:val="24"/>
          <w:szCs w:val="24"/>
        </w:rPr>
        <w:t>ul jernoxid (E172)</w:t>
      </w:r>
    </w:p>
    <w:p w:rsidR="00DF7D66" w:rsidRPr="00C761F9" w:rsidRDefault="00DF7D66" w:rsidP="00DF7D66">
      <w:pPr>
        <w:tabs>
          <w:tab w:val="left" w:pos="851"/>
        </w:tabs>
        <w:ind w:left="851"/>
        <w:rPr>
          <w:sz w:val="24"/>
          <w:szCs w:val="24"/>
        </w:rPr>
      </w:pPr>
    </w:p>
    <w:p w:rsidR="00DF7D66" w:rsidRPr="00C761F9" w:rsidRDefault="00DF7D66" w:rsidP="00DF7D66">
      <w:pPr>
        <w:tabs>
          <w:tab w:val="left" w:pos="851"/>
        </w:tabs>
        <w:ind w:left="851"/>
        <w:rPr>
          <w:sz w:val="24"/>
          <w:szCs w:val="24"/>
        </w:rPr>
      </w:pPr>
      <w:r w:rsidRPr="00C761F9">
        <w:rPr>
          <w:sz w:val="24"/>
          <w:szCs w:val="24"/>
          <w:u w:val="single"/>
        </w:rPr>
        <w:t>30</w:t>
      </w:r>
      <w:r>
        <w:rPr>
          <w:sz w:val="24"/>
          <w:szCs w:val="24"/>
          <w:u w:val="single"/>
        </w:rPr>
        <w:t xml:space="preserve"> </w:t>
      </w:r>
      <w:r w:rsidRPr="00C761F9">
        <w:rPr>
          <w:sz w:val="24"/>
          <w:szCs w:val="24"/>
          <w:u w:val="single"/>
        </w:rPr>
        <w:t>mg tabletterne indeholder desuden</w:t>
      </w:r>
    </w:p>
    <w:p w:rsidR="00DF7D66" w:rsidRPr="00C761F9" w:rsidRDefault="00DF7D66" w:rsidP="00DF7D66">
      <w:pPr>
        <w:tabs>
          <w:tab w:val="left" w:pos="851"/>
        </w:tabs>
        <w:ind w:left="851"/>
        <w:rPr>
          <w:sz w:val="24"/>
          <w:szCs w:val="24"/>
        </w:rPr>
      </w:pPr>
      <w:r w:rsidRPr="00C761F9">
        <w:rPr>
          <w:sz w:val="24"/>
          <w:szCs w:val="24"/>
        </w:rPr>
        <w:t xml:space="preserve">Gul </w:t>
      </w:r>
      <w:r>
        <w:rPr>
          <w:sz w:val="24"/>
          <w:szCs w:val="24"/>
        </w:rPr>
        <w:t>jernoxid (E172)</w:t>
      </w:r>
    </w:p>
    <w:p w:rsidR="00DF7D66" w:rsidRPr="00C761F9" w:rsidRDefault="00DF7D66" w:rsidP="00DF7D66">
      <w:pPr>
        <w:tabs>
          <w:tab w:val="left" w:pos="851"/>
        </w:tabs>
        <w:ind w:left="851"/>
        <w:rPr>
          <w:sz w:val="24"/>
          <w:szCs w:val="24"/>
        </w:rPr>
      </w:pPr>
      <w:r w:rsidRPr="00C761F9">
        <w:rPr>
          <w:sz w:val="24"/>
          <w:szCs w:val="24"/>
        </w:rPr>
        <w:t>Rød jernoxid (E172)</w:t>
      </w:r>
    </w:p>
    <w:p w:rsidR="00DF7D66" w:rsidRPr="00C84483" w:rsidRDefault="00DF7D66" w:rsidP="00DF7D66">
      <w:pPr>
        <w:tabs>
          <w:tab w:val="left" w:pos="851"/>
        </w:tabs>
        <w:ind w:left="851"/>
        <w:rPr>
          <w:sz w:val="24"/>
          <w:szCs w:val="24"/>
        </w:rPr>
      </w:pPr>
      <w:r w:rsidRPr="00C761F9">
        <w:rPr>
          <w:sz w:val="24"/>
          <w:szCs w:val="24"/>
        </w:rPr>
        <w:t>Sort jernoxid (E172)</w:t>
      </w:r>
    </w:p>
    <w:p w:rsidR="00DF7D66" w:rsidRPr="00C84483" w:rsidRDefault="00DF7D66" w:rsidP="00DF7D66">
      <w:pPr>
        <w:tabs>
          <w:tab w:val="left" w:pos="851"/>
        </w:tabs>
        <w:rPr>
          <w:sz w:val="24"/>
          <w:szCs w:val="24"/>
        </w:rPr>
      </w:pPr>
    </w:p>
    <w:p w:rsidR="00DF7D66" w:rsidRPr="00C84483" w:rsidRDefault="00DF7D66" w:rsidP="00DF7D66">
      <w:pPr>
        <w:tabs>
          <w:tab w:val="left" w:pos="851"/>
        </w:tabs>
        <w:ind w:left="851" w:hanging="851"/>
        <w:rPr>
          <w:b/>
          <w:sz w:val="24"/>
          <w:szCs w:val="24"/>
        </w:rPr>
      </w:pPr>
      <w:r w:rsidRPr="00C84483">
        <w:rPr>
          <w:b/>
          <w:sz w:val="24"/>
          <w:szCs w:val="24"/>
        </w:rPr>
        <w:t>6.2</w:t>
      </w:r>
      <w:r w:rsidRPr="00C84483">
        <w:rPr>
          <w:b/>
          <w:sz w:val="24"/>
          <w:szCs w:val="24"/>
        </w:rPr>
        <w:tab/>
        <w:t>Uforligeligheder</w:t>
      </w:r>
    </w:p>
    <w:p w:rsidR="00DF7D66" w:rsidRPr="00C84483" w:rsidRDefault="00DF7D66" w:rsidP="00DF7D66">
      <w:pPr>
        <w:tabs>
          <w:tab w:val="left" w:pos="851"/>
        </w:tabs>
        <w:ind w:left="851"/>
        <w:rPr>
          <w:sz w:val="24"/>
          <w:szCs w:val="24"/>
        </w:rPr>
      </w:pPr>
      <w:r w:rsidRPr="00C761F9">
        <w:rPr>
          <w:sz w:val="24"/>
          <w:szCs w:val="24"/>
        </w:rPr>
        <w:t>Ikke relevant.</w:t>
      </w:r>
    </w:p>
    <w:p w:rsidR="00DF7D66" w:rsidRPr="00C84483" w:rsidRDefault="00DF7D66" w:rsidP="00DF7D66">
      <w:pPr>
        <w:tabs>
          <w:tab w:val="left" w:pos="851"/>
        </w:tabs>
        <w:rPr>
          <w:sz w:val="24"/>
          <w:szCs w:val="24"/>
        </w:rPr>
      </w:pPr>
    </w:p>
    <w:p w:rsidR="00DF7D66" w:rsidRPr="00C84483" w:rsidRDefault="00DF7D66" w:rsidP="00EA6BF2">
      <w:pPr>
        <w:keepNext/>
        <w:tabs>
          <w:tab w:val="left" w:pos="851"/>
        </w:tabs>
        <w:ind w:left="851" w:hanging="851"/>
        <w:rPr>
          <w:b/>
          <w:sz w:val="24"/>
          <w:szCs w:val="24"/>
        </w:rPr>
      </w:pPr>
      <w:r w:rsidRPr="00C84483">
        <w:rPr>
          <w:b/>
          <w:sz w:val="24"/>
          <w:szCs w:val="24"/>
        </w:rPr>
        <w:t>6.3</w:t>
      </w:r>
      <w:r w:rsidRPr="00C84483">
        <w:rPr>
          <w:b/>
          <w:sz w:val="24"/>
          <w:szCs w:val="24"/>
        </w:rPr>
        <w:tab/>
        <w:t>Opbevaringstid</w:t>
      </w:r>
    </w:p>
    <w:p w:rsidR="00DF7D66" w:rsidRDefault="00DF7D66" w:rsidP="00DF7D66">
      <w:pPr>
        <w:tabs>
          <w:tab w:val="left" w:pos="851"/>
        </w:tabs>
        <w:ind w:left="851" w:hanging="851"/>
        <w:rPr>
          <w:sz w:val="24"/>
          <w:szCs w:val="24"/>
        </w:rPr>
      </w:pPr>
      <w:r w:rsidRPr="00C84483">
        <w:rPr>
          <w:sz w:val="24"/>
          <w:szCs w:val="24"/>
        </w:rPr>
        <w:tab/>
      </w:r>
      <w:r>
        <w:rPr>
          <w:sz w:val="24"/>
          <w:szCs w:val="24"/>
        </w:rPr>
        <w:t>Blister: 4 år.</w:t>
      </w:r>
    </w:p>
    <w:p w:rsidR="00DF7D66" w:rsidRPr="00C84483" w:rsidRDefault="00DF7D66" w:rsidP="00DF7D66">
      <w:pPr>
        <w:tabs>
          <w:tab w:val="left" w:pos="851"/>
        </w:tabs>
        <w:ind w:left="851" w:hanging="851"/>
        <w:rPr>
          <w:sz w:val="24"/>
          <w:szCs w:val="24"/>
        </w:rPr>
      </w:pPr>
      <w:r>
        <w:rPr>
          <w:sz w:val="24"/>
          <w:szCs w:val="24"/>
        </w:rPr>
        <w:tab/>
        <w:t xml:space="preserve">HDPE-plastbeholder: </w:t>
      </w:r>
      <w:r w:rsidR="00F719D5">
        <w:rPr>
          <w:sz w:val="24"/>
          <w:szCs w:val="24"/>
        </w:rPr>
        <w:t>3</w:t>
      </w:r>
      <w:r>
        <w:rPr>
          <w:sz w:val="24"/>
          <w:szCs w:val="24"/>
        </w:rPr>
        <w:t xml:space="preserve"> år.</w:t>
      </w:r>
    </w:p>
    <w:p w:rsidR="00DF7D66" w:rsidRPr="00C84483" w:rsidRDefault="00DF7D66" w:rsidP="00DF7D66">
      <w:pPr>
        <w:tabs>
          <w:tab w:val="left" w:pos="851"/>
        </w:tabs>
        <w:rPr>
          <w:sz w:val="24"/>
          <w:szCs w:val="24"/>
        </w:rPr>
      </w:pPr>
    </w:p>
    <w:p w:rsidR="00DF7D66" w:rsidRPr="00C84483" w:rsidRDefault="00DF7D66" w:rsidP="00DF7D66">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DF7D66" w:rsidRPr="00C84483" w:rsidRDefault="00DF7D66" w:rsidP="00DF7D66">
      <w:pPr>
        <w:tabs>
          <w:tab w:val="left" w:pos="851"/>
        </w:tabs>
        <w:ind w:left="851"/>
        <w:rPr>
          <w:sz w:val="24"/>
          <w:szCs w:val="24"/>
        </w:rPr>
      </w:pPr>
      <w:r w:rsidRPr="00C761F9">
        <w:rPr>
          <w:sz w:val="24"/>
          <w:szCs w:val="24"/>
        </w:rPr>
        <w:t>Dette lægemiddel kræver ingen særlige forholdsregler vedrørende opbevaringen</w:t>
      </w:r>
      <w:r>
        <w:rPr>
          <w:sz w:val="24"/>
          <w:szCs w:val="24"/>
        </w:rPr>
        <w:t>.</w:t>
      </w:r>
    </w:p>
    <w:p w:rsidR="00DF7D66" w:rsidRPr="00C84483" w:rsidRDefault="00DF7D66" w:rsidP="00DF7D66">
      <w:pPr>
        <w:tabs>
          <w:tab w:val="left" w:pos="851"/>
        </w:tabs>
        <w:rPr>
          <w:sz w:val="24"/>
          <w:szCs w:val="24"/>
        </w:rPr>
      </w:pPr>
    </w:p>
    <w:p w:rsidR="00DF7D66" w:rsidRPr="00C84483" w:rsidRDefault="00DF7D66" w:rsidP="00DF7D66">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DF7D66" w:rsidRPr="00C761F9" w:rsidRDefault="00DF7D66" w:rsidP="00DF7D66">
      <w:pPr>
        <w:tabs>
          <w:tab w:val="left" w:pos="851"/>
        </w:tabs>
        <w:suppressAutoHyphens/>
        <w:ind w:left="851"/>
        <w:rPr>
          <w:sz w:val="24"/>
          <w:szCs w:val="24"/>
        </w:rPr>
      </w:pPr>
      <w:r w:rsidRPr="00C761F9">
        <w:rPr>
          <w:sz w:val="24"/>
          <w:szCs w:val="24"/>
        </w:rPr>
        <w:t>PVC/PVDC/Aluminium blist</w:t>
      </w:r>
      <w:r>
        <w:rPr>
          <w:sz w:val="24"/>
          <w:szCs w:val="24"/>
        </w:rPr>
        <w:t>er:</w:t>
      </w:r>
    </w:p>
    <w:p w:rsidR="00DF7D66" w:rsidRPr="00C761F9" w:rsidRDefault="00DF7D66" w:rsidP="00DF7D66">
      <w:pPr>
        <w:tabs>
          <w:tab w:val="left" w:pos="851"/>
        </w:tabs>
        <w:suppressAutoHyphens/>
        <w:ind w:left="851"/>
        <w:rPr>
          <w:sz w:val="24"/>
          <w:szCs w:val="24"/>
        </w:rPr>
      </w:pPr>
    </w:p>
    <w:p w:rsidR="00DF7D66" w:rsidRDefault="00DF7D66" w:rsidP="00DF7D66">
      <w:pPr>
        <w:tabs>
          <w:tab w:val="left" w:pos="851"/>
        </w:tabs>
        <w:suppressAutoHyphens/>
        <w:ind w:left="851"/>
        <w:rPr>
          <w:sz w:val="24"/>
          <w:szCs w:val="24"/>
        </w:rPr>
      </w:pPr>
      <w:r>
        <w:rPr>
          <w:sz w:val="24"/>
          <w:szCs w:val="24"/>
        </w:rPr>
        <w:t xml:space="preserve">Pakningsstørrelser: </w:t>
      </w:r>
      <w:r w:rsidRPr="00C761F9">
        <w:rPr>
          <w:sz w:val="24"/>
          <w:szCs w:val="24"/>
        </w:rPr>
        <w:t>28, 30, 98</w:t>
      </w:r>
      <w:r>
        <w:rPr>
          <w:sz w:val="24"/>
          <w:szCs w:val="24"/>
        </w:rPr>
        <w:t xml:space="preserve"> eller</w:t>
      </w:r>
      <w:r w:rsidRPr="00C761F9">
        <w:rPr>
          <w:sz w:val="24"/>
          <w:szCs w:val="24"/>
        </w:rPr>
        <w:t xml:space="preserve"> 100</w:t>
      </w:r>
      <w:r>
        <w:rPr>
          <w:sz w:val="24"/>
          <w:szCs w:val="24"/>
        </w:rPr>
        <w:t xml:space="preserve"> tabletter.</w:t>
      </w:r>
    </w:p>
    <w:p w:rsidR="00DF7D66" w:rsidRDefault="00DF7D66" w:rsidP="00DF7D66">
      <w:pPr>
        <w:tabs>
          <w:tab w:val="left" w:pos="851"/>
        </w:tabs>
        <w:suppressAutoHyphens/>
        <w:ind w:left="851"/>
        <w:rPr>
          <w:sz w:val="24"/>
          <w:szCs w:val="24"/>
        </w:rPr>
      </w:pPr>
    </w:p>
    <w:p w:rsidR="00DF7D66" w:rsidRDefault="00DF7D66" w:rsidP="00DF7D66">
      <w:pPr>
        <w:tabs>
          <w:tab w:val="left" w:pos="851"/>
        </w:tabs>
        <w:suppressAutoHyphens/>
        <w:ind w:left="851"/>
        <w:rPr>
          <w:sz w:val="24"/>
          <w:szCs w:val="24"/>
        </w:rPr>
      </w:pPr>
      <w:r>
        <w:rPr>
          <w:sz w:val="24"/>
          <w:szCs w:val="24"/>
        </w:rPr>
        <w:t>Hvid uigennemsigtig rund HDPE-plastbeholder: 100 eller 250 tabletter.</w:t>
      </w:r>
    </w:p>
    <w:p w:rsidR="00DF7D66" w:rsidRPr="00C761F9" w:rsidRDefault="00DF7D66" w:rsidP="00DF7D66">
      <w:pPr>
        <w:tabs>
          <w:tab w:val="left" w:pos="851"/>
        </w:tabs>
        <w:suppressAutoHyphens/>
        <w:ind w:left="851"/>
        <w:rPr>
          <w:sz w:val="24"/>
          <w:szCs w:val="24"/>
        </w:rPr>
      </w:pPr>
    </w:p>
    <w:p w:rsidR="00DF7D66" w:rsidRPr="00C761F9" w:rsidRDefault="00DF7D66" w:rsidP="00DF7D66">
      <w:pPr>
        <w:tabs>
          <w:tab w:val="left" w:pos="851"/>
        </w:tabs>
        <w:suppressAutoHyphens/>
        <w:ind w:left="851"/>
        <w:rPr>
          <w:sz w:val="24"/>
          <w:szCs w:val="24"/>
        </w:rPr>
      </w:pPr>
      <w:r w:rsidRPr="00C761F9">
        <w:rPr>
          <w:sz w:val="24"/>
          <w:szCs w:val="24"/>
        </w:rPr>
        <w:t>Ikke alle pakningsstørrelser er nødvendigvis markedsført.</w:t>
      </w:r>
    </w:p>
    <w:p w:rsidR="00DF7D66" w:rsidRPr="00C84483" w:rsidRDefault="00DF7D66" w:rsidP="00DF7D66">
      <w:pPr>
        <w:tabs>
          <w:tab w:val="left" w:pos="851"/>
        </w:tabs>
        <w:ind w:left="851" w:hanging="851"/>
        <w:rPr>
          <w:sz w:val="24"/>
          <w:szCs w:val="24"/>
        </w:rPr>
      </w:pPr>
      <w:r w:rsidRPr="00C84483">
        <w:rPr>
          <w:sz w:val="24"/>
          <w:szCs w:val="24"/>
        </w:rPr>
        <w:tab/>
      </w:r>
    </w:p>
    <w:p w:rsidR="00DF7D66" w:rsidRPr="00C84483" w:rsidRDefault="00DF7D66" w:rsidP="00DF7D66">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D22B35" w:rsidRDefault="00D22B35" w:rsidP="00D22B35">
      <w:pPr>
        <w:tabs>
          <w:tab w:val="left" w:pos="851"/>
        </w:tabs>
        <w:ind w:left="851"/>
        <w:rPr>
          <w:sz w:val="24"/>
          <w:szCs w:val="24"/>
        </w:rPr>
      </w:pPr>
      <w:r>
        <w:rPr>
          <w:sz w:val="24"/>
          <w:szCs w:val="24"/>
        </w:rPr>
        <w:t>Ikke anvendt lægemiddel samt affald heraf skal bortskaffes i henhold til lokale retningslinjer.</w:t>
      </w:r>
    </w:p>
    <w:p w:rsidR="00DF7D66" w:rsidRPr="00C84483" w:rsidRDefault="00DF7D66" w:rsidP="00DF7D66">
      <w:pPr>
        <w:tabs>
          <w:tab w:val="left" w:pos="851"/>
        </w:tabs>
        <w:jc w:val="both"/>
        <w:rPr>
          <w:sz w:val="24"/>
          <w:szCs w:val="24"/>
        </w:rPr>
      </w:pPr>
    </w:p>
    <w:p w:rsidR="00DF7D66" w:rsidRPr="00C84483" w:rsidRDefault="00DF7D66" w:rsidP="00DF7D66">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DF7D66" w:rsidRPr="00BD271D" w:rsidRDefault="00DF7D66" w:rsidP="00DF7D66">
      <w:pPr>
        <w:tabs>
          <w:tab w:val="left" w:pos="851"/>
        </w:tabs>
        <w:ind w:left="851"/>
        <w:rPr>
          <w:spacing w:val="-3"/>
          <w:sz w:val="24"/>
          <w:szCs w:val="24"/>
        </w:rPr>
      </w:pPr>
      <w:r w:rsidRPr="00BD271D">
        <w:rPr>
          <w:spacing w:val="-3"/>
          <w:sz w:val="24"/>
          <w:szCs w:val="24"/>
        </w:rPr>
        <w:t>Orion Corporation</w:t>
      </w:r>
    </w:p>
    <w:p w:rsidR="00DF7D66" w:rsidRPr="00BD271D" w:rsidRDefault="00DF7D66" w:rsidP="00DF7D66">
      <w:pPr>
        <w:tabs>
          <w:tab w:val="left" w:pos="851"/>
        </w:tabs>
        <w:ind w:left="851"/>
        <w:rPr>
          <w:spacing w:val="-3"/>
          <w:sz w:val="24"/>
          <w:szCs w:val="24"/>
        </w:rPr>
      </w:pPr>
      <w:proofErr w:type="spellStart"/>
      <w:r w:rsidRPr="00BD271D">
        <w:rPr>
          <w:spacing w:val="-3"/>
          <w:sz w:val="24"/>
          <w:szCs w:val="24"/>
        </w:rPr>
        <w:t>Orionintie</w:t>
      </w:r>
      <w:proofErr w:type="spellEnd"/>
      <w:r w:rsidRPr="00BD271D">
        <w:rPr>
          <w:spacing w:val="-3"/>
          <w:sz w:val="24"/>
          <w:szCs w:val="24"/>
        </w:rPr>
        <w:t xml:space="preserve"> 1</w:t>
      </w:r>
    </w:p>
    <w:p w:rsidR="00DF7D66" w:rsidRPr="00C761F9" w:rsidRDefault="00DF7D66" w:rsidP="00DF7D66">
      <w:pPr>
        <w:tabs>
          <w:tab w:val="left" w:pos="851"/>
        </w:tabs>
        <w:ind w:left="851"/>
        <w:rPr>
          <w:spacing w:val="-3"/>
          <w:sz w:val="24"/>
          <w:szCs w:val="24"/>
          <w:lang w:val="en-US"/>
        </w:rPr>
      </w:pPr>
      <w:r w:rsidRPr="00C761F9">
        <w:rPr>
          <w:spacing w:val="-3"/>
          <w:sz w:val="24"/>
          <w:szCs w:val="24"/>
          <w:lang w:val="en-US"/>
        </w:rPr>
        <w:t>FI-02200 Espoo</w:t>
      </w:r>
    </w:p>
    <w:p w:rsidR="00DF7D66" w:rsidRPr="00C761F9" w:rsidRDefault="00DF7D66" w:rsidP="00DF7D66">
      <w:pPr>
        <w:tabs>
          <w:tab w:val="left" w:pos="851"/>
        </w:tabs>
        <w:ind w:left="851"/>
        <w:rPr>
          <w:spacing w:val="-3"/>
          <w:sz w:val="24"/>
          <w:szCs w:val="24"/>
          <w:lang w:val="en-US"/>
        </w:rPr>
      </w:pPr>
      <w:r w:rsidRPr="00C761F9">
        <w:rPr>
          <w:spacing w:val="-3"/>
          <w:sz w:val="24"/>
          <w:szCs w:val="24"/>
          <w:lang w:val="en-US"/>
        </w:rPr>
        <w:t>Finland</w:t>
      </w:r>
    </w:p>
    <w:p w:rsidR="00DF7D66" w:rsidRPr="00C761F9" w:rsidRDefault="00DF7D66" w:rsidP="00DF7D66">
      <w:pPr>
        <w:tabs>
          <w:tab w:val="left" w:pos="851"/>
        </w:tabs>
        <w:ind w:left="851"/>
        <w:rPr>
          <w:b/>
          <w:spacing w:val="-3"/>
          <w:sz w:val="24"/>
          <w:szCs w:val="24"/>
          <w:lang w:val="en-US"/>
        </w:rPr>
      </w:pPr>
    </w:p>
    <w:p w:rsidR="00DF7D66" w:rsidRPr="00BD271D" w:rsidRDefault="00DF7D66" w:rsidP="00DF7D66">
      <w:pPr>
        <w:tabs>
          <w:tab w:val="left" w:pos="851"/>
        </w:tabs>
        <w:ind w:left="851"/>
        <w:rPr>
          <w:spacing w:val="-3"/>
          <w:sz w:val="24"/>
          <w:szCs w:val="24"/>
          <w:lang w:val="en-US"/>
        </w:rPr>
      </w:pPr>
      <w:proofErr w:type="spellStart"/>
      <w:r w:rsidRPr="00BD271D">
        <w:rPr>
          <w:b/>
          <w:spacing w:val="-3"/>
          <w:sz w:val="24"/>
          <w:szCs w:val="24"/>
          <w:lang w:val="en-US"/>
        </w:rPr>
        <w:t>Repræsentant</w:t>
      </w:r>
      <w:proofErr w:type="spellEnd"/>
    </w:p>
    <w:p w:rsidR="00DF7D66" w:rsidRPr="00BD271D" w:rsidRDefault="00DF7D66" w:rsidP="00DF7D66">
      <w:pPr>
        <w:tabs>
          <w:tab w:val="left" w:pos="851"/>
        </w:tabs>
        <w:ind w:left="851" w:hanging="851"/>
        <w:jc w:val="both"/>
        <w:rPr>
          <w:sz w:val="24"/>
          <w:szCs w:val="24"/>
          <w:lang w:val="en-US"/>
        </w:rPr>
      </w:pPr>
      <w:r w:rsidRPr="00BD271D">
        <w:rPr>
          <w:sz w:val="24"/>
          <w:szCs w:val="24"/>
          <w:lang w:val="en-US"/>
        </w:rPr>
        <w:tab/>
        <w:t>Orion Pharma A/S</w:t>
      </w:r>
    </w:p>
    <w:p w:rsidR="00DF7D66" w:rsidRPr="00B95721" w:rsidRDefault="00DF7D66" w:rsidP="00DF7D66">
      <w:pPr>
        <w:tabs>
          <w:tab w:val="left" w:pos="851"/>
        </w:tabs>
        <w:ind w:left="851" w:hanging="851"/>
        <w:jc w:val="both"/>
        <w:rPr>
          <w:sz w:val="24"/>
          <w:szCs w:val="24"/>
        </w:rPr>
      </w:pPr>
      <w:r w:rsidRPr="00BD271D">
        <w:rPr>
          <w:sz w:val="24"/>
          <w:szCs w:val="24"/>
          <w:lang w:val="en-US"/>
        </w:rPr>
        <w:tab/>
      </w:r>
      <w:r w:rsidRPr="00B95721">
        <w:rPr>
          <w:sz w:val="24"/>
          <w:szCs w:val="24"/>
        </w:rPr>
        <w:t>Ørestads Boulevard 73</w:t>
      </w:r>
    </w:p>
    <w:p w:rsidR="00DF7D66" w:rsidRPr="00B95721" w:rsidRDefault="00DF7D66" w:rsidP="00DF7D66">
      <w:pPr>
        <w:tabs>
          <w:tab w:val="left" w:pos="851"/>
        </w:tabs>
        <w:ind w:left="851" w:hanging="851"/>
        <w:jc w:val="both"/>
        <w:rPr>
          <w:sz w:val="24"/>
          <w:szCs w:val="24"/>
        </w:rPr>
      </w:pPr>
      <w:r w:rsidRPr="00B95721">
        <w:rPr>
          <w:sz w:val="24"/>
          <w:szCs w:val="24"/>
        </w:rPr>
        <w:tab/>
        <w:t>2300 København S</w:t>
      </w:r>
    </w:p>
    <w:p w:rsidR="00DF7D66" w:rsidRPr="00C84483" w:rsidRDefault="00DF7D66" w:rsidP="00DF7D66">
      <w:pPr>
        <w:tabs>
          <w:tab w:val="left" w:pos="851"/>
        </w:tabs>
        <w:rPr>
          <w:sz w:val="24"/>
          <w:szCs w:val="24"/>
        </w:rPr>
      </w:pPr>
    </w:p>
    <w:p w:rsidR="00DF7D66" w:rsidRPr="00C84483" w:rsidRDefault="00DF7D66" w:rsidP="00DF7D66">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DF7D66" w:rsidRDefault="00DF7D66" w:rsidP="00DF7D66">
      <w:pPr>
        <w:tabs>
          <w:tab w:val="left" w:pos="851"/>
          <w:tab w:val="left" w:pos="1701"/>
        </w:tabs>
        <w:ind w:left="851" w:hanging="851"/>
        <w:rPr>
          <w:sz w:val="24"/>
          <w:szCs w:val="24"/>
        </w:rPr>
      </w:pPr>
      <w:r w:rsidRPr="00C84483">
        <w:rPr>
          <w:sz w:val="24"/>
          <w:szCs w:val="24"/>
        </w:rPr>
        <w:tab/>
      </w:r>
      <w:r>
        <w:rPr>
          <w:sz w:val="24"/>
          <w:szCs w:val="24"/>
        </w:rPr>
        <w:t>15 mg:</w:t>
      </w:r>
      <w:r>
        <w:rPr>
          <w:sz w:val="24"/>
          <w:szCs w:val="24"/>
        </w:rPr>
        <w:tab/>
        <w:t>52773</w:t>
      </w:r>
    </w:p>
    <w:p w:rsidR="00DF7D66" w:rsidRDefault="00DF7D66" w:rsidP="00DF7D66">
      <w:pPr>
        <w:tabs>
          <w:tab w:val="left" w:pos="851"/>
          <w:tab w:val="left" w:pos="1701"/>
        </w:tabs>
        <w:ind w:left="851" w:hanging="851"/>
        <w:rPr>
          <w:sz w:val="24"/>
          <w:szCs w:val="24"/>
        </w:rPr>
      </w:pPr>
      <w:r>
        <w:rPr>
          <w:sz w:val="24"/>
          <w:szCs w:val="24"/>
        </w:rPr>
        <w:tab/>
        <w:t>30 mg:</w:t>
      </w:r>
      <w:r>
        <w:rPr>
          <w:sz w:val="24"/>
          <w:szCs w:val="24"/>
        </w:rPr>
        <w:tab/>
        <w:t>52774</w:t>
      </w:r>
    </w:p>
    <w:p w:rsidR="00DF7D66" w:rsidRPr="00C84483" w:rsidRDefault="00DF7D66" w:rsidP="00DF7D66">
      <w:pPr>
        <w:tabs>
          <w:tab w:val="left" w:pos="851"/>
          <w:tab w:val="left" w:pos="1701"/>
        </w:tabs>
        <w:ind w:left="851" w:hanging="851"/>
        <w:rPr>
          <w:sz w:val="24"/>
          <w:szCs w:val="24"/>
        </w:rPr>
      </w:pPr>
      <w:r>
        <w:rPr>
          <w:sz w:val="24"/>
          <w:szCs w:val="24"/>
        </w:rPr>
        <w:tab/>
        <w:t>45 mg:</w:t>
      </w:r>
      <w:r>
        <w:rPr>
          <w:sz w:val="24"/>
          <w:szCs w:val="24"/>
        </w:rPr>
        <w:tab/>
        <w:t>52775</w:t>
      </w:r>
    </w:p>
    <w:p w:rsidR="00DF7D66" w:rsidRPr="00C84483" w:rsidRDefault="00DF7D66" w:rsidP="00DF7D66">
      <w:pPr>
        <w:tabs>
          <w:tab w:val="left" w:pos="851"/>
        </w:tabs>
        <w:jc w:val="both"/>
        <w:rPr>
          <w:sz w:val="24"/>
          <w:szCs w:val="24"/>
        </w:rPr>
      </w:pPr>
    </w:p>
    <w:p w:rsidR="00DF7D66" w:rsidRPr="00C84483" w:rsidRDefault="00DF7D66" w:rsidP="00DF7D66">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DF7D66" w:rsidRPr="00C84483" w:rsidRDefault="00DF7D66" w:rsidP="00DF7D66">
      <w:pPr>
        <w:tabs>
          <w:tab w:val="left" w:pos="851"/>
        </w:tabs>
        <w:rPr>
          <w:sz w:val="24"/>
          <w:szCs w:val="24"/>
        </w:rPr>
      </w:pPr>
      <w:r w:rsidRPr="00C84483">
        <w:rPr>
          <w:sz w:val="24"/>
          <w:szCs w:val="24"/>
        </w:rPr>
        <w:tab/>
      </w:r>
      <w:r>
        <w:rPr>
          <w:sz w:val="24"/>
          <w:szCs w:val="24"/>
        </w:rPr>
        <w:t>27. september 2006 (smeltetabletter)</w:t>
      </w:r>
    </w:p>
    <w:p w:rsidR="00DF7D66" w:rsidRPr="00C84483" w:rsidRDefault="00DF7D66" w:rsidP="00DF7D66">
      <w:pPr>
        <w:tabs>
          <w:tab w:val="left" w:pos="851"/>
        </w:tabs>
        <w:rPr>
          <w:sz w:val="24"/>
          <w:szCs w:val="24"/>
        </w:rPr>
      </w:pPr>
    </w:p>
    <w:p w:rsidR="00DF7D66" w:rsidRPr="00C84483" w:rsidRDefault="00DF7D66" w:rsidP="00DF7D66">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DF7D66" w:rsidRPr="00C84483" w:rsidRDefault="00DF7D66" w:rsidP="00DF7D66">
      <w:pPr>
        <w:tabs>
          <w:tab w:val="left" w:pos="851"/>
        </w:tabs>
        <w:rPr>
          <w:sz w:val="24"/>
          <w:szCs w:val="24"/>
        </w:rPr>
      </w:pPr>
      <w:r>
        <w:rPr>
          <w:sz w:val="24"/>
          <w:szCs w:val="24"/>
        </w:rPr>
        <w:t xml:space="preserve"> </w:t>
      </w:r>
      <w:r>
        <w:rPr>
          <w:sz w:val="24"/>
          <w:szCs w:val="24"/>
        </w:rPr>
        <w:tab/>
      </w:r>
      <w:r w:rsidR="00F719D5">
        <w:rPr>
          <w:sz w:val="24"/>
          <w:szCs w:val="24"/>
        </w:rPr>
        <w:t>23</w:t>
      </w:r>
      <w:bookmarkStart w:id="0" w:name="_GoBack"/>
      <w:bookmarkEnd w:id="0"/>
      <w:r w:rsidR="00242CC8" w:rsidRPr="00242CC8">
        <w:rPr>
          <w:sz w:val="24"/>
          <w:szCs w:val="24"/>
        </w:rPr>
        <w:t xml:space="preserve">. </w:t>
      </w:r>
      <w:r w:rsidR="001F3944">
        <w:rPr>
          <w:sz w:val="24"/>
          <w:szCs w:val="24"/>
        </w:rPr>
        <w:t>ju</w:t>
      </w:r>
      <w:r w:rsidR="009508FE">
        <w:rPr>
          <w:sz w:val="24"/>
          <w:szCs w:val="24"/>
        </w:rPr>
        <w:t>n</w:t>
      </w:r>
      <w:r w:rsidR="001F3944">
        <w:rPr>
          <w:sz w:val="24"/>
          <w:szCs w:val="24"/>
        </w:rPr>
        <w:t>i</w:t>
      </w:r>
      <w:r w:rsidR="00242CC8" w:rsidRPr="00242CC8">
        <w:rPr>
          <w:sz w:val="24"/>
          <w:szCs w:val="24"/>
        </w:rPr>
        <w:t xml:space="preserve"> 202</w:t>
      </w:r>
      <w:r w:rsidR="009508FE">
        <w:rPr>
          <w:sz w:val="24"/>
          <w:szCs w:val="24"/>
        </w:rPr>
        <w:t>2</w:t>
      </w:r>
    </w:p>
    <w:p w:rsidR="00DF7D66" w:rsidRPr="00217AA8" w:rsidRDefault="00DF7D66" w:rsidP="00DF7D66"/>
    <w:p w:rsidR="00DF7D66" w:rsidRPr="0001556A" w:rsidRDefault="00DF7D66" w:rsidP="00DF7D66"/>
    <w:p w:rsidR="009260DE" w:rsidRPr="00DF7D66" w:rsidRDefault="009260DE" w:rsidP="00DF7D66"/>
    <w:sectPr w:rsidR="009260DE" w:rsidRPr="00DF7D66"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D66" w:rsidRDefault="00DF7D66">
      <w:r>
        <w:separator/>
      </w:r>
    </w:p>
  </w:endnote>
  <w:endnote w:type="continuationSeparator" w:id="0">
    <w:p w:rsidR="00DF7D66" w:rsidRDefault="00DF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42CC8">
      <w:rPr>
        <w:i/>
        <w:noProof/>
        <w:sz w:val="18"/>
        <w:szCs w:val="18"/>
      </w:rPr>
      <w:t>Mirtazapin Orion, filmovertrukne tabletter 15 mg, 30 mg og 45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D66" w:rsidRDefault="00DF7D66">
      <w:r>
        <w:separator/>
      </w:r>
    </w:p>
  </w:footnote>
  <w:footnote w:type="continuationSeparator" w:id="0">
    <w:p w:rsidR="00DF7D66" w:rsidRDefault="00DF7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F8A343A"/>
    <w:multiLevelType w:val="hybridMultilevel"/>
    <w:tmpl w:val="593A664E"/>
    <w:lvl w:ilvl="0" w:tplc="4FA877C6">
      <w:start w:val="1"/>
      <w:numFmt w:val="bullet"/>
      <w:lvlText w:val="-"/>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626256E"/>
    <w:multiLevelType w:val="hybridMultilevel"/>
    <w:tmpl w:val="6CB0FEB2"/>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7" w15:restartNumberingAfterBreak="0">
    <w:nsid w:val="5FF62625"/>
    <w:multiLevelType w:val="hybridMultilevel"/>
    <w:tmpl w:val="4C386212"/>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8" w15:restartNumberingAfterBreak="0">
    <w:nsid w:val="64943C0C"/>
    <w:multiLevelType w:val="hybridMultilevel"/>
    <w:tmpl w:val="2FA06572"/>
    <w:lvl w:ilvl="0" w:tplc="4FA877C6">
      <w:start w:val="1"/>
      <w:numFmt w:val="bullet"/>
      <w:lvlText w:val="-"/>
      <w:lvlJc w:val="left"/>
      <w:pPr>
        <w:tabs>
          <w:tab w:val="num" w:pos="851"/>
        </w:tabs>
        <w:ind w:left="1211" w:hanging="360"/>
      </w:pPr>
      <w:rPr>
        <w:rFonts w:hint="default"/>
      </w:rPr>
    </w:lvl>
    <w:lvl w:ilvl="1" w:tplc="04060003" w:tentative="1">
      <w:start w:val="1"/>
      <w:numFmt w:val="bullet"/>
      <w:lvlText w:val="o"/>
      <w:lvlJc w:val="left"/>
      <w:pPr>
        <w:tabs>
          <w:tab w:val="num" w:pos="1931"/>
        </w:tabs>
        <w:ind w:left="1931" w:hanging="360"/>
      </w:pPr>
      <w:rPr>
        <w:rFonts w:ascii="Courier New" w:hAnsi="Courier New" w:cs="Courier New" w:hint="default"/>
      </w:rPr>
    </w:lvl>
    <w:lvl w:ilvl="2" w:tplc="04060005" w:tentative="1">
      <w:start w:val="1"/>
      <w:numFmt w:val="bullet"/>
      <w:lvlText w:val=""/>
      <w:lvlJc w:val="left"/>
      <w:pPr>
        <w:tabs>
          <w:tab w:val="num" w:pos="2651"/>
        </w:tabs>
        <w:ind w:left="2651" w:hanging="360"/>
      </w:pPr>
      <w:rPr>
        <w:rFonts w:ascii="Wingdings" w:hAnsi="Wingdings" w:hint="default"/>
      </w:rPr>
    </w:lvl>
    <w:lvl w:ilvl="3" w:tplc="04060001" w:tentative="1">
      <w:start w:val="1"/>
      <w:numFmt w:val="bullet"/>
      <w:lvlText w:val=""/>
      <w:lvlJc w:val="left"/>
      <w:pPr>
        <w:tabs>
          <w:tab w:val="num" w:pos="3371"/>
        </w:tabs>
        <w:ind w:left="3371" w:hanging="360"/>
      </w:pPr>
      <w:rPr>
        <w:rFonts w:ascii="Symbol" w:hAnsi="Symbol" w:hint="default"/>
      </w:rPr>
    </w:lvl>
    <w:lvl w:ilvl="4" w:tplc="04060003" w:tentative="1">
      <w:start w:val="1"/>
      <w:numFmt w:val="bullet"/>
      <w:lvlText w:val="o"/>
      <w:lvlJc w:val="left"/>
      <w:pPr>
        <w:tabs>
          <w:tab w:val="num" w:pos="4091"/>
        </w:tabs>
        <w:ind w:left="4091" w:hanging="360"/>
      </w:pPr>
      <w:rPr>
        <w:rFonts w:ascii="Courier New" w:hAnsi="Courier New" w:cs="Courier New" w:hint="default"/>
      </w:rPr>
    </w:lvl>
    <w:lvl w:ilvl="5" w:tplc="04060005" w:tentative="1">
      <w:start w:val="1"/>
      <w:numFmt w:val="bullet"/>
      <w:lvlText w:val=""/>
      <w:lvlJc w:val="left"/>
      <w:pPr>
        <w:tabs>
          <w:tab w:val="num" w:pos="4811"/>
        </w:tabs>
        <w:ind w:left="4811" w:hanging="360"/>
      </w:pPr>
      <w:rPr>
        <w:rFonts w:ascii="Wingdings" w:hAnsi="Wingdings" w:hint="default"/>
      </w:rPr>
    </w:lvl>
    <w:lvl w:ilvl="6" w:tplc="04060001" w:tentative="1">
      <w:start w:val="1"/>
      <w:numFmt w:val="bullet"/>
      <w:lvlText w:val=""/>
      <w:lvlJc w:val="left"/>
      <w:pPr>
        <w:tabs>
          <w:tab w:val="num" w:pos="5531"/>
        </w:tabs>
        <w:ind w:left="5531" w:hanging="360"/>
      </w:pPr>
      <w:rPr>
        <w:rFonts w:ascii="Symbol" w:hAnsi="Symbol" w:hint="default"/>
      </w:rPr>
    </w:lvl>
    <w:lvl w:ilvl="7" w:tplc="04060003" w:tentative="1">
      <w:start w:val="1"/>
      <w:numFmt w:val="bullet"/>
      <w:lvlText w:val="o"/>
      <w:lvlJc w:val="left"/>
      <w:pPr>
        <w:tabs>
          <w:tab w:val="num" w:pos="6251"/>
        </w:tabs>
        <w:ind w:left="6251" w:hanging="360"/>
      </w:pPr>
      <w:rPr>
        <w:rFonts w:ascii="Courier New" w:hAnsi="Courier New" w:cs="Courier New" w:hint="default"/>
      </w:rPr>
    </w:lvl>
    <w:lvl w:ilvl="8" w:tplc="04060005" w:tentative="1">
      <w:start w:val="1"/>
      <w:numFmt w:val="bullet"/>
      <w:lvlText w:val=""/>
      <w:lvlJc w:val="left"/>
      <w:pPr>
        <w:tabs>
          <w:tab w:val="num" w:pos="6971"/>
        </w:tabs>
        <w:ind w:left="697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D66"/>
    <w:rsid w:val="000259B9"/>
    <w:rsid w:val="00041491"/>
    <w:rsid w:val="00050D16"/>
    <w:rsid w:val="00074F2A"/>
    <w:rsid w:val="000954F3"/>
    <w:rsid w:val="000A1CA8"/>
    <w:rsid w:val="000A466B"/>
    <w:rsid w:val="000B058C"/>
    <w:rsid w:val="000E4EE6"/>
    <w:rsid w:val="001454E2"/>
    <w:rsid w:val="00177B86"/>
    <w:rsid w:val="00195F5D"/>
    <w:rsid w:val="0019644F"/>
    <w:rsid w:val="001F3944"/>
    <w:rsid w:val="00206CE8"/>
    <w:rsid w:val="0021526C"/>
    <w:rsid w:val="00242CC8"/>
    <w:rsid w:val="00283A2B"/>
    <w:rsid w:val="002B30AD"/>
    <w:rsid w:val="002C2C01"/>
    <w:rsid w:val="002C478B"/>
    <w:rsid w:val="00320EC3"/>
    <w:rsid w:val="003439FD"/>
    <w:rsid w:val="003A29AE"/>
    <w:rsid w:val="003A32D7"/>
    <w:rsid w:val="003B4074"/>
    <w:rsid w:val="003C769A"/>
    <w:rsid w:val="003F1838"/>
    <w:rsid w:val="0045746C"/>
    <w:rsid w:val="0049104B"/>
    <w:rsid w:val="004E3B12"/>
    <w:rsid w:val="00532310"/>
    <w:rsid w:val="0053329E"/>
    <w:rsid w:val="00560ECC"/>
    <w:rsid w:val="00565F0F"/>
    <w:rsid w:val="0057627E"/>
    <w:rsid w:val="00594A86"/>
    <w:rsid w:val="00596D86"/>
    <w:rsid w:val="005C64F5"/>
    <w:rsid w:val="005D71B4"/>
    <w:rsid w:val="00637F5A"/>
    <w:rsid w:val="006560B1"/>
    <w:rsid w:val="006756DD"/>
    <w:rsid w:val="00696002"/>
    <w:rsid w:val="006A4A22"/>
    <w:rsid w:val="00737275"/>
    <w:rsid w:val="00740EEC"/>
    <w:rsid w:val="0078011A"/>
    <w:rsid w:val="00782AF4"/>
    <w:rsid w:val="00790EE7"/>
    <w:rsid w:val="007B6649"/>
    <w:rsid w:val="0081546F"/>
    <w:rsid w:val="0082576E"/>
    <w:rsid w:val="0084308E"/>
    <w:rsid w:val="00852617"/>
    <w:rsid w:val="00907F75"/>
    <w:rsid w:val="009260DE"/>
    <w:rsid w:val="0093258A"/>
    <w:rsid w:val="009508FE"/>
    <w:rsid w:val="009C7BA3"/>
    <w:rsid w:val="009D1F5A"/>
    <w:rsid w:val="00B003BF"/>
    <w:rsid w:val="00B373D7"/>
    <w:rsid w:val="00B755A0"/>
    <w:rsid w:val="00BA1945"/>
    <w:rsid w:val="00BD271D"/>
    <w:rsid w:val="00C36276"/>
    <w:rsid w:val="00C42586"/>
    <w:rsid w:val="00C60CCD"/>
    <w:rsid w:val="00C84483"/>
    <w:rsid w:val="00C95551"/>
    <w:rsid w:val="00CB20D7"/>
    <w:rsid w:val="00D020B0"/>
    <w:rsid w:val="00D11748"/>
    <w:rsid w:val="00D22B35"/>
    <w:rsid w:val="00D366CF"/>
    <w:rsid w:val="00D5116F"/>
    <w:rsid w:val="00DF7D66"/>
    <w:rsid w:val="00E108AA"/>
    <w:rsid w:val="00E31812"/>
    <w:rsid w:val="00E3749A"/>
    <w:rsid w:val="00E7437F"/>
    <w:rsid w:val="00E865B8"/>
    <w:rsid w:val="00EA6BF2"/>
    <w:rsid w:val="00EC0B9B"/>
    <w:rsid w:val="00ED5E9F"/>
    <w:rsid w:val="00F24395"/>
    <w:rsid w:val="00F263AE"/>
    <w:rsid w:val="00F66D4F"/>
    <w:rsid w:val="00F719D5"/>
    <w:rsid w:val="00F94339"/>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9B355"/>
  <w15:chartTrackingRefBased/>
  <w15:docId w15:val="{493860F6-7BAD-4C8C-86A2-9D47992D7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CM58">
    <w:name w:val="CM58"/>
    <w:basedOn w:val="Normal"/>
    <w:next w:val="Normal"/>
    <w:rsid w:val="00DF7D66"/>
    <w:pPr>
      <w:widowControl w:val="0"/>
      <w:autoSpaceDE w:val="0"/>
      <w:autoSpaceDN w:val="0"/>
      <w:adjustRightInd w:val="0"/>
    </w:pPr>
    <w:rPr>
      <w:sz w:val="24"/>
      <w:szCs w:val="24"/>
      <w:lang w:val="en-US"/>
    </w:rPr>
  </w:style>
  <w:style w:type="paragraph" w:styleId="Listeafsnit">
    <w:name w:val="List Paragraph"/>
    <w:basedOn w:val="Normal"/>
    <w:uiPriority w:val="34"/>
    <w:qFormat/>
    <w:rsid w:val="00242C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81812379">
      <w:bodyDiv w:val="1"/>
      <w:marLeft w:val="0"/>
      <w:marRight w:val="0"/>
      <w:marTop w:val="0"/>
      <w:marBottom w:val="0"/>
      <w:divBdr>
        <w:top w:val="none" w:sz="0" w:space="0" w:color="auto"/>
        <w:left w:val="none" w:sz="0" w:space="0" w:color="auto"/>
        <w:bottom w:val="none" w:sz="0" w:space="0" w:color="auto"/>
        <w:right w:val="none" w:sz="0" w:space="0" w:color="auto"/>
      </w:divBdr>
    </w:div>
    <w:div w:id="410271341">
      <w:bodyDiv w:val="1"/>
      <w:marLeft w:val="0"/>
      <w:marRight w:val="0"/>
      <w:marTop w:val="0"/>
      <w:marBottom w:val="0"/>
      <w:divBdr>
        <w:top w:val="none" w:sz="0" w:space="0" w:color="auto"/>
        <w:left w:val="none" w:sz="0" w:space="0" w:color="auto"/>
        <w:bottom w:val="none" w:sz="0" w:space="0" w:color="auto"/>
        <w:right w:val="none" w:sz="0" w:space="0" w:color="auto"/>
      </w:divBdr>
    </w:div>
    <w:div w:id="558827073">
      <w:bodyDiv w:val="1"/>
      <w:marLeft w:val="0"/>
      <w:marRight w:val="0"/>
      <w:marTop w:val="0"/>
      <w:marBottom w:val="0"/>
      <w:divBdr>
        <w:top w:val="none" w:sz="0" w:space="0" w:color="auto"/>
        <w:left w:val="none" w:sz="0" w:space="0" w:color="auto"/>
        <w:bottom w:val="none" w:sz="0" w:space="0" w:color="auto"/>
        <w:right w:val="none" w:sz="0" w:space="0" w:color="auto"/>
      </w:divBdr>
    </w:div>
    <w:div w:id="585727389">
      <w:bodyDiv w:val="1"/>
      <w:marLeft w:val="0"/>
      <w:marRight w:val="0"/>
      <w:marTop w:val="0"/>
      <w:marBottom w:val="0"/>
      <w:divBdr>
        <w:top w:val="none" w:sz="0" w:space="0" w:color="auto"/>
        <w:left w:val="none" w:sz="0" w:space="0" w:color="auto"/>
        <w:bottom w:val="none" w:sz="0" w:space="0" w:color="auto"/>
        <w:right w:val="none" w:sz="0" w:space="0" w:color="auto"/>
      </w:divBdr>
    </w:div>
    <w:div w:id="1044334011">
      <w:bodyDiv w:val="1"/>
      <w:marLeft w:val="0"/>
      <w:marRight w:val="0"/>
      <w:marTop w:val="0"/>
      <w:marBottom w:val="0"/>
      <w:divBdr>
        <w:top w:val="none" w:sz="0" w:space="0" w:color="auto"/>
        <w:left w:val="none" w:sz="0" w:space="0" w:color="auto"/>
        <w:bottom w:val="none" w:sz="0" w:space="0" w:color="auto"/>
        <w:right w:val="none" w:sz="0" w:space="0" w:color="auto"/>
      </w:divBdr>
    </w:div>
    <w:div w:id="1145665231">
      <w:bodyDiv w:val="1"/>
      <w:marLeft w:val="0"/>
      <w:marRight w:val="0"/>
      <w:marTop w:val="0"/>
      <w:marBottom w:val="0"/>
      <w:divBdr>
        <w:top w:val="none" w:sz="0" w:space="0" w:color="auto"/>
        <w:left w:val="none" w:sz="0" w:space="0" w:color="auto"/>
        <w:bottom w:val="none" w:sz="0" w:space="0" w:color="auto"/>
        <w:right w:val="none" w:sz="0" w:space="0" w:color="auto"/>
      </w:divBdr>
    </w:div>
    <w:div w:id="1318419007">
      <w:bodyDiv w:val="1"/>
      <w:marLeft w:val="0"/>
      <w:marRight w:val="0"/>
      <w:marTop w:val="0"/>
      <w:marBottom w:val="0"/>
      <w:divBdr>
        <w:top w:val="none" w:sz="0" w:space="0" w:color="auto"/>
        <w:left w:val="none" w:sz="0" w:space="0" w:color="auto"/>
        <w:bottom w:val="none" w:sz="0" w:space="0" w:color="auto"/>
        <w:right w:val="none" w:sz="0" w:space="0" w:color="auto"/>
      </w:divBdr>
    </w:div>
    <w:div w:id="1723405335">
      <w:bodyDiv w:val="1"/>
      <w:marLeft w:val="0"/>
      <w:marRight w:val="0"/>
      <w:marTop w:val="0"/>
      <w:marBottom w:val="0"/>
      <w:divBdr>
        <w:top w:val="none" w:sz="0" w:space="0" w:color="auto"/>
        <w:left w:val="none" w:sz="0" w:space="0" w:color="auto"/>
        <w:bottom w:val="none" w:sz="0" w:space="0" w:color="auto"/>
        <w:right w:val="none" w:sz="0" w:space="0" w:color="auto"/>
      </w:divBdr>
    </w:div>
    <w:div w:id="2008903370">
      <w:bodyDiv w:val="1"/>
      <w:marLeft w:val="0"/>
      <w:marRight w:val="0"/>
      <w:marTop w:val="0"/>
      <w:marBottom w:val="0"/>
      <w:divBdr>
        <w:top w:val="none" w:sz="0" w:space="0" w:color="auto"/>
        <w:left w:val="none" w:sz="0" w:space="0" w:color="auto"/>
        <w:bottom w:val="none" w:sz="0" w:space="0" w:color="auto"/>
        <w:right w:val="none" w:sz="0" w:space="0" w:color="auto"/>
      </w:divBdr>
    </w:div>
    <w:div w:id="210595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A17FD-66EA-4534-8C3D-AD84B7322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SPC Hum</Template>
  <TotalTime>0</TotalTime>
  <Pages>13</Pages>
  <Words>4004</Words>
  <Characters>27041</Characters>
  <Application>Microsoft Office Word</Application>
  <DocSecurity>0</DocSecurity>
  <Lines>225</Lines>
  <Paragraphs>61</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Naja Støckel Jessen</dc:creator>
  <cp:keywords/>
  <dc:description>2022020362 spc. pkt. 6,3 fra 2 til 3 år i HDPE flasker</dc:description>
  <cp:lastModifiedBy>Naja Støckel Jessen</cp:lastModifiedBy>
  <cp:revision>2</cp:revision>
  <cp:lastPrinted>2012-08-22T08:53:00Z</cp:lastPrinted>
  <dcterms:created xsi:type="dcterms:W3CDTF">2022-06-23T10:26:00Z</dcterms:created>
  <dcterms:modified xsi:type="dcterms:W3CDTF">2022-06-23T10:26:00Z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