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345" w:rsidRDefault="00DF5345" w:rsidP="00DF5345">
      <w:pPr>
        <w:rPr>
          <w:b/>
          <w:noProof/>
          <w:sz w:val="24"/>
          <w:szCs w:val="24"/>
          <w:lang w:eastAsia="da-DK"/>
        </w:rPr>
      </w:pPr>
      <w:bookmarkStart w:id="0" w:name="_GoBack"/>
      <w:bookmarkEnd w:id="0"/>
      <w:r>
        <w:rPr>
          <w:b/>
          <w:noProof/>
          <w:sz w:val="24"/>
          <w:szCs w:val="24"/>
          <w:lang w:eastAsia="da-DK"/>
        </w:rPr>
        <w:drawing>
          <wp:inline distT="0" distB="0" distL="0" distR="0" wp14:anchorId="0D65988C" wp14:editId="0D99E3B7">
            <wp:extent cx="2463800" cy="692150"/>
            <wp:effectExtent l="0" t="0" r="0"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0" cy="692150"/>
                    </a:xfrm>
                    <a:prstGeom prst="rect">
                      <a:avLst/>
                    </a:prstGeom>
                    <a:noFill/>
                    <a:ln>
                      <a:noFill/>
                    </a:ln>
                  </pic:spPr>
                </pic:pic>
              </a:graphicData>
            </a:graphic>
          </wp:inline>
        </w:drawing>
      </w:r>
    </w:p>
    <w:p w:rsidR="00B9290A" w:rsidRDefault="00B9290A" w:rsidP="00DF5345">
      <w:pPr>
        <w:pStyle w:val="Titel"/>
        <w:ind w:left="6520" w:firstLine="851"/>
        <w:jc w:val="right"/>
        <w:rPr>
          <w:noProof/>
          <w:szCs w:val="24"/>
        </w:rPr>
      </w:pPr>
    </w:p>
    <w:p w:rsidR="00DF5345" w:rsidRDefault="009E02EA" w:rsidP="00DF5345">
      <w:pPr>
        <w:pStyle w:val="Titel"/>
        <w:ind w:left="6520" w:firstLine="851"/>
        <w:jc w:val="right"/>
        <w:rPr>
          <w:b w:val="0"/>
        </w:rPr>
      </w:pPr>
      <w:r>
        <w:rPr>
          <w:noProof/>
          <w:szCs w:val="24"/>
        </w:rPr>
        <w:t>5</w:t>
      </w:r>
      <w:r w:rsidR="00A0778C">
        <w:rPr>
          <w:noProof/>
          <w:szCs w:val="24"/>
        </w:rPr>
        <w:t xml:space="preserve">. </w:t>
      </w:r>
      <w:r>
        <w:rPr>
          <w:noProof/>
          <w:szCs w:val="24"/>
        </w:rPr>
        <w:t>marts</w:t>
      </w:r>
      <w:r w:rsidR="001574A6">
        <w:rPr>
          <w:noProof/>
          <w:szCs w:val="24"/>
        </w:rPr>
        <w:t xml:space="preserve"> 202</w:t>
      </w:r>
      <w:r>
        <w:rPr>
          <w:noProof/>
          <w:szCs w:val="24"/>
        </w:rPr>
        <w:t>4</w:t>
      </w:r>
    </w:p>
    <w:p w:rsidR="00DF5345" w:rsidRDefault="00DF5345" w:rsidP="002E1CFC">
      <w:pPr>
        <w:rPr>
          <w:b/>
          <w:sz w:val="24"/>
          <w:szCs w:val="24"/>
        </w:rPr>
      </w:pPr>
    </w:p>
    <w:p w:rsidR="00DF5345" w:rsidRDefault="00DF5345" w:rsidP="00DF5345">
      <w:pPr>
        <w:jc w:val="center"/>
        <w:rPr>
          <w:b/>
          <w:sz w:val="24"/>
          <w:szCs w:val="24"/>
        </w:rPr>
      </w:pPr>
    </w:p>
    <w:p w:rsidR="00DF5345" w:rsidRPr="00EC0B9B" w:rsidRDefault="00DF5345" w:rsidP="00DF5345">
      <w:pPr>
        <w:jc w:val="center"/>
        <w:rPr>
          <w:b/>
          <w:sz w:val="24"/>
          <w:szCs w:val="24"/>
        </w:rPr>
      </w:pPr>
      <w:r w:rsidRPr="00EC0B9B">
        <w:rPr>
          <w:b/>
          <w:sz w:val="24"/>
          <w:szCs w:val="24"/>
        </w:rPr>
        <w:t>PRODUKTRESUMÉ</w:t>
      </w:r>
    </w:p>
    <w:p w:rsidR="00DF5345" w:rsidRPr="00EC0B9B" w:rsidRDefault="00DF5345" w:rsidP="00DF5345">
      <w:pPr>
        <w:jc w:val="center"/>
        <w:rPr>
          <w:b/>
          <w:sz w:val="24"/>
          <w:szCs w:val="24"/>
        </w:rPr>
      </w:pPr>
    </w:p>
    <w:p w:rsidR="00DF5345" w:rsidRPr="00EC0B9B" w:rsidRDefault="00DF5345" w:rsidP="00DF5345">
      <w:pPr>
        <w:jc w:val="center"/>
        <w:rPr>
          <w:b/>
          <w:sz w:val="24"/>
          <w:szCs w:val="24"/>
        </w:rPr>
      </w:pPr>
      <w:r w:rsidRPr="00EC0B9B">
        <w:rPr>
          <w:b/>
          <w:sz w:val="24"/>
          <w:szCs w:val="24"/>
        </w:rPr>
        <w:t>for</w:t>
      </w:r>
    </w:p>
    <w:p w:rsidR="00DF5345" w:rsidRPr="00EC0B9B" w:rsidRDefault="00DF5345" w:rsidP="00DF5345">
      <w:pPr>
        <w:jc w:val="center"/>
        <w:rPr>
          <w:b/>
          <w:sz w:val="24"/>
          <w:szCs w:val="24"/>
        </w:rPr>
      </w:pPr>
    </w:p>
    <w:p w:rsidR="00DF5345" w:rsidRPr="0049104B" w:rsidRDefault="00A0778C" w:rsidP="00DF5345">
      <w:pPr>
        <w:jc w:val="center"/>
        <w:rPr>
          <w:b/>
          <w:sz w:val="24"/>
          <w:szCs w:val="24"/>
        </w:rPr>
      </w:pPr>
      <w:proofErr w:type="spellStart"/>
      <w:r>
        <w:rPr>
          <w:b/>
          <w:sz w:val="24"/>
          <w:szCs w:val="24"/>
        </w:rPr>
        <w:t>Mirtazapin</w:t>
      </w:r>
      <w:proofErr w:type="spellEnd"/>
      <w:r w:rsidR="002E190A">
        <w:rPr>
          <w:b/>
          <w:sz w:val="24"/>
          <w:szCs w:val="24"/>
        </w:rPr>
        <w:t xml:space="preserve"> ”</w:t>
      </w:r>
      <w:proofErr w:type="spellStart"/>
      <w:r w:rsidR="002E190A">
        <w:rPr>
          <w:b/>
          <w:sz w:val="24"/>
          <w:szCs w:val="24"/>
        </w:rPr>
        <w:t>Paranova</w:t>
      </w:r>
      <w:proofErr w:type="spellEnd"/>
      <w:r w:rsidR="002E190A">
        <w:rPr>
          <w:b/>
          <w:sz w:val="24"/>
          <w:szCs w:val="24"/>
        </w:rPr>
        <w:t>”</w:t>
      </w:r>
      <w:r w:rsidR="00DF5345">
        <w:rPr>
          <w:b/>
          <w:sz w:val="24"/>
          <w:szCs w:val="24"/>
        </w:rPr>
        <w:t>, smeltetabletter</w:t>
      </w:r>
      <w:r w:rsidR="002E190A">
        <w:rPr>
          <w:b/>
          <w:sz w:val="24"/>
          <w:szCs w:val="24"/>
        </w:rPr>
        <w:t xml:space="preserve"> (</w:t>
      </w:r>
      <w:proofErr w:type="spellStart"/>
      <w:r w:rsidR="002E190A">
        <w:rPr>
          <w:b/>
          <w:sz w:val="24"/>
          <w:szCs w:val="24"/>
        </w:rPr>
        <w:t>Paranova</w:t>
      </w:r>
      <w:proofErr w:type="spellEnd"/>
      <w:r w:rsidR="002E190A">
        <w:rPr>
          <w:b/>
          <w:sz w:val="24"/>
          <w:szCs w:val="24"/>
        </w:rPr>
        <w:t>)</w:t>
      </w:r>
    </w:p>
    <w:p w:rsidR="00DF5345" w:rsidRPr="00EC0B9B" w:rsidRDefault="00DF5345" w:rsidP="00DF5345">
      <w:pPr>
        <w:jc w:val="both"/>
        <w:rPr>
          <w:sz w:val="24"/>
          <w:szCs w:val="24"/>
        </w:rPr>
      </w:pPr>
    </w:p>
    <w:p w:rsidR="00DF5345" w:rsidRPr="001B3F3A" w:rsidRDefault="00DF5345" w:rsidP="00DF5345">
      <w:pPr>
        <w:ind w:left="851" w:hanging="851"/>
        <w:jc w:val="both"/>
        <w:rPr>
          <w:sz w:val="24"/>
          <w:szCs w:val="24"/>
        </w:rPr>
      </w:pPr>
    </w:p>
    <w:p w:rsidR="00DF5345" w:rsidRPr="001B3F3A" w:rsidRDefault="00DF5345" w:rsidP="00DF5345">
      <w:pPr>
        <w:numPr>
          <w:ilvl w:val="0"/>
          <w:numId w:val="1"/>
        </w:numPr>
        <w:tabs>
          <w:tab w:val="clear" w:pos="855"/>
        </w:tabs>
        <w:ind w:left="851" w:hanging="851"/>
        <w:rPr>
          <w:b/>
          <w:sz w:val="24"/>
          <w:szCs w:val="24"/>
        </w:rPr>
      </w:pPr>
      <w:r w:rsidRPr="001B3F3A">
        <w:rPr>
          <w:b/>
          <w:sz w:val="24"/>
          <w:szCs w:val="24"/>
        </w:rPr>
        <w:t>D.SP.NR.</w:t>
      </w:r>
    </w:p>
    <w:p w:rsidR="00DF5345" w:rsidRPr="001B3F3A" w:rsidRDefault="00DF5345" w:rsidP="00DF5345">
      <w:pPr>
        <w:ind w:left="851" w:hanging="851"/>
        <w:rPr>
          <w:sz w:val="24"/>
          <w:szCs w:val="24"/>
        </w:rPr>
      </w:pPr>
      <w:r w:rsidRPr="001B3F3A">
        <w:rPr>
          <w:sz w:val="24"/>
          <w:szCs w:val="24"/>
        </w:rPr>
        <w:tab/>
        <w:t>25438</w:t>
      </w:r>
    </w:p>
    <w:p w:rsidR="00DF5345" w:rsidRPr="001B3F3A" w:rsidRDefault="00DF5345" w:rsidP="00DF5345">
      <w:pPr>
        <w:ind w:left="851" w:hanging="851"/>
        <w:rPr>
          <w:sz w:val="24"/>
          <w:szCs w:val="24"/>
        </w:rPr>
      </w:pPr>
    </w:p>
    <w:p w:rsidR="00DF5345" w:rsidRPr="001B3F3A" w:rsidRDefault="00DF5345" w:rsidP="00DF5345">
      <w:pPr>
        <w:numPr>
          <w:ilvl w:val="0"/>
          <w:numId w:val="1"/>
        </w:numPr>
        <w:tabs>
          <w:tab w:val="clear" w:pos="855"/>
        </w:tabs>
        <w:ind w:left="851" w:hanging="851"/>
        <w:rPr>
          <w:b/>
          <w:sz w:val="24"/>
          <w:szCs w:val="24"/>
        </w:rPr>
      </w:pPr>
      <w:r w:rsidRPr="001B3F3A">
        <w:rPr>
          <w:b/>
          <w:sz w:val="24"/>
          <w:szCs w:val="24"/>
        </w:rPr>
        <w:t>LÆGEMIDLETS NAVN</w:t>
      </w:r>
    </w:p>
    <w:p w:rsidR="00DF5345" w:rsidRPr="001B3F3A" w:rsidRDefault="00DF5345" w:rsidP="002E190A">
      <w:pPr>
        <w:ind w:left="851" w:hanging="851"/>
        <w:rPr>
          <w:sz w:val="24"/>
          <w:szCs w:val="24"/>
        </w:rPr>
      </w:pPr>
      <w:r w:rsidRPr="001B3F3A">
        <w:rPr>
          <w:sz w:val="24"/>
          <w:szCs w:val="24"/>
        </w:rPr>
        <w:tab/>
      </w:r>
      <w:proofErr w:type="spellStart"/>
      <w:r w:rsidR="00A0778C">
        <w:rPr>
          <w:sz w:val="24"/>
          <w:szCs w:val="24"/>
        </w:rPr>
        <w:t>Mirtazapin</w:t>
      </w:r>
      <w:proofErr w:type="spellEnd"/>
      <w:r w:rsidR="002E190A">
        <w:rPr>
          <w:sz w:val="24"/>
          <w:szCs w:val="24"/>
        </w:rPr>
        <w:t xml:space="preserve"> ”</w:t>
      </w:r>
      <w:proofErr w:type="spellStart"/>
      <w:r w:rsidR="002E190A">
        <w:rPr>
          <w:sz w:val="24"/>
          <w:szCs w:val="24"/>
        </w:rPr>
        <w:t>Paranova</w:t>
      </w:r>
      <w:proofErr w:type="spellEnd"/>
      <w:r w:rsidR="002E190A">
        <w:rPr>
          <w:sz w:val="24"/>
          <w:szCs w:val="24"/>
        </w:rPr>
        <w:t>”</w:t>
      </w:r>
      <w:r w:rsidRPr="00143EC5">
        <w:rPr>
          <w:sz w:val="24"/>
          <w:szCs w:val="24"/>
        </w:rPr>
        <w:t xml:space="preserve"> </w:t>
      </w:r>
    </w:p>
    <w:p w:rsidR="00DF5345" w:rsidRPr="001B3F3A" w:rsidRDefault="00DF5345" w:rsidP="00DF5345">
      <w:pPr>
        <w:ind w:left="851" w:hanging="851"/>
        <w:rPr>
          <w:sz w:val="24"/>
          <w:szCs w:val="24"/>
        </w:rPr>
      </w:pPr>
      <w:r w:rsidRPr="001B3F3A">
        <w:rPr>
          <w:sz w:val="24"/>
          <w:szCs w:val="24"/>
        </w:rPr>
        <w:tab/>
      </w:r>
    </w:p>
    <w:p w:rsidR="00DF5345" w:rsidRPr="001B3F3A" w:rsidRDefault="00DF5345" w:rsidP="00DF5345">
      <w:pPr>
        <w:numPr>
          <w:ilvl w:val="0"/>
          <w:numId w:val="1"/>
        </w:numPr>
        <w:tabs>
          <w:tab w:val="clear" w:pos="855"/>
        </w:tabs>
        <w:ind w:left="851" w:hanging="851"/>
        <w:rPr>
          <w:b/>
          <w:sz w:val="24"/>
          <w:szCs w:val="24"/>
        </w:rPr>
      </w:pPr>
      <w:r w:rsidRPr="001B3F3A">
        <w:rPr>
          <w:b/>
          <w:sz w:val="24"/>
          <w:szCs w:val="24"/>
        </w:rPr>
        <w:t>KVALITATIV OG KVANTITATIV SAMMENSÆTNING</w:t>
      </w:r>
    </w:p>
    <w:p w:rsidR="00DF5345" w:rsidRPr="001B3F3A" w:rsidRDefault="00DF5345" w:rsidP="00DF5345">
      <w:pPr>
        <w:suppressAutoHyphens/>
        <w:ind w:left="851"/>
        <w:rPr>
          <w:sz w:val="24"/>
          <w:szCs w:val="24"/>
        </w:rPr>
      </w:pPr>
      <w:r w:rsidRPr="001B3F3A">
        <w:rPr>
          <w:sz w:val="24"/>
          <w:szCs w:val="24"/>
        </w:rPr>
        <w:t xml:space="preserve">Hver smeltetablet indeholder 15 mg </w:t>
      </w:r>
      <w:proofErr w:type="spellStart"/>
      <w:r w:rsidRPr="001B3F3A">
        <w:rPr>
          <w:sz w:val="24"/>
          <w:szCs w:val="24"/>
        </w:rPr>
        <w:t>mirtazapin</w:t>
      </w:r>
      <w:proofErr w:type="spellEnd"/>
      <w:r w:rsidRPr="001B3F3A">
        <w:rPr>
          <w:sz w:val="24"/>
          <w:szCs w:val="24"/>
        </w:rPr>
        <w:t>.</w:t>
      </w:r>
    </w:p>
    <w:p w:rsidR="00DF5345" w:rsidRPr="001B3F3A" w:rsidRDefault="00DF5345" w:rsidP="00DF5345">
      <w:pPr>
        <w:pStyle w:val="EMEAEnBodyText"/>
        <w:autoSpaceDE w:val="0"/>
        <w:autoSpaceDN w:val="0"/>
        <w:adjustRightInd w:val="0"/>
        <w:spacing w:before="0"/>
        <w:ind w:left="851" w:hanging="851"/>
        <w:rPr>
          <w:sz w:val="24"/>
          <w:szCs w:val="24"/>
          <w:lang w:val="da-DK"/>
        </w:rPr>
      </w:pPr>
    </w:p>
    <w:p w:rsidR="00DF5345" w:rsidRPr="00143EC5" w:rsidRDefault="00DF5345" w:rsidP="00DF5345">
      <w:pPr>
        <w:spacing w:line="260" w:lineRule="exact"/>
        <w:ind w:left="851"/>
        <w:rPr>
          <w:sz w:val="24"/>
          <w:szCs w:val="24"/>
        </w:rPr>
      </w:pPr>
      <w:r w:rsidRPr="00143EC5">
        <w:rPr>
          <w:sz w:val="24"/>
          <w:szCs w:val="24"/>
        </w:rPr>
        <w:t>Hjælpestoffer, som behandleren skal være opmærksom på:</w:t>
      </w:r>
    </w:p>
    <w:p w:rsidR="00DF5345" w:rsidRDefault="00DF5345" w:rsidP="00DF5345">
      <w:pPr>
        <w:spacing w:line="260" w:lineRule="exact"/>
        <w:ind w:left="851" w:hanging="851"/>
        <w:rPr>
          <w:sz w:val="24"/>
          <w:szCs w:val="24"/>
        </w:rPr>
      </w:pPr>
    </w:p>
    <w:p w:rsidR="00DF5345" w:rsidRPr="00143EC5" w:rsidRDefault="00DF5345" w:rsidP="00DF5345">
      <w:pPr>
        <w:spacing w:line="260" w:lineRule="exact"/>
        <w:ind w:left="1702" w:hanging="851"/>
        <w:rPr>
          <w:sz w:val="24"/>
          <w:szCs w:val="24"/>
        </w:rPr>
      </w:pPr>
      <w:r w:rsidRPr="00143EC5">
        <w:rPr>
          <w:sz w:val="24"/>
          <w:szCs w:val="24"/>
        </w:rPr>
        <w:t xml:space="preserve">En smeltetablet indeholder 35,62 mg </w:t>
      </w:r>
      <w:proofErr w:type="spellStart"/>
      <w:r w:rsidRPr="00143EC5">
        <w:rPr>
          <w:sz w:val="24"/>
          <w:szCs w:val="24"/>
        </w:rPr>
        <w:t>lactose</w:t>
      </w:r>
      <w:proofErr w:type="spellEnd"/>
      <w:r w:rsidRPr="00143EC5">
        <w:rPr>
          <w:sz w:val="24"/>
          <w:szCs w:val="24"/>
        </w:rPr>
        <w:t xml:space="preserve">, 4,9 - 13,8 mg sorbitol og 1,6 mg </w:t>
      </w:r>
      <w:proofErr w:type="spellStart"/>
      <w:r w:rsidRPr="00143EC5">
        <w:rPr>
          <w:sz w:val="24"/>
          <w:szCs w:val="24"/>
        </w:rPr>
        <w:t>aspartam</w:t>
      </w:r>
      <w:proofErr w:type="spellEnd"/>
      <w:r w:rsidRPr="00143EC5">
        <w:rPr>
          <w:sz w:val="24"/>
          <w:szCs w:val="24"/>
        </w:rPr>
        <w:t>.</w:t>
      </w:r>
    </w:p>
    <w:p w:rsidR="00DF5345" w:rsidRPr="00143EC5" w:rsidRDefault="00DF5345" w:rsidP="00DF5345">
      <w:pPr>
        <w:spacing w:line="260" w:lineRule="exact"/>
        <w:ind w:left="1702" w:hanging="851"/>
        <w:rPr>
          <w:sz w:val="24"/>
          <w:szCs w:val="24"/>
        </w:rPr>
      </w:pPr>
    </w:p>
    <w:p w:rsidR="00DF5345" w:rsidRPr="001B3F3A" w:rsidRDefault="00DF5345" w:rsidP="00DF5345">
      <w:pPr>
        <w:spacing w:line="260" w:lineRule="exact"/>
        <w:ind w:left="851"/>
        <w:rPr>
          <w:sz w:val="24"/>
          <w:szCs w:val="24"/>
        </w:rPr>
      </w:pPr>
      <w:r w:rsidRPr="001B3F3A">
        <w:rPr>
          <w:sz w:val="24"/>
          <w:szCs w:val="24"/>
        </w:rPr>
        <w:t>Alle hjælpestoffer er anført under pkt. 6.1.</w:t>
      </w:r>
    </w:p>
    <w:p w:rsidR="00DF5345" w:rsidRPr="001B3F3A" w:rsidRDefault="00DF5345" w:rsidP="00DF5345">
      <w:pPr>
        <w:ind w:left="851" w:hanging="851"/>
        <w:rPr>
          <w:sz w:val="24"/>
          <w:szCs w:val="24"/>
        </w:rPr>
      </w:pPr>
    </w:p>
    <w:p w:rsidR="00DF5345" w:rsidRPr="001B3F3A" w:rsidRDefault="00DF5345" w:rsidP="00DF5345">
      <w:pPr>
        <w:numPr>
          <w:ilvl w:val="0"/>
          <w:numId w:val="1"/>
        </w:numPr>
        <w:tabs>
          <w:tab w:val="clear" w:pos="855"/>
        </w:tabs>
        <w:ind w:left="851" w:hanging="851"/>
        <w:rPr>
          <w:b/>
          <w:sz w:val="24"/>
          <w:szCs w:val="24"/>
        </w:rPr>
      </w:pPr>
      <w:r w:rsidRPr="001B3F3A">
        <w:rPr>
          <w:b/>
          <w:sz w:val="24"/>
          <w:szCs w:val="24"/>
        </w:rPr>
        <w:t>LÆGEMIDDELFORM</w:t>
      </w:r>
    </w:p>
    <w:p w:rsidR="00DF5345" w:rsidRDefault="00DF5345" w:rsidP="002E190A">
      <w:pPr>
        <w:suppressAutoHyphens/>
        <w:ind w:left="851"/>
        <w:rPr>
          <w:spacing w:val="-3"/>
          <w:sz w:val="24"/>
          <w:szCs w:val="24"/>
        </w:rPr>
      </w:pPr>
      <w:r w:rsidRPr="001B3F3A">
        <w:rPr>
          <w:spacing w:val="-3"/>
          <w:sz w:val="24"/>
          <w:szCs w:val="24"/>
        </w:rPr>
        <w:t>Smeltetabletter</w:t>
      </w:r>
      <w:r w:rsidR="002E190A">
        <w:rPr>
          <w:spacing w:val="-3"/>
          <w:sz w:val="24"/>
          <w:szCs w:val="24"/>
        </w:rPr>
        <w:t xml:space="preserve"> (Paranova)</w:t>
      </w:r>
      <w:r w:rsidRPr="001B3F3A">
        <w:rPr>
          <w:spacing w:val="-3"/>
          <w:sz w:val="24"/>
          <w:szCs w:val="24"/>
        </w:rPr>
        <w:t>.</w:t>
      </w:r>
    </w:p>
    <w:p w:rsidR="00DF5345" w:rsidRDefault="00DF5345" w:rsidP="00DF5345">
      <w:pPr>
        <w:suppressAutoHyphens/>
        <w:ind w:left="851" w:hanging="851"/>
        <w:rPr>
          <w:spacing w:val="-3"/>
          <w:sz w:val="24"/>
          <w:szCs w:val="24"/>
        </w:rPr>
      </w:pPr>
    </w:p>
    <w:p w:rsidR="00DF5345" w:rsidRPr="001B3F3A" w:rsidRDefault="00DF5345" w:rsidP="00DF5345">
      <w:pPr>
        <w:ind w:left="851" w:hanging="851"/>
        <w:rPr>
          <w:sz w:val="24"/>
          <w:szCs w:val="24"/>
        </w:rPr>
      </w:pPr>
    </w:p>
    <w:p w:rsidR="00DF5345" w:rsidRPr="001B3F3A" w:rsidRDefault="00DF5345" w:rsidP="00DF5345">
      <w:pPr>
        <w:numPr>
          <w:ilvl w:val="0"/>
          <w:numId w:val="1"/>
        </w:numPr>
        <w:tabs>
          <w:tab w:val="clear" w:pos="855"/>
        </w:tabs>
        <w:ind w:left="851" w:hanging="851"/>
        <w:rPr>
          <w:b/>
          <w:sz w:val="24"/>
          <w:szCs w:val="24"/>
        </w:rPr>
      </w:pPr>
      <w:r w:rsidRPr="001B3F3A">
        <w:rPr>
          <w:b/>
          <w:sz w:val="24"/>
          <w:szCs w:val="24"/>
        </w:rPr>
        <w:t>KLINISKE OPLYSNINGER</w:t>
      </w:r>
    </w:p>
    <w:p w:rsidR="00DF5345" w:rsidRPr="001B3F3A" w:rsidRDefault="00DF5345" w:rsidP="00DF5345">
      <w:pPr>
        <w:ind w:left="851" w:hanging="851"/>
        <w:rPr>
          <w:b/>
          <w:sz w:val="24"/>
          <w:szCs w:val="24"/>
        </w:rPr>
      </w:pPr>
    </w:p>
    <w:p w:rsidR="00DF5345" w:rsidRPr="001B3F3A" w:rsidRDefault="00DF5345" w:rsidP="00DF5345">
      <w:pPr>
        <w:numPr>
          <w:ilvl w:val="1"/>
          <w:numId w:val="1"/>
        </w:numPr>
        <w:tabs>
          <w:tab w:val="clear" w:pos="855"/>
        </w:tabs>
        <w:ind w:left="851" w:hanging="851"/>
        <w:rPr>
          <w:b/>
          <w:sz w:val="24"/>
          <w:szCs w:val="24"/>
          <w:u w:val="single"/>
        </w:rPr>
      </w:pPr>
      <w:r w:rsidRPr="001B3F3A">
        <w:rPr>
          <w:b/>
          <w:sz w:val="24"/>
          <w:szCs w:val="24"/>
        </w:rPr>
        <w:t>Terapeutiske indikationer</w:t>
      </w:r>
    </w:p>
    <w:p w:rsidR="00DF5345" w:rsidRDefault="00A0778C" w:rsidP="00DF5345">
      <w:pPr>
        <w:ind w:left="851"/>
        <w:rPr>
          <w:sz w:val="24"/>
          <w:szCs w:val="24"/>
        </w:rPr>
      </w:pPr>
      <w:proofErr w:type="spellStart"/>
      <w:r>
        <w:rPr>
          <w:sz w:val="24"/>
          <w:szCs w:val="24"/>
        </w:rPr>
        <w:t>Mirtazapin</w:t>
      </w:r>
      <w:proofErr w:type="spellEnd"/>
      <w:r w:rsidR="002E190A">
        <w:rPr>
          <w:sz w:val="24"/>
          <w:szCs w:val="24"/>
        </w:rPr>
        <w:t xml:space="preserve"> ”</w:t>
      </w:r>
      <w:proofErr w:type="spellStart"/>
      <w:r w:rsidR="002E190A">
        <w:rPr>
          <w:sz w:val="24"/>
          <w:szCs w:val="24"/>
        </w:rPr>
        <w:t>Paranova</w:t>
      </w:r>
      <w:proofErr w:type="spellEnd"/>
      <w:r w:rsidR="002E190A">
        <w:rPr>
          <w:sz w:val="24"/>
          <w:szCs w:val="24"/>
        </w:rPr>
        <w:t>”</w:t>
      </w:r>
      <w:r w:rsidR="00DF5345">
        <w:rPr>
          <w:sz w:val="24"/>
          <w:szCs w:val="24"/>
        </w:rPr>
        <w:t xml:space="preserve"> er indiceret til voksne til b</w:t>
      </w:r>
      <w:r w:rsidR="00DF5345" w:rsidRPr="00252A39">
        <w:rPr>
          <w:sz w:val="24"/>
          <w:szCs w:val="24"/>
        </w:rPr>
        <w:t>ehandling af major depressive episoder.</w:t>
      </w:r>
    </w:p>
    <w:p w:rsidR="00DF5345" w:rsidRDefault="00DF5345" w:rsidP="00DF5345">
      <w:pPr>
        <w:ind w:left="851" w:hanging="851"/>
        <w:rPr>
          <w:sz w:val="24"/>
          <w:szCs w:val="24"/>
        </w:rPr>
      </w:pPr>
    </w:p>
    <w:p w:rsidR="00DF5345" w:rsidRDefault="00DF5345" w:rsidP="00DF5345">
      <w:pPr>
        <w:numPr>
          <w:ilvl w:val="1"/>
          <w:numId w:val="1"/>
        </w:numPr>
        <w:rPr>
          <w:b/>
          <w:sz w:val="24"/>
          <w:szCs w:val="24"/>
        </w:rPr>
      </w:pPr>
      <w:r w:rsidRPr="00252A39">
        <w:rPr>
          <w:b/>
          <w:sz w:val="24"/>
          <w:szCs w:val="24"/>
        </w:rPr>
        <w:t xml:space="preserve">Dosering og </w:t>
      </w:r>
      <w:r w:rsidR="009E02EA">
        <w:rPr>
          <w:b/>
          <w:sz w:val="24"/>
          <w:szCs w:val="24"/>
        </w:rPr>
        <w:t>administration</w:t>
      </w:r>
    </w:p>
    <w:p w:rsidR="00DF5345" w:rsidRPr="00143EC5" w:rsidRDefault="00DF5345" w:rsidP="00DF5345">
      <w:pPr>
        <w:tabs>
          <w:tab w:val="left" w:pos="851"/>
        </w:tabs>
        <w:ind w:left="855"/>
        <w:rPr>
          <w:sz w:val="24"/>
          <w:szCs w:val="24"/>
          <w:u w:val="single"/>
        </w:rPr>
      </w:pPr>
      <w:r w:rsidRPr="00143EC5">
        <w:rPr>
          <w:sz w:val="24"/>
          <w:szCs w:val="24"/>
          <w:u w:val="single"/>
        </w:rPr>
        <w:t>Dosering</w:t>
      </w:r>
    </w:p>
    <w:p w:rsidR="00DF5345" w:rsidRPr="00252A39" w:rsidRDefault="00DF5345" w:rsidP="00DF5345">
      <w:pPr>
        <w:ind w:left="851" w:hanging="851"/>
        <w:rPr>
          <w:noProof/>
          <w:sz w:val="24"/>
          <w:szCs w:val="24"/>
        </w:rPr>
      </w:pPr>
      <w:r w:rsidRPr="00252A39">
        <w:rPr>
          <w:sz w:val="24"/>
          <w:szCs w:val="24"/>
        </w:rPr>
        <w:tab/>
      </w:r>
      <w:r w:rsidRPr="005F7B6E">
        <w:rPr>
          <w:noProof/>
          <w:sz w:val="24"/>
          <w:szCs w:val="24"/>
          <w:u w:val="single"/>
        </w:rPr>
        <w:t>Voksne</w:t>
      </w:r>
    </w:p>
    <w:p w:rsidR="00DF5345" w:rsidRPr="00252A39" w:rsidRDefault="00DF5345" w:rsidP="00DF5345">
      <w:pPr>
        <w:ind w:left="851"/>
        <w:rPr>
          <w:noProof/>
          <w:sz w:val="24"/>
          <w:szCs w:val="24"/>
        </w:rPr>
      </w:pPr>
      <w:r w:rsidRPr="00252A39">
        <w:rPr>
          <w:noProof/>
          <w:sz w:val="24"/>
          <w:szCs w:val="24"/>
        </w:rPr>
        <w:t>Den effektive daglige dosis er sædvanligvis mellem 15 og 45 mg. Startdosen er 15 til 30 mg.</w:t>
      </w:r>
      <w:r>
        <w:rPr>
          <w:noProof/>
          <w:sz w:val="24"/>
          <w:szCs w:val="24"/>
        </w:rPr>
        <w:t xml:space="preserve"> </w:t>
      </w:r>
      <w:r w:rsidRPr="00252A39">
        <w:rPr>
          <w:noProof/>
          <w:sz w:val="24"/>
          <w:szCs w:val="24"/>
        </w:rPr>
        <w:t>Mirtazapin begynder generelt at udøve dets virkning efter 1-2 ugers behandling. Behandling med en tilstrækkelig dosis bør resultere i et positivt respons inden for 2-4 uger. Med et utilstrækkeligt respons kan dosen forhøjes til maksimal dosering. Hvis der ikke er noget respons efter yderligere 2-4 uger, skal behandlingen stoppes.</w:t>
      </w:r>
    </w:p>
    <w:p w:rsidR="00DF5345" w:rsidRPr="00252A39" w:rsidRDefault="00DF5345" w:rsidP="00DF5345">
      <w:pPr>
        <w:ind w:left="851" w:hanging="851"/>
        <w:rPr>
          <w:noProof/>
          <w:sz w:val="24"/>
          <w:szCs w:val="24"/>
        </w:rPr>
      </w:pPr>
    </w:p>
    <w:p w:rsidR="00DF5345" w:rsidRPr="00143EC5" w:rsidRDefault="00DF5345" w:rsidP="00DF5345">
      <w:pPr>
        <w:ind w:left="851"/>
        <w:rPr>
          <w:noProof/>
          <w:sz w:val="24"/>
          <w:szCs w:val="24"/>
        </w:rPr>
      </w:pPr>
      <w:r w:rsidRPr="00143EC5">
        <w:rPr>
          <w:noProof/>
          <w:sz w:val="24"/>
          <w:szCs w:val="24"/>
        </w:rPr>
        <w:t xml:space="preserve">Patienter med despression bør behandles over en tilstrœkkelig lang periode på mindst 6 måneder, for at sikre at de er symptomfri. </w:t>
      </w:r>
    </w:p>
    <w:p w:rsidR="00DF5345" w:rsidRPr="00143EC5" w:rsidRDefault="00DF5345" w:rsidP="00DF5345">
      <w:pPr>
        <w:ind w:left="851"/>
        <w:rPr>
          <w:sz w:val="24"/>
          <w:szCs w:val="24"/>
        </w:rPr>
      </w:pPr>
      <w:r w:rsidRPr="00143EC5">
        <w:rPr>
          <w:sz w:val="24"/>
          <w:szCs w:val="24"/>
        </w:rPr>
        <w:lastRenderedPageBreak/>
        <w:t xml:space="preserve">Det anbefales at stoppe behandlingen med </w:t>
      </w:r>
      <w:proofErr w:type="spellStart"/>
      <w:r w:rsidRPr="00143EC5">
        <w:rPr>
          <w:sz w:val="24"/>
          <w:szCs w:val="24"/>
        </w:rPr>
        <w:t>mirtazapin</w:t>
      </w:r>
      <w:proofErr w:type="spellEnd"/>
      <w:r w:rsidRPr="00143EC5">
        <w:rPr>
          <w:sz w:val="24"/>
          <w:szCs w:val="24"/>
        </w:rPr>
        <w:t xml:space="preserve"> gradvist for at undgå abstinenssymptomer (se pkt. 4.4).</w:t>
      </w:r>
    </w:p>
    <w:p w:rsidR="00DF5345" w:rsidRPr="00143EC5" w:rsidRDefault="00DF5345" w:rsidP="00DF5345">
      <w:pPr>
        <w:ind w:left="851" w:hanging="851"/>
        <w:rPr>
          <w:noProof/>
          <w:sz w:val="24"/>
          <w:szCs w:val="24"/>
        </w:rPr>
      </w:pPr>
      <w:r w:rsidRPr="00143EC5">
        <w:rPr>
          <w:noProof/>
          <w:sz w:val="24"/>
          <w:szCs w:val="24"/>
        </w:rPr>
        <w:t xml:space="preserve"> </w:t>
      </w:r>
    </w:p>
    <w:p w:rsidR="00DF5345" w:rsidRPr="00143EC5" w:rsidRDefault="00DF5345" w:rsidP="00DF5345">
      <w:pPr>
        <w:ind w:left="851"/>
        <w:rPr>
          <w:noProof/>
          <w:sz w:val="24"/>
          <w:szCs w:val="24"/>
        </w:rPr>
      </w:pPr>
      <w:r w:rsidRPr="00143EC5">
        <w:rPr>
          <w:noProof/>
          <w:sz w:val="24"/>
          <w:szCs w:val="24"/>
          <w:u w:val="single"/>
        </w:rPr>
        <w:t>Ældre</w:t>
      </w:r>
    </w:p>
    <w:p w:rsidR="00DF5345" w:rsidRPr="00143EC5" w:rsidRDefault="00DF5345" w:rsidP="00DF5345">
      <w:pPr>
        <w:ind w:left="851"/>
        <w:rPr>
          <w:noProof/>
          <w:sz w:val="24"/>
          <w:szCs w:val="24"/>
        </w:rPr>
      </w:pPr>
      <w:r w:rsidRPr="00143EC5">
        <w:rPr>
          <w:noProof/>
          <w:sz w:val="24"/>
          <w:szCs w:val="24"/>
        </w:rPr>
        <w:t>Den anbefalede dosis er den samme som for voksne. Hos ældre patienter bør en forhøjelse af dosen foretages under nøje overvågning for at fremkalde et tilfredsstillende og sikkert respons.</w:t>
      </w:r>
    </w:p>
    <w:p w:rsidR="00DF5345" w:rsidRPr="00143EC5" w:rsidRDefault="00DF5345" w:rsidP="00DF5345">
      <w:pPr>
        <w:ind w:left="851" w:hanging="851"/>
        <w:rPr>
          <w:sz w:val="24"/>
          <w:szCs w:val="24"/>
        </w:rPr>
      </w:pPr>
    </w:p>
    <w:p w:rsidR="00DF5345" w:rsidRPr="00143EC5" w:rsidRDefault="00DF5345" w:rsidP="00DF5345">
      <w:pPr>
        <w:ind w:left="851"/>
        <w:rPr>
          <w:sz w:val="24"/>
          <w:szCs w:val="24"/>
          <w:u w:val="single"/>
        </w:rPr>
      </w:pPr>
      <w:r w:rsidRPr="00143EC5">
        <w:rPr>
          <w:sz w:val="24"/>
          <w:szCs w:val="24"/>
          <w:u w:val="single"/>
        </w:rPr>
        <w:t>Nyreinsufficiens</w:t>
      </w:r>
    </w:p>
    <w:p w:rsidR="00DF5345" w:rsidRPr="00143EC5" w:rsidRDefault="00DF5345" w:rsidP="00DF5345">
      <w:pPr>
        <w:ind w:left="851"/>
        <w:rPr>
          <w:sz w:val="24"/>
          <w:szCs w:val="24"/>
        </w:rPr>
      </w:pPr>
      <w:proofErr w:type="spellStart"/>
      <w:r w:rsidRPr="00143EC5">
        <w:rPr>
          <w:sz w:val="24"/>
          <w:szCs w:val="24"/>
        </w:rPr>
        <w:t>Mirtazapins</w:t>
      </w:r>
      <w:proofErr w:type="spellEnd"/>
      <w:r w:rsidRPr="00143EC5">
        <w:rPr>
          <w:sz w:val="24"/>
          <w:szCs w:val="24"/>
        </w:rPr>
        <w:t xml:space="preserve"> </w:t>
      </w:r>
      <w:proofErr w:type="spellStart"/>
      <w:r w:rsidRPr="00143EC5">
        <w:rPr>
          <w:sz w:val="24"/>
          <w:szCs w:val="24"/>
        </w:rPr>
        <w:t>clearance</w:t>
      </w:r>
      <w:proofErr w:type="spellEnd"/>
      <w:r w:rsidRPr="00143EC5">
        <w:rPr>
          <w:sz w:val="24"/>
          <w:szCs w:val="24"/>
        </w:rPr>
        <w:t xml:space="preserve"> kan være nedsat hos patienter med moderat til svær nyreinsufficiens (</w:t>
      </w:r>
      <w:proofErr w:type="spellStart"/>
      <w:r w:rsidRPr="00143EC5">
        <w:rPr>
          <w:sz w:val="24"/>
          <w:szCs w:val="24"/>
        </w:rPr>
        <w:t>kreatininclearance</w:t>
      </w:r>
      <w:proofErr w:type="spellEnd"/>
      <w:r w:rsidRPr="00143EC5">
        <w:rPr>
          <w:sz w:val="24"/>
          <w:szCs w:val="24"/>
        </w:rPr>
        <w:t xml:space="preserve"> &lt;40 ml/min). Dette bør tages i betragtning når </w:t>
      </w:r>
      <w:r w:rsidR="00A0778C">
        <w:rPr>
          <w:noProof/>
          <w:sz w:val="24"/>
          <w:szCs w:val="24"/>
        </w:rPr>
        <w:t>Mirtazapin</w:t>
      </w:r>
      <w:r w:rsidR="002E190A">
        <w:rPr>
          <w:noProof/>
          <w:sz w:val="24"/>
          <w:szCs w:val="24"/>
        </w:rPr>
        <w:t xml:space="preserve"> ”Paranova”</w:t>
      </w:r>
      <w:r w:rsidRPr="00143EC5">
        <w:rPr>
          <w:noProof/>
          <w:sz w:val="24"/>
          <w:szCs w:val="24"/>
        </w:rPr>
        <w:t xml:space="preserve"> </w:t>
      </w:r>
      <w:r w:rsidRPr="00143EC5">
        <w:rPr>
          <w:sz w:val="24"/>
          <w:szCs w:val="24"/>
          <w:lang w:eastAsia="fi-FI"/>
        </w:rPr>
        <w:t>ordineres til denne gruppe patienter</w:t>
      </w:r>
      <w:r w:rsidRPr="00143EC5">
        <w:rPr>
          <w:sz w:val="24"/>
          <w:szCs w:val="24"/>
        </w:rPr>
        <w:t xml:space="preserve"> (se pkt. 4.4).</w:t>
      </w:r>
    </w:p>
    <w:p w:rsidR="00DF5345" w:rsidRPr="00143EC5" w:rsidRDefault="00DF5345" w:rsidP="00DF5345">
      <w:pPr>
        <w:ind w:left="851" w:hanging="851"/>
        <w:rPr>
          <w:sz w:val="24"/>
          <w:szCs w:val="24"/>
        </w:rPr>
      </w:pPr>
    </w:p>
    <w:p w:rsidR="00DF5345" w:rsidRPr="00143EC5" w:rsidRDefault="00DF5345" w:rsidP="00DF5345">
      <w:pPr>
        <w:ind w:left="851"/>
        <w:rPr>
          <w:sz w:val="24"/>
          <w:szCs w:val="24"/>
          <w:u w:val="single"/>
        </w:rPr>
      </w:pPr>
      <w:r w:rsidRPr="00143EC5">
        <w:rPr>
          <w:sz w:val="24"/>
          <w:szCs w:val="24"/>
          <w:u w:val="single"/>
        </w:rPr>
        <w:t>Leverinsufficiens</w:t>
      </w:r>
    </w:p>
    <w:p w:rsidR="00DF5345" w:rsidRPr="00143EC5" w:rsidRDefault="00DF5345" w:rsidP="00DF5345">
      <w:pPr>
        <w:ind w:left="851"/>
        <w:rPr>
          <w:sz w:val="24"/>
          <w:szCs w:val="24"/>
          <w:lang w:eastAsia="fi-FI"/>
        </w:rPr>
      </w:pPr>
      <w:proofErr w:type="spellStart"/>
      <w:r w:rsidRPr="00143EC5">
        <w:rPr>
          <w:sz w:val="24"/>
          <w:szCs w:val="24"/>
        </w:rPr>
        <w:t>Mirtazapins</w:t>
      </w:r>
      <w:proofErr w:type="spellEnd"/>
      <w:r w:rsidRPr="00143EC5">
        <w:rPr>
          <w:sz w:val="24"/>
          <w:szCs w:val="24"/>
        </w:rPr>
        <w:t xml:space="preserve"> </w:t>
      </w:r>
      <w:proofErr w:type="spellStart"/>
      <w:r w:rsidRPr="00143EC5">
        <w:rPr>
          <w:sz w:val="24"/>
          <w:szCs w:val="24"/>
        </w:rPr>
        <w:t>clearance</w:t>
      </w:r>
      <w:proofErr w:type="spellEnd"/>
      <w:r w:rsidRPr="00143EC5">
        <w:rPr>
          <w:sz w:val="24"/>
          <w:szCs w:val="24"/>
        </w:rPr>
        <w:t xml:space="preserve"> kan være nedsat hos patienter med leverinsufficiens. Dette bør tages i betragtning når </w:t>
      </w:r>
      <w:r w:rsidR="00A0778C">
        <w:rPr>
          <w:noProof/>
          <w:sz w:val="24"/>
          <w:szCs w:val="24"/>
        </w:rPr>
        <w:t>Mirtazapin</w:t>
      </w:r>
      <w:r w:rsidR="002E190A">
        <w:rPr>
          <w:noProof/>
          <w:sz w:val="24"/>
          <w:szCs w:val="24"/>
        </w:rPr>
        <w:t xml:space="preserve"> ”Paranova”</w:t>
      </w:r>
      <w:r w:rsidRPr="00143EC5">
        <w:rPr>
          <w:noProof/>
          <w:sz w:val="24"/>
          <w:szCs w:val="24"/>
        </w:rPr>
        <w:t xml:space="preserve"> </w:t>
      </w:r>
      <w:r w:rsidRPr="00143EC5">
        <w:rPr>
          <w:sz w:val="24"/>
          <w:szCs w:val="24"/>
          <w:lang w:eastAsia="fi-FI"/>
        </w:rPr>
        <w:t>ordineres til denne gruppe patienter, især til patienter med svær leverinsufficiens, idet patienter med svær leverinsufficiens ikke er blevet undersøgt (se pkt. 4.4).</w:t>
      </w:r>
    </w:p>
    <w:p w:rsidR="00DF5345" w:rsidRPr="00143EC5" w:rsidRDefault="00DF5345" w:rsidP="00DF5345">
      <w:pPr>
        <w:ind w:left="851"/>
        <w:rPr>
          <w:sz w:val="24"/>
          <w:szCs w:val="24"/>
          <w:lang w:eastAsia="fi-FI"/>
        </w:rPr>
      </w:pPr>
    </w:p>
    <w:p w:rsidR="00DF5345" w:rsidRPr="00143EC5" w:rsidRDefault="00DF5345" w:rsidP="00DF5345">
      <w:pPr>
        <w:ind w:left="851"/>
        <w:rPr>
          <w:i/>
          <w:noProof/>
          <w:sz w:val="24"/>
          <w:szCs w:val="24"/>
          <w:u w:val="single"/>
        </w:rPr>
      </w:pPr>
      <w:r w:rsidRPr="00143EC5">
        <w:rPr>
          <w:i/>
          <w:noProof/>
          <w:sz w:val="24"/>
          <w:szCs w:val="24"/>
          <w:u w:val="single"/>
        </w:rPr>
        <w:t>P</w:t>
      </w:r>
      <w:proofErr w:type="spellStart"/>
      <w:r w:rsidRPr="00143EC5">
        <w:rPr>
          <w:i/>
          <w:sz w:val="24"/>
          <w:szCs w:val="24"/>
          <w:u w:val="single"/>
          <w:lang w:eastAsia="fi-FI"/>
        </w:rPr>
        <w:t>æ</w:t>
      </w:r>
      <w:r w:rsidRPr="00143EC5">
        <w:rPr>
          <w:i/>
          <w:noProof/>
          <w:sz w:val="24"/>
          <w:szCs w:val="24"/>
          <w:u w:val="single"/>
        </w:rPr>
        <w:t>diatrisk</w:t>
      </w:r>
      <w:proofErr w:type="spellEnd"/>
      <w:r w:rsidRPr="00143EC5">
        <w:rPr>
          <w:i/>
          <w:noProof/>
          <w:sz w:val="24"/>
          <w:szCs w:val="24"/>
          <w:u w:val="single"/>
        </w:rPr>
        <w:t xml:space="preserve"> population</w:t>
      </w:r>
    </w:p>
    <w:p w:rsidR="00DF5345" w:rsidRPr="00143EC5" w:rsidRDefault="00A0778C" w:rsidP="00DF5345">
      <w:pPr>
        <w:ind w:left="851"/>
        <w:rPr>
          <w:noProof/>
          <w:sz w:val="24"/>
          <w:szCs w:val="24"/>
        </w:rPr>
      </w:pPr>
      <w:r>
        <w:rPr>
          <w:noProof/>
          <w:sz w:val="24"/>
          <w:szCs w:val="24"/>
        </w:rPr>
        <w:t>Mirtazapin</w:t>
      </w:r>
      <w:r w:rsidR="002E190A">
        <w:rPr>
          <w:noProof/>
          <w:sz w:val="24"/>
          <w:szCs w:val="24"/>
        </w:rPr>
        <w:t xml:space="preserve"> ”Paranova”</w:t>
      </w:r>
      <w:r w:rsidR="00DF5345" w:rsidRPr="00143EC5">
        <w:rPr>
          <w:noProof/>
          <w:sz w:val="24"/>
          <w:szCs w:val="24"/>
        </w:rPr>
        <w:t xml:space="preserve"> bør ikke anvendes til børn og unge under 18 år, da virkningen ikke blev påvist i to kortvarige kliniske forsøg (se pkt. 5.1) og på grund af sikkerhedsproblemer (se pkt. 4.4, 4.8 og 5.1).</w:t>
      </w:r>
    </w:p>
    <w:p w:rsidR="00DF5345" w:rsidRPr="00143EC5" w:rsidRDefault="00DF5345" w:rsidP="00DF5345">
      <w:pPr>
        <w:ind w:left="851"/>
        <w:rPr>
          <w:sz w:val="24"/>
          <w:szCs w:val="24"/>
          <w:lang w:eastAsia="fi-FI"/>
        </w:rPr>
      </w:pPr>
    </w:p>
    <w:p w:rsidR="00DF5345" w:rsidRPr="00143EC5" w:rsidRDefault="00DF5345" w:rsidP="00DF5345">
      <w:pPr>
        <w:ind w:left="851"/>
        <w:rPr>
          <w:sz w:val="24"/>
          <w:szCs w:val="24"/>
          <w:u w:val="single"/>
          <w:lang w:eastAsia="fi-FI"/>
        </w:rPr>
      </w:pPr>
      <w:r w:rsidRPr="00143EC5">
        <w:rPr>
          <w:sz w:val="24"/>
          <w:szCs w:val="24"/>
          <w:u w:val="single"/>
          <w:lang w:eastAsia="fi-FI"/>
        </w:rPr>
        <w:t>Administration</w:t>
      </w:r>
    </w:p>
    <w:p w:rsidR="00DF5345" w:rsidRPr="00143EC5" w:rsidRDefault="00DF5345" w:rsidP="00DF5345">
      <w:pPr>
        <w:autoSpaceDE w:val="0"/>
        <w:autoSpaceDN w:val="0"/>
        <w:adjustRightInd w:val="0"/>
        <w:ind w:left="851"/>
        <w:rPr>
          <w:sz w:val="24"/>
          <w:szCs w:val="24"/>
        </w:rPr>
      </w:pPr>
      <w:proofErr w:type="spellStart"/>
      <w:r w:rsidRPr="00143EC5">
        <w:rPr>
          <w:sz w:val="24"/>
          <w:szCs w:val="24"/>
          <w:lang w:eastAsia="fi-FI"/>
        </w:rPr>
        <w:t>Mirtazapin</w:t>
      </w:r>
      <w:proofErr w:type="spellEnd"/>
      <w:r w:rsidRPr="00143EC5">
        <w:rPr>
          <w:sz w:val="24"/>
          <w:szCs w:val="24"/>
          <w:lang w:eastAsia="fi-FI"/>
        </w:rPr>
        <w:t xml:space="preserve"> har en elimineringshalveringstid på 20-40 timer</w:t>
      </w:r>
      <w:r w:rsidRPr="00143EC5">
        <w:rPr>
          <w:sz w:val="24"/>
          <w:szCs w:val="24"/>
        </w:rPr>
        <w:t xml:space="preserve"> og derfor er </w:t>
      </w:r>
      <w:r w:rsidR="00A0778C">
        <w:rPr>
          <w:noProof/>
          <w:sz w:val="24"/>
          <w:szCs w:val="24"/>
        </w:rPr>
        <w:t>Mirtazapin</w:t>
      </w:r>
      <w:r w:rsidR="002E190A">
        <w:rPr>
          <w:noProof/>
          <w:sz w:val="24"/>
          <w:szCs w:val="24"/>
        </w:rPr>
        <w:t xml:space="preserve"> ”Paranova”</w:t>
      </w:r>
      <w:r w:rsidRPr="00143EC5">
        <w:rPr>
          <w:noProof/>
          <w:sz w:val="24"/>
          <w:szCs w:val="24"/>
        </w:rPr>
        <w:t xml:space="preserve"> </w:t>
      </w:r>
      <w:r w:rsidRPr="00143EC5">
        <w:rPr>
          <w:sz w:val="24"/>
          <w:szCs w:val="24"/>
          <w:lang w:eastAsia="fi-FI"/>
        </w:rPr>
        <w:t>velegnet til administration én gang dagligt. Det bør fortrinsvis indtages som en enkeltdosis om aftenen ved sengetid</w:t>
      </w:r>
      <w:r w:rsidRPr="00143EC5">
        <w:rPr>
          <w:sz w:val="24"/>
          <w:szCs w:val="24"/>
        </w:rPr>
        <w:t>.</w:t>
      </w:r>
      <w:r w:rsidRPr="00143EC5">
        <w:rPr>
          <w:noProof/>
          <w:sz w:val="24"/>
          <w:szCs w:val="24"/>
        </w:rPr>
        <w:t xml:space="preserve"> </w:t>
      </w:r>
      <w:r w:rsidR="00A0778C">
        <w:rPr>
          <w:noProof/>
          <w:sz w:val="24"/>
          <w:szCs w:val="24"/>
        </w:rPr>
        <w:t>Mirtazapin</w:t>
      </w:r>
      <w:r w:rsidR="002E190A">
        <w:rPr>
          <w:noProof/>
          <w:sz w:val="24"/>
          <w:szCs w:val="24"/>
        </w:rPr>
        <w:t xml:space="preserve"> ”Paranova”</w:t>
      </w:r>
      <w:r w:rsidRPr="00143EC5">
        <w:rPr>
          <w:noProof/>
          <w:sz w:val="24"/>
          <w:szCs w:val="24"/>
        </w:rPr>
        <w:t xml:space="preserve"> </w:t>
      </w:r>
      <w:r w:rsidRPr="00143EC5">
        <w:rPr>
          <w:sz w:val="24"/>
          <w:szCs w:val="24"/>
          <w:lang w:eastAsia="fi-FI"/>
        </w:rPr>
        <w:t xml:space="preserve">kan også gives som </w:t>
      </w:r>
      <w:proofErr w:type="gramStart"/>
      <w:r w:rsidRPr="00143EC5">
        <w:rPr>
          <w:sz w:val="24"/>
          <w:szCs w:val="24"/>
          <w:lang w:eastAsia="fi-FI"/>
        </w:rPr>
        <w:t>to delte</w:t>
      </w:r>
      <w:proofErr w:type="gramEnd"/>
      <w:r w:rsidRPr="00143EC5">
        <w:rPr>
          <w:sz w:val="24"/>
          <w:szCs w:val="24"/>
          <w:lang w:eastAsia="fi-FI"/>
        </w:rPr>
        <w:t xml:space="preserve"> doser</w:t>
      </w:r>
      <w:r w:rsidRPr="00143EC5">
        <w:rPr>
          <w:sz w:val="24"/>
          <w:szCs w:val="24"/>
        </w:rPr>
        <w:t xml:space="preserve"> (en om morgenen og en til nattetid, den største dosis bør tages om aftenen).</w:t>
      </w:r>
    </w:p>
    <w:p w:rsidR="00DF5345" w:rsidRPr="00143EC5" w:rsidRDefault="00DF5345" w:rsidP="00DF5345">
      <w:pPr>
        <w:autoSpaceDE w:val="0"/>
        <w:autoSpaceDN w:val="0"/>
        <w:adjustRightInd w:val="0"/>
        <w:ind w:left="851"/>
        <w:rPr>
          <w:sz w:val="24"/>
          <w:szCs w:val="24"/>
        </w:rPr>
      </w:pPr>
      <w:r w:rsidRPr="00143EC5">
        <w:rPr>
          <w:sz w:val="24"/>
          <w:szCs w:val="24"/>
        </w:rPr>
        <w:t>Tabletterne bør indtages oralt. Tabletterne vil hurtigt opløses og kan synkes uden vand.</w:t>
      </w:r>
    </w:p>
    <w:p w:rsidR="00DF5345" w:rsidRPr="00252A39" w:rsidRDefault="00DF5345" w:rsidP="00DF5345">
      <w:pPr>
        <w:ind w:left="851" w:hanging="851"/>
        <w:rPr>
          <w:sz w:val="24"/>
          <w:szCs w:val="24"/>
        </w:rPr>
      </w:pPr>
    </w:p>
    <w:p w:rsidR="00DF5345" w:rsidRPr="00252A39" w:rsidRDefault="00DF5345" w:rsidP="00DF5345">
      <w:pPr>
        <w:tabs>
          <w:tab w:val="left" w:pos="851"/>
        </w:tabs>
        <w:rPr>
          <w:b/>
          <w:sz w:val="24"/>
          <w:szCs w:val="24"/>
        </w:rPr>
      </w:pPr>
      <w:r>
        <w:rPr>
          <w:b/>
          <w:sz w:val="24"/>
          <w:szCs w:val="24"/>
        </w:rPr>
        <w:t>4.3</w:t>
      </w:r>
      <w:r>
        <w:rPr>
          <w:b/>
          <w:sz w:val="24"/>
          <w:szCs w:val="24"/>
        </w:rPr>
        <w:tab/>
      </w:r>
      <w:r w:rsidRPr="00252A39">
        <w:rPr>
          <w:b/>
          <w:sz w:val="24"/>
          <w:szCs w:val="24"/>
        </w:rPr>
        <w:t>Kontraindikationer</w:t>
      </w:r>
    </w:p>
    <w:p w:rsidR="00DF5345" w:rsidRPr="00252A39" w:rsidRDefault="00DF5345" w:rsidP="00DF5345">
      <w:pPr>
        <w:ind w:left="851" w:hanging="851"/>
        <w:rPr>
          <w:sz w:val="24"/>
          <w:szCs w:val="24"/>
        </w:rPr>
      </w:pPr>
      <w:r w:rsidRPr="00252A39">
        <w:rPr>
          <w:sz w:val="24"/>
          <w:szCs w:val="24"/>
        </w:rPr>
        <w:tab/>
        <w:t>Overfølsomhed over for det aktive stof eller over for et eller flere af hjælpestofferne</w:t>
      </w:r>
      <w:r>
        <w:rPr>
          <w:sz w:val="24"/>
          <w:szCs w:val="24"/>
        </w:rPr>
        <w:t xml:space="preserve"> anført i pkt. 6.1</w:t>
      </w:r>
      <w:r w:rsidRPr="00252A39">
        <w:rPr>
          <w:sz w:val="24"/>
          <w:szCs w:val="24"/>
        </w:rPr>
        <w:t>.</w:t>
      </w:r>
    </w:p>
    <w:p w:rsidR="00DF5345" w:rsidRPr="00252A39" w:rsidRDefault="00DF5345" w:rsidP="00DF5345">
      <w:pPr>
        <w:ind w:left="851"/>
        <w:rPr>
          <w:sz w:val="24"/>
          <w:szCs w:val="24"/>
        </w:rPr>
      </w:pPr>
      <w:r w:rsidRPr="00252A39">
        <w:rPr>
          <w:sz w:val="24"/>
          <w:szCs w:val="24"/>
        </w:rPr>
        <w:t xml:space="preserve">Brug af </w:t>
      </w:r>
      <w:proofErr w:type="spellStart"/>
      <w:r w:rsidRPr="00252A39">
        <w:rPr>
          <w:sz w:val="24"/>
          <w:szCs w:val="24"/>
        </w:rPr>
        <w:t>mirtazapin</w:t>
      </w:r>
      <w:proofErr w:type="spellEnd"/>
      <w:r w:rsidRPr="00252A39">
        <w:rPr>
          <w:sz w:val="24"/>
          <w:szCs w:val="24"/>
        </w:rPr>
        <w:t xml:space="preserve"> sammen med </w:t>
      </w:r>
      <w:proofErr w:type="spellStart"/>
      <w:r w:rsidRPr="00252A39">
        <w:rPr>
          <w:sz w:val="24"/>
          <w:szCs w:val="24"/>
        </w:rPr>
        <w:t>monoaminooxidase</w:t>
      </w:r>
      <w:proofErr w:type="spellEnd"/>
      <w:r w:rsidRPr="00252A39">
        <w:rPr>
          <w:sz w:val="24"/>
          <w:szCs w:val="24"/>
        </w:rPr>
        <w:t xml:space="preserve"> (MAO)-</w:t>
      </w:r>
      <w:proofErr w:type="spellStart"/>
      <w:r w:rsidRPr="00252A39">
        <w:rPr>
          <w:sz w:val="24"/>
          <w:szCs w:val="24"/>
        </w:rPr>
        <w:t>hæmmere</w:t>
      </w:r>
      <w:proofErr w:type="spellEnd"/>
      <w:r w:rsidRPr="00252A39">
        <w:rPr>
          <w:sz w:val="24"/>
          <w:szCs w:val="24"/>
        </w:rPr>
        <w:t xml:space="preserve"> (se pkt. 4.5).</w:t>
      </w:r>
    </w:p>
    <w:p w:rsidR="00DF5345" w:rsidRPr="00252A39" w:rsidRDefault="00DF5345" w:rsidP="00DF5345">
      <w:pPr>
        <w:ind w:left="851" w:hanging="851"/>
        <w:rPr>
          <w:sz w:val="24"/>
          <w:szCs w:val="24"/>
        </w:rPr>
      </w:pPr>
    </w:p>
    <w:p w:rsidR="00DF5345" w:rsidRPr="00252A39" w:rsidRDefault="00DF5345" w:rsidP="00DF5345">
      <w:pPr>
        <w:tabs>
          <w:tab w:val="left" w:pos="851"/>
        </w:tabs>
        <w:rPr>
          <w:b/>
          <w:sz w:val="24"/>
          <w:szCs w:val="24"/>
        </w:rPr>
      </w:pPr>
      <w:r>
        <w:rPr>
          <w:b/>
          <w:sz w:val="24"/>
          <w:szCs w:val="24"/>
        </w:rPr>
        <w:t>4.4</w:t>
      </w:r>
      <w:r>
        <w:rPr>
          <w:b/>
          <w:sz w:val="24"/>
          <w:szCs w:val="24"/>
        </w:rPr>
        <w:tab/>
      </w:r>
      <w:r w:rsidRPr="00252A39">
        <w:rPr>
          <w:b/>
          <w:sz w:val="24"/>
          <w:szCs w:val="24"/>
        </w:rPr>
        <w:t>Særlige advarsler og forsigtighedsregler vedrørende brugen</w:t>
      </w:r>
    </w:p>
    <w:p w:rsidR="00DF5345" w:rsidRPr="00143EC5" w:rsidRDefault="00DF5345" w:rsidP="00DF5345">
      <w:pPr>
        <w:ind w:left="851"/>
        <w:rPr>
          <w:sz w:val="24"/>
          <w:szCs w:val="24"/>
          <w:u w:val="single"/>
        </w:rPr>
      </w:pPr>
      <w:r w:rsidRPr="00143EC5">
        <w:rPr>
          <w:sz w:val="24"/>
          <w:szCs w:val="24"/>
          <w:u w:val="single"/>
        </w:rPr>
        <w:t>P</w:t>
      </w:r>
      <w:r w:rsidRPr="00143EC5">
        <w:rPr>
          <w:sz w:val="24"/>
          <w:szCs w:val="24"/>
          <w:u w:val="single"/>
          <w:lang w:eastAsia="fi-FI"/>
        </w:rPr>
        <w:t>æ</w:t>
      </w:r>
      <w:r w:rsidRPr="00143EC5">
        <w:rPr>
          <w:sz w:val="24"/>
          <w:szCs w:val="24"/>
          <w:u w:val="single"/>
        </w:rPr>
        <w:t>diatrisk population</w:t>
      </w:r>
    </w:p>
    <w:p w:rsidR="00DF5345" w:rsidRPr="00252A39" w:rsidRDefault="00A0778C" w:rsidP="00DF5345">
      <w:pPr>
        <w:ind w:left="851"/>
        <w:rPr>
          <w:sz w:val="24"/>
          <w:szCs w:val="24"/>
        </w:rPr>
      </w:pPr>
      <w:r>
        <w:rPr>
          <w:noProof/>
          <w:sz w:val="24"/>
          <w:szCs w:val="24"/>
        </w:rPr>
        <w:t>Mirtazapin</w:t>
      </w:r>
      <w:r w:rsidR="002E190A">
        <w:rPr>
          <w:noProof/>
          <w:sz w:val="24"/>
          <w:szCs w:val="24"/>
        </w:rPr>
        <w:t xml:space="preserve"> ”Paranova”</w:t>
      </w:r>
      <w:r w:rsidR="00DF5345" w:rsidRPr="00252A39">
        <w:rPr>
          <w:noProof/>
          <w:sz w:val="24"/>
          <w:szCs w:val="24"/>
        </w:rPr>
        <w:t xml:space="preserve"> </w:t>
      </w:r>
      <w:r w:rsidR="00DF5345" w:rsidRPr="00252A39">
        <w:rPr>
          <w:sz w:val="24"/>
          <w:szCs w:val="24"/>
        </w:rPr>
        <w:t xml:space="preserve">bør ikke anvendes til behandling af børn og unge under 18 år. Selvmordsrelateret adfærd (selvmordsforsøg og selvmordstanker) og fjendtlighed (fortrinsvis aggression, oppositionel adfærd og vrede) blev i kliniske undersøgelser observeret hyppigere blandt børn og unge behandlet med </w:t>
      </w:r>
      <w:proofErr w:type="spellStart"/>
      <w:r w:rsidR="00DF5345" w:rsidRPr="00252A39">
        <w:rPr>
          <w:sz w:val="24"/>
          <w:szCs w:val="24"/>
        </w:rPr>
        <w:t>antidepressiva</w:t>
      </w:r>
      <w:proofErr w:type="spellEnd"/>
      <w:r w:rsidR="00DF5345" w:rsidRPr="00252A39">
        <w:rPr>
          <w:sz w:val="24"/>
          <w:szCs w:val="24"/>
        </w:rPr>
        <w:t xml:space="preserve"> i forhold til gruppen behandlet med placebo. Hvis det under hensyntagen til kliniske behov alligevel besluttes at behandle, bør patienterne overvåges omhyggeligt for selvmordssymptomer. Derudover mangler der langtidsdata om sikkerhed hos børn og unge med hensyn til vækst, modning samt kognitiv og adfærdsmæssig udvikling.</w:t>
      </w:r>
    </w:p>
    <w:p w:rsidR="00DF5345" w:rsidRPr="00252A39" w:rsidRDefault="00DF5345" w:rsidP="00DF5345">
      <w:pPr>
        <w:ind w:left="851" w:hanging="851"/>
        <w:rPr>
          <w:sz w:val="24"/>
          <w:szCs w:val="24"/>
        </w:rPr>
      </w:pPr>
    </w:p>
    <w:p w:rsidR="00DF5345" w:rsidRPr="005F7B6E" w:rsidRDefault="00DF5345" w:rsidP="00DF5345">
      <w:pPr>
        <w:spacing w:line="240" w:lineRule="atLeast"/>
        <w:ind w:left="851"/>
        <w:rPr>
          <w:szCs w:val="24"/>
          <w:u w:val="single"/>
        </w:rPr>
      </w:pPr>
      <w:r w:rsidRPr="005F7B6E">
        <w:rPr>
          <w:szCs w:val="24"/>
          <w:u w:val="single"/>
        </w:rPr>
        <w:t>Selvmord/selvmordstanker eller klinisk forværring</w:t>
      </w:r>
    </w:p>
    <w:p w:rsidR="00DF5345" w:rsidRPr="00252A39" w:rsidRDefault="00DF5345" w:rsidP="00DF5345">
      <w:pPr>
        <w:autoSpaceDE w:val="0"/>
        <w:autoSpaceDN w:val="0"/>
        <w:adjustRightInd w:val="0"/>
        <w:ind w:left="851"/>
        <w:rPr>
          <w:i/>
          <w:iCs/>
          <w:sz w:val="24"/>
          <w:szCs w:val="24"/>
        </w:rPr>
      </w:pPr>
      <w:r w:rsidRPr="00252A39">
        <w:rPr>
          <w:sz w:val="24"/>
          <w:szCs w:val="24"/>
        </w:rPr>
        <w:t xml:space="preserve">Depression er forbundet med en øget risiko for </w:t>
      </w:r>
      <w:r w:rsidRPr="00252A39">
        <w:rPr>
          <w:szCs w:val="24"/>
        </w:rPr>
        <w:t>selvmordstanker, selvdestruktive</w:t>
      </w:r>
      <w:r w:rsidRPr="00252A39">
        <w:rPr>
          <w:sz w:val="24"/>
          <w:szCs w:val="24"/>
        </w:rPr>
        <w:t xml:space="preserve"> handlinger og </w:t>
      </w:r>
      <w:r w:rsidRPr="00252A39">
        <w:rPr>
          <w:szCs w:val="24"/>
        </w:rPr>
        <w:t>selvmo</w:t>
      </w:r>
      <w:r w:rsidRPr="00252A39">
        <w:rPr>
          <w:sz w:val="24"/>
          <w:szCs w:val="24"/>
        </w:rPr>
        <w:t>rd (se</w:t>
      </w:r>
      <w:r w:rsidRPr="00252A39">
        <w:rPr>
          <w:szCs w:val="24"/>
        </w:rPr>
        <w:t xml:space="preserve">lvmordsrelaterede hændelser). Denne risiko varer ved, </w:t>
      </w:r>
      <w:r w:rsidRPr="00252A39">
        <w:rPr>
          <w:sz w:val="24"/>
          <w:szCs w:val="24"/>
        </w:rPr>
        <w:t>in</w:t>
      </w:r>
      <w:r w:rsidRPr="00252A39">
        <w:rPr>
          <w:szCs w:val="24"/>
        </w:rPr>
        <w:t>dtil der er sket en signif</w:t>
      </w:r>
      <w:r w:rsidRPr="00252A39">
        <w:rPr>
          <w:sz w:val="24"/>
          <w:szCs w:val="24"/>
        </w:rPr>
        <w:t>ikant remissi</w:t>
      </w:r>
      <w:r w:rsidRPr="00252A39">
        <w:rPr>
          <w:szCs w:val="24"/>
        </w:rPr>
        <w:t>on af sygdommen. Eftersom en bedring af depressionen måske ikke ses før</w:t>
      </w:r>
      <w:r w:rsidRPr="00252A39">
        <w:rPr>
          <w:sz w:val="24"/>
          <w:szCs w:val="24"/>
        </w:rPr>
        <w:t xml:space="preserve"> </w:t>
      </w:r>
      <w:r w:rsidRPr="00252A39">
        <w:rPr>
          <w:szCs w:val="24"/>
        </w:rPr>
        <w:lastRenderedPageBreak/>
        <w:t>efter f</w:t>
      </w:r>
      <w:r w:rsidRPr="00252A39">
        <w:rPr>
          <w:sz w:val="24"/>
          <w:szCs w:val="24"/>
        </w:rPr>
        <w:t xml:space="preserve">lere ugers </w:t>
      </w:r>
      <w:r w:rsidRPr="00252A39">
        <w:rPr>
          <w:szCs w:val="24"/>
        </w:rPr>
        <w:t>behandling, bø</w:t>
      </w:r>
      <w:r w:rsidRPr="00252A39">
        <w:rPr>
          <w:sz w:val="24"/>
          <w:szCs w:val="24"/>
        </w:rPr>
        <w:t xml:space="preserve">r patienten </w:t>
      </w:r>
      <w:r w:rsidRPr="00252A39">
        <w:rPr>
          <w:szCs w:val="24"/>
        </w:rPr>
        <w:t>følges tæt, indtil en forbedring</w:t>
      </w:r>
      <w:r w:rsidRPr="00252A39">
        <w:rPr>
          <w:sz w:val="24"/>
          <w:szCs w:val="24"/>
        </w:rPr>
        <w:t xml:space="preserve"> ses. Generel klinisk </w:t>
      </w:r>
      <w:r w:rsidRPr="00252A39">
        <w:rPr>
          <w:rFonts w:eastAsia="HiddenHorzOCR"/>
          <w:szCs w:val="24"/>
        </w:rPr>
        <w:t>erfa</w:t>
      </w:r>
      <w:r w:rsidRPr="00252A39">
        <w:rPr>
          <w:rFonts w:eastAsia="HiddenHorzOCR"/>
          <w:sz w:val="24"/>
          <w:szCs w:val="24"/>
        </w:rPr>
        <w:t xml:space="preserve">ring </w:t>
      </w:r>
      <w:r w:rsidRPr="00252A39">
        <w:rPr>
          <w:szCs w:val="24"/>
        </w:rPr>
        <w:t>viser,</w:t>
      </w:r>
      <w:r w:rsidRPr="00252A39">
        <w:rPr>
          <w:sz w:val="24"/>
          <w:szCs w:val="24"/>
        </w:rPr>
        <w:t xml:space="preserve"> at </w:t>
      </w:r>
      <w:r w:rsidRPr="00252A39">
        <w:rPr>
          <w:szCs w:val="24"/>
        </w:rPr>
        <w:t>selvm</w:t>
      </w:r>
      <w:r w:rsidRPr="00252A39">
        <w:rPr>
          <w:sz w:val="24"/>
          <w:szCs w:val="24"/>
        </w:rPr>
        <w:t>ordsrisikoen kan stige i de tidlige helbredelsesstadier.</w:t>
      </w:r>
    </w:p>
    <w:p w:rsidR="00DF5345" w:rsidRDefault="00DF5345" w:rsidP="00DF5345">
      <w:pPr>
        <w:autoSpaceDE w:val="0"/>
        <w:autoSpaceDN w:val="0"/>
        <w:adjustRightInd w:val="0"/>
        <w:ind w:left="851"/>
        <w:rPr>
          <w:szCs w:val="24"/>
        </w:rPr>
      </w:pPr>
    </w:p>
    <w:p w:rsidR="00DF5345" w:rsidRPr="00252A39" w:rsidRDefault="00DF5345" w:rsidP="00DF5345">
      <w:pPr>
        <w:autoSpaceDE w:val="0"/>
        <w:autoSpaceDN w:val="0"/>
        <w:adjustRightInd w:val="0"/>
        <w:ind w:left="851"/>
        <w:rPr>
          <w:sz w:val="24"/>
          <w:szCs w:val="24"/>
        </w:rPr>
      </w:pPr>
      <w:r w:rsidRPr="00252A39">
        <w:rPr>
          <w:szCs w:val="24"/>
        </w:rPr>
        <w:t>Patienter, der tidligere har haft selvmordsrelaterede hændelser, eller patienter,</w:t>
      </w:r>
      <w:r w:rsidRPr="00252A39">
        <w:rPr>
          <w:sz w:val="24"/>
          <w:szCs w:val="24"/>
        </w:rPr>
        <w:t xml:space="preserve"> der udviser en</w:t>
      </w:r>
    </w:p>
    <w:p w:rsidR="00DF5345" w:rsidRPr="00252A39" w:rsidRDefault="00DF5345" w:rsidP="00DF5345">
      <w:pPr>
        <w:autoSpaceDE w:val="0"/>
        <w:autoSpaceDN w:val="0"/>
        <w:adjustRightInd w:val="0"/>
        <w:ind w:left="851"/>
        <w:rPr>
          <w:sz w:val="24"/>
          <w:szCs w:val="24"/>
        </w:rPr>
      </w:pPr>
      <w:r w:rsidRPr="00252A39">
        <w:rPr>
          <w:szCs w:val="24"/>
        </w:rPr>
        <w:t>signifikant grad af selvmordstanker eller selvmordsforsøg inden behandling, har stø</w:t>
      </w:r>
      <w:r w:rsidRPr="00252A39">
        <w:rPr>
          <w:sz w:val="24"/>
          <w:szCs w:val="24"/>
        </w:rPr>
        <w:t>rre risi</w:t>
      </w:r>
      <w:r w:rsidRPr="00252A39">
        <w:rPr>
          <w:szCs w:val="24"/>
        </w:rPr>
        <w:t>ko fo</w:t>
      </w:r>
      <w:r w:rsidRPr="00252A39">
        <w:rPr>
          <w:sz w:val="24"/>
          <w:szCs w:val="24"/>
        </w:rPr>
        <w:t>r</w:t>
      </w:r>
      <w:r w:rsidRPr="00252A39">
        <w:rPr>
          <w:szCs w:val="24"/>
        </w:rPr>
        <w:t xml:space="preserve"> selvmordstanker eller for at forsø</w:t>
      </w:r>
      <w:r w:rsidRPr="00252A39">
        <w:rPr>
          <w:sz w:val="24"/>
          <w:szCs w:val="24"/>
        </w:rPr>
        <w:t xml:space="preserve">ge at </w:t>
      </w:r>
      <w:r w:rsidRPr="00252A39">
        <w:rPr>
          <w:rFonts w:eastAsia="HiddenHorzOCR"/>
          <w:szCs w:val="24"/>
        </w:rPr>
        <w:t>begå</w:t>
      </w:r>
      <w:r w:rsidRPr="00252A39">
        <w:rPr>
          <w:rFonts w:eastAsia="HiddenHorzOCR"/>
          <w:sz w:val="24"/>
          <w:szCs w:val="24"/>
        </w:rPr>
        <w:t xml:space="preserve"> </w:t>
      </w:r>
      <w:r w:rsidRPr="00252A39">
        <w:rPr>
          <w:szCs w:val="24"/>
        </w:rPr>
        <w:t>selvmord og bør følges tæt under b</w:t>
      </w:r>
      <w:r w:rsidRPr="00252A39">
        <w:rPr>
          <w:sz w:val="24"/>
          <w:szCs w:val="24"/>
        </w:rPr>
        <w:t xml:space="preserve">ehandlingen. En </w:t>
      </w:r>
      <w:proofErr w:type="spellStart"/>
      <w:r w:rsidRPr="00252A39">
        <w:rPr>
          <w:szCs w:val="24"/>
        </w:rPr>
        <w:t>meta</w:t>
      </w:r>
      <w:proofErr w:type="spellEnd"/>
      <w:r w:rsidRPr="00252A39">
        <w:rPr>
          <w:szCs w:val="24"/>
        </w:rPr>
        <w:t>-analyse af placebo</w:t>
      </w:r>
      <w:r w:rsidRPr="00252A39">
        <w:rPr>
          <w:sz w:val="24"/>
          <w:szCs w:val="24"/>
        </w:rPr>
        <w:t xml:space="preserve">-kontrollerede kliniske studier af </w:t>
      </w:r>
      <w:proofErr w:type="spellStart"/>
      <w:r w:rsidRPr="00252A39">
        <w:rPr>
          <w:sz w:val="24"/>
          <w:szCs w:val="24"/>
        </w:rPr>
        <w:t>antidepressiva</w:t>
      </w:r>
      <w:proofErr w:type="spellEnd"/>
      <w:r w:rsidRPr="00252A39">
        <w:rPr>
          <w:sz w:val="24"/>
          <w:szCs w:val="24"/>
        </w:rPr>
        <w:t xml:space="preserve"> givet til voksne patienter m</w:t>
      </w:r>
      <w:r w:rsidRPr="00252A39">
        <w:rPr>
          <w:szCs w:val="24"/>
        </w:rPr>
        <w:t>ed psykiatriske lidelser viste øget risiko fo</w:t>
      </w:r>
      <w:r w:rsidRPr="00252A39">
        <w:rPr>
          <w:sz w:val="24"/>
          <w:szCs w:val="24"/>
        </w:rPr>
        <w:t>r se</w:t>
      </w:r>
      <w:r w:rsidRPr="00252A39">
        <w:rPr>
          <w:szCs w:val="24"/>
        </w:rPr>
        <w:t>lvm</w:t>
      </w:r>
      <w:r w:rsidRPr="00252A39">
        <w:rPr>
          <w:sz w:val="24"/>
          <w:szCs w:val="24"/>
        </w:rPr>
        <w:t>ords</w:t>
      </w:r>
      <w:r w:rsidRPr="00252A39">
        <w:rPr>
          <w:szCs w:val="24"/>
        </w:rPr>
        <w:t>adfærd hos patienter under 25 å</w:t>
      </w:r>
      <w:r w:rsidRPr="00252A39">
        <w:rPr>
          <w:sz w:val="24"/>
          <w:szCs w:val="24"/>
        </w:rPr>
        <w:t xml:space="preserve">r behandlet med </w:t>
      </w:r>
      <w:proofErr w:type="spellStart"/>
      <w:r w:rsidRPr="00252A39">
        <w:rPr>
          <w:sz w:val="24"/>
          <w:szCs w:val="24"/>
        </w:rPr>
        <w:t>antidep</w:t>
      </w:r>
      <w:r w:rsidRPr="00252A39">
        <w:rPr>
          <w:szCs w:val="24"/>
        </w:rPr>
        <w:t>ressiva</w:t>
      </w:r>
      <w:proofErr w:type="spellEnd"/>
      <w:r w:rsidRPr="00252A39">
        <w:rPr>
          <w:szCs w:val="24"/>
        </w:rPr>
        <w:t xml:space="preserve"> sammenlignet med</w:t>
      </w:r>
      <w:r w:rsidRPr="00252A39">
        <w:rPr>
          <w:sz w:val="24"/>
          <w:szCs w:val="24"/>
        </w:rPr>
        <w:t xml:space="preserve"> placebogruppen.</w:t>
      </w:r>
    </w:p>
    <w:p w:rsidR="00DF5345" w:rsidRDefault="00DF5345" w:rsidP="00DF5345">
      <w:pPr>
        <w:autoSpaceDE w:val="0"/>
        <w:autoSpaceDN w:val="0"/>
        <w:adjustRightInd w:val="0"/>
        <w:ind w:left="851"/>
        <w:rPr>
          <w:szCs w:val="24"/>
        </w:rPr>
      </w:pPr>
    </w:p>
    <w:p w:rsidR="00DF5345" w:rsidRPr="00143EC5" w:rsidRDefault="00DF5345" w:rsidP="00DF5345">
      <w:pPr>
        <w:autoSpaceDE w:val="0"/>
        <w:autoSpaceDN w:val="0"/>
        <w:adjustRightInd w:val="0"/>
        <w:ind w:left="851"/>
        <w:rPr>
          <w:sz w:val="24"/>
          <w:szCs w:val="24"/>
        </w:rPr>
      </w:pPr>
      <w:r w:rsidRPr="00252A39">
        <w:rPr>
          <w:szCs w:val="24"/>
        </w:rPr>
        <w:t>Tæt overvågning, især af patienter i højrisikogruppen, bø</w:t>
      </w:r>
      <w:r w:rsidRPr="00252A39">
        <w:rPr>
          <w:sz w:val="24"/>
          <w:szCs w:val="24"/>
        </w:rPr>
        <w:t xml:space="preserve">r ledsage behandling med </w:t>
      </w:r>
      <w:proofErr w:type="spellStart"/>
      <w:r w:rsidRPr="00252A39">
        <w:rPr>
          <w:sz w:val="24"/>
          <w:szCs w:val="24"/>
        </w:rPr>
        <w:t>antidepressiva</w:t>
      </w:r>
      <w:proofErr w:type="spellEnd"/>
      <w:r w:rsidRPr="00252A39">
        <w:rPr>
          <w:sz w:val="24"/>
          <w:szCs w:val="24"/>
        </w:rPr>
        <w:t xml:space="preserve"> særlig ved behandlingsstart og dosisændringer. P</w:t>
      </w:r>
      <w:r w:rsidRPr="00252A39">
        <w:rPr>
          <w:szCs w:val="24"/>
        </w:rPr>
        <w:t>atienter (og plejepersonale) bør gø</w:t>
      </w:r>
      <w:r w:rsidRPr="00252A39">
        <w:rPr>
          <w:sz w:val="24"/>
          <w:szCs w:val="24"/>
        </w:rPr>
        <w:t xml:space="preserve">res opmærksom </w:t>
      </w:r>
      <w:r w:rsidRPr="00252A39">
        <w:rPr>
          <w:szCs w:val="24"/>
        </w:rPr>
        <w:t>på behovet for</w:t>
      </w:r>
      <w:r w:rsidRPr="00252A39">
        <w:rPr>
          <w:sz w:val="24"/>
          <w:szCs w:val="24"/>
        </w:rPr>
        <w:t xml:space="preserve"> over</w:t>
      </w:r>
      <w:r w:rsidRPr="00252A39">
        <w:rPr>
          <w:szCs w:val="24"/>
        </w:rPr>
        <w:t>vågning med henblik på</w:t>
      </w:r>
      <w:r w:rsidRPr="00252A39">
        <w:rPr>
          <w:sz w:val="24"/>
          <w:szCs w:val="24"/>
        </w:rPr>
        <w:t xml:space="preserve"> </w:t>
      </w:r>
      <w:r w:rsidRPr="00252A39">
        <w:rPr>
          <w:szCs w:val="24"/>
        </w:rPr>
        <w:t>for</w:t>
      </w:r>
      <w:r w:rsidRPr="00252A39">
        <w:rPr>
          <w:sz w:val="24"/>
          <w:szCs w:val="24"/>
        </w:rPr>
        <w:t xml:space="preserve">ekomst af en hvilken som helst klinisk forværring, </w:t>
      </w:r>
      <w:r w:rsidRPr="00252A39">
        <w:rPr>
          <w:szCs w:val="24"/>
        </w:rPr>
        <w:t>selvmordsadfæ</w:t>
      </w:r>
      <w:r w:rsidRPr="00252A39">
        <w:rPr>
          <w:sz w:val="24"/>
          <w:szCs w:val="24"/>
        </w:rPr>
        <w:t>rd eller -tank</w:t>
      </w:r>
      <w:r w:rsidRPr="00252A39">
        <w:rPr>
          <w:szCs w:val="24"/>
        </w:rPr>
        <w:t>er samt unormale ændringer i adf</w:t>
      </w:r>
      <w:r w:rsidRPr="00252A39">
        <w:rPr>
          <w:sz w:val="24"/>
          <w:szCs w:val="24"/>
        </w:rPr>
        <w:t xml:space="preserve">ærd </w:t>
      </w:r>
      <w:r w:rsidRPr="00143EC5">
        <w:rPr>
          <w:sz w:val="24"/>
          <w:szCs w:val="24"/>
        </w:rPr>
        <w:t>og på, at de straks skal søge læge, hvis disse symptomer opstår.</w:t>
      </w:r>
    </w:p>
    <w:p w:rsidR="00DF5345" w:rsidRPr="00143EC5" w:rsidRDefault="00DF5345" w:rsidP="00DF5345">
      <w:pPr>
        <w:ind w:left="851"/>
        <w:rPr>
          <w:sz w:val="24"/>
          <w:szCs w:val="24"/>
        </w:rPr>
      </w:pPr>
    </w:p>
    <w:p w:rsidR="00DF5345" w:rsidRPr="00143EC5" w:rsidRDefault="00DF5345" w:rsidP="00DF5345">
      <w:pPr>
        <w:autoSpaceDE w:val="0"/>
        <w:autoSpaceDN w:val="0"/>
        <w:adjustRightInd w:val="0"/>
        <w:ind w:left="851"/>
        <w:rPr>
          <w:sz w:val="24"/>
          <w:szCs w:val="24"/>
        </w:rPr>
      </w:pPr>
      <w:r w:rsidRPr="00143EC5">
        <w:rPr>
          <w:sz w:val="24"/>
          <w:szCs w:val="24"/>
        </w:rPr>
        <w:t xml:space="preserve">Angående risiko for selvmord, især i begyndelsen af behandlingen, bør der kun udleveres det mindste antal </w:t>
      </w:r>
      <w:r w:rsidR="00A0778C">
        <w:rPr>
          <w:noProof/>
          <w:sz w:val="24"/>
          <w:szCs w:val="24"/>
        </w:rPr>
        <w:t>Mirtazapin</w:t>
      </w:r>
      <w:r w:rsidR="002E190A">
        <w:rPr>
          <w:noProof/>
          <w:sz w:val="24"/>
          <w:szCs w:val="24"/>
        </w:rPr>
        <w:t xml:space="preserve"> ”Paranova”</w:t>
      </w:r>
      <w:r w:rsidRPr="00143EC5">
        <w:rPr>
          <w:noProof/>
          <w:sz w:val="24"/>
          <w:szCs w:val="24"/>
        </w:rPr>
        <w:t xml:space="preserve"> </w:t>
      </w:r>
      <w:r w:rsidRPr="00143EC5">
        <w:rPr>
          <w:sz w:val="24"/>
          <w:szCs w:val="24"/>
        </w:rPr>
        <w:t>filmovertrukne tabletter til patienten, i overensstemmelse med god patientbehandling, for at reducere risiko for overdosering.</w:t>
      </w:r>
    </w:p>
    <w:p w:rsidR="00DF5345" w:rsidRPr="00252A39" w:rsidRDefault="00DF5345" w:rsidP="00DF5345">
      <w:pPr>
        <w:ind w:left="851"/>
        <w:rPr>
          <w:sz w:val="24"/>
          <w:szCs w:val="24"/>
        </w:rPr>
      </w:pPr>
    </w:p>
    <w:p w:rsidR="00DF5345" w:rsidRPr="00252A39" w:rsidRDefault="00DF5345" w:rsidP="00DF5345">
      <w:pPr>
        <w:ind w:left="851"/>
        <w:rPr>
          <w:sz w:val="24"/>
          <w:szCs w:val="24"/>
          <w:u w:val="single"/>
        </w:rPr>
      </w:pPr>
      <w:r w:rsidRPr="00252A39">
        <w:rPr>
          <w:sz w:val="24"/>
          <w:szCs w:val="24"/>
          <w:u w:val="single"/>
        </w:rPr>
        <w:t>Knoglemarvsdepression</w:t>
      </w:r>
    </w:p>
    <w:p w:rsidR="00DF5345" w:rsidRPr="00252A39" w:rsidRDefault="00DF5345" w:rsidP="00DF5345">
      <w:pPr>
        <w:ind w:left="851"/>
        <w:rPr>
          <w:sz w:val="24"/>
          <w:szCs w:val="24"/>
        </w:rPr>
      </w:pPr>
      <w:r w:rsidRPr="00252A39">
        <w:rPr>
          <w:sz w:val="24"/>
          <w:szCs w:val="24"/>
        </w:rPr>
        <w:t xml:space="preserve">Knoglemarvsdepression, der sædvanligvis viser sig som </w:t>
      </w:r>
      <w:proofErr w:type="spellStart"/>
      <w:r w:rsidRPr="00252A39">
        <w:rPr>
          <w:sz w:val="24"/>
          <w:szCs w:val="24"/>
        </w:rPr>
        <w:t>granulocytopeni</w:t>
      </w:r>
      <w:proofErr w:type="spellEnd"/>
      <w:r w:rsidRPr="00252A39">
        <w:rPr>
          <w:sz w:val="24"/>
          <w:szCs w:val="24"/>
        </w:rPr>
        <w:t xml:space="preserve"> eller </w:t>
      </w:r>
      <w:proofErr w:type="spellStart"/>
      <w:r w:rsidRPr="00252A39">
        <w:rPr>
          <w:sz w:val="24"/>
          <w:szCs w:val="24"/>
        </w:rPr>
        <w:t>agranulocytose</w:t>
      </w:r>
      <w:proofErr w:type="spellEnd"/>
      <w:r w:rsidRPr="00252A39">
        <w:rPr>
          <w:sz w:val="24"/>
          <w:szCs w:val="24"/>
        </w:rPr>
        <w:t xml:space="preserve">, er blevet rapporteret under behandling med </w:t>
      </w:r>
      <w:proofErr w:type="spellStart"/>
      <w:r w:rsidRPr="00252A39">
        <w:rPr>
          <w:sz w:val="24"/>
          <w:szCs w:val="24"/>
        </w:rPr>
        <w:t>mirtazapin</w:t>
      </w:r>
      <w:proofErr w:type="spellEnd"/>
      <w:r w:rsidRPr="00252A39">
        <w:rPr>
          <w:sz w:val="24"/>
          <w:szCs w:val="24"/>
        </w:rPr>
        <w:t xml:space="preserve">. Reversibel </w:t>
      </w:r>
      <w:proofErr w:type="spellStart"/>
      <w:r w:rsidRPr="00252A39">
        <w:rPr>
          <w:sz w:val="24"/>
          <w:szCs w:val="24"/>
        </w:rPr>
        <w:t>agranulocytose</w:t>
      </w:r>
      <w:proofErr w:type="spellEnd"/>
      <w:r w:rsidRPr="00252A39">
        <w:rPr>
          <w:sz w:val="24"/>
          <w:szCs w:val="24"/>
        </w:rPr>
        <w:t xml:space="preserve"> er blevet rapporteret som en sjælden tilstand i kliniske studier med </w:t>
      </w:r>
      <w:proofErr w:type="spellStart"/>
      <w:r w:rsidRPr="00252A39">
        <w:rPr>
          <w:sz w:val="24"/>
          <w:szCs w:val="24"/>
        </w:rPr>
        <w:t>mirtazapin</w:t>
      </w:r>
      <w:proofErr w:type="spellEnd"/>
      <w:r w:rsidRPr="00252A39">
        <w:rPr>
          <w:sz w:val="24"/>
          <w:szCs w:val="24"/>
        </w:rPr>
        <w:t xml:space="preserve">. I tiden efter markedsføring af </w:t>
      </w:r>
      <w:proofErr w:type="spellStart"/>
      <w:r w:rsidRPr="00252A39">
        <w:rPr>
          <w:sz w:val="24"/>
          <w:szCs w:val="24"/>
        </w:rPr>
        <w:t>mirtazapin</w:t>
      </w:r>
      <w:proofErr w:type="spellEnd"/>
      <w:r w:rsidRPr="00252A39">
        <w:rPr>
          <w:sz w:val="24"/>
          <w:szCs w:val="24"/>
        </w:rPr>
        <w:t xml:space="preserve"> er der i meget sjældne tilfælde rapporteret </w:t>
      </w:r>
      <w:proofErr w:type="spellStart"/>
      <w:r w:rsidRPr="00252A39">
        <w:rPr>
          <w:sz w:val="24"/>
          <w:szCs w:val="24"/>
        </w:rPr>
        <w:t>agranulocytose</w:t>
      </w:r>
      <w:proofErr w:type="spellEnd"/>
      <w:r w:rsidRPr="00252A39">
        <w:rPr>
          <w:sz w:val="24"/>
          <w:szCs w:val="24"/>
        </w:rPr>
        <w:t xml:space="preserve">, de fleste reversible, men nogle tilfælde fatale. De fatale tilfælde omhandlede hovedsageligt patienter over 65 år. Lægen bør være opmærksom på symptomer som feber, ondt i halsen, </w:t>
      </w:r>
      <w:proofErr w:type="spellStart"/>
      <w:r w:rsidRPr="00252A39">
        <w:rPr>
          <w:sz w:val="24"/>
          <w:szCs w:val="24"/>
        </w:rPr>
        <w:t>stomatitis</w:t>
      </w:r>
      <w:proofErr w:type="spellEnd"/>
      <w:r w:rsidRPr="00252A39">
        <w:rPr>
          <w:sz w:val="24"/>
          <w:szCs w:val="24"/>
        </w:rPr>
        <w:t xml:space="preserve"> eller andre tegn på infektion. Hvis disse symptomer forekommer bør behandlingen stoppes, og en undersøgelse af blodbilledet foretages.</w:t>
      </w:r>
    </w:p>
    <w:p w:rsidR="00DF5345" w:rsidRPr="00252A39" w:rsidRDefault="00DF5345" w:rsidP="00DF5345">
      <w:pPr>
        <w:ind w:left="851" w:hanging="851"/>
        <w:rPr>
          <w:sz w:val="24"/>
          <w:szCs w:val="24"/>
        </w:rPr>
      </w:pPr>
    </w:p>
    <w:p w:rsidR="00DF5345" w:rsidRPr="00252A39" w:rsidRDefault="00DF5345" w:rsidP="00DF5345">
      <w:pPr>
        <w:autoSpaceDE w:val="0"/>
        <w:autoSpaceDN w:val="0"/>
        <w:adjustRightInd w:val="0"/>
        <w:ind w:left="851"/>
        <w:rPr>
          <w:sz w:val="24"/>
          <w:szCs w:val="24"/>
          <w:u w:val="single"/>
        </w:rPr>
      </w:pPr>
      <w:r w:rsidRPr="00252A39">
        <w:rPr>
          <w:sz w:val="24"/>
          <w:szCs w:val="24"/>
          <w:u w:val="single"/>
        </w:rPr>
        <w:t>Gulsot</w:t>
      </w:r>
    </w:p>
    <w:p w:rsidR="00DF5345" w:rsidRPr="00252A39" w:rsidRDefault="00DF5345" w:rsidP="00DF5345">
      <w:pPr>
        <w:autoSpaceDE w:val="0"/>
        <w:autoSpaceDN w:val="0"/>
        <w:adjustRightInd w:val="0"/>
        <w:ind w:left="851"/>
        <w:rPr>
          <w:sz w:val="24"/>
          <w:szCs w:val="24"/>
        </w:rPr>
      </w:pPr>
      <w:r w:rsidRPr="00252A39">
        <w:rPr>
          <w:sz w:val="24"/>
          <w:szCs w:val="24"/>
        </w:rPr>
        <w:t>Behandlingen bør afbrydes såfremt der optræder gulsot.</w:t>
      </w:r>
    </w:p>
    <w:p w:rsidR="00DF5345" w:rsidRPr="00252A39" w:rsidRDefault="00DF5345" w:rsidP="00DF5345">
      <w:pPr>
        <w:autoSpaceDE w:val="0"/>
        <w:autoSpaceDN w:val="0"/>
        <w:adjustRightInd w:val="0"/>
        <w:rPr>
          <w:sz w:val="24"/>
          <w:szCs w:val="24"/>
        </w:rPr>
      </w:pPr>
    </w:p>
    <w:p w:rsidR="00DF5345" w:rsidRPr="00252A39" w:rsidRDefault="00DF5345" w:rsidP="00DF5345">
      <w:pPr>
        <w:ind w:left="851"/>
        <w:rPr>
          <w:sz w:val="24"/>
          <w:szCs w:val="24"/>
        </w:rPr>
      </w:pPr>
      <w:r w:rsidRPr="00252A39">
        <w:rPr>
          <w:sz w:val="24"/>
          <w:szCs w:val="24"/>
          <w:u w:val="single"/>
        </w:rPr>
        <w:t>Tilstande der kræver overvågning</w:t>
      </w:r>
    </w:p>
    <w:p w:rsidR="00DF5345" w:rsidRPr="00252A39" w:rsidRDefault="00DF5345" w:rsidP="00DF5345">
      <w:pPr>
        <w:ind w:left="851"/>
        <w:rPr>
          <w:sz w:val="24"/>
          <w:szCs w:val="24"/>
        </w:rPr>
      </w:pPr>
      <w:r w:rsidRPr="00252A39">
        <w:rPr>
          <w:sz w:val="24"/>
          <w:szCs w:val="24"/>
        </w:rPr>
        <w:t>Forsigtig dosering samt regelmæssig og nøje overvågning er nødvendig hos patienter med:</w:t>
      </w:r>
    </w:p>
    <w:p w:rsidR="00DF5345" w:rsidRPr="00252A39" w:rsidRDefault="00DF5345" w:rsidP="00DF5345">
      <w:pPr>
        <w:numPr>
          <w:ilvl w:val="0"/>
          <w:numId w:val="6"/>
        </w:numPr>
        <w:tabs>
          <w:tab w:val="clear" w:pos="720"/>
          <w:tab w:val="left" w:pos="1418"/>
        </w:tabs>
        <w:ind w:left="1418" w:hanging="567"/>
        <w:rPr>
          <w:sz w:val="24"/>
          <w:szCs w:val="24"/>
        </w:rPr>
      </w:pPr>
      <w:r w:rsidRPr="00252A39">
        <w:rPr>
          <w:sz w:val="24"/>
          <w:szCs w:val="24"/>
        </w:rPr>
        <w:t xml:space="preserve">Epilepsi og organisk hjernesyndrom. Selvom klinisk erfaring har vist, at epileptiske anfald er sjældne under behandling med </w:t>
      </w:r>
      <w:proofErr w:type="spellStart"/>
      <w:r w:rsidRPr="00252A39">
        <w:rPr>
          <w:sz w:val="24"/>
          <w:szCs w:val="24"/>
        </w:rPr>
        <w:t>mirtazapin</w:t>
      </w:r>
      <w:proofErr w:type="spellEnd"/>
      <w:r w:rsidRPr="00252A39">
        <w:rPr>
          <w:sz w:val="24"/>
          <w:szCs w:val="24"/>
        </w:rPr>
        <w:t xml:space="preserve">, som også med andre </w:t>
      </w:r>
      <w:proofErr w:type="spellStart"/>
      <w:r w:rsidRPr="00252A39">
        <w:rPr>
          <w:sz w:val="24"/>
          <w:szCs w:val="24"/>
        </w:rPr>
        <w:t>antidepressiva</w:t>
      </w:r>
      <w:proofErr w:type="spellEnd"/>
      <w:r w:rsidRPr="00252A39">
        <w:rPr>
          <w:sz w:val="24"/>
          <w:szCs w:val="24"/>
        </w:rPr>
        <w:t xml:space="preserve">, bør behandling med </w:t>
      </w:r>
      <w:proofErr w:type="spellStart"/>
      <w:r w:rsidR="00A0778C">
        <w:rPr>
          <w:sz w:val="24"/>
          <w:szCs w:val="24"/>
        </w:rPr>
        <w:t>Mirtazapin</w:t>
      </w:r>
      <w:proofErr w:type="spellEnd"/>
      <w:r w:rsidR="002E190A">
        <w:rPr>
          <w:sz w:val="24"/>
          <w:szCs w:val="24"/>
        </w:rPr>
        <w:t xml:space="preserve"> ”</w:t>
      </w:r>
      <w:proofErr w:type="spellStart"/>
      <w:r w:rsidR="002E190A">
        <w:rPr>
          <w:sz w:val="24"/>
          <w:szCs w:val="24"/>
        </w:rPr>
        <w:t>Paranova</w:t>
      </w:r>
      <w:proofErr w:type="spellEnd"/>
      <w:r w:rsidR="002E190A">
        <w:rPr>
          <w:sz w:val="24"/>
          <w:szCs w:val="24"/>
        </w:rPr>
        <w:t>”</w:t>
      </w:r>
      <w:r w:rsidRPr="00252A39">
        <w:rPr>
          <w:sz w:val="24"/>
          <w:szCs w:val="24"/>
        </w:rPr>
        <w:t xml:space="preserve"> startes med forsigtighed hos de patienter, som har epileptiske anfald i anamnesen. Behandlingen bør afbrydes hos patienter, som udvikler epileptiske anfald, eller hvor der er en øgning i hyppigheden af anfald.</w:t>
      </w:r>
    </w:p>
    <w:p w:rsidR="00DF5345" w:rsidRPr="00252A39" w:rsidRDefault="00DF5345" w:rsidP="00DF5345">
      <w:pPr>
        <w:numPr>
          <w:ilvl w:val="0"/>
          <w:numId w:val="6"/>
        </w:numPr>
        <w:tabs>
          <w:tab w:val="clear" w:pos="720"/>
          <w:tab w:val="left" w:pos="1418"/>
        </w:tabs>
        <w:ind w:left="1418" w:hanging="567"/>
        <w:rPr>
          <w:sz w:val="24"/>
          <w:szCs w:val="24"/>
        </w:rPr>
      </w:pPr>
      <w:r w:rsidRPr="00252A39">
        <w:rPr>
          <w:sz w:val="24"/>
          <w:szCs w:val="24"/>
        </w:rPr>
        <w:t xml:space="preserve">Leverinsufficiens: Efter en oral enkeltdosis på 15 mg </w:t>
      </w:r>
      <w:proofErr w:type="spellStart"/>
      <w:r w:rsidRPr="00252A39">
        <w:rPr>
          <w:sz w:val="24"/>
          <w:szCs w:val="24"/>
        </w:rPr>
        <w:t>mirtazapin</w:t>
      </w:r>
      <w:proofErr w:type="spellEnd"/>
      <w:r w:rsidRPr="00252A39">
        <w:rPr>
          <w:sz w:val="24"/>
          <w:szCs w:val="24"/>
        </w:rPr>
        <w:t xml:space="preserve"> var </w:t>
      </w:r>
      <w:proofErr w:type="spellStart"/>
      <w:r w:rsidRPr="00252A39">
        <w:rPr>
          <w:sz w:val="24"/>
          <w:szCs w:val="24"/>
        </w:rPr>
        <w:t>mirtazapins</w:t>
      </w:r>
      <w:proofErr w:type="spellEnd"/>
      <w:r w:rsidRPr="00252A39">
        <w:rPr>
          <w:sz w:val="24"/>
          <w:szCs w:val="24"/>
        </w:rPr>
        <w:t xml:space="preserve"> </w:t>
      </w:r>
      <w:proofErr w:type="spellStart"/>
      <w:r w:rsidRPr="00252A39">
        <w:rPr>
          <w:sz w:val="24"/>
          <w:szCs w:val="24"/>
        </w:rPr>
        <w:t>clearance</w:t>
      </w:r>
      <w:proofErr w:type="spellEnd"/>
      <w:r w:rsidRPr="00252A39">
        <w:rPr>
          <w:sz w:val="24"/>
          <w:szCs w:val="24"/>
        </w:rPr>
        <w:t xml:space="preserve"> ca. 35 % nedsat hos patienter med mild til moderat leverinsufficiens, sammenlignet med personer med normal leverfunktion. Den gennemsnitlige </w:t>
      </w:r>
      <w:proofErr w:type="spellStart"/>
      <w:r w:rsidRPr="00252A39">
        <w:rPr>
          <w:sz w:val="24"/>
          <w:szCs w:val="24"/>
        </w:rPr>
        <w:t>mirtazapin</w:t>
      </w:r>
      <w:proofErr w:type="spellEnd"/>
      <w:r w:rsidRPr="00252A39">
        <w:rPr>
          <w:sz w:val="24"/>
          <w:szCs w:val="24"/>
        </w:rPr>
        <w:t xml:space="preserve"> plasmakoncentration var steget ca. 55 %.</w:t>
      </w:r>
    </w:p>
    <w:p w:rsidR="00DF5345" w:rsidRPr="00252A39" w:rsidRDefault="00DF5345" w:rsidP="00DF5345">
      <w:pPr>
        <w:numPr>
          <w:ilvl w:val="0"/>
          <w:numId w:val="6"/>
        </w:numPr>
        <w:tabs>
          <w:tab w:val="clear" w:pos="720"/>
          <w:tab w:val="left" w:pos="1418"/>
        </w:tabs>
        <w:ind w:left="1418" w:hanging="567"/>
        <w:rPr>
          <w:sz w:val="24"/>
          <w:szCs w:val="24"/>
        </w:rPr>
      </w:pPr>
      <w:r w:rsidRPr="00252A39">
        <w:rPr>
          <w:sz w:val="24"/>
          <w:szCs w:val="24"/>
        </w:rPr>
        <w:t xml:space="preserve">Nyreinsufficiens: Efter en oral enkeltdosis på 15 mg </w:t>
      </w:r>
      <w:proofErr w:type="spellStart"/>
      <w:r w:rsidRPr="00252A39">
        <w:rPr>
          <w:sz w:val="24"/>
          <w:szCs w:val="24"/>
        </w:rPr>
        <w:t>mirtazapin</w:t>
      </w:r>
      <w:proofErr w:type="spellEnd"/>
      <w:r w:rsidRPr="00252A39">
        <w:rPr>
          <w:sz w:val="24"/>
          <w:szCs w:val="24"/>
        </w:rPr>
        <w:t xml:space="preserve"> til patienter med moderat (</w:t>
      </w:r>
      <w:proofErr w:type="spellStart"/>
      <w:r w:rsidRPr="00252A39">
        <w:rPr>
          <w:sz w:val="24"/>
          <w:szCs w:val="24"/>
        </w:rPr>
        <w:t>kreatininclearance</w:t>
      </w:r>
      <w:proofErr w:type="spellEnd"/>
      <w:r w:rsidRPr="00252A39">
        <w:rPr>
          <w:sz w:val="24"/>
          <w:szCs w:val="24"/>
        </w:rPr>
        <w:t xml:space="preserve"> &lt;40 ml/ml) og svær (</w:t>
      </w:r>
      <w:proofErr w:type="spellStart"/>
      <w:r w:rsidRPr="00252A39">
        <w:rPr>
          <w:sz w:val="24"/>
          <w:szCs w:val="24"/>
        </w:rPr>
        <w:t>kreatininclearance</w:t>
      </w:r>
      <w:proofErr w:type="spellEnd"/>
      <w:r w:rsidRPr="00252A39">
        <w:rPr>
          <w:sz w:val="24"/>
          <w:szCs w:val="24"/>
        </w:rPr>
        <w:t xml:space="preserve"> ≤10 ml/min) nyreinsufficiens var </w:t>
      </w:r>
      <w:proofErr w:type="spellStart"/>
      <w:r w:rsidRPr="00252A39">
        <w:rPr>
          <w:sz w:val="24"/>
          <w:szCs w:val="24"/>
        </w:rPr>
        <w:t>mirtazapins</w:t>
      </w:r>
      <w:proofErr w:type="spellEnd"/>
      <w:r w:rsidRPr="00252A39">
        <w:rPr>
          <w:sz w:val="24"/>
          <w:szCs w:val="24"/>
        </w:rPr>
        <w:t xml:space="preserve"> </w:t>
      </w:r>
      <w:proofErr w:type="spellStart"/>
      <w:r w:rsidRPr="00252A39">
        <w:rPr>
          <w:sz w:val="24"/>
          <w:szCs w:val="24"/>
        </w:rPr>
        <w:t>clearance</w:t>
      </w:r>
      <w:proofErr w:type="spellEnd"/>
      <w:r w:rsidRPr="00252A39">
        <w:rPr>
          <w:sz w:val="24"/>
          <w:szCs w:val="24"/>
        </w:rPr>
        <w:t xml:space="preserve"> faldet med hhv. ca. 30 % og 50 %, sammenlignet med normale personer. Den gennemsnitlige plasmakoncentration af </w:t>
      </w:r>
      <w:proofErr w:type="spellStart"/>
      <w:r w:rsidRPr="00252A39">
        <w:rPr>
          <w:sz w:val="24"/>
          <w:szCs w:val="24"/>
        </w:rPr>
        <w:t>mirtazapin</w:t>
      </w:r>
      <w:proofErr w:type="spellEnd"/>
      <w:r w:rsidRPr="00252A39">
        <w:rPr>
          <w:sz w:val="24"/>
          <w:szCs w:val="24"/>
        </w:rPr>
        <w:t xml:space="preserve"> var forhøjet med hhv. ca. 55 % og </w:t>
      </w:r>
      <w:r w:rsidRPr="00143EC5">
        <w:rPr>
          <w:sz w:val="24"/>
          <w:szCs w:val="24"/>
        </w:rPr>
        <w:t xml:space="preserve">115 %. </w:t>
      </w:r>
      <w:r w:rsidRPr="00252A39">
        <w:rPr>
          <w:sz w:val="24"/>
          <w:szCs w:val="24"/>
        </w:rPr>
        <w:t xml:space="preserve">Der blev ikke fundet </w:t>
      </w:r>
      <w:r w:rsidRPr="00252A39">
        <w:rPr>
          <w:sz w:val="24"/>
          <w:szCs w:val="24"/>
        </w:rPr>
        <w:lastRenderedPageBreak/>
        <w:t xml:space="preserve">signifikante forskelle hos patienter med mild </w:t>
      </w:r>
      <w:proofErr w:type="spellStart"/>
      <w:r w:rsidRPr="00252A39">
        <w:rPr>
          <w:sz w:val="24"/>
          <w:szCs w:val="24"/>
        </w:rPr>
        <w:t>nyreinsufficens</w:t>
      </w:r>
      <w:proofErr w:type="spellEnd"/>
      <w:r w:rsidRPr="00252A39">
        <w:rPr>
          <w:sz w:val="24"/>
          <w:szCs w:val="24"/>
        </w:rPr>
        <w:t xml:space="preserve"> (</w:t>
      </w:r>
      <w:proofErr w:type="spellStart"/>
      <w:r w:rsidRPr="00252A39">
        <w:rPr>
          <w:sz w:val="24"/>
          <w:szCs w:val="24"/>
        </w:rPr>
        <w:t>kreatininclearance</w:t>
      </w:r>
      <w:proofErr w:type="spellEnd"/>
      <w:r w:rsidRPr="00252A39">
        <w:rPr>
          <w:sz w:val="24"/>
          <w:szCs w:val="24"/>
        </w:rPr>
        <w:t xml:space="preserve"> &lt;80 ml/min) sammenlignet med kontrolgruppen.</w:t>
      </w:r>
    </w:p>
    <w:p w:rsidR="00DF5345" w:rsidRPr="00252A39" w:rsidRDefault="00DF5345" w:rsidP="00DF5345">
      <w:pPr>
        <w:numPr>
          <w:ilvl w:val="0"/>
          <w:numId w:val="6"/>
        </w:numPr>
        <w:tabs>
          <w:tab w:val="clear" w:pos="720"/>
          <w:tab w:val="left" w:pos="1418"/>
        </w:tabs>
        <w:ind w:left="1418" w:hanging="567"/>
        <w:rPr>
          <w:sz w:val="24"/>
          <w:szCs w:val="24"/>
        </w:rPr>
      </w:pPr>
      <w:r w:rsidRPr="00252A39">
        <w:rPr>
          <w:sz w:val="24"/>
          <w:szCs w:val="24"/>
        </w:rPr>
        <w:t>Hjertesygdomme såsom ledningsforstyrrelser, angina pectoris og nyligt myokardieinfarkt, hvor de sædvanlige forsigtighedsregler bør tages og samtidig medicinindtagelse administreres forsigtigt.</w:t>
      </w:r>
    </w:p>
    <w:p w:rsidR="00DF5345" w:rsidRPr="00252A39" w:rsidRDefault="00DF5345" w:rsidP="00DF5345">
      <w:pPr>
        <w:numPr>
          <w:ilvl w:val="0"/>
          <w:numId w:val="6"/>
        </w:numPr>
        <w:tabs>
          <w:tab w:val="clear" w:pos="720"/>
          <w:tab w:val="left" w:pos="1418"/>
        </w:tabs>
        <w:ind w:left="1418" w:hanging="567"/>
        <w:rPr>
          <w:sz w:val="24"/>
          <w:szCs w:val="24"/>
        </w:rPr>
      </w:pPr>
      <w:r w:rsidRPr="00252A39">
        <w:rPr>
          <w:sz w:val="24"/>
          <w:szCs w:val="24"/>
        </w:rPr>
        <w:t>Lavt blodtryk.</w:t>
      </w:r>
    </w:p>
    <w:p w:rsidR="00DF5345" w:rsidRPr="00252A39" w:rsidRDefault="00DF5345" w:rsidP="00DF5345">
      <w:pPr>
        <w:numPr>
          <w:ilvl w:val="0"/>
          <w:numId w:val="6"/>
        </w:numPr>
        <w:tabs>
          <w:tab w:val="clear" w:pos="720"/>
          <w:tab w:val="left" w:pos="1418"/>
        </w:tabs>
        <w:ind w:left="1418" w:hanging="567"/>
        <w:rPr>
          <w:sz w:val="24"/>
          <w:szCs w:val="24"/>
        </w:rPr>
      </w:pPr>
      <w:r w:rsidRPr="00252A39">
        <w:rPr>
          <w:sz w:val="24"/>
          <w:szCs w:val="24"/>
        </w:rPr>
        <w:t xml:space="preserve">Diabetes mellitus: Hos patienter med diabetes, kan </w:t>
      </w:r>
      <w:proofErr w:type="spellStart"/>
      <w:r w:rsidRPr="00252A39">
        <w:rPr>
          <w:sz w:val="24"/>
          <w:szCs w:val="24"/>
        </w:rPr>
        <w:t>antidepressiva</w:t>
      </w:r>
      <w:proofErr w:type="spellEnd"/>
      <w:r w:rsidRPr="00252A39">
        <w:rPr>
          <w:sz w:val="24"/>
          <w:szCs w:val="24"/>
        </w:rPr>
        <w:t xml:space="preserve"> påvirke den </w:t>
      </w:r>
      <w:proofErr w:type="spellStart"/>
      <w:r w:rsidRPr="00252A39">
        <w:rPr>
          <w:sz w:val="24"/>
          <w:szCs w:val="24"/>
        </w:rPr>
        <w:t>glycæmiske</w:t>
      </w:r>
      <w:proofErr w:type="spellEnd"/>
      <w:r w:rsidRPr="00252A39">
        <w:rPr>
          <w:sz w:val="24"/>
          <w:szCs w:val="24"/>
        </w:rPr>
        <w:t xml:space="preserve"> kontrol. Dosering af insulin og/eller orale hypoglykæmiske midler må muligvis justeres, og nøje overvågning anbefales.</w:t>
      </w:r>
    </w:p>
    <w:p w:rsidR="00DF5345" w:rsidRPr="00252A39" w:rsidRDefault="00DF5345" w:rsidP="00DF5345">
      <w:pPr>
        <w:ind w:left="851" w:hanging="851"/>
        <w:rPr>
          <w:sz w:val="24"/>
          <w:szCs w:val="24"/>
        </w:rPr>
      </w:pPr>
    </w:p>
    <w:p w:rsidR="00DF5345" w:rsidRPr="00252A39" w:rsidRDefault="00DF5345" w:rsidP="00DF5345">
      <w:pPr>
        <w:ind w:left="851"/>
        <w:rPr>
          <w:sz w:val="24"/>
          <w:szCs w:val="24"/>
        </w:rPr>
      </w:pPr>
      <w:r w:rsidRPr="00252A39">
        <w:rPr>
          <w:sz w:val="24"/>
          <w:szCs w:val="24"/>
        </w:rPr>
        <w:t xml:space="preserve">Som ved andre </w:t>
      </w:r>
      <w:proofErr w:type="spellStart"/>
      <w:r w:rsidRPr="00252A39">
        <w:rPr>
          <w:sz w:val="24"/>
          <w:szCs w:val="24"/>
        </w:rPr>
        <w:t>antidepressiva</w:t>
      </w:r>
      <w:proofErr w:type="spellEnd"/>
      <w:r w:rsidRPr="00252A39">
        <w:rPr>
          <w:sz w:val="24"/>
          <w:szCs w:val="24"/>
        </w:rPr>
        <w:t xml:space="preserve"> bør der tages højde for følgende:</w:t>
      </w:r>
    </w:p>
    <w:p w:rsidR="00DF5345" w:rsidRPr="00252A39" w:rsidRDefault="00DF5345" w:rsidP="00DF5345">
      <w:pPr>
        <w:numPr>
          <w:ilvl w:val="0"/>
          <w:numId w:val="6"/>
        </w:numPr>
        <w:tabs>
          <w:tab w:val="clear" w:pos="720"/>
          <w:tab w:val="left" w:pos="1418"/>
        </w:tabs>
        <w:ind w:left="1418" w:hanging="567"/>
        <w:rPr>
          <w:sz w:val="24"/>
          <w:szCs w:val="24"/>
        </w:rPr>
      </w:pPr>
      <w:r w:rsidRPr="00252A39">
        <w:rPr>
          <w:sz w:val="24"/>
          <w:szCs w:val="24"/>
        </w:rPr>
        <w:t xml:space="preserve">Forværring af psykotiske symptomer kan forekomme, når </w:t>
      </w:r>
      <w:proofErr w:type="spellStart"/>
      <w:r w:rsidRPr="00252A39">
        <w:rPr>
          <w:sz w:val="24"/>
          <w:szCs w:val="24"/>
        </w:rPr>
        <w:t>antidepressiva</w:t>
      </w:r>
      <w:proofErr w:type="spellEnd"/>
      <w:r w:rsidRPr="00252A39">
        <w:rPr>
          <w:sz w:val="24"/>
          <w:szCs w:val="24"/>
        </w:rPr>
        <w:t xml:space="preserve"> administreres til patienter med skizofreni eller andre psykotiske tilstande. Paranoide tanker kan forstærkes.</w:t>
      </w:r>
    </w:p>
    <w:p w:rsidR="00DF5345" w:rsidRPr="00252A39" w:rsidRDefault="00DF5345" w:rsidP="00DF5345">
      <w:pPr>
        <w:numPr>
          <w:ilvl w:val="0"/>
          <w:numId w:val="6"/>
        </w:numPr>
        <w:tabs>
          <w:tab w:val="clear" w:pos="720"/>
          <w:tab w:val="left" w:pos="1418"/>
        </w:tabs>
        <w:ind w:left="1418" w:hanging="567"/>
        <w:rPr>
          <w:sz w:val="24"/>
          <w:szCs w:val="24"/>
        </w:rPr>
      </w:pPr>
      <w:r w:rsidRPr="00252A39">
        <w:rPr>
          <w:sz w:val="24"/>
          <w:szCs w:val="24"/>
        </w:rPr>
        <w:t>Når den depressive fase ved bipolar lidelse behandles, kan den ændre sig til manisk fase. Patienter med mani/</w:t>
      </w:r>
      <w:proofErr w:type="spellStart"/>
      <w:r w:rsidRPr="00252A39">
        <w:rPr>
          <w:sz w:val="24"/>
          <w:szCs w:val="24"/>
        </w:rPr>
        <w:t>hypomani</w:t>
      </w:r>
      <w:proofErr w:type="spellEnd"/>
      <w:r w:rsidRPr="00252A39">
        <w:rPr>
          <w:sz w:val="24"/>
          <w:szCs w:val="24"/>
        </w:rPr>
        <w:t xml:space="preserve"> i anamnesen bør monitoreres tæt. Behandling med </w:t>
      </w:r>
      <w:proofErr w:type="spellStart"/>
      <w:r w:rsidRPr="00252A39">
        <w:rPr>
          <w:sz w:val="24"/>
          <w:szCs w:val="24"/>
        </w:rPr>
        <w:t>mirtazapin</w:t>
      </w:r>
      <w:proofErr w:type="spellEnd"/>
      <w:r w:rsidRPr="00252A39">
        <w:rPr>
          <w:sz w:val="24"/>
          <w:szCs w:val="24"/>
        </w:rPr>
        <w:t xml:space="preserve"> bør ophøre, såfremt en patient går i manisk fase.</w:t>
      </w:r>
    </w:p>
    <w:p w:rsidR="00DF5345" w:rsidRPr="00252A39" w:rsidRDefault="00DF5345" w:rsidP="00DF5345">
      <w:pPr>
        <w:numPr>
          <w:ilvl w:val="0"/>
          <w:numId w:val="6"/>
        </w:numPr>
        <w:tabs>
          <w:tab w:val="clear" w:pos="720"/>
          <w:tab w:val="left" w:pos="1418"/>
        </w:tabs>
        <w:ind w:left="1418" w:hanging="567"/>
        <w:rPr>
          <w:sz w:val="24"/>
          <w:szCs w:val="24"/>
        </w:rPr>
      </w:pPr>
      <w:r w:rsidRPr="00252A39">
        <w:rPr>
          <w:sz w:val="24"/>
          <w:szCs w:val="24"/>
        </w:rPr>
        <w:t>Som følge af risikoen for selvmord, bør der udleveres en begrænset lille mængde tabletter, særlig ved starten af behandlingen.</w:t>
      </w:r>
    </w:p>
    <w:p w:rsidR="00DF5345" w:rsidRPr="00252A39" w:rsidRDefault="00DF5345" w:rsidP="00DF5345">
      <w:pPr>
        <w:numPr>
          <w:ilvl w:val="0"/>
          <w:numId w:val="6"/>
        </w:numPr>
        <w:tabs>
          <w:tab w:val="clear" w:pos="720"/>
          <w:tab w:val="left" w:pos="1418"/>
        </w:tabs>
        <w:ind w:left="1418" w:hanging="567"/>
        <w:rPr>
          <w:sz w:val="24"/>
          <w:szCs w:val="24"/>
        </w:rPr>
      </w:pPr>
      <w:r w:rsidRPr="00252A39">
        <w:rPr>
          <w:sz w:val="24"/>
          <w:szCs w:val="24"/>
        </w:rPr>
        <w:t xml:space="preserve">Selvom </w:t>
      </w:r>
      <w:r w:rsidR="00A0778C">
        <w:rPr>
          <w:noProof/>
          <w:sz w:val="24"/>
          <w:szCs w:val="24"/>
        </w:rPr>
        <w:t>Mirtazapin</w:t>
      </w:r>
      <w:r w:rsidR="002E190A">
        <w:rPr>
          <w:noProof/>
          <w:sz w:val="24"/>
          <w:szCs w:val="24"/>
        </w:rPr>
        <w:t xml:space="preserve"> ”Paranova”</w:t>
      </w:r>
      <w:r w:rsidRPr="00252A39">
        <w:rPr>
          <w:sz w:val="24"/>
          <w:szCs w:val="24"/>
        </w:rPr>
        <w:t xml:space="preserve"> ikke er afhængighedsskabende, viser erfaringer efter markedsføring, at brat ophør af behandlingen efter langvarig administration kan medføre </w:t>
      </w:r>
      <w:proofErr w:type="spellStart"/>
      <w:r w:rsidRPr="00252A39">
        <w:rPr>
          <w:sz w:val="24"/>
          <w:szCs w:val="24"/>
        </w:rPr>
        <w:t>seponeringssymptomer</w:t>
      </w:r>
      <w:proofErr w:type="spellEnd"/>
      <w:r w:rsidRPr="00252A39">
        <w:rPr>
          <w:sz w:val="24"/>
          <w:szCs w:val="24"/>
        </w:rPr>
        <w:t xml:space="preserve">. Størstedelen af abstinenssymptomerne er milde og selvbegrænsende. Blandt de forskellige </w:t>
      </w:r>
      <w:proofErr w:type="spellStart"/>
      <w:r w:rsidRPr="00252A39">
        <w:rPr>
          <w:sz w:val="24"/>
          <w:szCs w:val="24"/>
        </w:rPr>
        <w:t>seponeringssymptomer</w:t>
      </w:r>
      <w:proofErr w:type="spellEnd"/>
      <w:r w:rsidRPr="00252A39">
        <w:rPr>
          <w:sz w:val="24"/>
          <w:szCs w:val="24"/>
        </w:rPr>
        <w:t xml:space="preserve"> er de hyppigst rapporterede svimmelhed, agitation, angst, hovedpine og kvalme. Selvom de er rapporteret som </w:t>
      </w:r>
      <w:proofErr w:type="spellStart"/>
      <w:r w:rsidRPr="00252A39">
        <w:rPr>
          <w:sz w:val="24"/>
          <w:szCs w:val="24"/>
        </w:rPr>
        <w:t>seponeringssymptomer</w:t>
      </w:r>
      <w:proofErr w:type="spellEnd"/>
      <w:r w:rsidRPr="00252A39">
        <w:rPr>
          <w:sz w:val="24"/>
          <w:szCs w:val="24"/>
        </w:rPr>
        <w:t xml:space="preserve">, bør man være opmærksom på, at disse symptomer kan være relateret til den underliggende sygdom. Som angivet i pkt.4.2, anbefales det at nedtrappe behandling med </w:t>
      </w:r>
      <w:proofErr w:type="spellStart"/>
      <w:r w:rsidRPr="00252A39">
        <w:rPr>
          <w:sz w:val="24"/>
          <w:szCs w:val="24"/>
        </w:rPr>
        <w:t>mirtazapin</w:t>
      </w:r>
      <w:proofErr w:type="spellEnd"/>
      <w:r w:rsidRPr="00252A39">
        <w:rPr>
          <w:sz w:val="24"/>
          <w:szCs w:val="24"/>
        </w:rPr>
        <w:t xml:space="preserve"> gradvist.</w:t>
      </w:r>
    </w:p>
    <w:p w:rsidR="00DF5345" w:rsidRPr="00252A39" w:rsidRDefault="00DF5345" w:rsidP="00DF5345">
      <w:pPr>
        <w:numPr>
          <w:ilvl w:val="0"/>
          <w:numId w:val="6"/>
        </w:numPr>
        <w:tabs>
          <w:tab w:val="clear" w:pos="720"/>
          <w:tab w:val="left" w:pos="1418"/>
        </w:tabs>
        <w:ind w:left="1418" w:hanging="567"/>
        <w:rPr>
          <w:sz w:val="24"/>
          <w:szCs w:val="24"/>
        </w:rPr>
      </w:pPr>
      <w:r w:rsidRPr="00252A39">
        <w:rPr>
          <w:sz w:val="24"/>
          <w:szCs w:val="24"/>
        </w:rPr>
        <w:t xml:space="preserve">Der bør udvises forsigtighed hos patienter med </w:t>
      </w:r>
      <w:proofErr w:type="spellStart"/>
      <w:r w:rsidRPr="00252A39">
        <w:rPr>
          <w:sz w:val="24"/>
          <w:szCs w:val="24"/>
        </w:rPr>
        <w:t>miktionsforstyrrelser</w:t>
      </w:r>
      <w:proofErr w:type="spellEnd"/>
      <w:r w:rsidRPr="00252A39">
        <w:rPr>
          <w:sz w:val="24"/>
          <w:szCs w:val="24"/>
        </w:rPr>
        <w:t xml:space="preserve"> såsom prostatahypertrofi og hos patienter med akut snævervinklet </w:t>
      </w:r>
      <w:proofErr w:type="spellStart"/>
      <w:r w:rsidRPr="00252A39">
        <w:rPr>
          <w:sz w:val="24"/>
          <w:szCs w:val="24"/>
        </w:rPr>
        <w:t>glaukom</w:t>
      </w:r>
      <w:proofErr w:type="spellEnd"/>
      <w:r w:rsidRPr="00252A39">
        <w:rPr>
          <w:sz w:val="24"/>
          <w:szCs w:val="24"/>
        </w:rPr>
        <w:t xml:space="preserve"> og forhøjet </w:t>
      </w:r>
      <w:proofErr w:type="spellStart"/>
      <w:r w:rsidRPr="00252A39">
        <w:rPr>
          <w:sz w:val="24"/>
          <w:szCs w:val="24"/>
        </w:rPr>
        <w:t>intraokulært</w:t>
      </w:r>
      <w:proofErr w:type="spellEnd"/>
      <w:r w:rsidRPr="00252A39">
        <w:rPr>
          <w:sz w:val="24"/>
          <w:szCs w:val="24"/>
        </w:rPr>
        <w:t xml:space="preserve"> tryk (selvom der en lille risiko for problemer under behandling med </w:t>
      </w:r>
      <w:r w:rsidR="00A0778C">
        <w:rPr>
          <w:noProof/>
          <w:sz w:val="24"/>
          <w:szCs w:val="24"/>
        </w:rPr>
        <w:t>Mirtazapin</w:t>
      </w:r>
      <w:r w:rsidR="002E190A">
        <w:rPr>
          <w:noProof/>
          <w:sz w:val="24"/>
          <w:szCs w:val="24"/>
        </w:rPr>
        <w:t xml:space="preserve"> ”Paranova”</w:t>
      </w:r>
      <w:r w:rsidRPr="00252A39">
        <w:rPr>
          <w:noProof/>
          <w:sz w:val="24"/>
          <w:szCs w:val="24"/>
        </w:rPr>
        <w:t xml:space="preserve"> </w:t>
      </w:r>
      <w:r w:rsidRPr="00252A39">
        <w:rPr>
          <w:sz w:val="24"/>
          <w:szCs w:val="24"/>
        </w:rPr>
        <w:t xml:space="preserve">på grund af den meget svage </w:t>
      </w:r>
      <w:proofErr w:type="spellStart"/>
      <w:r w:rsidRPr="00252A39">
        <w:rPr>
          <w:sz w:val="24"/>
          <w:szCs w:val="24"/>
        </w:rPr>
        <w:t>antikolinerge</w:t>
      </w:r>
      <w:proofErr w:type="spellEnd"/>
      <w:r w:rsidRPr="00252A39">
        <w:rPr>
          <w:sz w:val="24"/>
          <w:szCs w:val="24"/>
        </w:rPr>
        <w:t xml:space="preserve"> aktivitet).</w:t>
      </w:r>
    </w:p>
    <w:p w:rsidR="00DF5345" w:rsidRDefault="00DF5345" w:rsidP="00DF5345">
      <w:pPr>
        <w:numPr>
          <w:ilvl w:val="0"/>
          <w:numId w:val="6"/>
        </w:numPr>
        <w:tabs>
          <w:tab w:val="clear" w:pos="720"/>
          <w:tab w:val="left" w:pos="1418"/>
        </w:tabs>
        <w:ind w:left="1418" w:hanging="567"/>
        <w:rPr>
          <w:sz w:val="24"/>
          <w:szCs w:val="24"/>
        </w:rPr>
      </w:pPr>
      <w:proofErr w:type="spellStart"/>
      <w:r w:rsidRPr="00252A39">
        <w:rPr>
          <w:sz w:val="24"/>
          <w:szCs w:val="24"/>
        </w:rPr>
        <w:t>Akatisi</w:t>
      </w:r>
      <w:proofErr w:type="spellEnd"/>
      <w:r w:rsidRPr="00252A39">
        <w:rPr>
          <w:sz w:val="24"/>
          <w:szCs w:val="24"/>
        </w:rPr>
        <w:t>/</w:t>
      </w:r>
      <w:proofErr w:type="spellStart"/>
      <w:r w:rsidRPr="00252A39">
        <w:rPr>
          <w:sz w:val="24"/>
          <w:szCs w:val="24"/>
        </w:rPr>
        <w:t>psykomotorisk</w:t>
      </w:r>
      <w:proofErr w:type="spellEnd"/>
      <w:r w:rsidRPr="00252A39">
        <w:rPr>
          <w:sz w:val="24"/>
          <w:szCs w:val="24"/>
        </w:rPr>
        <w:t xml:space="preserve"> uro: Anvendelsen af </w:t>
      </w:r>
      <w:proofErr w:type="spellStart"/>
      <w:r w:rsidRPr="00252A39">
        <w:rPr>
          <w:sz w:val="24"/>
          <w:szCs w:val="24"/>
        </w:rPr>
        <w:t>antidepressiva</w:t>
      </w:r>
      <w:proofErr w:type="spellEnd"/>
      <w:r w:rsidRPr="00252A39">
        <w:rPr>
          <w:sz w:val="24"/>
          <w:szCs w:val="24"/>
        </w:rPr>
        <w:t xml:space="preserve"> er blevet forbundet med udvikling af </w:t>
      </w:r>
      <w:proofErr w:type="spellStart"/>
      <w:r w:rsidRPr="00252A39">
        <w:rPr>
          <w:sz w:val="24"/>
          <w:szCs w:val="24"/>
        </w:rPr>
        <w:t>akatisi</w:t>
      </w:r>
      <w:proofErr w:type="spellEnd"/>
      <w:r w:rsidRPr="00252A39">
        <w:rPr>
          <w:sz w:val="24"/>
          <w:szCs w:val="24"/>
        </w:rPr>
        <w:t>, karakteriseret ved subjektiv ubehagelig eller generende uro og behov for ofte at bevæge sig, ledsaget af manglende evne til at sidde eller stå stille. Dette vil mest sandsynligt ses inden for de første få uger af behandlingen. Hos patienter, som udvikler disse symptomer, kan øgning af dosis være skadelig.</w:t>
      </w:r>
    </w:p>
    <w:p w:rsidR="00DF5345" w:rsidRPr="00143EC5" w:rsidRDefault="00DF5345" w:rsidP="00DF5345">
      <w:pPr>
        <w:numPr>
          <w:ilvl w:val="0"/>
          <w:numId w:val="6"/>
        </w:numPr>
        <w:tabs>
          <w:tab w:val="clear" w:pos="720"/>
          <w:tab w:val="left" w:pos="1418"/>
        </w:tabs>
        <w:ind w:left="1418" w:hanging="567"/>
        <w:rPr>
          <w:sz w:val="24"/>
          <w:szCs w:val="24"/>
        </w:rPr>
      </w:pPr>
      <w:r w:rsidRPr="00143EC5">
        <w:rPr>
          <w:sz w:val="24"/>
          <w:szCs w:val="24"/>
        </w:rPr>
        <w:t xml:space="preserve">Tilfælde af </w:t>
      </w:r>
      <w:proofErr w:type="gramStart"/>
      <w:r w:rsidRPr="00143EC5">
        <w:rPr>
          <w:sz w:val="24"/>
          <w:szCs w:val="24"/>
        </w:rPr>
        <w:t>QT forlængelse</w:t>
      </w:r>
      <w:proofErr w:type="gramEnd"/>
      <w:r w:rsidRPr="00143EC5">
        <w:rPr>
          <w:sz w:val="24"/>
          <w:szCs w:val="24"/>
        </w:rPr>
        <w:t xml:space="preserve">, </w:t>
      </w:r>
      <w:proofErr w:type="spellStart"/>
      <w:r w:rsidRPr="00143EC5">
        <w:rPr>
          <w:sz w:val="24"/>
          <w:szCs w:val="24"/>
        </w:rPr>
        <w:t>torsades</w:t>
      </w:r>
      <w:proofErr w:type="spellEnd"/>
      <w:r w:rsidRPr="00143EC5">
        <w:rPr>
          <w:sz w:val="24"/>
          <w:szCs w:val="24"/>
        </w:rPr>
        <w:t xml:space="preserve"> de pointes, </w:t>
      </w:r>
      <w:proofErr w:type="spellStart"/>
      <w:r w:rsidRPr="00143EC5">
        <w:rPr>
          <w:sz w:val="24"/>
          <w:szCs w:val="24"/>
        </w:rPr>
        <w:t>ventrikulær</w:t>
      </w:r>
      <w:proofErr w:type="spellEnd"/>
      <w:r w:rsidRPr="00143EC5">
        <w:rPr>
          <w:sz w:val="24"/>
          <w:szCs w:val="24"/>
        </w:rPr>
        <w:t xml:space="preserve"> </w:t>
      </w:r>
      <w:proofErr w:type="spellStart"/>
      <w:r w:rsidRPr="00143EC5">
        <w:rPr>
          <w:sz w:val="24"/>
          <w:szCs w:val="24"/>
        </w:rPr>
        <w:t>takykardi</w:t>
      </w:r>
      <w:proofErr w:type="spellEnd"/>
      <w:r w:rsidRPr="00143EC5">
        <w:rPr>
          <w:sz w:val="24"/>
          <w:szCs w:val="24"/>
        </w:rPr>
        <w:t xml:space="preserve"> og pludselig død, er rapporteret ved brug af </w:t>
      </w:r>
      <w:proofErr w:type="spellStart"/>
      <w:r w:rsidRPr="00143EC5">
        <w:rPr>
          <w:sz w:val="24"/>
          <w:szCs w:val="24"/>
        </w:rPr>
        <w:t>mirtazapin</w:t>
      </w:r>
      <w:proofErr w:type="spellEnd"/>
      <w:r w:rsidRPr="00143EC5">
        <w:rPr>
          <w:sz w:val="24"/>
          <w:szCs w:val="24"/>
        </w:rPr>
        <w:t xml:space="preserve"> efter markedsføring. Størstedelen af rapporterne opstod i forbindelse med overdosering eller hos patienter med andre risikofaktorer for </w:t>
      </w:r>
      <w:proofErr w:type="gramStart"/>
      <w:r w:rsidRPr="00143EC5">
        <w:rPr>
          <w:sz w:val="24"/>
          <w:szCs w:val="24"/>
        </w:rPr>
        <w:t>QT forlængelse</w:t>
      </w:r>
      <w:proofErr w:type="gramEnd"/>
      <w:r w:rsidRPr="00143EC5">
        <w:rPr>
          <w:sz w:val="24"/>
          <w:szCs w:val="24"/>
        </w:rPr>
        <w:t xml:space="preserve">, herunder samtidig brug af </w:t>
      </w:r>
      <w:proofErr w:type="spellStart"/>
      <w:r w:rsidRPr="00143EC5">
        <w:rPr>
          <w:sz w:val="24"/>
          <w:szCs w:val="24"/>
        </w:rPr>
        <w:t>QTc</w:t>
      </w:r>
      <w:proofErr w:type="spellEnd"/>
      <w:r w:rsidRPr="00143EC5">
        <w:rPr>
          <w:sz w:val="24"/>
          <w:szCs w:val="24"/>
        </w:rPr>
        <w:t xml:space="preserve">-forlængende medicin (se pkt. 4.5 og pkt. 4.9). Forsigtighed bør udvises når </w:t>
      </w:r>
      <w:proofErr w:type="spellStart"/>
      <w:r w:rsidR="00A0778C">
        <w:rPr>
          <w:sz w:val="24"/>
          <w:szCs w:val="24"/>
        </w:rPr>
        <w:t>Mirtazapin</w:t>
      </w:r>
      <w:proofErr w:type="spellEnd"/>
      <w:r w:rsidR="002E190A">
        <w:rPr>
          <w:sz w:val="24"/>
          <w:szCs w:val="24"/>
        </w:rPr>
        <w:t xml:space="preserve"> ”</w:t>
      </w:r>
      <w:proofErr w:type="spellStart"/>
      <w:r w:rsidR="002E190A">
        <w:rPr>
          <w:sz w:val="24"/>
          <w:szCs w:val="24"/>
        </w:rPr>
        <w:t>Paranova</w:t>
      </w:r>
      <w:proofErr w:type="spellEnd"/>
      <w:r w:rsidR="002E190A">
        <w:rPr>
          <w:sz w:val="24"/>
          <w:szCs w:val="24"/>
        </w:rPr>
        <w:t>”</w:t>
      </w:r>
      <w:r w:rsidRPr="00143EC5">
        <w:rPr>
          <w:sz w:val="24"/>
          <w:szCs w:val="24"/>
        </w:rPr>
        <w:t xml:space="preserve"> ordineres til patienter med kendt </w:t>
      </w:r>
      <w:proofErr w:type="spellStart"/>
      <w:r w:rsidRPr="00143EC5">
        <w:rPr>
          <w:sz w:val="24"/>
          <w:szCs w:val="24"/>
        </w:rPr>
        <w:t>kardiovaskulær</w:t>
      </w:r>
      <w:proofErr w:type="spellEnd"/>
      <w:r w:rsidRPr="00143EC5">
        <w:rPr>
          <w:sz w:val="24"/>
          <w:szCs w:val="24"/>
        </w:rPr>
        <w:t xml:space="preserve"> sygdom eller </w:t>
      </w:r>
      <w:proofErr w:type="gramStart"/>
      <w:r w:rsidRPr="00143EC5">
        <w:rPr>
          <w:sz w:val="24"/>
          <w:szCs w:val="24"/>
        </w:rPr>
        <w:t>QT forlængelse</w:t>
      </w:r>
      <w:proofErr w:type="gramEnd"/>
      <w:r w:rsidRPr="00143EC5">
        <w:rPr>
          <w:sz w:val="24"/>
          <w:szCs w:val="24"/>
        </w:rPr>
        <w:t xml:space="preserve"> i familieanamnesen, og ved samtidig behandling med anden medicin, som antages at forlænge </w:t>
      </w:r>
      <w:proofErr w:type="spellStart"/>
      <w:r w:rsidRPr="00143EC5">
        <w:rPr>
          <w:sz w:val="24"/>
          <w:szCs w:val="24"/>
        </w:rPr>
        <w:t>QTc</w:t>
      </w:r>
      <w:proofErr w:type="spellEnd"/>
      <w:r w:rsidRPr="00143EC5">
        <w:rPr>
          <w:sz w:val="24"/>
          <w:szCs w:val="24"/>
        </w:rPr>
        <w:t>-intervallet.</w:t>
      </w:r>
    </w:p>
    <w:p w:rsidR="00DF5345" w:rsidRPr="00252A39" w:rsidRDefault="00DF5345" w:rsidP="00DF5345">
      <w:pPr>
        <w:tabs>
          <w:tab w:val="num" w:pos="284"/>
        </w:tabs>
        <w:autoSpaceDE w:val="0"/>
        <w:autoSpaceDN w:val="0"/>
        <w:adjustRightInd w:val="0"/>
        <w:ind w:left="851" w:hanging="56"/>
        <w:rPr>
          <w:sz w:val="24"/>
          <w:szCs w:val="24"/>
        </w:rPr>
      </w:pPr>
    </w:p>
    <w:p w:rsidR="00DF5345" w:rsidRPr="00252A39" w:rsidRDefault="00DF5345" w:rsidP="00DF5345">
      <w:pPr>
        <w:tabs>
          <w:tab w:val="num" w:pos="284"/>
        </w:tabs>
        <w:autoSpaceDE w:val="0"/>
        <w:autoSpaceDN w:val="0"/>
        <w:adjustRightInd w:val="0"/>
        <w:ind w:left="851"/>
        <w:rPr>
          <w:sz w:val="24"/>
          <w:szCs w:val="24"/>
          <w:u w:val="single"/>
        </w:rPr>
      </w:pPr>
      <w:proofErr w:type="spellStart"/>
      <w:r w:rsidRPr="00252A39">
        <w:rPr>
          <w:sz w:val="24"/>
          <w:szCs w:val="24"/>
          <w:u w:val="single"/>
        </w:rPr>
        <w:t>Hyponatriæmi</w:t>
      </w:r>
      <w:proofErr w:type="spellEnd"/>
    </w:p>
    <w:p w:rsidR="00DF5345" w:rsidRPr="00252A39" w:rsidRDefault="00DF5345" w:rsidP="00DF5345">
      <w:pPr>
        <w:tabs>
          <w:tab w:val="num" w:pos="284"/>
        </w:tabs>
        <w:autoSpaceDE w:val="0"/>
        <w:autoSpaceDN w:val="0"/>
        <w:adjustRightInd w:val="0"/>
        <w:ind w:left="851" w:hanging="56"/>
        <w:rPr>
          <w:sz w:val="24"/>
          <w:szCs w:val="24"/>
        </w:rPr>
      </w:pPr>
      <w:r>
        <w:rPr>
          <w:sz w:val="24"/>
          <w:szCs w:val="24"/>
        </w:rPr>
        <w:tab/>
      </w:r>
      <w:proofErr w:type="spellStart"/>
      <w:r w:rsidRPr="00252A39">
        <w:rPr>
          <w:sz w:val="24"/>
          <w:szCs w:val="24"/>
        </w:rPr>
        <w:t>Hyponatriæmi</w:t>
      </w:r>
      <w:proofErr w:type="spellEnd"/>
      <w:r w:rsidRPr="00252A39">
        <w:rPr>
          <w:sz w:val="24"/>
          <w:szCs w:val="24"/>
        </w:rPr>
        <w:t xml:space="preserve">, sandsynligvis forårsaget af uhensigtsmæssig produktion af antidiuretisk hormon (SIADH), er blevet rapporteret i meget sjældne tilfælde med </w:t>
      </w:r>
      <w:proofErr w:type="spellStart"/>
      <w:r w:rsidRPr="00252A39">
        <w:rPr>
          <w:sz w:val="24"/>
          <w:szCs w:val="24"/>
        </w:rPr>
        <w:t>mirtazapin</w:t>
      </w:r>
      <w:proofErr w:type="spellEnd"/>
      <w:r w:rsidRPr="00252A39">
        <w:rPr>
          <w:sz w:val="24"/>
          <w:szCs w:val="24"/>
        </w:rPr>
        <w:t xml:space="preserve">. Der bør udvises forsigtighed ved behandling af patienter, der har denne risiko, f.eks. ældre patienter eller patienter, der samtidig behandles med medicin kendt for at kunne forårsage </w:t>
      </w:r>
      <w:proofErr w:type="spellStart"/>
      <w:r w:rsidRPr="00252A39">
        <w:rPr>
          <w:sz w:val="24"/>
          <w:szCs w:val="24"/>
        </w:rPr>
        <w:t>hyponatriæmi</w:t>
      </w:r>
      <w:proofErr w:type="spellEnd"/>
      <w:r w:rsidRPr="00252A39">
        <w:rPr>
          <w:sz w:val="24"/>
          <w:szCs w:val="24"/>
        </w:rPr>
        <w:t>.</w:t>
      </w:r>
    </w:p>
    <w:p w:rsidR="00DF5345" w:rsidRPr="00252A39" w:rsidRDefault="00DF5345" w:rsidP="00DF5345">
      <w:pPr>
        <w:tabs>
          <w:tab w:val="num" w:pos="284"/>
        </w:tabs>
        <w:autoSpaceDE w:val="0"/>
        <w:autoSpaceDN w:val="0"/>
        <w:adjustRightInd w:val="0"/>
        <w:ind w:left="851" w:hanging="56"/>
        <w:rPr>
          <w:sz w:val="24"/>
          <w:szCs w:val="24"/>
        </w:rPr>
      </w:pPr>
    </w:p>
    <w:p w:rsidR="00DF5345" w:rsidRPr="00252A39" w:rsidRDefault="00DF5345" w:rsidP="00DF5345">
      <w:pPr>
        <w:tabs>
          <w:tab w:val="num" w:pos="284"/>
        </w:tabs>
        <w:autoSpaceDE w:val="0"/>
        <w:autoSpaceDN w:val="0"/>
        <w:adjustRightInd w:val="0"/>
        <w:ind w:left="851"/>
        <w:rPr>
          <w:szCs w:val="24"/>
          <w:u w:val="single"/>
        </w:rPr>
      </w:pPr>
      <w:proofErr w:type="spellStart"/>
      <w:r w:rsidRPr="00252A39">
        <w:rPr>
          <w:szCs w:val="24"/>
          <w:u w:val="single"/>
        </w:rPr>
        <w:t>Serotonergt</w:t>
      </w:r>
      <w:proofErr w:type="spellEnd"/>
      <w:r w:rsidRPr="00252A39">
        <w:rPr>
          <w:szCs w:val="24"/>
          <w:u w:val="single"/>
        </w:rPr>
        <w:t xml:space="preserve"> syndrom</w:t>
      </w:r>
    </w:p>
    <w:p w:rsidR="00DF5345" w:rsidRPr="00252A39" w:rsidRDefault="00DF5345" w:rsidP="00DF5345">
      <w:pPr>
        <w:tabs>
          <w:tab w:val="num" w:pos="284"/>
        </w:tabs>
        <w:autoSpaceDE w:val="0"/>
        <w:autoSpaceDN w:val="0"/>
        <w:adjustRightInd w:val="0"/>
        <w:ind w:left="851"/>
        <w:rPr>
          <w:szCs w:val="24"/>
        </w:rPr>
      </w:pPr>
      <w:r w:rsidRPr="00252A39">
        <w:rPr>
          <w:szCs w:val="24"/>
        </w:rPr>
        <w:t xml:space="preserve">Interaktion med </w:t>
      </w:r>
      <w:proofErr w:type="spellStart"/>
      <w:r w:rsidRPr="00252A39">
        <w:rPr>
          <w:szCs w:val="24"/>
        </w:rPr>
        <w:t>serotonerge</w:t>
      </w:r>
      <w:proofErr w:type="spellEnd"/>
      <w:r w:rsidRPr="00252A39">
        <w:rPr>
          <w:szCs w:val="24"/>
        </w:rPr>
        <w:t xml:space="preserve"> aktive stoffer: </w:t>
      </w:r>
      <w:proofErr w:type="spellStart"/>
      <w:r w:rsidRPr="00252A39">
        <w:rPr>
          <w:szCs w:val="24"/>
        </w:rPr>
        <w:t>serotonergt</w:t>
      </w:r>
      <w:proofErr w:type="spellEnd"/>
      <w:r w:rsidRPr="00252A39">
        <w:rPr>
          <w:szCs w:val="24"/>
        </w:rPr>
        <w:t xml:space="preserve"> syndrom kan forekomme, når selektive serotonin </w:t>
      </w:r>
      <w:proofErr w:type="spellStart"/>
      <w:r w:rsidRPr="00252A39">
        <w:rPr>
          <w:szCs w:val="24"/>
        </w:rPr>
        <w:t>reuptake</w:t>
      </w:r>
      <w:proofErr w:type="spellEnd"/>
      <w:r w:rsidRPr="00252A39">
        <w:rPr>
          <w:szCs w:val="24"/>
        </w:rPr>
        <w:t xml:space="preserve"> inhibitorer (</w:t>
      </w:r>
      <w:proofErr w:type="spellStart"/>
      <w:r w:rsidRPr="00252A39">
        <w:rPr>
          <w:szCs w:val="24"/>
        </w:rPr>
        <w:t>SSRI’er</w:t>
      </w:r>
      <w:proofErr w:type="spellEnd"/>
      <w:r w:rsidRPr="00252A39">
        <w:rPr>
          <w:szCs w:val="24"/>
        </w:rPr>
        <w:t xml:space="preserve">) gives samtidig med andre </w:t>
      </w:r>
      <w:proofErr w:type="spellStart"/>
      <w:r w:rsidRPr="00252A39">
        <w:rPr>
          <w:szCs w:val="24"/>
        </w:rPr>
        <w:t>serotonerge</w:t>
      </w:r>
      <w:proofErr w:type="spellEnd"/>
      <w:r w:rsidRPr="00252A39">
        <w:rPr>
          <w:szCs w:val="24"/>
        </w:rPr>
        <w:t xml:space="preserve"> aktive stoffer (se pkt. 4.5). Symptomer på </w:t>
      </w:r>
      <w:proofErr w:type="spellStart"/>
      <w:r w:rsidRPr="00252A39">
        <w:rPr>
          <w:szCs w:val="24"/>
        </w:rPr>
        <w:t>serotonergt</w:t>
      </w:r>
      <w:proofErr w:type="spellEnd"/>
      <w:r w:rsidRPr="00252A39">
        <w:rPr>
          <w:szCs w:val="24"/>
        </w:rPr>
        <w:t xml:space="preserve"> syndrom kan være </w:t>
      </w:r>
      <w:proofErr w:type="spellStart"/>
      <w:r w:rsidRPr="00252A39">
        <w:rPr>
          <w:szCs w:val="24"/>
        </w:rPr>
        <w:t>hypertermi</w:t>
      </w:r>
      <w:proofErr w:type="spellEnd"/>
      <w:r w:rsidRPr="00252A39">
        <w:rPr>
          <w:szCs w:val="24"/>
        </w:rPr>
        <w:t xml:space="preserve">, </w:t>
      </w:r>
      <w:proofErr w:type="spellStart"/>
      <w:proofErr w:type="gramStart"/>
      <w:r w:rsidRPr="00252A39">
        <w:rPr>
          <w:szCs w:val="24"/>
        </w:rPr>
        <w:t>stivhed,myokloni</w:t>
      </w:r>
      <w:proofErr w:type="spellEnd"/>
      <w:proofErr w:type="gramEnd"/>
      <w:r w:rsidRPr="00252A39">
        <w:rPr>
          <w:szCs w:val="24"/>
        </w:rPr>
        <w:t xml:space="preserve">, autonom </w:t>
      </w:r>
      <w:proofErr w:type="spellStart"/>
      <w:r w:rsidRPr="00252A39">
        <w:rPr>
          <w:szCs w:val="24"/>
        </w:rPr>
        <w:t>instabilitet</w:t>
      </w:r>
      <w:proofErr w:type="spellEnd"/>
      <w:r w:rsidRPr="00252A39">
        <w:rPr>
          <w:szCs w:val="24"/>
        </w:rPr>
        <w:t xml:space="preserve"> eventuelt med hurtige fluktuationer af vitale funktioner, mentale ændringer som </w:t>
      </w:r>
      <w:r w:rsidRPr="004E4E55">
        <w:rPr>
          <w:szCs w:val="24"/>
        </w:rPr>
        <w:t xml:space="preserve">inkluderer konfusion, irritabilitet og ekstrem agitation, der kan udvikle sig til delirium og </w:t>
      </w:r>
      <w:proofErr w:type="spellStart"/>
      <w:r w:rsidRPr="004E4E55">
        <w:rPr>
          <w:szCs w:val="24"/>
        </w:rPr>
        <w:t>coma</w:t>
      </w:r>
      <w:proofErr w:type="spellEnd"/>
      <w:r w:rsidRPr="004E4E55">
        <w:rPr>
          <w:szCs w:val="24"/>
        </w:rPr>
        <w:t xml:space="preserve">. Der bør udvises forsigtighed og der kræves tæt klinisk monitorering, når disse aktive stoffer kombineres med </w:t>
      </w:r>
      <w:proofErr w:type="spellStart"/>
      <w:r w:rsidRPr="004E4E55">
        <w:rPr>
          <w:szCs w:val="24"/>
        </w:rPr>
        <w:t>mirtazapin</w:t>
      </w:r>
      <w:proofErr w:type="spellEnd"/>
      <w:r w:rsidRPr="004E4E55">
        <w:rPr>
          <w:szCs w:val="24"/>
        </w:rPr>
        <w:t xml:space="preserve">. Behandling med </w:t>
      </w:r>
      <w:proofErr w:type="spellStart"/>
      <w:r w:rsidRPr="004E4E55">
        <w:rPr>
          <w:szCs w:val="24"/>
        </w:rPr>
        <w:t>mirtazapin</w:t>
      </w:r>
      <w:proofErr w:type="spellEnd"/>
      <w:r w:rsidRPr="004E4E55">
        <w:rPr>
          <w:szCs w:val="24"/>
        </w:rPr>
        <w:t xml:space="preserve"> bør seponeres, hvis sådanne tilfælde opstår og der skal initieres understøttende symptomatisk behandling. Erfaring efter markedsføring viser at </w:t>
      </w:r>
      <w:proofErr w:type="spellStart"/>
      <w:r w:rsidRPr="004E4E55">
        <w:rPr>
          <w:szCs w:val="24"/>
        </w:rPr>
        <w:t>serotonergt</w:t>
      </w:r>
      <w:proofErr w:type="spellEnd"/>
      <w:r w:rsidRPr="004E4E55">
        <w:rPr>
          <w:szCs w:val="24"/>
        </w:rPr>
        <w:t xml:space="preserve"> syndrom sjældent optræder hos patienter, der alene behandles</w:t>
      </w:r>
      <w:r w:rsidRPr="00252A39">
        <w:rPr>
          <w:szCs w:val="24"/>
        </w:rPr>
        <w:t xml:space="preserve"> med </w:t>
      </w:r>
      <w:proofErr w:type="spellStart"/>
      <w:r w:rsidRPr="00252A39">
        <w:rPr>
          <w:szCs w:val="24"/>
        </w:rPr>
        <w:t>mirtazapin</w:t>
      </w:r>
      <w:proofErr w:type="spellEnd"/>
      <w:r w:rsidRPr="00252A39">
        <w:rPr>
          <w:szCs w:val="24"/>
        </w:rPr>
        <w:t xml:space="preserve"> (se pkt. 4.8).</w:t>
      </w:r>
    </w:p>
    <w:p w:rsidR="00DF5345" w:rsidRDefault="00DF5345" w:rsidP="00DF5345">
      <w:pPr>
        <w:tabs>
          <w:tab w:val="num" w:pos="284"/>
        </w:tabs>
        <w:autoSpaceDE w:val="0"/>
        <w:autoSpaceDN w:val="0"/>
        <w:adjustRightInd w:val="0"/>
        <w:ind w:left="851" w:hanging="56"/>
        <w:rPr>
          <w:sz w:val="24"/>
          <w:szCs w:val="24"/>
        </w:rPr>
      </w:pPr>
    </w:p>
    <w:p w:rsidR="00F22A49" w:rsidRPr="0091229D" w:rsidRDefault="00F22A49" w:rsidP="00F22A49">
      <w:pPr>
        <w:tabs>
          <w:tab w:val="num" w:pos="284"/>
        </w:tabs>
        <w:autoSpaceDE w:val="0"/>
        <w:autoSpaceDN w:val="0"/>
        <w:adjustRightInd w:val="0"/>
        <w:ind w:left="851"/>
        <w:rPr>
          <w:sz w:val="24"/>
          <w:szCs w:val="24"/>
          <w:u w:val="single"/>
        </w:rPr>
      </w:pPr>
      <w:r w:rsidRPr="0091229D">
        <w:rPr>
          <w:sz w:val="24"/>
          <w:szCs w:val="24"/>
          <w:u w:val="single"/>
        </w:rPr>
        <w:t xml:space="preserve">Svære </w:t>
      </w:r>
      <w:proofErr w:type="spellStart"/>
      <w:r w:rsidRPr="0091229D">
        <w:rPr>
          <w:sz w:val="24"/>
          <w:szCs w:val="24"/>
          <w:u w:val="single"/>
        </w:rPr>
        <w:t>kutane</w:t>
      </w:r>
      <w:proofErr w:type="spellEnd"/>
      <w:r w:rsidRPr="0091229D">
        <w:rPr>
          <w:sz w:val="24"/>
          <w:szCs w:val="24"/>
          <w:u w:val="single"/>
        </w:rPr>
        <w:t xml:space="preserve"> bivirkninger</w:t>
      </w:r>
    </w:p>
    <w:p w:rsidR="00F22A49" w:rsidRDefault="00F22A49" w:rsidP="00F22A49">
      <w:pPr>
        <w:tabs>
          <w:tab w:val="num" w:pos="284"/>
        </w:tabs>
        <w:autoSpaceDE w:val="0"/>
        <w:autoSpaceDN w:val="0"/>
        <w:adjustRightInd w:val="0"/>
        <w:ind w:left="851"/>
        <w:rPr>
          <w:sz w:val="24"/>
          <w:szCs w:val="24"/>
        </w:rPr>
      </w:pPr>
      <w:r w:rsidRPr="002C1266">
        <w:rPr>
          <w:sz w:val="24"/>
          <w:szCs w:val="24"/>
        </w:rPr>
        <w:t xml:space="preserve">Svære </w:t>
      </w:r>
      <w:proofErr w:type="spellStart"/>
      <w:r w:rsidRPr="002C1266">
        <w:rPr>
          <w:sz w:val="24"/>
          <w:szCs w:val="24"/>
        </w:rPr>
        <w:t>kutane</w:t>
      </w:r>
      <w:proofErr w:type="spellEnd"/>
      <w:r w:rsidRPr="002C1266">
        <w:rPr>
          <w:sz w:val="24"/>
          <w:szCs w:val="24"/>
        </w:rPr>
        <w:t xml:space="preserve"> bivirkninger, herunder Stevens-Johnsons syndrom (SJS), toksisk </w:t>
      </w:r>
      <w:proofErr w:type="spellStart"/>
      <w:r w:rsidRPr="002C1266">
        <w:rPr>
          <w:sz w:val="24"/>
          <w:szCs w:val="24"/>
        </w:rPr>
        <w:t>epidermal</w:t>
      </w:r>
      <w:proofErr w:type="spellEnd"/>
      <w:r w:rsidRPr="002C1266">
        <w:rPr>
          <w:sz w:val="24"/>
          <w:szCs w:val="24"/>
        </w:rPr>
        <w:t xml:space="preserve"> </w:t>
      </w:r>
      <w:proofErr w:type="spellStart"/>
      <w:r w:rsidRPr="002C1266">
        <w:rPr>
          <w:sz w:val="24"/>
          <w:szCs w:val="24"/>
        </w:rPr>
        <w:t>nekrolyse</w:t>
      </w:r>
      <w:proofErr w:type="spellEnd"/>
      <w:r>
        <w:rPr>
          <w:sz w:val="24"/>
          <w:szCs w:val="24"/>
        </w:rPr>
        <w:t xml:space="preserve"> </w:t>
      </w:r>
      <w:r w:rsidRPr="002C1266">
        <w:rPr>
          <w:sz w:val="24"/>
          <w:szCs w:val="24"/>
        </w:rPr>
        <w:t xml:space="preserve">(TEN), lægemiddelreaktion med </w:t>
      </w:r>
      <w:proofErr w:type="spellStart"/>
      <w:r w:rsidRPr="002C1266">
        <w:rPr>
          <w:sz w:val="24"/>
          <w:szCs w:val="24"/>
        </w:rPr>
        <w:t>eosinofili</w:t>
      </w:r>
      <w:proofErr w:type="spellEnd"/>
      <w:r w:rsidRPr="002C1266">
        <w:rPr>
          <w:sz w:val="24"/>
          <w:szCs w:val="24"/>
        </w:rPr>
        <w:t xml:space="preserve"> og systemiske symptomer (DRESS), </w:t>
      </w:r>
      <w:proofErr w:type="spellStart"/>
      <w:r w:rsidRPr="002C1266">
        <w:rPr>
          <w:sz w:val="24"/>
          <w:szCs w:val="24"/>
        </w:rPr>
        <w:t>bulløs</w:t>
      </w:r>
      <w:proofErr w:type="spellEnd"/>
      <w:r w:rsidRPr="002C1266">
        <w:rPr>
          <w:sz w:val="24"/>
          <w:szCs w:val="24"/>
        </w:rPr>
        <w:t xml:space="preserve"> </w:t>
      </w:r>
      <w:proofErr w:type="spellStart"/>
      <w:r w:rsidRPr="002C1266">
        <w:rPr>
          <w:sz w:val="24"/>
          <w:szCs w:val="24"/>
        </w:rPr>
        <w:t>dermatatis</w:t>
      </w:r>
      <w:proofErr w:type="spellEnd"/>
      <w:r w:rsidRPr="002C1266">
        <w:rPr>
          <w:sz w:val="24"/>
          <w:szCs w:val="24"/>
        </w:rPr>
        <w:t xml:space="preserve"> og</w:t>
      </w:r>
      <w:r>
        <w:rPr>
          <w:sz w:val="24"/>
          <w:szCs w:val="24"/>
        </w:rPr>
        <w:t xml:space="preserve"> </w:t>
      </w:r>
      <w:proofErr w:type="spellStart"/>
      <w:r w:rsidRPr="002C1266">
        <w:rPr>
          <w:sz w:val="24"/>
          <w:szCs w:val="24"/>
        </w:rPr>
        <w:t>erythema</w:t>
      </w:r>
      <w:proofErr w:type="spellEnd"/>
      <w:r w:rsidRPr="002C1266">
        <w:rPr>
          <w:sz w:val="24"/>
          <w:szCs w:val="24"/>
        </w:rPr>
        <w:t xml:space="preserve"> multiforme, der kan være livstruende eller dødelige, er rapporteret i forbindelse med</w:t>
      </w:r>
      <w:r>
        <w:rPr>
          <w:sz w:val="24"/>
          <w:szCs w:val="24"/>
        </w:rPr>
        <w:t xml:space="preserve"> </w:t>
      </w:r>
      <w:proofErr w:type="spellStart"/>
      <w:r w:rsidRPr="002C1266">
        <w:rPr>
          <w:sz w:val="24"/>
          <w:szCs w:val="24"/>
        </w:rPr>
        <w:t>mir</w:t>
      </w:r>
      <w:r>
        <w:rPr>
          <w:sz w:val="24"/>
          <w:szCs w:val="24"/>
        </w:rPr>
        <w:t>tazapin</w:t>
      </w:r>
      <w:proofErr w:type="spellEnd"/>
      <w:r w:rsidRPr="002C1266">
        <w:rPr>
          <w:sz w:val="24"/>
          <w:szCs w:val="24"/>
        </w:rPr>
        <w:t>-behandling.</w:t>
      </w:r>
    </w:p>
    <w:p w:rsidR="00F22A49" w:rsidRPr="002C1266" w:rsidRDefault="00F22A49" w:rsidP="00F22A49">
      <w:pPr>
        <w:tabs>
          <w:tab w:val="num" w:pos="284"/>
        </w:tabs>
        <w:autoSpaceDE w:val="0"/>
        <w:autoSpaceDN w:val="0"/>
        <w:adjustRightInd w:val="0"/>
        <w:ind w:left="851"/>
        <w:rPr>
          <w:sz w:val="24"/>
          <w:szCs w:val="24"/>
        </w:rPr>
      </w:pPr>
    </w:p>
    <w:p w:rsidR="00F22A49" w:rsidRPr="002C1266" w:rsidRDefault="00F22A49" w:rsidP="00F22A49">
      <w:pPr>
        <w:tabs>
          <w:tab w:val="num" w:pos="284"/>
        </w:tabs>
        <w:autoSpaceDE w:val="0"/>
        <w:autoSpaceDN w:val="0"/>
        <w:adjustRightInd w:val="0"/>
        <w:ind w:left="851"/>
        <w:rPr>
          <w:sz w:val="24"/>
          <w:szCs w:val="24"/>
        </w:rPr>
      </w:pPr>
      <w:r w:rsidRPr="002C1266">
        <w:rPr>
          <w:sz w:val="24"/>
          <w:szCs w:val="24"/>
        </w:rPr>
        <w:t>Hvis der opstår tegn og symptome</w:t>
      </w:r>
      <w:r>
        <w:rPr>
          <w:sz w:val="24"/>
          <w:szCs w:val="24"/>
        </w:rPr>
        <w:t xml:space="preserve">r på sådanne bivirkninger, bør </w:t>
      </w:r>
      <w:proofErr w:type="spellStart"/>
      <w:r>
        <w:rPr>
          <w:sz w:val="24"/>
          <w:szCs w:val="24"/>
        </w:rPr>
        <w:t>mirtazapin</w:t>
      </w:r>
      <w:proofErr w:type="spellEnd"/>
      <w:r w:rsidRPr="002C1266">
        <w:rPr>
          <w:sz w:val="24"/>
          <w:szCs w:val="24"/>
        </w:rPr>
        <w:t xml:space="preserve"> straks seponeres.</w:t>
      </w:r>
    </w:p>
    <w:p w:rsidR="00F22A49" w:rsidRDefault="00F22A49" w:rsidP="00F22A49">
      <w:pPr>
        <w:tabs>
          <w:tab w:val="num" w:pos="284"/>
        </w:tabs>
        <w:autoSpaceDE w:val="0"/>
        <w:autoSpaceDN w:val="0"/>
        <w:adjustRightInd w:val="0"/>
        <w:ind w:left="851"/>
        <w:rPr>
          <w:sz w:val="24"/>
          <w:szCs w:val="24"/>
        </w:rPr>
      </w:pPr>
    </w:p>
    <w:p w:rsidR="00F22A49" w:rsidRDefault="00F22A49" w:rsidP="00F22A49">
      <w:pPr>
        <w:tabs>
          <w:tab w:val="num" w:pos="284"/>
        </w:tabs>
        <w:autoSpaceDE w:val="0"/>
        <w:autoSpaceDN w:val="0"/>
        <w:adjustRightInd w:val="0"/>
        <w:ind w:left="851"/>
        <w:rPr>
          <w:sz w:val="24"/>
          <w:szCs w:val="24"/>
        </w:rPr>
      </w:pPr>
      <w:r w:rsidRPr="002C1266">
        <w:rPr>
          <w:sz w:val="24"/>
          <w:szCs w:val="24"/>
        </w:rPr>
        <w:t>Hvis patienten udvikler en af disse bivir</w:t>
      </w:r>
      <w:r>
        <w:rPr>
          <w:sz w:val="24"/>
          <w:szCs w:val="24"/>
        </w:rPr>
        <w:t xml:space="preserve">kninger under behandlingen med </w:t>
      </w:r>
      <w:proofErr w:type="spellStart"/>
      <w:r>
        <w:rPr>
          <w:sz w:val="24"/>
          <w:szCs w:val="24"/>
        </w:rPr>
        <w:t>mirtazapin</w:t>
      </w:r>
      <w:proofErr w:type="spellEnd"/>
      <w:r w:rsidRPr="002C1266">
        <w:rPr>
          <w:sz w:val="24"/>
          <w:szCs w:val="24"/>
        </w:rPr>
        <w:t>, må behandling</w:t>
      </w:r>
      <w:r>
        <w:rPr>
          <w:sz w:val="24"/>
          <w:szCs w:val="24"/>
        </w:rPr>
        <w:t xml:space="preserve"> med </w:t>
      </w:r>
      <w:proofErr w:type="spellStart"/>
      <w:r>
        <w:rPr>
          <w:sz w:val="24"/>
          <w:szCs w:val="24"/>
        </w:rPr>
        <w:t>mirtazapin</w:t>
      </w:r>
      <w:proofErr w:type="spellEnd"/>
      <w:r w:rsidRPr="002C1266">
        <w:rPr>
          <w:sz w:val="24"/>
          <w:szCs w:val="24"/>
        </w:rPr>
        <w:t xml:space="preserve"> ikke genstartes på noget tidspunkt hos denne patient</w:t>
      </w:r>
    </w:p>
    <w:p w:rsidR="00F22A49" w:rsidRPr="00252A39" w:rsidRDefault="00F22A49" w:rsidP="00DF5345">
      <w:pPr>
        <w:tabs>
          <w:tab w:val="num" w:pos="284"/>
        </w:tabs>
        <w:autoSpaceDE w:val="0"/>
        <w:autoSpaceDN w:val="0"/>
        <w:adjustRightInd w:val="0"/>
        <w:ind w:left="851" w:hanging="56"/>
        <w:rPr>
          <w:sz w:val="24"/>
          <w:szCs w:val="24"/>
        </w:rPr>
      </w:pPr>
    </w:p>
    <w:p w:rsidR="00DF5345" w:rsidRPr="00252A39" w:rsidRDefault="00DF5345" w:rsidP="00DF5345">
      <w:pPr>
        <w:tabs>
          <w:tab w:val="num" w:pos="284"/>
        </w:tabs>
        <w:autoSpaceDE w:val="0"/>
        <w:autoSpaceDN w:val="0"/>
        <w:adjustRightInd w:val="0"/>
        <w:ind w:left="851" w:hanging="56"/>
        <w:rPr>
          <w:sz w:val="24"/>
          <w:szCs w:val="24"/>
          <w:u w:val="single"/>
        </w:rPr>
      </w:pPr>
      <w:r>
        <w:rPr>
          <w:sz w:val="24"/>
          <w:szCs w:val="24"/>
          <w:u w:val="single"/>
        </w:rPr>
        <w:t>Ældre</w:t>
      </w:r>
    </w:p>
    <w:p w:rsidR="00DF5345" w:rsidRPr="00252A39" w:rsidRDefault="00DF5345" w:rsidP="00DF5345">
      <w:pPr>
        <w:tabs>
          <w:tab w:val="left" w:pos="1418"/>
        </w:tabs>
        <w:ind w:left="795"/>
        <w:rPr>
          <w:sz w:val="24"/>
          <w:szCs w:val="24"/>
        </w:rPr>
      </w:pPr>
      <w:r w:rsidRPr="00252A39">
        <w:rPr>
          <w:sz w:val="24"/>
          <w:szCs w:val="24"/>
        </w:rPr>
        <w:t xml:space="preserve">Ældre patienter er ofte mere følsomme, især hvad angår bivirkninger ved brug af </w:t>
      </w:r>
      <w:proofErr w:type="spellStart"/>
      <w:r w:rsidRPr="00252A39">
        <w:rPr>
          <w:sz w:val="24"/>
          <w:szCs w:val="24"/>
        </w:rPr>
        <w:t>antidepressiva</w:t>
      </w:r>
      <w:proofErr w:type="spellEnd"/>
      <w:r w:rsidRPr="00252A39">
        <w:rPr>
          <w:sz w:val="24"/>
          <w:szCs w:val="24"/>
        </w:rPr>
        <w:t xml:space="preserve">. Klinisk forskning med </w:t>
      </w:r>
      <w:proofErr w:type="spellStart"/>
      <w:r w:rsidRPr="00252A39">
        <w:rPr>
          <w:sz w:val="24"/>
          <w:szCs w:val="24"/>
        </w:rPr>
        <w:t>mirtazapin</w:t>
      </w:r>
      <w:proofErr w:type="spellEnd"/>
      <w:r w:rsidRPr="00252A39">
        <w:rPr>
          <w:sz w:val="24"/>
          <w:szCs w:val="24"/>
        </w:rPr>
        <w:t xml:space="preserve"> har ikke vist en hyppigere frekvens af bivirkninger hos ældre patienter end hos andre aldersgrupper.</w:t>
      </w:r>
    </w:p>
    <w:p w:rsidR="00DF5345" w:rsidRPr="00252A39" w:rsidRDefault="00DF5345" w:rsidP="00DF5345">
      <w:pPr>
        <w:ind w:left="851" w:hanging="851"/>
        <w:rPr>
          <w:sz w:val="24"/>
          <w:szCs w:val="24"/>
        </w:rPr>
      </w:pPr>
    </w:p>
    <w:p w:rsidR="00F22A49" w:rsidRPr="0091229D" w:rsidRDefault="00F22A49" w:rsidP="00F22A49">
      <w:pPr>
        <w:ind w:left="851"/>
        <w:rPr>
          <w:sz w:val="24"/>
          <w:szCs w:val="24"/>
          <w:u w:val="single"/>
        </w:rPr>
      </w:pPr>
      <w:r w:rsidRPr="0091229D">
        <w:rPr>
          <w:sz w:val="24"/>
          <w:szCs w:val="24"/>
          <w:u w:val="single"/>
        </w:rPr>
        <w:t>Hjælpestoffer</w:t>
      </w:r>
    </w:p>
    <w:p w:rsidR="00F22A49" w:rsidRDefault="00327572" w:rsidP="00F22A49">
      <w:pPr>
        <w:ind w:left="851"/>
        <w:rPr>
          <w:sz w:val="24"/>
          <w:szCs w:val="24"/>
        </w:rPr>
      </w:pPr>
      <w:proofErr w:type="spellStart"/>
      <w:r>
        <w:rPr>
          <w:sz w:val="24"/>
          <w:szCs w:val="24"/>
        </w:rPr>
        <w:t>Mirtazapin</w:t>
      </w:r>
      <w:proofErr w:type="spellEnd"/>
      <w:r>
        <w:rPr>
          <w:sz w:val="24"/>
          <w:szCs w:val="24"/>
        </w:rPr>
        <w:t xml:space="preserve"> ”</w:t>
      </w:r>
      <w:proofErr w:type="spellStart"/>
      <w:r>
        <w:rPr>
          <w:sz w:val="24"/>
          <w:szCs w:val="24"/>
        </w:rPr>
        <w:t>Paranova</w:t>
      </w:r>
      <w:proofErr w:type="spellEnd"/>
      <w:r>
        <w:rPr>
          <w:sz w:val="24"/>
          <w:szCs w:val="24"/>
        </w:rPr>
        <w:t>”</w:t>
      </w:r>
      <w:r w:rsidR="00F22A49" w:rsidRPr="00252A39">
        <w:rPr>
          <w:sz w:val="24"/>
          <w:szCs w:val="24"/>
        </w:rPr>
        <w:t xml:space="preserve"> indeholder </w:t>
      </w:r>
      <w:proofErr w:type="spellStart"/>
      <w:r w:rsidR="00F22A49" w:rsidRPr="00252A39">
        <w:rPr>
          <w:sz w:val="24"/>
          <w:szCs w:val="24"/>
        </w:rPr>
        <w:t>lactose</w:t>
      </w:r>
      <w:proofErr w:type="spellEnd"/>
      <w:r w:rsidR="00F22A49" w:rsidRPr="00252A39">
        <w:rPr>
          <w:sz w:val="24"/>
          <w:szCs w:val="24"/>
        </w:rPr>
        <w:t xml:space="preserve">. Bør ikke anvendes til patienter med </w:t>
      </w:r>
      <w:r w:rsidR="00F22A49" w:rsidRPr="003E141E">
        <w:rPr>
          <w:sz w:val="24"/>
          <w:szCs w:val="24"/>
        </w:rPr>
        <w:t xml:space="preserve">hereditær </w:t>
      </w:r>
      <w:proofErr w:type="spellStart"/>
      <w:r w:rsidR="00F22A49" w:rsidRPr="003E141E">
        <w:rPr>
          <w:sz w:val="24"/>
          <w:szCs w:val="24"/>
        </w:rPr>
        <w:t>galactoseintolerans</w:t>
      </w:r>
      <w:proofErr w:type="spellEnd"/>
      <w:r w:rsidR="00F22A49" w:rsidRPr="003E141E">
        <w:rPr>
          <w:sz w:val="24"/>
          <w:szCs w:val="24"/>
        </w:rPr>
        <w:t xml:space="preserve">, total </w:t>
      </w:r>
      <w:proofErr w:type="spellStart"/>
      <w:r w:rsidR="00F22A49" w:rsidRPr="003E141E">
        <w:rPr>
          <w:sz w:val="24"/>
          <w:szCs w:val="24"/>
        </w:rPr>
        <w:t>lactasemangel</w:t>
      </w:r>
      <w:proofErr w:type="spellEnd"/>
      <w:r w:rsidR="00F22A49">
        <w:rPr>
          <w:sz w:val="24"/>
          <w:szCs w:val="24"/>
        </w:rPr>
        <w:t xml:space="preserve"> </w:t>
      </w:r>
      <w:r w:rsidR="00F22A49" w:rsidRPr="003E141E">
        <w:rPr>
          <w:sz w:val="24"/>
          <w:szCs w:val="24"/>
        </w:rPr>
        <w:t xml:space="preserve">eller </w:t>
      </w:r>
      <w:proofErr w:type="spellStart"/>
      <w:r w:rsidR="00F22A49" w:rsidRPr="003E141E">
        <w:rPr>
          <w:sz w:val="24"/>
          <w:szCs w:val="24"/>
        </w:rPr>
        <w:t>glucose</w:t>
      </w:r>
      <w:proofErr w:type="spellEnd"/>
      <w:r w:rsidR="00F22A49" w:rsidRPr="003E141E">
        <w:rPr>
          <w:sz w:val="24"/>
          <w:szCs w:val="24"/>
        </w:rPr>
        <w:t>/</w:t>
      </w:r>
      <w:proofErr w:type="spellStart"/>
      <w:r w:rsidR="00F22A49" w:rsidRPr="003E141E">
        <w:rPr>
          <w:sz w:val="24"/>
          <w:szCs w:val="24"/>
        </w:rPr>
        <w:t>galactosemalabsorption</w:t>
      </w:r>
      <w:proofErr w:type="spellEnd"/>
      <w:r w:rsidR="00F22A49" w:rsidRPr="003E141E">
        <w:rPr>
          <w:sz w:val="24"/>
          <w:szCs w:val="24"/>
        </w:rPr>
        <w:t>.</w:t>
      </w:r>
    </w:p>
    <w:p w:rsidR="00F22A49" w:rsidRPr="00252A39" w:rsidRDefault="00F22A49" w:rsidP="00F22A49">
      <w:pPr>
        <w:ind w:left="851"/>
        <w:rPr>
          <w:sz w:val="24"/>
          <w:szCs w:val="24"/>
        </w:rPr>
      </w:pPr>
    </w:p>
    <w:p w:rsidR="00F22A49" w:rsidRDefault="00327572" w:rsidP="00F22A49">
      <w:pPr>
        <w:ind w:left="851"/>
        <w:rPr>
          <w:sz w:val="24"/>
          <w:szCs w:val="24"/>
        </w:rPr>
      </w:pPr>
      <w:proofErr w:type="spellStart"/>
      <w:r>
        <w:rPr>
          <w:sz w:val="24"/>
          <w:szCs w:val="24"/>
        </w:rPr>
        <w:t>Mirtazapin</w:t>
      </w:r>
      <w:proofErr w:type="spellEnd"/>
      <w:r>
        <w:rPr>
          <w:sz w:val="24"/>
          <w:szCs w:val="24"/>
        </w:rPr>
        <w:t xml:space="preserve"> ”</w:t>
      </w:r>
      <w:proofErr w:type="spellStart"/>
      <w:r>
        <w:rPr>
          <w:sz w:val="24"/>
          <w:szCs w:val="24"/>
        </w:rPr>
        <w:t>Paranova</w:t>
      </w:r>
      <w:proofErr w:type="spellEnd"/>
      <w:r>
        <w:rPr>
          <w:sz w:val="24"/>
          <w:szCs w:val="24"/>
        </w:rPr>
        <w:t>”</w:t>
      </w:r>
      <w:r w:rsidR="00F22A49" w:rsidRPr="00252A39">
        <w:rPr>
          <w:sz w:val="24"/>
          <w:szCs w:val="24"/>
        </w:rPr>
        <w:t xml:space="preserve"> indeholder sorbitol</w:t>
      </w:r>
      <w:r w:rsidR="00F22A49">
        <w:rPr>
          <w:sz w:val="24"/>
          <w:szCs w:val="24"/>
        </w:rPr>
        <w:t xml:space="preserve">. </w:t>
      </w:r>
      <w:r w:rsidR="00F22A49" w:rsidRPr="003E141E">
        <w:rPr>
          <w:sz w:val="24"/>
          <w:szCs w:val="24"/>
        </w:rPr>
        <w:t xml:space="preserve">Den </w:t>
      </w:r>
      <w:proofErr w:type="spellStart"/>
      <w:r w:rsidR="00F22A49" w:rsidRPr="003E141E">
        <w:rPr>
          <w:sz w:val="24"/>
          <w:szCs w:val="24"/>
        </w:rPr>
        <w:t>additive</w:t>
      </w:r>
      <w:proofErr w:type="spellEnd"/>
      <w:r w:rsidR="00F22A49" w:rsidRPr="003E141E">
        <w:rPr>
          <w:sz w:val="24"/>
          <w:szCs w:val="24"/>
        </w:rPr>
        <w:t xml:space="preserve"> virkning af samtidigt administrerede</w:t>
      </w:r>
      <w:r w:rsidR="00F22A49">
        <w:rPr>
          <w:sz w:val="24"/>
          <w:szCs w:val="24"/>
        </w:rPr>
        <w:t xml:space="preserve"> </w:t>
      </w:r>
      <w:r w:rsidR="00F22A49" w:rsidRPr="003E141E">
        <w:rPr>
          <w:sz w:val="24"/>
          <w:szCs w:val="24"/>
        </w:rPr>
        <w:t xml:space="preserve">produkter indeholdende sorbitol (eller </w:t>
      </w:r>
      <w:proofErr w:type="spellStart"/>
      <w:r w:rsidR="00F22A49" w:rsidRPr="003E141E">
        <w:rPr>
          <w:sz w:val="24"/>
          <w:szCs w:val="24"/>
        </w:rPr>
        <w:t>fructose</w:t>
      </w:r>
      <w:proofErr w:type="spellEnd"/>
      <w:r w:rsidR="00F22A49" w:rsidRPr="003E141E">
        <w:rPr>
          <w:sz w:val="24"/>
          <w:szCs w:val="24"/>
        </w:rPr>
        <w:t>) og</w:t>
      </w:r>
      <w:r w:rsidR="00F22A49">
        <w:rPr>
          <w:sz w:val="24"/>
          <w:szCs w:val="24"/>
        </w:rPr>
        <w:t xml:space="preserve"> </w:t>
      </w:r>
      <w:r w:rsidR="00F22A49" w:rsidRPr="003E141E">
        <w:rPr>
          <w:sz w:val="24"/>
          <w:szCs w:val="24"/>
        </w:rPr>
        <w:t xml:space="preserve">indtagelse af sorbitol (eller </w:t>
      </w:r>
      <w:proofErr w:type="spellStart"/>
      <w:r w:rsidR="00F22A49" w:rsidRPr="003E141E">
        <w:rPr>
          <w:sz w:val="24"/>
          <w:szCs w:val="24"/>
        </w:rPr>
        <w:t>fructose</w:t>
      </w:r>
      <w:proofErr w:type="spellEnd"/>
      <w:r w:rsidR="00F22A49" w:rsidRPr="003E141E">
        <w:rPr>
          <w:sz w:val="24"/>
          <w:szCs w:val="24"/>
        </w:rPr>
        <w:t>) i kosten bør tages i</w:t>
      </w:r>
      <w:r w:rsidR="00F22A49">
        <w:rPr>
          <w:sz w:val="24"/>
          <w:szCs w:val="24"/>
        </w:rPr>
        <w:t xml:space="preserve"> </w:t>
      </w:r>
      <w:r w:rsidR="00F22A49" w:rsidRPr="003E141E">
        <w:rPr>
          <w:sz w:val="24"/>
          <w:szCs w:val="24"/>
        </w:rPr>
        <w:t>betragtning.</w:t>
      </w:r>
      <w:r w:rsidR="00F22A49">
        <w:rPr>
          <w:sz w:val="24"/>
          <w:szCs w:val="24"/>
        </w:rPr>
        <w:t xml:space="preserve"> </w:t>
      </w:r>
      <w:r w:rsidR="00F22A49" w:rsidRPr="003E141E">
        <w:rPr>
          <w:sz w:val="24"/>
          <w:szCs w:val="24"/>
        </w:rPr>
        <w:t>Indholdet af sorbitol i lægemidler til oral brug kan påvirke</w:t>
      </w:r>
      <w:r w:rsidR="00F22A49">
        <w:rPr>
          <w:sz w:val="24"/>
          <w:szCs w:val="24"/>
        </w:rPr>
        <w:t xml:space="preserve"> </w:t>
      </w:r>
      <w:r w:rsidR="00F22A49" w:rsidRPr="003E141E">
        <w:rPr>
          <w:sz w:val="24"/>
          <w:szCs w:val="24"/>
        </w:rPr>
        <w:t>biotilgængeligheden af andre lægemidler til oral brug hvis</w:t>
      </w:r>
      <w:r w:rsidR="00F22A49">
        <w:rPr>
          <w:sz w:val="24"/>
          <w:szCs w:val="24"/>
        </w:rPr>
        <w:t xml:space="preserve"> </w:t>
      </w:r>
      <w:r w:rsidR="00F22A49" w:rsidRPr="003E141E">
        <w:rPr>
          <w:sz w:val="24"/>
          <w:szCs w:val="24"/>
        </w:rPr>
        <w:t>indgivet samtidig.</w:t>
      </w:r>
    </w:p>
    <w:p w:rsidR="00F22A49" w:rsidRPr="00252A39" w:rsidRDefault="00F22A49" w:rsidP="00F22A49">
      <w:pPr>
        <w:rPr>
          <w:sz w:val="24"/>
          <w:szCs w:val="24"/>
        </w:rPr>
      </w:pPr>
    </w:p>
    <w:p w:rsidR="00F22A49" w:rsidRPr="00252A39" w:rsidRDefault="00327572" w:rsidP="00F22A49">
      <w:pPr>
        <w:ind w:left="851"/>
        <w:rPr>
          <w:sz w:val="24"/>
          <w:szCs w:val="24"/>
        </w:rPr>
      </w:pPr>
      <w:proofErr w:type="spellStart"/>
      <w:r>
        <w:rPr>
          <w:sz w:val="24"/>
          <w:szCs w:val="24"/>
        </w:rPr>
        <w:t>Mirtazapin</w:t>
      </w:r>
      <w:proofErr w:type="spellEnd"/>
      <w:r>
        <w:rPr>
          <w:sz w:val="24"/>
          <w:szCs w:val="24"/>
        </w:rPr>
        <w:t xml:space="preserve"> ”</w:t>
      </w:r>
      <w:proofErr w:type="spellStart"/>
      <w:r>
        <w:rPr>
          <w:sz w:val="24"/>
          <w:szCs w:val="24"/>
        </w:rPr>
        <w:t>Paranova</w:t>
      </w:r>
      <w:proofErr w:type="spellEnd"/>
      <w:r>
        <w:rPr>
          <w:sz w:val="24"/>
          <w:szCs w:val="24"/>
        </w:rPr>
        <w:t>”</w:t>
      </w:r>
      <w:r w:rsidR="00F22A49" w:rsidRPr="00252A39">
        <w:rPr>
          <w:sz w:val="24"/>
          <w:szCs w:val="24"/>
        </w:rPr>
        <w:t xml:space="preserve"> indeholder </w:t>
      </w:r>
      <w:proofErr w:type="spellStart"/>
      <w:r w:rsidR="00F22A49" w:rsidRPr="00252A39">
        <w:rPr>
          <w:sz w:val="24"/>
          <w:szCs w:val="24"/>
        </w:rPr>
        <w:t>aspartam</w:t>
      </w:r>
      <w:proofErr w:type="spellEnd"/>
      <w:r w:rsidR="00F22A49" w:rsidRPr="00252A39">
        <w:rPr>
          <w:sz w:val="24"/>
          <w:szCs w:val="24"/>
        </w:rPr>
        <w:t xml:space="preserve">: </w:t>
      </w:r>
      <w:proofErr w:type="spellStart"/>
      <w:r w:rsidR="00F22A49" w:rsidRPr="003E141E">
        <w:rPr>
          <w:sz w:val="24"/>
          <w:szCs w:val="24"/>
        </w:rPr>
        <w:t>Aspartam</w:t>
      </w:r>
      <w:proofErr w:type="spellEnd"/>
      <w:r w:rsidR="00F22A49" w:rsidRPr="003E141E">
        <w:rPr>
          <w:sz w:val="24"/>
          <w:szCs w:val="24"/>
        </w:rPr>
        <w:t xml:space="preserve"> er</w:t>
      </w:r>
      <w:r w:rsidR="00F22A49">
        <w:rPr>
          <w:sz w:val="24"/>
          <w:szCs w:val="24"/>
        </w:rPr>
        <w:t xml:space="preserve"> e</w:t>
      </w:r>
      <w:r w:rsidR="00F22A49" w:rsidRPr="00252A39">
        <w:rPr>
          <w:sz w:val="24"/>
          <w:szCs w:val="24"/>
        </w:rPr>
        <w:t xml:space="preserve">n </w:t>
      </w:r>
      <w:proofErr w:type="spellStart"/>
      <w:r w:rsidR="00F22A49" w:rsidRPr="00252A39">
        <w:rPr>
          <w:sz w:val="24"/>
          <w:szCs w:val="24"/>
        </w:rPr>
        <w:t>fenylalaninkilde</w:t>
      </w:r>
      <w:proofErr w:type="spellEnd"/>
      <w:r w:rsidR="00F22A49" w:rsidRPr="00252A39">
        <w:rPr>
          <w:sz w:val="24"/>
          <w:szCs w:val="24"/>
        </w:rPr>
        <w:t xml:space="preserve">. Kan være skadelig for patienter med </w:t>
      </w:r>
      <w:proofErr w:type="spellStart"/>
      <w:r w:rsidR="00F22A49" w:rsidRPr="00252A39">
        <w:rPr>
          <w:sz w:val="24"/>
          <w:szCs w:val="24"/>
        </w:rPr>
        <w:t>fenylketonuri</w:t>
      </w:r>
      <w:proofErr w:type="spellEnd"/>
      <w:r w:rsidR="00F22A49" w:rsidRPr="00252A39">
        <w:rPr>
          <w:sz w:val="24"/>
          <w:szCs w:val="24"/>
        </w:rPr>
        <w:t xml:space="preserve"> (PKU, </w:t>
      </w:r>
      <w:proofErr w:type="spellStart"/>
      <w:r w:rsidR="00F22A49" w:rsidRPr="00252A39">
        <w:rPr>
          <w:sz w:val="24"/>
          <w:szCs w:val="24"/>
        </w:rPr>
        <w:t>Føllings</w:t>
      </w:r>
      <w:proofErr w:type="spellEnd"/>
      <w:r w:rsidR="00F22A49" w:rsidRPr="00252A39">
        <w:rPr>
          <w:sz w:val="24"/>
          <w:szCs w:val="24"/>
        </w:rPr>
        <w:t xml:space="preserve"> sygdom).</w:t>
      </w:r>
    </w:p>
    <w:p w:rsidR="00DF5345" w:rsidRPr="00252A39" w:rsidRDefault="00DF5345" w:rsidP="00DF5345">
      <w:pPr>
        <w:ind w:left="851"/>
        <w:rPr>
          <w:sz w:val="24"/>
          <w:szCs w:val="24"/>
        </w:rPr>
      </w:pPr>
      <w:r w:rsidRPr="00252A39">
        <w:rPr>
          <w:sz w:val="24"/>
          <w:szCs w:val="24"/>
        </w:rPr>
        <w:tab/>
      </w:r>
    </w:p>
    <w:p w:rsidR="00DF5345" w:rsidRPr="00252A39" w:rsidRDefault="00DF5345" w:rsidP="00DF5345">
      <w:pPr>
        <w:tabs>
          <w:tab w:val="left" w:pos="851"/>
        </w:tabs>
        <w:rPr>
          <w:b/>
          <w:sz w:val="24"/>
          <w:szCs w:val="24"/>
        </w:rPr>
      </w:pPr>
      <w:r>
        <w:rPr>
          <w:b/>
          <w:sz w:val="24"/>
          <w:szCs w:val="24"/>
        </w:rPr>
        <w:t>4.5</w:t>
      </w:r>
      <w:r>
        <w:rPr>
          <w:b/>
          <w:sz w:val="24"/>
          <w:szCs w:val="24"/>
        </w:rPr>
        <w:tab/>
      </w:r>
      <w:r w:rsidRPr="00252A39">
        <w:rPr>
          <w:b/>
          <w:sz w:val="24"/>
          <w:szCs w:val="24"/>
        </w:rPr>
        <w:t>Interaktion med andre lægemidler og andre former for interaktion</w:t>
      </w:r>
    </w:p>
    <w:p w:rsidR="00DF5345" w:rsidRPr="005F7B6E" w:rsidRDefault="00DF5345" w:rsidP="00DF5345">
      <w:pPr>
        <w:ind w:left="851" w:hanging="851"/>
        <w:rPr>
          <w:sz w:val="24"/>
          <w:szCs w:val="24"/>
          <w:u w:val="single"/>
        </w:rPr>
      </w:pPr>
      <w:r w:rsidRPr="00252A39">
        <w:rPr>
          <w:sz w:val="24"/>
          <w:szCs w:val="24"/>
        </w:rPr>
        <w:tab/>
      </w:r>
      <w:proofErr w:type="spellStart"/>
      <w:r w:rsidRPr="005F7B6E">
        <w:rPr>
          <w:sz w:val="24"/>
          <w:szCs w:val="24"/>
          <w:u w:val="single"/>
        </w:rPr>
        <w:t>Farmakodynamiske</w:t>
      </w:r>
      <w:proofErr w:type="spellEnd"/>
      <w:r w:rsidRPr="005F7B6E">
        <w:rPr>
          <w:sz w:val="24"/>
          <w:szCs w:val="24"/>
          <w:u w:val="single"/>
        </w:rPr>
        <w:t xml:space="preserve"> interaktioner</w:t>
      </w:r>
    </w:p>
    <w:p w:rsidR="00DF5345" w:rsidRPr="00252A39" w:rsidRDefault="00DF5345" w:rsidP="00DF5345">
      <w:pPr>
        <w:numPr>
          <w:ilvl w:val="0"/>
          <w:numId w:val="7"/>
        </w:numPr>
        <w:tabs>
          <w:tab w:val="num" w:pos="851"/>
        </w:tabs>
        <w:autoSpaceDE w:val="0"/>
        <w:autoSpaceDN w:val="0"/>
        <w:adjustRightInd w:val="0"/>
        <w:ind w:left="851" w:hanging="851"/>
        <w:rPr>
          <w:sz w:val="24"/>
          <w:szCs w:val="24"/>
        </w:rPr>
      </w:pPr>
      <w:proofErr w:type="spellStart"/>
      <w:r w:rsidRPr="00252A39">
        <w:rPr>
          <w:sz w:val="24"/>
          <w:szCs w:val="24"/>
        </w:rPr>
        <w:t>Mirtazapin</w:t>
      </w:r>
      <w:proofErr w:type="spellEnd"/>
      <w:r w:rsidRPr="00252A39">
        <w:rPr>
          <w:sz w:val="24"/>
          <w:szCs w:val="24"/>
        </w:rPr>
        <w:t xml:space="preserve"> bør ikke administreres samtidig med MAO </w:t>
      </w:r>
      <w:proofErr w:type="spellStart"/>
      <w:r w:rsidRPr="00252A39">
        <w:rPr>
          <w:sz w:val="24"/>
          <w:szCs w:val="24"/>
        </w:rPr>
        <w:t>hæmmere</w:t>
      </w:r>
      <w:proofErr w:type="spellEnd"/>
      <w:r w:rsidRPr="00252A39">
        <w:rPr>
          <w:sz w:val="24"/>
          <w:szCs w:val="24"/>
        </w:rPr>
        <w:t xml:space="preserve"> eller inden for to uger efter ophør med MAO hæmmer behandling. Omvendt bør der gå ca. to uger, inden patienter, der er blevet behandlet med </w:t>
      </w:r>
      <w:proofErr w:type="spellStart"/>
      <w:r w:rsidRPr="00252A39">
        <w:rPr>
          <w:sz w:val="24"/>
          <w:szCs w:val="24"/>
        </w:rPr>
        <w:t>mirtazapin</w:t>
      </w:r>
      <w:proofErr w:type="spellEnd"/>
      <w:r w:rsidRPr="00252A39">
        <w:rPr>
          <w:sz w:val="24"/>
          <w:szCs w:val="24"/>
        </w:rPr>
        <w:t>, behandles med MAO-</w:t>
      </w:r>
      <w:proofErr w:type="spellStart"/>
      <w:r w:rsidRPr="00252A39">
        <w:rPr>
          <w:sz w:val="24"/>
          <w:szCs w:val="24"/>
        </w:rPr>
        <w:t>hæmmere</w:t>
      </w:r>
      <w:proofErr w:type="spellEnd"/>
      <w:r w:rsidRPr="00252A39">
        <w:rPr>
          <w:sz w:val="24"/>
          <w:szCs w:val="24"/>
        </w:rPr>
        <w:t xml:space="preserve"> (se pkt. 4.3).</w:t>
      </w:r>
    </w:p>
    <w:p w:rsidR="00DF5345" w:rsidRPr="00252A39" w:rsidRDefault="00DF5345" w:rsidP="00DF5345">
      <w:pPr>
        <w:numPr>
          <w:ilvl w:val="0"/>
          <w:numId w:val="7"/>
        </w:numPr>
        <w:tabs>
          <w:tab w:val="num" w:pos="851"/>
        </w:tabs>
        <w:autoSpaceDE w:val="0"/>
        <w:autoSpaceDN w:val="0"/>
        <w:adjustRightInd w:val="0"/>
        <w:ind w:left="851" w:hanging="851"/>
        <w:rPr>
          <w:sz w:val="24"/>
          <w:szCs w:val="24"/>
        </w:rPr>
      </w:pPr>
      <w:r w:rsidRPr="00252A39">
        <w:rPr>
          <w:sz w:val="24"/>
          <w:szCs w:val="24"/>
        </w:rPr>
        <w:t xml:space="preserve">Ydermere, som med </w:t>
      </w:r>
      <w:proofErr w:type="spellStart"/>
      <w:r w:rsidRPr="00252A39">
        <w:rPr>
          <w:sz w:val="24"/>
          <w:szCs w:val="24"/>
        </w:rPr>
        <w:t>SSRI’er</w:t>
      </w:r>
      <w:proofErr w:type="spellEnd"/>
      <w:r w:rsidRPr="00252A39">
        <w:rPr>
          <w:sz w:val="24"/>
          <w:szCs w:val="24"/>
        </w:rPr>
        <w:t xml:space="preserve">, kan samtidig administration med andre </w:t>
      </w:r>
      <w:proofErr w:type="spellStart"/>
      <w:r w:rsidRPr="00252A39">
        <w:rPr>
          <w:sz w:val="24"/>
          <w:szCs w:val="24"/>
        </w:rPr>
        <w:t>serotonerge</w:t>
      </w:r>
      <w:proofErr w:type="spellEnd"/>
      <w:r w:rsidRPr="00252A39">
        <w:rPr>
          <w:sz w:val="24"/>
          <w:szCs w:val="24"/>
        </w:rPr>
        <w:t xml:space="preserve"> aktive stoffer (L-</w:t>
      </w:r>
      <w:proofErr w:type="spellStart"/>
      <w:r w:rsidRPr="00252A39">
        <w:rPr>
          <w:sz w:val="24"/>
          <w:szCs w:val="24"/>
        </w:rPr>
        <w:t>tryptofan</w:t>
      </w:r>
      <w:proofErr w:type="spellEnd"/>
      <w:r w:rsidRPr="00252A39">
        <w:rPr>
          <w:sz w:val="24"/>
          <w:szCs w:val="24"/>
        </w:rPr>
        <w:t xml:space="preserve">, </w:t>
      </w:r>
      <w:proofErr w:type="spellStart"/>
      <w:r w:rsidRPr="00252A39">
        <w:rPr>
          <w:sz w:val="24"/>
          <w:szCs w:val="24"/>
        </w:rPr>
        <w:t>triptaner</w:t>
      </w:r>
      <w:proofErr w:type="spellEnd"/>
      <w:r w:rsidRPr="00252A39">
        <w:rPr>
          <w:sz w:val="24"/>
          <w:szCs w:val="24"/>
        </w:rPr>
        <w:t xml:space="preserve">, </w:t>
      </w:r>
      <w:proofErr w:type="spellStart"/>
      <w:r w:rsidRPr="00252A39">
        <w:rPr>
          <w:sz w:val="24"/>
          <w:szCs w:val="24"/>
        </w:rPr>
        <w:t>tramadol</w:t>
      </w:r>
      <w:proofErr w:type="spellEnd"/>
      <w:r w:rsidRPr="00252A39">
        <w:rPr>
          <w:sz w:val="24"/>
          <w:szCs w:val="24"/>
        </w:rPr>
        <w:t xml:space="preserve">, </w:t>
      </w:r>
      <w:proofErr w:type="spellStart"/>
      <w:r w:rsidRPr="00252A39">
        <w:rPr>
          <w:sz w:val="24"/>
          <w:szCs w:val="24"/>
        </w:rPr>
        <w:t>linezolid</w:t>
      </w:r>
      <w:proofErr w:type="spellEnd"/>
      <w:r w:rsidRPr="00252A39">
        <w:rPr>
          <w:sz w:val="24"/>
          <w:szCs w:val="24"/>
        </w:rPr>
        <w:t>,</w:t>
      </w:r>
      <w:r>
        <w:rPr>
          <w:sz w:val="24"/>
          <w:szCs w:val="24"/>
        </w:rPr>
        <w:t xml:space="preserve"> </w:t>
      </w:r>
      <w:proofErr w:type="spellStart"/>
      <w:r w:rsidRPr="00143EC5">
        <w:rPr>
          <w:sz w:val="24"/>
          <w:szCs w:val="24"/>
        </w:rPr>
        <w:t>methylenblåt</w:t>
      </w:r>
      <w:proofErr w:type="spellEnd"/>
      <w:r w:rsidRPr="00143EC5">
        <w:rPr>
          <w:sz w:val="24"/>
          <w:szCs w:val="24"/>
        </w:rPr>
        <w:t xml:space="preserve">, </w:t>
      </w:r>
      <w:proofErr w:type="spellStart"/>
      <w:r w:rsidRPr="00143EC5">
        <w:rPr>
          <w:sz w:val="24"/>
          <w:szCs w:val="24"/>
        </w:rPr>
        <w:t>SSRI’er</w:t>
      </w:r>
      <w:proofErr w:type="spellEnd"/>
      <w:r w:rsidRPr="00252A39">
        <w:rPr>
          <w:sz w:val="24"/>
          <w:szCs w:val="24"/>
        </w:rPr>
        <w:t xml:space="preserve">, </w:t>
      </w:r>
      <w:proofErr w:type="spellStart"/>
      <w:r w:rsidRPr="00252A39">
        <w:rPr>
          <w:sz w:val="24"/>
          <w:szCs w:val="24"/>
        </w:rPr>
        <w:t>venlafaxin</w:t>
      </w:r>
      <w:proofErr w:type="spellEnd"/>
      <w:r w:rsidRPr="00252A39">
        <w:rPr>
          <w:sz w:val="24"/>
          <w:szCs w:val="24"/>
        </w:rPr>
        <w:t xml:space="preserve">, </w:t>
      </w:r>
      <w:proofErr w:type="spellStart"/>
      <w:r w:rsidRPr="00252A39">
        <w:rPr>
          <w:sz w:val="24"/>
          <w:szCs w:val="24"/>
        </w:rPr>
        <w:t>lithium</w:t>
      </w:r>
      <w:proofErr w:type="spellEnd"/>
      <w:r w:rsidRPr="00252A39">
        <w:rPr>
          <w:sz w:val="24"/>
          <w:szCs w:val="24"/>
        </w:rPr>
        <w:t xml:space="preserve"> og perikon (</w:t>
      </w:r>
      <w:proofErr w:type="spellStart"/>
      <w:r w:rsidRPr="00252A39">
        <w:rPr>
          <w:sz w:val="24"/>
          <w:szCs w:val="24"/>
        </w:rPr>
        <w:t>Hypericum</w:t>
      </w:r>
      <w:proofErr w:type="spellEnd"/>
      <w:r w:rsidRPr="00252A39">
        <w:rPr>
          <w:sz w:val="24"/>
          <w:szCs w:val="24"/>
        </w:rPr>
        <w:t xml:space="preserve"> </w:t>
      </w:r>
      <w:proofErr w:type="spellStart"/>
      <w:proofErr w:type="gramStart"/>
      <w:r w:rsidRPr="00252A39">
        <w:rPr>
          <w:sz w:val="24"/>
          <w:szCs w:val="24"/>
        </w:rPr>
        <w:t>perforatum</w:t>
      </w:r>
      <w:proofErr w:type="spellEnd"/>
      <w:r w:rsidRPr="00252A39">
        <w:rPr>
          <w:sz w:val="24"/>
          <w:szCs w:val="24"/>
        </w:rPr>
        <w:t>)-</w:t>
      </w:r>
      <w:proofErr w:type="gramEnd"/>
      <w:r w:rsidRPr="00252A39">
        <w:rPr>
          <w:sz w:val="24"/>
          <w:szCs w:val="24"/>
        </w:rPr>
        <w:t>præparater) også føre til tilfælde af serotonin-</w:t>
      </w:r>
      <w:r w:rsidRPr="00252A39">
        <w:rPr>
          <w:sz w:val="24"/>
          <w:szCs w:val="24"/>
        </w:rPr>
        <w:lastRenderedPageBreak/>
        <w:t>associerede virkninger (</w:t>
      </w:r>
      <w:proofErr w:type="spellStart"/>
      <w:r w:rsidRPr="00252A39">
        <w:rPr>
          <w:sz w:val="24"/>
          <w:szCs w:val="24"/>
        </w:rPr>
        <w:t>serotonergt</w:t>
      </w:r>
      <w:proofErr w:type="spellEnd"/>
      <w:r w:rsidRPr="00252A39">
        <w:rPr>
          <w:sz w:val="24"/>
          <w:szCs w:val="24"/>
        </w:rPr>
        <w:t xml:space="preserve"> syndrom: se pkt. 4.4). Forsigtighed bør udvises og en tættere klinisk opfølgning er nødvendig når disse aktive stoffer kombineres med </w:t>
      </w:r>
      <w:proofErr w:type="spellStart"/>
      <w:r w:rsidRPr="00252A39">
        <w:rPr>
          <w:sz w:val="24"/>
          <w:szCs w:val="24"/>
        </w:rPr>
        <w:t>mirtazapin</w:t>
      </w:r>
      <w:proofErr w:type="spellEnd"/>
      <w:r w:rsidRPr="00252A39">
        <w:rPr>
          <w:sz w:val="24"/>
          <w:szCs w:val="24"/>
        </w:rPr>
        <w:t>.</w:t>
      </w:r>
    </w:p>
    <w:p w:rsidR="00DF5345" w:rsidRPr="00252A39" w:rsidRDefault="00DF5345" w:rsidP="00DF5345">
      <w:pPr>
        <w:numPr>
          <w:ilvl w:val="0"/>
          <w:numId w:val="7"/>
        </w:numPr>
        <w:tabs>
          <w:tab w:val="num" w:pos="851"/>
        </w:tabs>
        <w:autoSpaceDE w:val="0"/>
        <w:autoSpaceDN w:val="0"/>
        <w:adjustRightInd w:val="0"/>
        <w:ind w:left="851" w:hanging="851"/>
        <w:rPr>
          <w:sz w:val="24"/>
          <w:szCs w:val="24"/>
        </w:rPr>
      </w:pPr>
      <w:proofErr w:type="spellStart"/>
      <w:r w:rsidRPr="00252A39">
        <w:rPr>
          <w:sz w:val="24"/>
          <w:szCs w:val="24"/>
        </w:rPr>
        <w:t>Mirtazapin</w:t>
      </w:r>
      <w:proofErr w:type="spellEnd"/>
      <w:r w:rsidRPr="00252A39">
        <w:rPr>
          <w:sz w:val="24"/>
          <w:szCs w:val="24"/>
        </w:rPr>
        <w:t xml:space="preserve"> kan øge den sederende egenskab ved benzodiazepiner og andre sedativer (især de fleste former for antipsykotika, antihistamin H1-antagonister, opioider). Der bør udvises forsigtighed i de tilfælde, hvor disse medicinske produkter er ordineret sammen med </w:t>
      </w:r>
      <w:proofErr w:type="spellStart"/>
      <w:r w:rsidRPr="00252A39">
        <w:rPr>
          <w:sz w:val="24"/>
          <w:szCs w:val="24"/>
        </w:rPr>
        <w:t>mirtazapin</w:t>
      </w:r>
      <w:proofErr w:type="spellEnd"/>
      <w:r w:rsidRPr="00252A39">
        <w:rPr>
          <w:sz w:val="24"/>
          <w:szCs w:val="24"/>
        </w:rPr>
        <w:t>.</w:t>
      </w:r>
    </w:p>
    <w:p w:rsidR="00DF5345" w:rsidRPr="00252A39" w:rsidRDefault="00DF5345" w:rsidP="00DF5345">
      <w:pPr>
        <w:numPr>
          <w:ilvl w:val="0"/>
          <w:numId w:val="7"/>
        </w:numPr>
        <w:tabs>
          <w:tab w:val="num" w:pos="851"/>
        </w:tabs>
        <w:autoSpaceDE w:val="0"/>
        <w:autoSpaceDN w:val="0"/>
        <w:adjustRightInd w:val="0"/>
        <w:ind w:left="851" w:hanging="851"/>
        <w:rPr>
          <w:sz w:val="24"/>
          <w:szCs w:val="24"/>
        </w:rPr>
      </w:pPr>
      <w:proofErr w:type="spellStart"/>
      <w:r w:rsidRPr="00252A39">
        <w:rPr>
          <w:sz w:val="24"/>
          <w:szCs w:val="24"/>
        </w:rPr>
        <w:t>Mirtazapin</w:t>
      </w:r>
      <w:proofErr w:type="spellEnd"/>
      <w:r w:rsidRPr="00252A39">
        <w:rPr>
          <w:sz w:val="24"/>
          <w:szCs w:val="24"/>
        </w:rPr>
        <w:t xml:space="preserve"> kan øge den CNS-undertrykkende effekt af alkohol. Patienter bør derfor rådes til at undgå alkoholiske drikke, mens de tager </w:t>
      </w:r>
      <w:proofErr w:type="spellStart"/>
      <w:r w:rsidRPr="00252A39">
        <w:rPr>
          <w:sz w:val="24"/>
          <w:szCs w:val="24"/>
        </w:rPr>
        <w:t>mirtazapin</w:t>
      </w:r>
      <w:proofErr w:type="spellEnd"/>
      <w:r w:rsidRPr="00252A39">
        <w:rPr>
          <w:sz w:val="24"/>
          <w:szCs w:val="24"/>
        </w:rPr>
        <w:t>.</w:t>
      </w:r>
    </w:p>
    <w:p w:rsidR="00DF5345" w:rsidRDefault="00DF5345" w:rsidP="00DF5345">
      <w:pPr>
        <w:numPr>
          <w:ilvl w:val="0"/>
          <w:numId w:val="7"/>
        </w:numPr>
        <w:tabs>
          <w:tab w:val="num" w:pos="851"/>
        </w:tabs>
        <w:autoSpaceDE w:val="0"/>
        <w:autoSpaceDN w:val="0"/>
        <w:adjustRightInd w:val="0"/>
        <w:ind w:left="851" w:hanging="851"/>
        <w:rPr>
          <w:sz w:val="24"/>
          <w:szCs w:val="24"/>
        </w:rPr>
      </w:pPr>
      <w:r w:rsidRPr="00252A39">
        <w:rPr>
          <w:sz w:val="24"/>
          <w:szCs w:val="24"/>
        </w:rPr>
        <w:t xml:space="preserve">Hos personer i behandling med </w:t>
      </w:r>
      <w:proofErr w:type="spellStart"/>
      <w:r w:rsidRPr="00252A39">
        <w:rPr>
          <w:sz w:val="24"/>
          <w:szCs w:val="24"/>
        </w:rPr>
        <w:t>warfarin</w:t>
      </w:r>
      <w:proofErr w:type="spellEnd"/>
      <w:r w:rsidRPr="00252A39">
        <w:rPr>
          <w:sz w:val="24"/>
          <w:szCs w:val="24"/>
        </w:rPr>
        <w:t xml:space="preserve"> forårsagede </w:t>
      </w:r>
      <w:proofErr w:type="spellStart"/>
      <w:r w:rsidRPr="00252A39">
        <w:rPr>
          <w:sz w:val="24"/>
          <w:szCs w:val="24"/>
        </w:rPr>
        <w:t>mirtazapin</w:t>
      </w:r>
      <w:proofErr w:type="spellEnd"/>
      <w:r w:rsidRPr="00252A39">
        <w:rPr>
          <w:sz w:val="24"/>
          <w:szCs w:val="24"/>
        </w:rPr>
        <w:t xml:space="preserve"> doseret med 30 mg én gang dagligt en lille, men statistisk signifikant, øgning i international normaliseret ratio (INR). Da det ikke kan udelukkes, at højere doser af </w:t>
      </w:r>
      <w:proofErr w:type="spellStart"/>
      <w:r w:rsidRPr="00252A39">
        <w:rPr>
          <w:sz w:val="24"/>
          <w:szCs w:val="24"/>
        </w:rPr>
        <w:t>mirtazapin</w:t>
      </w:r>
      <w:proofErr w:type="spellEnd"/>
      <w:r w:rsidRPr="00252A39">
        <w:rPr>
          <w:sz w:val="24"/>
          <w:szCs w:val="24"/>
        </w:rPr>
        <w:t xml:space="preserve"> kan forårsage en mere udtalt effekt, er det tilrådeligt at monitorere INR i tilfælde af samtidig behandling med </w:t>
      </w:r>
      <w:proofErr w:type="spellStart"/>
      <w:r w:rsidRPr="00252A39">
        <w:rPr>
          <w:sz w:val="24"/>
          <w:szCs w:val="24"/>
        </w:rPr>
        <w:t>warfarin</w:t>
      </w:r>
      <w:proofErr w:type="spellEnd"/>
      <w:r w:rsidRPr="00252A39">
        <w:rPr>
          <w:sz w:val="24"/>
          <w:szCs w:val="24"/>
        </w:rPr>
        <w:t xml:space="preserve"> og </w:t>
      </w:r>
      <w:proofErr w:type="spellStart"/>
      <w:r w:rsidRPr="00252A39">
        <w:rPr>
          <w:sz w:val="24"/>
          <w:szCs w:val="24"/>
        </w:rPr>
        <w:t>mirtazapin</w:t>
      </w:r>
      <w:proofErr w:type="spellEnd"/>
      <w:r w:rsidRPr="00252A39">
        <w:rPr>
          <w:sz w:val="24"/>
          <w:szCs w:val="24"/>
        </w:rPr>
        <w:t>.</w:t>
      </w:r>
    </w:p>
    <w:p w:rsidR="00DF5345" w:rsidRPr="00143EC5" w:rsidRDefault="00DF5345" w:rsidP="00DF5345">
      <w:pPr>
        <w:numPr>
          <w:ilvl w:val="0"/>
          <w:numId w:val="7"/>
        </w:numPr>
        <w:tabs>
          <w:tab w:val="num" w:pos="851"/>
        </w:tabs>
        <w:autoSpaceDE w:val="0"/>
        <w:autoSpaceDN w:val="0"/>
        <w:adjustRightInd w:val="0"/>
        <w:ind w:left="851" w:hanging="851"/>
        <w:rPr>
          <w:sz w:val="24"/>
          <w:szCs w:val="24"/>
        </w:rPr>
      </w:pPr>
      <w:r w:rsidRPr="00143EC5">
        <w:rPr>
          <w:sz w:val="24"/>
          <w:szCs w:val="24"/>
        </w:rPr>
        <w:t xml:space="preserve">Risiko for QT-forlængelse og/eller </w:t>
      </w:r>
      <w:proofErr w:type="spellStart"/>
      <w:r w:rsidRPr="00143EC5">
        <w:rPr>
          <w:sz w:val="24"/>
          <w:szCs w:val="24"/>
        </w:rPr>
        <w:t>ventrikulær</w:t>
      </w:r>
      <w:proofErr w:type="spellEnd"/>
      <w:r w:rsidRPr="00143EC5">
        <w:rPr>
          <w:sz w:val="24"/>
          <w:szCs w:val="24"/>
        </w:rPr>
        <w:t xml:space="preserve"> </w:t>
      </w:r>
      <w:proofErr w:type="spellStart"/>
      <w:r w:rsidRPr="00143EC5">
        <w:rPr>
          <w:sz w:val="24"/>
          <w:szCs w:val="24"/>
        </w:rPr>
        <w:t>arytmi</w:t>
      </w:r>
      <w:proofErr w:type="spellEnd"/>
      <w:r w:rsidRPr="00143EC5">
        <w:rPr>
          <w:sz w:val="24"/>
          <w:szCs w:val="24"/>
        </w:rPr>
        <w:t xml:space="preserve"> (f.eks. </w:t>
      </w:r>
      <w:proofErr w:type="spellStart"/>
      <w:r w:rsidRPr="00143EC5">
        <w:rPr>
          <w:i/>
          <w:sz w:val="24"/>
          <w:szCs w:val="24"/>
        </w:rPr>
        <w:t>torsades</w:t>
      </w:r>
      <w:proofErr w:type="spellEnd"/>
      <w:r w:rsidRPr="00143EC5">
        <w:rPr>
          <w:i/>
          <w:sz w:val="24"/>
          <w:szCs w:val="24"/>
        </w:rPr>
        <w:t xml:space="preserve"> de pointes</w:t>
      </w:r>
      <w:r w:rsidRPr="00143EC5">
        <w:rPr>
          <w:sz w:val="24"/>
          <w:szCs w:val="24"/>
        </w:rPr>
        <w:t xml:space="preserve">) kan øges ved samtidig anvendelse af lægemidler, der forlænger </w:t>
      </w:r>
      <w:proofErr w:type="spellStart"/>
      <w:r w:rsidRPr="00143EC5">
        <w:rPr>
          <w:sz w:val="24"/>
          <w:szCs w:val="24"/>
        </w:rPr>
        <w:t>QTc</w:t>
      </w:r>
      <w:proofErr w:type="spellEnd"/>
      <w:r w:rsidRPr="00143EC5">
        <w:rPr>
          <w:sz w:val="24"/>
          <w:szCs w:val="24"/>
        </w:rPr>
        <w:t>-intervallet (f.eks. nogle antipsykotika og antibiotika).</w:t>
      </w:r>
    </w:p>
    <w:p w:rsidR="00DF5345" w:rsidRPr="00252A39" w:rsidRDefault="00DF5345" w:rsidP="00DF5345">
      <w:pPr>
        <w:ind w:left="851" w:hanging="851"/>
        <w:rPr>
          <w:sz w:val="24"/>
          <w:szCs w:val="24"/>
        </w:rPr>
      </w:pPr>
    </w:p>
    <w:p w:rsidR="00DF5345" w:rsidRPr="005F7B6E" w:rsidRDefault="00DF5345" w:rsidP="00DF5345">
      <w:pPr>
        <w:ind w:left="851"/>
        <w:rPr>
          <w:sz w:val="24"/>
          <w:szCs w:val="24"/>
          <w:u w:val="single"/>
        </w:rPr>
      </w:pPr>
      <w:proofErr w:type="spellStart"/>
      <w:r w:rsidRPr="005F7B6E">
        <w:rPr>
          <w:sz w:val="24"/>
          <w:szCs w:val="24"/>
          <w:u w:val="single"/>
        </w:rPr>
        <w:t>Farmakokinetiske</w:t>
      </w:r>
      <w:proofErr w:type="spellEnd"/>
      <w:r w:rsidRPr="005F7B6E">
        <w:rPr>
          <w:sz w:val="24"/>
          <w:szCs w:val="24"/>
          <w:u w:val="single"/>
        </w:rPr>
        <w:t xml:space="preserve"> interaktioner</w:t>
      </w:r>
    </w:p>
    <w:p w:rsidR="00DF5345" w:rsidRPr="00252A39" w:rsidRDefault="00DF5345" w:rsidP="00DF5345">
      <w:pPr>
        <w:numPr>
          <w:ilvl w:val="0"/>
          <w:numId w:val="7"/>
        </w:numPr>
        <w:tabs>
          <w:tab w:val="num" w:pos="851"/>
        </w:tabs>
        <w:autoSpaceDE w:val="0"/>
        <w:autoSpaceDN w:val="0"/>
        <w:adjustRightInd w:val="0"/>
        <w:ind w:left="851" w:hanging="851"/>
        <w:rPr>
          <w:sz w:val="24"/>
          <w:szCs w:val="24"/>
        </w:rPr>
      </w:pPr>
      <w:proofErr w:type="spellStart"/>
      <w:r w:rsidRPr="00252A39">
        <w:rPr>
          <w:sz w:val="24"/>
          <w:szCs w:val="24"/>
        </w:rPr>
        <w:t>Carbamazepin</w:t>
      </w:r>
      <w:proofErr w:type="spellEnd"/>
      <w:r w:rsidRPr="00252A39">
        <w:rPr>
          <w:sz w:val="24"/>
          <w:szCs w:val="24"/>
        </w:rPr>
        <w:t xml:space="preserve"> og </w:t>
      </w:r>
      <w:proofErr w:type="spellStart"/>
      <w:r w:rsidRPr="00252A39">
        <w:rPr>
          <w:sz w:val="24"/>
          <w:szCs w:val="24"/>
        </w:rPr>
        <w:t>phenytoin</w:t>
      </w:r>
      <w:proofErr w:type="spellEnd"/>
      <w:r w:rsidRPr="00252A39">
        <w:rPr>
          <w:sz w:val="24"/>
          <w:szCs w:val="24"/>
        </w:rPr>
        <w:t xml:space="preserve">, som inducerer CYP3A4, forhøjede </w:t>
      </w:r>
      <w:proofErr w:type="spellStart"/>
      <w:r w:rsidRPr="00252A39">
        <w:rPr>
          <w:sz w:val="24"/>
          <w:szCs w:val="24"/>
        </w:rPr>
        <w:t>mirtazapin-clearance</w:t>
      </w:r>
      <w:proofErr w:type="spellEnd"/>
      <w:r w:rsidRPr="00252A39">
        <w:rPr>
          <w:sz w:val="24"/>
          <w:szCs w:val="24"/>
        </w:rPr>
        <w:t xml:space="preserve"> til ca. det dobbelte, hvilket medførte et fald i den gennemsnitlige plasmakoncentration af </w:t>
      </w:r>
      <w:proofErr w:type="spellStart"/>
      <w:r w:rsidRPr="00252A39">
        <w:rPr>
          <w:sz w:val="24"/>
          <w:szCs w:val="24"/>
        </w:rPr>
        <w:t>mirtazapin</w:t>
      </w:r>
      <w:proofErr w:type="spellEnd"/>
      <w:r w:rsidRPr="00252A39">
        <w:rPr>
          <w:sz w:val="24"/>
          <w:szCs w:val="24"/>
        </w:rPr>
        <w:t xml:space="preserve"> på hhv. 60 % og 45 %. Når </w:t>
      </w:r>
      <w:proofErr w:type="spellStart"/>
      <w:r w:rsidRPr="00252A39">
        <w:rPr>
          <w:sz w:val="24"/>
          <w:szCs w:val="24"/>
        </w:rPr>
        <w:t>carbamazepin</w:t>
      </w:r>
      <w:proofErr w:type="spellEnd"/>
      <w:r w:rsidRPr="00252A39">
        <w:rPr>
          <w:sz w:val="24"/>
          <w:szCs w:val="24"/>
        </w:rPr>
        <w:t xml:space="preserve"> eller en hvilken som helst induktor af levermetabolisme (såsom </w:t>
      </w:r>
      <w:proofErr w:type="spellStart"/>
      <w:r w:rsidRPr="00252A39">
        <w:rPr>
          <w:sz w:val="24"/>
          <w:szCs w:val="24"/>
        </w:rPr>
        <w:t>rifampicin</w:t>
      </w:r>
      <w:proofErr w:type="spellEnd"/>
      <w:r w:rsidRPr="00252A39">
        <w:rPr>
          <w:sz w:val="24"/>
          <w:szCs w:val="24"/>
        </w:rPr>
        <w:t xml:space="preserve">) tilføjes til </w:t>
      </w:r>
      <w:proofErr w:type="spellStart"/>
      <w:r w:rsidRPr="00252A39">
        <w:rPr>
          <w:sz w:val="24"/>
          <w:szCs w:val="24"/>
        </w:rPr>
        <w:t>mirtazapin</w:t>
      </w:r>
      <w:proofErr w:type="spellEnd"/>
      <w:r w:rsidRPr="00252A39">
        <w:rPr>
          <w:sz w:val="24"/>
          <w:szCs w:val="24"/>
        </w:rPr>
        <w:t xml:space="preserve">-behandling, skal dosen af </w:t>
      </w:r>
      <w:proofErr w:type="spellStart"/>
      <w:r w:rsidRPr="00252A39">
        <w:rPr>
          <w:sz w:val="24"/>
          <w:szCs w:val="24"/>
        </w:rPr>
        <w:t>mirtazapin</w:t>
      </w:r>
      <w:proofErr w:type="spellEnd"/>
      <w:r w:rsidRPr="00252A39">
        <w:rPr>
          <w:sz w:val="24"/>
          <w:szCs w:val="24"/>
        </w:rPr>
        <w:t xml:space="preserve"> muligvis forhøjes. Hvis behandlingen med sådanne lægemidler afbrydes, kan det være nødvendigt at reducere dosen af </w:t>
      </w:r>
      <w:proofErr w:type="spellStart"/>
      <w:r w:rsidRPr="00252A39">
        <w:rPr>
          <w:sz w:val="24"/>
          <w:szCs w:val="24"/>
        </w:rPr>
        <w:t>mirtazapin</w:t>
      </w:r>
      <w:proofErr w:type="spellEnd"/>
      <w:r w:rsidRPr="00252A39">
        <w:rPr>
          <w:sz w:val="24"/>
          <w:szCs w:val="24"/>
        </w:rPr>
        <w:t>.</w:t>
      </w:r>
    </w:p>
    <w:p w:rsidR="00DF5345" w:rsidRPr="00252A39" w:rsidRDefault="00DF5345" w:rsidP="00DF5345">
      <w:pPr>
        <w:numPr>
          <w:ilvl w:val="0"/>
          <w:numId w:val="7"/>
        </w:numPr>
        <w:tabs>
          <w:tab w:val="num" w:pos="851"/>
        </w:tabs>
        <w:autoSpaceDE w:val="0"/>
        <w:autoSpaceDN w:val="0"/>
        <w:adjustRightInd w:val="0"/>
        <w:ind w:left="851" w:hanging="851"/>
        <w:rPr>
          <w:sz w:val="24"/>
          <w:szCs w:val="24"/>
        </w:rPr>
      </w:pPr>
      <w:r w:rsidRPr="00252A39">
        <w:rPr>
          <w:sz w:val="24"/>
          <w:szCs w:val="24"/>
        </w:rPr>
        <w:t xml:space="preserve">Samtidig administration af den potente CYP3A4 hæmmer </w:t>
      </w:r>
      <w:proofErr w:type="spellStart"/>
      <w:r w:rsidRPr="00252A39">
        <w:rPr>
          <w:sz w:val="24"/>
          <w:szCs w:val="24"/>
        </w:rPr>
        <w:t>ketoconazol</w:t>
      </w:r>
      <w:proofErr w:type="spellEnd"/>
      <w:r w:rsidRPr="00252A39">
        <w:rPr>
          <w:sz w:val="24"/>
          <w:szCs w:val="24"/>
        </w:rPr>
        <w:t xml:space="preserve"> øgede det maksimale plasmaniveau og </w:t>
      </w:r>
      <w:proofErr w:type="spellStart"/>
      <w:r w:rsidRPr="00252A39">
        <w:rPr>
          <w:sz w:val="24"/>
          <w:szCs w:val="24"/>
        </w:rPr>
        <w:t>mirtazapins</w:t>
      </w:r>
      <w:proofErr w:type="spellEnd"/>
      <w:r w:rsidRPr="00252A39">
        <w:rPr>
          <w:sz w:val="24"/>
          <w:szCs w:val="24"/>
        </w:rPr>
        <w:t xml:space="preserve"> AUC med henholdsvis ca. 40 % og ca. 50 %. </w:t>
      </w:r>
    </w:p>
    <w:p w:rsidR="00DF5345" w:rsidRPr="00252A39" w:rsidRDefault="00DF5345" w:rsidP="00DF5345">
      <w:pPr>
        <w:numPr>
          <w:ilvl w:val="0"/>
          <w:numId w:val="7"/>
        </w:numPr>
        <w:tabs>
          <w:tab w:val="num" w:pos="851"/>
        </w:tabs>
        <w:autoSpaceDE w:val="0"/>
        <w:autoSpaceDN w:val="0"/>
        <w:adjustRightInd w:val="0"/>
        <w:ind w:left="851" w:hanging="851"/>
        <w:rPr>
          <w:sz w:val="24"/>
          <w:szCs w:val="24"/>
        </w:rPr>
      </w:pPr>
      <w:r w:rsidRPr="00252A39">
        <w:rPr>
          <w:sz w:val="24"/>
          <w:szCs w:val="24"/>
        </w:rPr>
        <w:t xml:space="preserve">Når </w:t>
      </w:r>
      <w:proofErr w:type="spellStart"/>
      <w:r w:rsidRPr="00252A39">
        <w:rPr>
          <w:sz w:val="24"/>
          <w:szCs w:val="24"/>
        </w:rPr>
        <w:t>cimetidin</w:t>
      </w:r>
      <w:proofErr w:type="spellEnd"/>
      <w:r w:rsidRPr="00252A39">
        <w:rPr>
          <w:sz w:val="24"/>
          <w:szCs w:val="24"/>
        </w:rPr>
        <w:t xml:space="preserve"> (</w:t>
      </w:r>
      <w:proofErr w:type="gramStart"/>
      <w:r w:rsidRPr="00252A39">
        <w:rPr>
          <w:sz w:val="24"/>
          <w:szCs w:val="24"/>
        </w:rPr>
        <w:t>svag</w:t>
      </w:r>
      <w:proofErr w:type="gramEnd"/>
      <w:r w:rsidRPr="00252A39">
        <w:rPr>
          <w:sz w:val="24"/>
          <w:szCs w:val="24"/>
        </w:rPr>
        <w:t xml:space="preserve"> hæmmer af CYP1A2, CYP2D6 og CYP3A4) administreres sammen med </w:t>
      </w:r>
      <w:proofErr w:type="spellStart"/>
      <w:r w:rsidRPr="00252A39">
        <w:rPr>
          <w:sz w:val="24"/>
          <w:szCs w:val="24"/>
        </w:rPr>
        <w:t>mirtazapin</w:t>
      </w:r>
      <w:proofErr w:type="spellEnd"/>
      <w:r w:rsidRPr="00252A39">
        <w:rPr>
          <w:sz w:val="24"/>
          <w:szCs w:val="24"/>
        </w:rPr>
        <w:t xml:space="preserve">, kan gennemsnitsplasmakoncentrationen af </w:t>
      </w:r>
      <w:proofErr w:type="spellStart"/>
      <w:r w:rsidRPr="00252A39">
        <w:rPr>
          <w:sz w:val="24"/>
          <w:szCs w:val="24"/>
        </w:rPr>
        <w:t>mirtazapin</w:t>
      </w:r>
      <w:proofErr w:type="spellEnd"/>
      <w:r w:rsidRPr="00252A39">
        <w:rPr>
          <w:sz w:val="24"/>
          <w:szCs w:val="24"/>
        </w:rPr>
        <w:t xml:space="preserve"> måske stige med mere end 50 %.</w:t>
      </w:r>
    </w:p>
    <w:p w:rsidR="00DF5345" w:rsidRPr="00252A39" w:rsidRDefault="00DF5345" w:rsidP="00DF5345">
      <w:pPr>
        <w:ind w:left="851"/>
        <w:rPr>
          <w:sz w:val="24"/>
          <w:szCs w:val="24"/>
        </w:rPr>
      </w:pPr>
      <w:r w:rsidRPr="00252A39">
        <w:rPr>
          <w:sz w:val="24"/>
          <w:szCs w:val="24"/>
        </w:rPr>
        <w:t xml:space="preserve">Der skal udvises forsigtighed og dosis skal måske nedsættes når </w:t>
      </w:r>
      <w:proofErr w:type="spellStart"/>
      <w:r w:rsidRPr="00252A39">
        <w:rPr>
          <w:sz w:val="24"/>
          <w:szCs w:val="24"/>
        </w:rPr>
        <w:t>mirtazapin</w:t>
      </w:r>
      <w:proofErr w:type="spellEnd"/>
      <w:r w:rsidRPr="00252A39">
        <w:rPr>
          <w:sz w:val="24"/>
          <w:szCs w:val="24"/>
        </w:rPr>
        <w:t xml:space="preserve"> administreres sammen med potente CYP3A4-hæmmere, HIV-</w:t>
      </w:r>
      <w:proofErr w:type="spellStart"/>
      <w:r w:rsidRPr="00252A39">
        <w:rPr>
          <w:sz w:val="24"/>
          <w:szCs w:val="24"/>
        </w:rPr>
        <w:t>proteasehæmmere</w:t>
      </w:r>
      <w:proofErr w:type="spellEnd"/>
      <w:r w:rsidRPr="00252A39">
        <w:rPr>
          <w:sz w:val="24"/>
          <w:szCs w:val="24"/>
        </w:rPr>
        <w:t xml:space="preserve">, </w:t>
      </w:r>
      <w:proofErr w:type="spellStart"/>
      <w:r w:rsidRPr="00252A39">
        <w:rPr>
          <w:sz w:val="24"/>
          <w:szCs w:val="24"/>
        </w:rPr>
        <w:t>azol</w:t>
      </w:r>
      <w:proofErr w:type="spellEnd"/>
      <w:r w:rsidRPr="00252A39">
        <w:rPr>
          <w:sz w:val="24"/>
          <w:szCs w:val="24"/>
        </w:rPr>
        <w:t xml:space="preserve"> svampemidler, </w:t>
      </w:r>
      <w:proofErr w:type="spellStart"/>
      <w:r w:rsidRPr="00252A39">
        <w:rPr>
          <w:sz w:val="24"/>
          <w:szCs w:val="24"/>
        </w:rPr>
        <w:t>erytromycin</w:t>
      </w:r>
      <w:proofErr w:type="spellEnd"/>
      <w:r w:rsidRPr="00252A39">
        <w:rPr>
          <w:sz w:val="24"/>
          <w:szCs w:val="24"/>
        </w:rPr>
        <w:t xml:space="preserve">, </w:t>
      </w:r>
      <w:proofErr w:type="spellStart"/>
      <w:r w:rsidRPr="00252A39">
        <w:rPr>
          <w:sz w:val="24"/>
          <w:szCs w:val="24"/>
        </w:rPr>
        <w:t>cimetidin</w:t>
      </w:r>
      <w:proofErr w:type="spellEnd"/>
      <w:r w:rsidRPr="00252A39">
        <w:rPr>
          <w:sz w:val="24"/>
          <w:szCs w:val="24"/>
        </w:rPr>
        <w:t xml:space="preserve"> eller </w:t>
      </w:r>
      <w:proofErr w:type="spellStart"/>
      <w:r w:rsidRPr="00252A39">
        <w:rPr>
          <w:sz w:val="24"/>
          <w:szCs w:val="24"/>
        </w:rPr>
        <w:t>nefazodon</w:t>
      </w:r>
      <w:proofErr w:type="spellEnd"/>
      <w:r w:rsidRPr="00252A39">
        <w:rPr>
          <w:sz w:val="24"/>
          <w:szCs w:val="24"/>
        </w:rPr>
        <w:t>.</w:t>
      </w:r>
    </w:p>
    <w:p w:rsidR="00DF5345" w:rsidRDefault="00DF5345" w:rsidP="00DF5345">
      <w:pPr>
        <w:numPr>
          <w:ilvl w:val="0"/>
          <w:numId w:val="7"/>
        </w:numPr>
        <w:tabs>
          <w:tab w:val="num" w:pos="851"/>
        </w:tabs>
        <w:autoSpaceDE w:val="0"/>
        <w:autoSpaceDN w:val="0"/>
        <w:adjustRightInd w:val="0"/>
        <w:ind w:left="851" w:hanging="851"/>
        <w:rPr>
          <w:sz w:val="24"/>
          <w:szCs w:val="24"/>
        </w:rPr>
      </w:pPr>
      <w:r w:rsidRPr="00252A39">
        <w:rPr>
          <w:sz w:val="24"/>
          <w:szCs w:val="24"/>
        </w:rPr>
        <w:t xml:space="preserve">Interaktionsstudier indikerede ingen relevante </w:t>
      </w:r>
      <w:proofErr w:type="spellStart"/>
      <w:r w:rsidRPr="00252A39">
        <w:rPr>
          <w:sz w:val="24"/>
          <w:szCs w:val="24"/>
        </w:rPr>
        <w:t>farmakokinetiske</w:t>
      </w:r>
      <w:proofErr w:type="spellEnd"/>
      <w:r w:rsidRPr="00252A39">
        <w:rPr>
          <w:sz w:val="24"/>
          <w:szCs w:val="24"/>
        </w:rPr>
        <w:t xml:space="preserve"> virkninger på samtidig behandling med </w:t>
      </w:r>
      <w:proofErr w:type="spellStart"/>
      <w:r w:rsidRPr="00252A39">
        <w:rPr>
          <w:sz w:val="24"/>
          <w:szCs w:val="24"/>
        </w:rPr>
        <w:t>mirtazapin</w:t>
      </w:r>
      <w:proofErr w:type="spellEnd"/>
      <w:r w:rsidRPr="00252A39">
        <w:rPr>
          <w:sz w:val="24"/>
          <w:szCs w:val="24"/>
        </w:rPr>
        <w:t xml:space="preserve"> og </w:t>
      </w:r>
      <w:proofErr w:type="spellStart"/>
      <w:r w:rsidRPr="00252A39">
        <w:rPr>
          <w:sz w:val="24"/>
          <w:szCs w:val="24"/>
        </w:rPr>
        <w:t>paroxetin</w:t>
      </w:r>
      <w:proofErr w:type="spellEnd"/>
      <w:r w:rsidRPr="00252A39">
        <w:rPr>
          <w:sz w:val="24"/>
          <w:szCs w:val="24"/>
        </w:rPr>
        <w:t xml:space="preserve">, </w:t>
      </w:r>
      <w:proofErr w:type="spellStart"/>
      <w:r w:rsidRPr="00252A39">
        <w:rPr>
          <w:sz w:val="24"/>
          <w:szCs w:val="24"/>
        </w:rPr>
        <w:t>amitriptylin</w:t>
      </w:r>
      <w:proofErr w:type="spellEnd"/>
      <w:r w:rsidRPr="00252A39">
        <w:rPr>
          <w:sz w:val="24"/>
          <w:szCs w:val="24"/>
        </w:rPr>
        <w:t xml:space="preserve">, </w:t>
      </w:r>
      <w:proofErr w:type="spellStart"/>
      <w:r w:rsidRPr="00252A39">
        <w:rPr>
          <w:sz w:val="24"/>
          <w:szCs w:val="24"/>
        </w:rPr>
        <w:t>risperidon</w:t>
      </w:r>
      <w:proofErr w:type="spellEnd"/>
      <w:r w:rsidRPr="00252A39">
        <w:rPr>
          <w:sz w:val="24"/>
          <w:szCs w:val="24"/>
        </w:rPr>
        <w:t xml:space="preserve"> eller </w:t>
      </w:r>
      <w:proofErr w:type="spellStart"/>
      <w:r w:rsidRPr="00252A39">
        <w:rPr>
          <w:sz w:val="24"/>
          <w:szCs w:val="24"/>
        </w:rPr>
        <w:t>lithium</w:t>
      </w:r>
      <w:proofErr w:type="spellEnd"/>
      <w:r w:rsidRPr="00252A39">
        <w:rPr>
          <w:sz w:val="24"/>
          <w:szCs w:val="24"/>
        </w:rPr>
        <w:t>.</w:t>
      </w:r>
    </w:p>
    <w:p w:rsidR="00DF5345" w:rsidRDefault="00DF5345" w:rsidP="00DF5345">
      <w:pPr>
        <w:autoSpaceDE w:val="0"/>
        <w:autoSpaceDN w:val="0"/>
        <w:adjustRightInd w:val="0"/>
        <w:ind w:left="851"/>
        <w:rPr>
          <w:sz w:val="24"/>
          <w:szCs w:val="24"/>
        </w:rPr>
      </w:pPr>
    </w:p>
    <w:p w:rsidR="00DF5345" w:rsidRPr="00143EC5" w:rsidRDefault="00DF5345" w:rsidP="00DF5345">
      <w:pPr>
        <w:ind w:left="1702" w:hanging="851"/>
        <w:rPr>
          <w:sz w:val="24"/>
          <w:szCs w:val="24"/>
          <w:u w:val="single"/>
        </w:rPr>
      </w:pPr>
      <w:r w:rsidRPr="00143EC5">
        <w:rPr>
          <w:sz w:val="24"/>
          <w:szCs w:val="24"/>
          <w:u w:val="single"/>
        </w:rPr>
        <w:t>Pædiatrisk population</w:t>
      </w:r>
    </w:p>
    <w:p w:rsidR="00DF5345" w:rsidRPr="00252A39" w:rsidRDefault="00DF5345" w:rsidP="00DF5345">
      <w:pPr>
        <w:ind w:left="1702" w:hanging="851"/>
        <w:rPr>
          <w:sz w:val="24"/>
          <w:szCs w:val="24"/>
        </w:rPr>
      </w:pPr>
      <w:r w:rsidRPr="00143EC5">
        <w:rPr>
          <w:sz w:val="24"/>
          <w:szCs w:val="24"/>
        </w:rPr>
        <w:t>Interaktionsstudier er kun udført hos voksne.</w:t>
      </w:r>
    </w:p>
    <w:p w:rsidR="00DF5345" w:rsidRPr="00252A39" w:rsidRDefault="00DF5345" w:rsidP="00DF5345">
      <w:pPr>
        <w:ind w:left="851" w:hanging="851"/>
        <w:rPr>
          <w:sz w:val="24"/>
          <w:szCs w:val="24"/>
        </w:rPr>
      </w:pPr>
    </w:p>
    <w:p w:rsidR="00DF5345" w:rsidRPr="00143EC5" w:rsidRDefault="00DF5345" w:rsidP="00DF5345">
      <w:pPr>
        <w:tabs>
          <w:tab w:val="left" w:pos="851"/>
        </w:tabs>
        <w:rPr>
          <w:b/>
          <w:sz w:val="24"/>
          <w:szCs w:val="24"/>
        </w:rPr>
      </w:pPr>
      <w:r>
        <w:rPr>
          <w:b/>
          <w:sz w:val="24"/>
          <w:szCs w:val="24"/>
        </w:rPr>
        <w:t>4.6</w:t>
      </w:r>
      <w:r>
        <w:rPr>
          <w:b/>
          <w:sz w:val="24"/>
          <w:szCs w:val="24"/>
        </w:rPr>
        <w:tab/>
      </w:r>
      <w:r w:rsidRPr="00143EC5">
        <w:rPr>
          <w:b/>
          <w:sz w:val="24"/>
          <w:szCs w:val="24"/>
        </w:rPr>
        <w:t>Fertilitet, graviditet og amning</w:t>
      </w:r>
    </w:p>
    <w:p w:rsidR="00DF5345" w:rsidRPr="00077FA3" w:rsidRDefault="00DF5345" w:rsidP="00DF5345">
      <w:pPr>
        <w:tabs>
          <w:tab w:val="left" w:pos="851"/>
        </w:tabs>
        <w:rPr>
          <w:sz w:val="24"/>
          <w:szCs w:val="24"/>
          <w:u w:val="single"/>
        </w:rPr>
      </w:pPr>
      <w:r w:rsidRPr="00252A39">
        <w:rPr>
          <w:szCs w:val="24"/>
        </w:rPr>
        <w:tab/>
      </w:r>
      <w:r w:rsidRPr="00077FA3">
        <w:rPr>
          <w:sz w:val="24"/>
          <w:szCs w:val="24"/>
          <w:u w:val="single"/>
        </w:rPr>
        <w:t>Graviditet</w:t>
      </w:r>
    </w:p>
    <w:p w:rsidR="00DF5345" w:rsidRPr="00077FA3" w:rsidRDefault="00DF5345" w:rsidP="00DF5345">
      <w:pPr>
        <w:ind w:left="851" w:hanging="851"/>
        <w:rPr>
          <w:sz w:val="24"/>
          <w:szCs w:val="24"/>
        </w:rPr>
      </w:pPr>
      <w:r w:rsidRPr="00077FA3">
        <w:rPr>
          <w:sz w:val="24"/>
          <w:szCs w:val="24"/>
        </w:rPr>
        <w:tab/>
        <w:t xml:space="preserve">Begrænsede data vedrørende gravide kvinders brug af </w:t>
      </w:r>
      <w:proofErr w:type="spellStart"/>
      <w:r w:rsidRPr="00077FA3">
        <w:rPr>
          <w:sz w:val="24"/>
          <w:szCs w:val="24"/>
        </w:rPr>
        <w:t>mirtazapin</w:t>
      </w:r>
      <w:proofErr w:type="spellEnd"/>
      <w:r w:rsidRPr="00077FA3">
        <w:rPr>
          <w:sz w:val="24"/>
          <w:szCs w:val="24"/>
        </w:rPr>
        <w:t xml:space="preserve"> indikerer ikke en forhøjet risiko for medfødte misdannelser. Dyreforsøg har ikke vist </w:t>
      </w:r>
      <w:proofErr w:type="spellStart"/>
      <w:r w:rsidRPr="00077FA3">
        <w:rPr>
          <w:sz w:val="24"/>
          <w:szCs w:val="24"/>
        </w:rPr>
        <w:t>teratogen</w:t>
      </w:r>
      <w:proofErr w:type="spellEnd"/>
      <w:r w:rsidRPr="00077FA3">
        <w:rPr>
          <w:sz w:val="24"/>
          <w:szCs w:val="24"/>
        </w:rPr>
        <w:t xml:space="preserve"> effekt af klinisk relevans, dog er der observeret tilfælde af forgiftning (se pkt. 5.3). </w:t>
      </w:r>
    </w:p>
    <w:p w:rsidR="00DF5345" w:rsidRDefault="00DF5345" w:rsidP="00DF5345">
      <w:pPr>
        <w:autoSpaceDE w:val="0"/>
        <w:autoSpaceDN w:val="0"/>
        <w:adjustRightInd w:val="0"/>
        <w:ind w:left="851" w:hanging="851"/>
        <w:rPr>
          <w:sz w:val="24"/>
          <w:szCs w:val="24"/>
        </w:rPr>
      </w:pPr>
      <w:r w:rsidRPr="00077FA3">
        <w:rPr>
          <w:sz w:val="24"/>
          <w:szCs w:val="24"/>
        </w:rPr>
        <w:tab/>
      </w:r>
    </w:p>
    <w:p w:rsidR="00DF5345" w:rsidRPr="00077FA3" w:rsidRDefault="00DF5345" w:rsidP="00DF5345">
      <w:pPr>
        <w:autoSpaceDE w:val="0"/>
        <w:autoSpaceDN w:val="0"/>
        <w:adjustRightInd w:val="0"/>
        <w:ind w:left="851"/>
        <w:rPr>
          <w:sz w:val="24"/>
          <w:szCs w:val="24"/>
        </w:rPr>
      </w:pPr>
      <w:r w:rsidRPr="00077FA3">
        <w:rPr>
          <w:sz w:val="24"/>
          <w:szCs w:val="24"/>
        </w:rPr>
        <w:t xml:space="preserve">Epidemiologiske data tyder på at brug af </w:t>
      </w:r>
      <w:proofErr w:type="spellStart"/>
      <w:r w:rsidRPr="00077FA3">
        <w:rPr>
          <w:sz w:val="24"/>
          <w:szCs w:val="24"/>
        </w:rPr>
        <w:t>SSRI’ere</w:t>
      </w:r>
      <w:proofErr w:type="spellEnd"/>
      <w:r w:rsidRPr="00077FA3">
        <w:rPr>
          <w:sz w:val="24"/>
          <w:szCs w:val="24"/>
        </w:rPr>
        <w:t xml:space="preserve"> under graviditet, især sidst i graviditeten, kan forøge risikoen for Persisterende </w:t>
      </w:r>
      <w:proofErr w:type="spellStart"/>
      <w:r w:rsidRPr="00077FA3">
        <w:rPr>
          <w:sz w:val="24"/>
          <w:szCs w:val="24"/>
        </w:rPr>
        <w:t>Pulmonal</w:t>
      </w:r>
      <w:proofErr w:type="spellEnd"/>
      <w:r w:rsidRPr="00077FA3">
        <w:rPr>
          <w:sz w:val="24"/>
          <w:szCs w:val="24"/>
        </w:rPr>
        <w:t xml:space="preserve"> Hypertension hos den Nyfødte (PPHN). Selv om ingen studier har undersøgt den mulige forbindelse mellem PPHN og </w:t>
      </w:r>
      <w:proofErr w:type="spellStart"/>
      <w:r w:rsidRPr="00077FA3">
        <w:rPr>
          <w:sz w:val="24"/>
          <w:szCs w:val="24"/>
        </w:rPr>
        <w:t>mirtazapin</w:t>
      </w:r>
      <w:proofErr w:type="spellEnd"/>
      <w:r w:rsidRPr="00077FA3">
        <w:rPr>
          <w:sz w:val="24"/>
          <w:szCs w:val="24"/>
        </w:rPr>
        <w:t xml:space="preserve">-behandling, kan den potentielle risiko ikke udelukkes med </w:t>
      </w:r>
      <w:proofErr w:type="spellStart"/>
      <w:r w:rsidR="00A0778C">
        <w:rPr>
          <w:sz w:val="24"/>
          <w:szCs w:val="24"/>
        </w:rPr>
        <w:t>Mirtazapin</w:t>
      </w:r>
      <w:proofErr w:type="spellEnd"/>
      <w:r w:rsidR="002E190A">
        <w:rPr>
          <w:sz w:val="24"/>
          <w:szCs w:val="24"/>
        </w:rPr>
        <w:t xml:space="preserve"> ”</w:t>
      </w:r>
      <w:proofErr w:type="spellStart"/>
      <w:r w:rsidR="002E190A">
        <w:rPr>
          <w:sz w:val="24"/>
          <w:szCs w:val="24"/>
        </w:rPr>
        <w:t>Paranova</w:t>
      </w:r>
      <w:proofErr w:type="spellEnd"/>
      <w:r w:rsidR="002E190A">
        <w:rPr>
          <w:sz w:val="24"/>
          <w:szCs w:val="24"/>
        </w:rPr>
        <w:t>”</w:t>
      </w:r>
      <w:r w:rsidRPr="00077FA3">
        <w:rPr>
          <w:sz w:val="24"/>
          <w:szCs w:val="24"/>
        </w:rPr>
        <w:t xml:space="preserve"> i betragtning af den relaterede mekanisme (forøgelse af serotoninkoncentrationer).</w:t>
      </w:r>
    </w:p>
    <w:p w:rsidR="00DF5345" w:rsidRPr="00077FA3" w:rsidRDefault="00DF5345" w:rsidP="00DF5345">
      <w:pPr>
        <w:autoSpaceDE w:val="0"/>
        <w:autoSpaceDN w:val="0"/>
        <w:adjustRightInd w:val="0"/>
        <w:ind w:left="851"/>
        <w:rPr>
          <w:sz w:val="24"/>
          <w:szCs w:val="24"/>
        </w:rPr>
      </w:pPr>
    </w:p>
    <w:p w:rsidR="00DF5345" w:rsidRPr="00077FA3" w:rsidRDefault="00DF5345" w:rsidP="00DF5345">
      <w:pPr>
        <w:autoSpaceDE w:val="0"/>
        <w:autoSpaceDN w:val="0"/>
        <w:adjustRightInd w:val="0"/>
        <w:ind w:left="851"/>
        <w:rPr>
          <w:sz w:val="24"/>
          <w:szCs w:val="24"/>
        </w:rPr>
      </w:pPr>
      <w:r w:rsidRPr="00077FA3">
        <w:rPr>
          <w:sz w:val="24"/>
          <w:szCs w:val="24"/>
        </w:rPr>
        <w:t xml:space="preserve">Forsigtighed bør udvises ved udskrivelse til gravide kvinder. Hvis </w:t>
      </w:r>
      <w:proofErr w:type="spellStart"/>
      <w:r w:rsidR="00A0778C">
        <w:rPr>
          <w:sz w:val="24"/>
          <w:szCs w:val="24"/>
        </w:rPr>
        <w:t>Mirtazapin</w:t>
      </w:r>
      <w:proofErr w:type="spellEnd"/>
      <w:r w:rsidR="002E190A">
        <w:rPr>
          <w:sz w:val="24"/>
          <w:szCs w:val="24"/>
        </w:rPr>
        <w:t xml:space="preserve"> ”</w:t>
      </w:r>
      <w:proofErr w:type="spellStart"/>
      <w:r w:rsidR="002E190A">
        <w:rPr>
          <w:sz w:val="24"/>
          <w:szCs w:val="24"/>
        </w:rPr>
        <w:t>Paranova</w:t>
      </w:r>
      <w:proofErr w:type="spellEnd"/>
      <w:r w:rsidR="002E190A">
        <w:rPr>
          <w:sz w:val="24"/>
          <w:szCs w:val="24"/>
        </w:rPr>
        <w:t>”</w:t>
      </w:r>
      <w:r w:rsidRPr="00077FA3">
        <w:rPr>
          <w:sz w:val="24"/>
          <w:szCs w:val="24"/>
        </w:rPr>
        <w:t xml:space="preserve"> anvendes indtil eller kort før fødsel, anbefales </w:t>
      </w:r>
      <w:proofErr w:type="spellStart"/>
      <w:r w:rsidRPr="00077FA3">
        <w:rPr>
          <w:sz w:val="24"/>
          <w:szCs w:val="24"/>
        </w:rPr>
        <w:t>postnatal</w:t>
      </w:r>
      <w:proofErr w:type="spellEnd"/>
      <w:r w:rsidRPr="00077FA3">
        <w:rPr>
          <w:sz w:val="24"/>
          <w:szCs w:val="24"/>
        </w:rPr>
        <w:t xml:space="preserve"> monitorering af den nyfødte for at tage højde for mulige effekter ved ophør af medicin</w:t>
      </w:r>
    </w:p>
    <w:p w:rsidR="00DF5345" w:rsidRPr="00077FA3" w:rsidRDefault="00DF5345" w:rsidP="00DF5345">
      <w:pPr>
        <w:autoSpaceDE w:val="0"/>
        <w:autoSpaceDN w:val="0"/>
        <w:adjustRightInd w:val="0"/>
        <w:ind w:left="851"/>
        <w:rPr>
          <w:sz w:val="24"/>
          <w:szCs w:val="24"/>
        </w:rPr>
      </w:pPr>
    </w:p>
    <w:p w:rsidR="00DF5345" w:rsidRPr="00077FA3" w:rsidRDefault="00DF5345" w:rsidP="00DF5345">
      <w:pPr>
        <w:autoSpaceDE w:val="0"/>
        <w:autoSpaceDN w:val="0"/>
        <w:adjustRightInd w:val="0"/>
        <w:ind w:left="851"/>
        <w:rPr>
          <w:sz w:val="24"/>
          <w:szCs w:val="24"/>
          <w:u w:val="single"/>
        </w:rPr>
      </w:pPr>
      <w:r w:rsidRPr="00077FA3">
        <w:rPr>
          <w:sz w:val="24"/>
          <w:szCs w:val="24"/>
          <w:u w:val="single"/>
        </w:rPr>
        <w:t>Amning</w:t>
      </w:r>
    </w:p>
    <w:p w:rsidR="00DF5345" w:rsidRPr="00077FA3" w:rsidRDefault="00DF5345" w:rsidP="00DF5345">
      <w:pPr>
        <w:ind w:left="851"/>
        <w:rPr>
          <w:sz w:val="24"/>
          <w:szCs w:val="24"/>
        </w:rPr>
      </w:pPr>
      <w:r w:rsidRPr="00077FA3">
        <w:rPr>
          <w:sz w:val="24"/>
          <w:szCs w:val="24"/>
        </w:rPr>
        <w:t xml:space="preserve">Dyreforsøg og begrænset erfaring fra kvinder har vist at </w:t>
      </w:r>
      <w:proofErr w:type="spellStart"/>
      <w:r w:rsidRPr="00077FA3">
        <w:rPr>
          <w:sz w:val="24"/>
          <w:szCs w:val="24"/>
        </w:rPr>
        <w:t>mirtazapin</w:t>
      </w:r>
      <w:proofErr w:type="spellEnd"/>
      <w:r w:rsidRPr="00077FA3">
        <w:rPr>
          <w:sz w:val="24"/>
          <w:szCs w:val="24"/>
        </w:rPr>
        <w:t xml:space="preserve"> kun udskilles i meget små mængder i brystmælk. En beslutning om, hvorvidt amningen skal fortsætte eller stoppe eller om behandlingen med </w:t>
      </w:r>
      <w:r w:rsidR="00A0778C">
        <w:rPr>
          <w:noProof/>
          <w:sz w:val="24"/>
          <w:szCs w:val="24"/>
        </w:rPr>
        <w:t>Mirtazapin</w:t>
      </w:r>
      <w:r w:rsidR="002E190A">
        <w:rPr>
          <w:noProof/>
          <w:sz w:val="24"/>
          <w:szCs w:val="24"/>
        </w:rPr>
        <w:t xml:space="preserve"> ”Paranova”</w:t>
      </w:r>
      <w:r w:rsidRPr="00077FA3">
        <w:rPr>
          <w:noProof/>
          <w:sz w:val="24"/>
          <w:szCs w:val="24"/>
        </w:rPr>
        <w:t xml:space="preserve"> </w:t>
      </w:r>
      <w:r w:rsidRPr="00077FA3">
        <w:rPr>
          <w:sz w:val="24"/>
          <w:szCs w:val="24"/>
        </w:rPr>
        <w:t xml:space="preserve">skal fortsætte eller stoppe, bør være baseret på afvejning af fordelene for barnet ved amning og fordelene af behandling med </w:t>
      </w:r>
      <w:r w:rsidR="00A0778C">
        <w:rPr>
          <w:noProof/>
          <w:sz w:val="24"/>
          <w:szCs w:val="24"/>
        </w:rPr>
        <w:t>Mirtazapin</w:t>
      </w:r>
      <w:r w:rsidR="002E190A">
        <w:rPr>
          <w:noProof/>
          <w:sz w:val="24"/>
          <w:szCs w:val="24"/>
        </w:rPr>
        <w:t xml:space="preserve"> ”Paranova”</w:t>
      </w:r>
      <w:r w:rsidRPr="00077FA3">
        <w:rPr>
          <w:noProof/>
          <w:sz w:val="24"/>
          <w:szCs w:val="24"/>
        </w:rPr>
        <w:t xml:space="preserve"> </w:t>
      </w:r>
      <w:r w:rsidRPr="00077FA3">
        <w:rPr>
          <w:sz w:val="24"/>
          <w:szCs w:val="24"/>
        </w:rPr>
        <w:t xml:space="preserve">for kvinden. </w:t>
      </w:r>
    </w:p>
    <w:p w:rsidR="00DF5345" w:rsidRPr="00077FA3" w:rsidRDefault="00DF5345" w:rsidP="00DF5345">
      <w:pPr>
        <w:ind w:left="851" w:hanging="851"/>
        <w:rPr>
          <w:sz w:val="24"/>
          <w:szCs w:val="24"/>
        </w:rPr>
      </w:pPr>
    </w:p>
    <w:p w:rsidR="00DF5345" w:rsidRPr="00077FA3" w:rsidRDefault="00DF5345" w:rsidP="00DF5345">
      <w:pPr>
        <w:ind w:left="851" w:hanging="851"/>
        <w:rPr>
          <w:sz w:val="24"/>
          <w:szCs w:val="24"/>
          <w:u w:val="single"/>
        </w:rPr>
      </w:pPr>
      <w:r w:rsidRPr="00077FA3">
        <w:rPr>
          <w:sz w:val="24"/>
          <w:szCs w:val="24"/>
        </w:rPr>
        <w:tab/>
      </w:r>
      <w:r w:rsidRPr="00077FA3">
        <w:rPr>
          <w:sz w:val="24"/>
          <w:szCs w:val="24"/>
          <w:u w:val="single"/>
        </w:rPr>
        <w:t>Fertilitet</w:t>
      </w:r>
    </w:p>
    <w:p w:rsidR="00DF5345" w:rsidRDefault="00DF5345" w:rsidP="00DF5345">
      <w:pPr>
        <w:ind w:left="851" w:hanging="851"/>
        <w:rPr>
          <w:sz w:val="24"/>
          <w:szCs w:val="24"/>
        </w:rPr>
      </w:pPr>
      <w:r w:rsidRPr="00077FA3">
        <w:rPr>
          <w:sz w:val="24"/>
          <w:szCs w:val="24"/>
        </w:rPr>
        <w:tab/>
        <w:t>Non-kliniske reproduktive toksikologiske studier hos dyr viste ikke nogen effekt på fertilitet.</w:t>
      </w:r>
    </w:p>
    <w:p w:rsidR="00A0778C" w:rsidRPr="00077FA3" w:rsidRDefault="00A0778C" w:rsidP="00DF5345">
      <w:pPr>
        <w:ind w:left="851" w:hanging="851"/>
        <w:rPr>
          <w:sz w:val="24"/>
          <w:szCs w:val="24"/>
        </w:rPr>
      </w:pPr>
    </w:p>
    <w:p w:rsidR="00DF5345" w:rsidRPr="00252A39" w:rsidRDefault="00DF5345" w:rsidP="00DF5345">
      <w:pPr>
        <w:ind w:left="851" w:hanging="851"/>
        <w:rPr>
          <w:szCs w:val="24"/>
        </w:rPr>
      </w:pPr>
    </w:p>
    <w:p w:rsidR="00DF5345" w:rsidRDefault="00DF5345" w:rsidP="00DF5345">
      <w:pPr>
        <w:numPr>
          <w:ilvl w:val="1"/>
          <w:numId w:val="8"/>
        </w:numPr>
        <w:tabs>
          <w:tab w:val="left" w:pos="1134"/>
        </w:tabs>
        <w:rPr>
          <w:b/>
          <w:szCs w:val="24"/>
        </w:rPr>
      </w:pPr>
      <w:r w:rsidRPr="00252A39">
        <w:rPr>
          <w:b/>
          <w:szCs w:val="24"/>
        </w:rPr>
        <w:t xml:space="preserve">Virkning på evnen til at føre motorkøretøj </w:t>
      </w:r>
      <w:r w:rsidR="009E02EA">
        <w:rPr>
          <w:b/>
          <w:szCs w:val="24"/>
        </w:rPr>
        <w:t>og</w:t>
      </w:r>
      <w:r w:rsidRPr="00252A39">
        <w:rPr>
          <w:b/>
          <w:szCs w:val="24"/>
        </w:rPr>
        <w:t xml:space="preserve"> betjene maskiner</w:t>
      </w:r>
    </w:p>
    <w:p w:rsidR="00DF5345" w:rsidRPr="00252A39" w:rsidRDefault="00A0778C" w:rsidP="00DF5345">
      <w:pPr>
        <w:ind w:left="851"/>
        <w:rPr>
          <w:sz w:val="24"/>
          <w:szCs w:val="24"/>
        </w:rPr>
      </w:pPr>
      <w:r>
        <w:rPr>
          <w:noProof/>
          <w:sz w:val="24"/>
          <w:szCs w:val="24"/>
        </w:rPr>
        <w:t>Mirtazapin</w:t>
      </w:r>
      <w:r w:rsidR="002E190A">
        <w:rPr>
          <w:noProof/>
          <w:sz w:val="24"/>
          <w:szCs w:val="24"/>
        </w:rPr>
        <w:t xml:space="preserve"> ”Paranova”</w:t>
      </w:r>
      <w:r w:rsidR="00DF5345" w:rsidRPr="00252A39">
        <w:rPr>
          <w:spacing w:val="-3"/>
          <w:sz w:val="24"/>
          <w:szCs w:val="24"/>
        </w:rPr>
        <w:t xml:space="preserve"> påvirker i mindre til moderat grad evnen til at føre bil og betjene maskiner</w:t>
      </w:r>
      <w:r w:rsidR="00DF5345" w:rsidRPr="00252A39">
        <w:rPr>
          <w:sz w:val="24"/>
          <w:szCs w:val="24"/>
        </w:rPr>
        <w:t xml:space="preserve">. </w:t>
      </w:r>
      <w:proofErr w:type="spellStart"/>
      <w:r>
        <w:rPr>
          <w:sz w:val="24"/>
          <w:szCs w:val="24"/>
        </w:rPr>
        <w:t>Mirtazapin</w:t>
      </w:r>
      <w:proofErr w:type="spellEnd"/>
      <w:r w:rsidR="002E190A">
        <w:rPr>
          <w:sz w:val="24"/>
          <w:szCs w:val="24"/>
        </w:rPr>
        <w:t xml:space="preserve"> ”</w:t>
      </w:r>
      <w:proofErr w:type="spellStart"/>
      <w:r w:rsidR="002E190A">
        <w:rPr>
          <w:sz w:val="24"/>
          <w:szCs w:val="24"/>
        </w:rPr>
        <w:t>Paranova</w:t>
      </w:r>
      <w:proofErr w:type="spellEnd"/>
      <w:r w:rsidR="002E190A">
        <w:rPr>
          <w:sz w:val="24"/>
          <w:szCs w:val="24"/>
        </w:rPr>
        <w:t>”</w:t>
      </w:r>
      <w:r w:rsidR="00DF5345" w:rsidRPr="00252A39">
        <w:rPr>
          <w:sz w:val="24"/>
          <w:szCs w:val="24"/>
        </w:rPr>
        <w:t xml:space="preserve"> kan svække koncentrationsevnen og årvågenheden (særlig i den indledende fase af behandlingen). Patienterne bør altid undgå at udføre potentielt farlige opgaver, som kræver årvågenhed og koncentration, såsom at føre motorkøretøj eller betjene maskiner, hvis de påvirkes.</w:t>
      </w:r>
    </w:p>
    <w:p w:rsidR="00DF5345" w:rsidRPr="00252A39" w:rsidRDefault="00DF5345" w:rsidP="00DF5345">
      <w:pPr>
        <w:ind w:left="851" w:hanging="851"/>
        <w:rPr>
          <w:sz w:val="24"/>
          <w:szCs w:val="24"/>
        </w:rPr>
      </w:pPr>
    </w:p>
    <w:p w:rsidR="00DF5345" w:rsidRPr="00252A39" w:rsidRDefault="00DF5345" w:rsidP="00DF5345">
      <w:pPr>
        <w:tabs>
          <w:tab w:val="left" w:pos="851"/>
        </w:tabs>
        <w:rPr>
          <w:b/>
          <w:sz w:val="24"/>
          <w:szCs w:val="24"/>
        </w:rPr>
      </w:pPr>
      <w:r>
        <w:rPr>
          <w:b/>
          <w:sz w:val="24"/>
          <w:szCs w:val="24"/>
        </w:rPr>
        <w:t>4.8</w:t>
      </w:r>
      <w:r>
        <w:rPr>
          <w:b/>
          <w:sz w:val="24"/>
          <w:szCs w:val="24"/>
        </w:rPr>
        <w:tab/>
      </w:r>
      <w:r w:rsidRPr="00252A39">
        <w:rPr>
          <w:b/>
          <w:sz w:val="24"/>
          <w:szCs w:val="24"/>
        </w:rPr>
        <w:t>Bivirkninger</w:t>
      </w:r>
    </w:p>
    <w:p w:rsidR="00F22A49" w:rsidRPr="0091229D" w:rsidRDefault="00F22A49" w:rsidP="00F22A49">
      <w:pPr>
        <w:ind w:left="851"/>
        <w:rPr>
          <w:sz w:val="24"/>
          <w:szCs w:val="24"/>
          <w:u w:val="single"/>
        </w:rPr>
      </w:pPr>
      <w:r w:rsidRPr="0091229D">
        <w:rPr>
          <w:sz w:val="24"/>
          <w:szCs w:val="24"/>
          <w:u w:val="single"/>
        </w:rPr>
        <w:t>Resumé af sikkerhedsprofilen</w:t>
      </w:r>
    </w:p>
    <w:p w:rsidR="00F22A49" w:rsidRDefault="00F22A49" w:rsidP="00F22A49">
      <w:pPr>
        <w:ind w:left="851"/>
        <w:rPr>
          <w:sz w:val="24"/>
          <w:szCs w:val="24"/>
        </w:rPr>
      </w:pPr>
      <w:r w:rsidRPr="003E141E">
        <w:rPr>
          <w:sz w:val="24"/>
          <w:szCs w:val="24"/>
        </w:rPr>
        <w:t xml:space="preserve">Svære </w:t>
      </w:r>
      <w:proofErr w:type="spellStart"/>
      <w:r w:rsidRPr="003E141E">
        <w:rPr>
          <w:sz w:val="24"/>
          <w:szCs w:val="24"/>
        </w:rPr>
        <w:t>kutane</w:t>
      </w:r>
      <w:proofErr w:type="spellEnd"/>
      <w:r w:rsidRPr="003E141E">
        <w:rPr>
          <w:sz w:val="24"/>
          <w:szCs w:val="24"/>
        </w:rPr>
        <w:t xml:space="preserve"> bivirkninger, herunder Stevens-Johnsons syndrom (SJS), toksisk </w:t>
      </w:r>
      <w:proofErr w:type="spellStart"/>
      <w:r w:rsidRPr="003E141E">
        <w:rPr>
          <w:sz w:val="24"/>
          <w:szCs w:val="24"/>
        </w:rPr>
        <w:t>epidermal</w:t>
      </w:r>
      <w:proofErr w:type="spellEnd"/>
      <w:r w:rsidRPr="003E141E">
        <w:rPr>
          <w:sz w:val="24"/>
          <w:szCs w:val="24"/>
        </w:rPr>
        <w:t xml:space="preserve"> </w:t>
      </w:r>
      <w:proofErr w:type="spellStart"/>
      <w:r w:rsidRPr="003E141E">
        <w:rPr>
          <w:sz w:val="24"/>
          <w:szCs w:val="24"/>
        </w:rPr>
        <w:t>nekrolyse</w:t>
      </w:r>
      <w:proofErr w:type="spellEnd"/>
      <w:r>
        <w:rPr>
          <w:sz w:val="24"/>
          <w:szCs w:val="24"/>
        </w:rPr>
        <w:t xml:space="preserve"> </w:t>
      </w:r>
      <w:r w:rsidRPr="003E141E">
        <w:rPr>
          <w:sz w:val="24"/>
          <w:szCs w:val="24"/>
        </w:rPr>
        <w:t xml:space="preserve">(TEN), lægemiddelreaktion med </w:t>
      </w:r>
      <w:proofErr w:type="spellStart"/>
      <w:r w:rsidRPr="003E141E">
        <w:rPr>
          <w:sz w:val="24"/>
          <w:szCs w:val="24"/>
        </w:rPr>
        <w:t>eosinofili</w:t>
      </w:r>
      <w:proofErr w:type="spellEnd"/>
      <w:r w:rsidRPr="003E141E">
        <w:rPr>
          <w:sz w:val="24"/>
          <w:szCs w:val="24"/>
        </w:rPr>
        <w:t xml:space="preserve"> og systemiske symptomer (DRESS), </w:t>
      </w:r>
      <w:proofErr w:type="spellStart"/>
      <w:r w:rsidRPr="003E141E">
        <w:rPr>
          <w:sz w:val="24"/>
          <w:szCs w:val="24"/>
        </w:rPr>
        <w:t>bulløs</w:t>
      </w:r>
      <w:proofErr w:type="spellEnd"/>
      <w:r w:rsidRPr="003E141E">
        <w:rPr>
          <w:sz w:val="24"/>
          <w:szCs w:val="24"/>
        </w:rPr>
        <w:t xml:space="preserve"> </w:t>
      </w:r>
      <w:proofErr w:type="spellStart"/>
      <w:r w:rsidRPr="003E141E">
        <w:rPr>
          <w:sz w:val="24"/>
          <w:szCs w:val="24"/>
        </w:rPr>
        <w:t>dermatitis</w:t>
      </w:r>
      <w:proofErr w:type="spellEnd"/>
      <w:r w:rsidRPr="003E141E">
        <w:rPr>
          <w:sz w:val="24"/>
          <w:szCs w:val="24"/>
        </w:rPr>
        <w:t xml:space="preserve"> og</w:t>
      </w:r>
      <w:r>
        <w:rPr>
          <w:sz w:val="24"/>
          <w:szCs w:val="24"/>
        </w:rPr>
        <w:t xml:space="preserve"> </w:t>
      </w:r>
      <w:proofErr w:type="spellStart"/>
      <w:r w:rsidRPr="003E141E">
        <w:rPr>
          <w:sz w:val="24"/>
          <w:szCs w:val="24"/>
        </w:rPr>
        <w:t>erythema</w:t>
      </w:r>
      <w:proofErr w:type="spellEnd"/>
      <w:r w:rsidRPr="003E141E">
        <w:rPr>
          <w:sz w:val="24"/>
          <w:szCs w:val="24"/>
        </w:rPr>
        <w:t xml:space="preserve"> multiforme, er</w:t>
      </w:r>
      <w:r>
        <w:rPr>
          <w:sz w:val="24"/>
          <w:szCs w:val="24"/>
        </w:rPr>
        <w:t xml:space="preserve"> rapporteret i forbindelse med </w:t>
      </w:r>
      <w:proofErr w:type="spellStart"/>
      <w:r>
        <w:rPr>
          <w:sz w:val="24"/>
          <w:szCs w:val="24"/>
        </w:rPr>
        <w:t>mirtazapin</w:t>
      </w:r>
      <w:proofErr w:type="spellEnd"/>
      <w:r w:rsidRPr="003E141E">
        <w:rPr>
          <w:sz w:val="24"/>
          <w:szCs w:val="24"/>
        </w:rPr>
        <w:t>-behandling (se pkt. 4.4).</w:t>
      </w:r>
      <w:r w:rsidRPr="003E141E">
        <w:rPr>
          <w:sz w:val="24"/>
          <w:szCs w:val="24"/>
        </w:rPr>
        <w:cr/>
      </w:r>
    </w:p>
    <w:p w:rsidR="00DF5345" w:rsidRPr="00252A39" w:rsidRDefault="00DF5345" w:rsidP="00DF5345">
      <w:pPr>
        <w:ind w:left="851"/>
        <w:rPr>
          <w:sz w:val="24"/>
          <w:szCs w:val="24"/>
        </w:rPr>
      </w:pPr>
      <w:r w:rsidRPr="00252A39">
        <w:rPr>
          <w:sz w:val="24"/>
          <w:szCs w:val="24"/>
        </w:rPr>
        <w:t xml:space="preserve">Deprimerede patienter har en række symptomer, som er forbundet med selve sygdommen. Det er undertiden vanskeligt at skelne, hvilke symptomer der er en følge af selve sygdommen, og hvilke der er en følge af behandling med </w:t>
      </w:r>
      <w:r w:rsidR="00A0778C">
        <w:rPr>
          <w:noProof/>
          <w:sz w:val="24"/>
          <w:szCs w:val="24"/>
        </w:rPr>
        <w:t>Mirtazapin</w:t>
      </w:r>
      <w:r w:rsidR="002E190A">
        <w:rPr>
          <w:noProof/>
          <w:sz w:val="24"/>
          <w:szCs w:val="24"/>
        </w:rPr>
        <w:t xml:space="preserve"> ”Paranova”</w:t>
      </w:r>
      <w:r w:rsidRPr="00252A39">
        <w:rPr>
          <w:sz w:val="24"/>
          <w:szCs w:val="24"/>
        </w:rPr>
        <w:t>.</w:t>
      </w:r>
    </w:p>
    <w:p w:rsidR="00DF5345" w:rsidRPr="00252A39" w:rsidRDefault="00DF5345" w:rsidP="00DF5345">
      <w:pPr>
        <w:ind w:left="851"/>
        <w:rPr>
          <w:sz w:val="24"/>
          <w:szCs w:val="24"/>
        </w:rPr>
      </w:pPr>
    </w:p>
    <w:p w:rsidR="00DF5345" w:rsidRPr="00252A39" w:rsidRDefault="00DF5345" w:rsidP="00DF5345">
      <w:pPr>
        <w:autoSpaceDE w:val="0"/>
        <w:autoSpaceDN w:val="0"/>
        <w:adjustRightInd w:val="0"/>
        <w:ind w:left="851"/>
        <w:rPr>
          <w:sz w:val="24"/>
          <w:szCs w:val="24"/>
        </w:rPr>
      </w:pPr>
      <w:r w:rsidRPr="00252A39">
        <w:rPr>
          <w:sz w:val="24"/>
          <w:szCs w:val="24"/>
        </w:rPr>
        <w:t xml:space="preserve">De mest almindelige, rapporterede bivirkninger der forekom hos mere end 5 % af de patienter, der blev behandlet med </w:t>
      </w:r>
      <w:proofErr w:type="spellStart"/>
      <w:r w:rsidRPr="00252A39">
        <w:rPr>
          <w:sz w:val="24"/>
          <w:szCs w:val="24"/>
        </w:rPr>
        <w:t>mirtazapin</w:t>
      </w:r>
      <w:proofErr w:type="spellEnd"/>
      <w:r w:rsidRPr="00252A39">
        <w:rPr>
          <w:sz w:val="24"/>
          <w:szCs w:val="24"/>
        </w:rPr>
        <w:t xml:space="preserve"> i randomiserede, placebo-kontrollerede forsøg (se herunder) er </w:t>
      </w:r>
      <w:proofErr w:type="spellStart"/>
      <w:r w:rsidRPr="00252A39">
        <w:rPr>
          <w:sz w:val="24"/>
          <w:szCs w:val="24"/>
        </w:rPr>
        <w:t>somnolens</w:t>
      </w:r>
      <w:proofErr w:type="spellEnd"/>
      <w:r w:rsidRPr="00252A39">
        <w:rPr>
          <w:sz w:val="24"/>
          <w:szCs w:val="24"/>
        </w:rPr>
        <w:t>, sedation, mundtørhed, vægtøgning, øget appetit, svimmelhed og træthed.</w:t>
      </w:r>
    </w:p>
    <w:p w:rsidR="00DF5345" w:rsidRPr="00252A39" w:rsidRDefault="00DF5345" w:rsidP="00DF5345">
      <w:pPr>
        <w:autoSpaceDE w:val="0"/>
        <w:autoSpaceDN w:val="0"/>
        <w:adjustRightInd w:val="0"/>
        <w:ind w:left="851"/>
        <w:rPr>
          <w:sz w:val="24"/>
          <w:szCs w:val="24"/>
        </w:rPr>
      </w:pPr>
    </w:p>
    <w:p w:rsidR="00DF5345" w:rsidRPr="00252A39" w:rsidRDefault="00DF5345" w:rsidP="00DF5345">
      <w:pPr>
        <w:autoSpaceDE w:val="0"/>
        <w:autoSpaceDN w:val="0"/>
        <w:adjustRightInd w:val="0"/>
        <w:ind w:left="851"/>
        <w:rPr>
          <w:sz w:val="24"/>
          <w:szCs w:val="24"/>
        </w:rPr>
      </w:pPr>
      <w:r w:rsidRPr="00252A39">
        <w:rPr>
          <w:sz w:val="24"/>
          <w:szCs w:val="24"/>
        </w:rPr>
        <w:t xml:space="preserve">Alle randomiserede placebo-kontrollerede forsøg hos patienter (herunder andre indikationer en major depressiv sygdom), er blevet vurderet mht. bivirkninger ved </w:t>
      </w:r>
      <w:proofErr w:type="spellStart"/>
      <w:r w:rsidRPr="00252A39">
        <w:rPr>
          <w:sz w:val="24"/>
          <w:szCs w:val="24"/>
        </w:rPr>
        <w:t>mirtazapin</w:t>
      </w:r>
      <w:proofErr w:type="spellEnd"/>
      <w:r w:rsidRPr="00252A39">
        <w:rPr>
          <w:sz w:val="24"/>
          <w:szCs w:val="24"/>
        </w:rPr>
        <w:t xml:space="preserve">. Metaanalysen omfattede 20 forsøg, med en planlagt behandlingsvarighed på op til 12 uger, med 1501 patienter (134 </w:t>
      </w:r>
      <w:proofErr w:type="spellStart"/>
      <w:r w:rsidRPr="00252A39">
        <w:rPr>
          <w:sz w:val="24"/>
          <w:szCs w:val="24"/>
        </w:rPr>
        <w:t>personår</w:t>
      </w:r>
      <w:proofErr w:type="spellEnd"/>
      <w:r w:rsidRPr="00252A39">
        <w:rPr>
          <w:sz w:val="24"/>
          <w:szCs w:val="24"/>
        </w:rPr>
        <w:t xml:space="preserve">), som fik </w:t>
      </w:r>
      <w:proofErr w:type="spellStart"/>
      <w:r w:rsidRPr="00252A39">
        <w:rPr>
          <w:sz w:val="24"/>
          <w:szCs w:val="24"/>
        </w:rPr>
        <w:t>mirtazapin</w:t>
      </w:r>
      <w:proofErr w:type="spellEnd"/>
      <w:r w:rsidRPr="00252A39">
        <w:rPr>
          <w:sz w:val="24"/>
          <w:szCs w:val="24"/>
        </w:rPr>
        <w:t xml:space="preserve"> med doser på op til 60 mg, og 850 patienter (79 </w:t>
      </w:r>
      <w:proofErr w:type="spellStart"/>
      <w:r w:rsidRPr="00252A39">
        <w:rPr>
          <w:sz w:val="24"/>
          <w:szCs w:val="24"/>
        </w:rPr>
        <w:t>personår</w:t>
      </w:r>
      <w:proofErr w:type="spellEnd"/>
      <w:r w:rsidRPr="00252A39">
        <w:rPr>
          <w:sz w:val="24"/>
          <w:szCs w:val="24"/>
        </w:rPr>
        <w:t>), der fik placebo.</w:t>
      </w:r>
    </w:p>
    <w:p w:rsidR="00DF5345" w:rsidRPr="00252A39" w:rsidRDefault="00DF5345" w:rsidP="00DF5345">
      <w:pPr>
        <w:autoSpaceDE w:val="0"/>
        <w:autoSpaceDN w:val="0"/>
        <w:adjustRightInd w:val="0"/>
        <w:ind w:left="851"/>
        <w:rPr>
          <w:sz w:val="24"/>
          <w:szCs w:val="24"/>
        </w:rPr>
      </w:pPr>
      <w:r w:rsidRPr="00252A39">
        <w:rPr>
          <w:sz w:val="24"/>
          <w:szCs w:val="24"/>
        </w:rPr>
        <w:t>Forlængelsesfaserne i disse forsøg er udelukket for at bevare sammenligneligheden med placebo-behandlingen.</w:t>
      </w:r>
    </w:p>
    <w:p w:rsidR="00DF5345" w:rsidRPr="00252A39" w:rsidRDefault="00DF5345" w:rsidP="00DF5345">
      <w:pPr>
        <w:autoSpaceDE w:val="0"/>
        <w:autoSpaceDN w:val="0"/>
        <w:adjustRightInd w:val="0"/>
        <w:ind w:left="851"/>
        <w:rPr>
          <w:sz w:val="24"/>
          <w:szCs w:val="24"/>
        </w:rPr>
      </w:pPr>
      <w:r w:rsidRPr="00252A39">
        <w:rPr>
          <w:sz w:val="24"/>
          <w:szCs w:val="24"/>
        </w:rPr>
        <w:t xml:space="preserve">Tabel 1 viser den kategoriserede forekomst af bivirkninger, der forekom statistisk signifikant hyppigere i de kliniske forsøg under behandling med </w:t>
      </w:r>
      <w:proofErr w:type="spellStart"/>
      <w:r w:rsidRPr="00252A39">
        <w:rPr>
          <w:sz w:val="24"/>
          <w:szCs w:val="24"/>
        </w:rPr>
        <w:t>mirtazapin</w:t>
      </w:r>
      <w:proofErr w:type="spellEnd"/>
      <w:r w:rsidRPr="00252A39">
        <w:rPr>
          <w:sz w:val="24"/>
          <w:szCs w:val="24"/>
        </w:rPr>
        <w:t xml:space="preserve"> sammenlignet med placebo, med tilføjelse af bivirkninger fra spontan rapportering. Hyppighederne af bivirkningerne fra spontan rapportering er baseret på rapporteringshyppigheden for disse </w:t>
      </w:r>
      <w:r w:rsidRPr="00252A39">
        <w:rPr>
          <w:sz w:val="24"/>
          <w:szCs w:val="24"/>
        </w:rPr>
        <w:lastRenderedPageBreak/>
        <w:t xml:space="preserve">hændelser i de kliniske forsøg. Hyppigheden af bivirkninger fra spontan rapportering, for hvilke der ikke blev observeret tilfælde i de randomiserede placebo-kontrollerede patientforsøg med </w:t>
      </w:r>
      <w:proofErr w:type="spellStart"/>
      <w:r w:rsidRPr="00252A39">
        <w:rPr>
          <w:sz w:val="24"/>
          <w:szCs w:val="24"/>
        </w:rPr>
        <w:t>mirtazapin</w:t>
      </w:r>
      <w:proofErr w:type="spellEnd"/>
      <w:r w:rsidRPr="00252A39">
        <w:rPr>
          <w:sz w:val="24"/>
          <w:szCs w:val="24"/>
        </w:rPr>
        <w:t>, er klassificeret som ‘ikke kendt’.</w:t>
      </w:r>
    </w:p>
    <w:p w:rsidR="00DF5345" w:rsidRPr="00252A39" w:rsidRDefault="00DF5345" w:rsidP="00DF5345">
      <w:pPr>
        <w:ind w:left="851"/>
        <w:jc w:val="both"/>
        <w:rPr>
          <w:sz w:val="24"/>
          <w:szCs w:val="24"/>
          <w:lang w:eastAsia="fi-FI"/>
        </w:rPr>
      </w:pPr>
    </w:p>
    <w:p w:rsidR="00DF5345" w:rsidRPr="00252A39" w:rsidRDefault="00DF5345" w:rsidP="00DF5345">
      <w:pPr>
        <w:ind w:left="851"/>
        <w:jc w:val="both"/>
        <w:rPr>
          <w:b/>
          <w:bCs/>
          <w:sz w:val="24"/>
          <w:szCs w:val="24"/>
        </w:rPr>
      </w:pPr>
      <w:r w:rsidRPr="00252A39">
        <w:rPr>
          <w:b/>
          <w:bCs/>
          <w:sz w:val="24"/>
          <w:szCs w:val="24"/>
        </w:rPr>
        <w:t xml:space="preserve">Tabel 1. Bivirkninger ved </w:t>
      </w:r>
      <w:proofErr w:type="spellStart"/>
      <w:r w:rsidRPr="00252A39">
        <w:rPr>
          <w:b/>
          <w:sz w:val="24"/>
          <w:szCs w:val="24"/>
        </w:rPr>
        <w:t>mirtazapin</w:t>
      </w:r>
      <w:proofErr w:type="spellEnd"/>
    </w:p>
    <w:p w:rsidR="00DF5345" w:rsidRDefault="00DF5345" w:rsidP="00DF5345">
      <w:pPr>
        <w:ind w:left="851"/>
        <w:jc w:val="both"/>
        <w:rPr>
          <w:b/>
          <w:bCs/>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50"/>
        <w:gridCol w:w="1123"/>
        <w:gridCol w:w="1180"/>
        <w:gridCol w:w="1054"/>
        <w:gridCol w:w="3311"/>
      </w:tblGrid>
      <w:tr w:rsidR="00DF5345" w:rsidRPr="008F07AB" w:rsidTr="003B4BCE">
        <w:trPr>
          <w:tblHeader/>
        </w:trPr>
        <w:tc>
          <w:tcPr>
            <w:tcW w:w="1572" w:type="dxa"/>
          </w:tcPr>
          <w:p w:rsidR="00DF5345" w:rsidRPr="004E4E55" w:rsidRDefault="00DF5345" w:rsidP="003B4BCE">
            <w:pPr>
              <w:rPr>
                <w:b/>
                <w:sz w:val="20"/>
              </w:rPr>
            </w:pPr>
            <w:r w:rsidRPr="004E4E55">
              <w:rPr>
                <w:b/>
                <w:bCs/>
                <w:sz w:val="20"/>
              </w:rPr>
              <w:t>Systemorgan-klasse</w:t>
            </w:r>
          </w:p>
        </w:tc>
        <w:tc>
          <w:tcPr>
            <w:tcW w:w="1444" w:type="dxa"/>
          </w:tcPr>
          <w:p w:rsidR="00DF5345" w:rsidRPr="004E4E55" w:rsidRDefault="00DF5345" w:rsidP="003B4BCE">
            <w:pPr>
              <w:autoSpaceDE w:val="0"/>
              <w:autoSpaceDN w:val="0"/>
              <w:adjustRightInd w:val="0"/>
              <w:rPr>
                <w:b/>
                <w:bCs/>
                <w:sz w:val="20"/>
              </w:rPr>
            </w:pPr>
            <w:r w:rsidRPr="004E4E55">
              <w:rPr>
                <w:b/>
                <w:bCs/>
                <w:sz w:val="20"/>
              </w:rPr>
              <w:t>Meget almindelig</w:t>
            </w:r>
          </w:p>
          <w:p w:rsidR="00DF5345" w:rsidRPr="004E4E55" w:rsidRDefault="00DF5345" w:rsidP="003B4BCE">
            <w:pPr>
              <w:rPr>
                <w:sz w:val="20"/>
              </w:rPr>
            </w:pPr>
            <w:r w:rsidRPr="004E4E55">
              <w:rPr>
                <w:b/>
                <w:bCs/>
                <w:sz w:val="20"/>
              </w:rPr>
              <w:t>(≥1/10)</w:t>
            </w:r>
          </w:p>
        </w:tc>
        <w:tc>
          <w:tcPr>
            <w:tcW w:w="1520" w:type="dxa"/>
          </w:tcPr>
          <w:p w:rsidR="00DF5345" w:rsidRPr="008F07AB" w:rsidRDefault="00DF5345" w:rsidP="003B4BCE">
            <w:pPr>
              <w:autoSpaceDE w:val="0"/>
              <w:autoSpaceDN w:val="0"/>
              <w:adjustRightInd w:val="0"/>
              <w:rPr>
                <w:b/>
                <w:bCs/>
                <w:sz w:val="20"/>
              </w:rPr>
            </w:pPr>
            <w:r w:rsidRPr="008F07AB">
              <w:rPr>
                <w:b/>
                <w:bCs/>
                <w:sz w:val="20"/>
              </w:rPr>
              <w:t>Almindelig</w:t>
            </w:r>
          </w:p>
          <w:p w:rsidR="00DF5345" w:rsidRPr="008F07AB" w:rsidRDefault="00DF5345" w:rsidP="003B4BCE">
            <w:pPr>
              <w:autoSpaceDE w:val="0"/>
              <w:autoSpaceDN w:val="0"/>
              <w:adjustRightInd w:val="0"/>
              <w:rPr>
                <w:b/>
                <w:bCs/>
                <w:sz w:val="20"/>
              </w:rPr>
            </w:pPr>
            <w:r w:rsidRPr="008F07AB">
              <w:rPr>
                <w:b/>
                <w:bCs/>
                <w:sz w:val="20"/>
              </w:rPr>
              <w:t>(≥1/100 til</w:t>
            </w:r>
          </w:p>
          <w:p w:rsidR="00DF5345" w:rsidRPr="008F07AB" w:rsidRDefault="00DF5345" w:rsidP="003B4BCE">
            <w:pPr>
              <w:rPr>
                <w:sz w:val="20"/>
              </w:rPr>
            </w:pPr>
            <w:r w:rsidRPr="008F07AB">
              <w:rPr>
                <w:b/>
                <w:bCs/>
                <w:sz w:val="20"/>
              </w:rPr>
              <w:t>&lt;1/10)</w:t>
            </w:r>
          </w:p>
        </w:tc>
        <w:tc>
          <w:tcPr>
            <w:tcW w:w="1360" w:type="dxa"/>
          </w:tcPr>
          <w:p w:rsidR="00DF5345" w:rsidRPr="008F07AB" w:rsidRDefault="00DF5345" w:rsidP="003B4BCE">
            <w:pPr>
              <w:autoSpaceDE w:val="0"/>
              <w:autoSpaceDN w:val="0"/>
              <w:adjustRightInd w:val="0"/>
              <w:rPr>
                <w:b/>
                <w:bCs/>
                <w:sz w:val="20"/>
              </w:rPr>
            </w:pPr>
            <w:r w:rsidRPr="008F07AB">
              <w:rPr>
                <w:b/>
                <w:bCs/>
                <w:sz w:val="20"/>
              </w:rPr>
              <w:t>Ikke almindelig</w:t>
            </w:r>
          </w:p>
          <w:p w:rsidR="00DF5345" w:rsidRPr="008F07AB" w:rsidRDefault="00DF5345" w:rsidP="003B4BCE">
            <w:pPr>
              <w:autoSpaceDE w:val="0"/>
              <w:autoSpaceDN w:val="0"/>
              <w:adjustRightInd w:val="0"/>
              <w:rPr>
                <w:b/>
                <w:bCs/>
                <w:sz w:val="20"/>
              </w:rPr>
            </w:pPr>
            <w:r w:rsidRPr="008F07AB">
              <w:rPr>
                <w:b/>
                <w:bCs/>
                <w:sz w:val="20"/>
              </w:rPr>
              <w:t>(≥1/1000 til</w:t>
            </w:r>
          </w:p>
          <w:p w:rsidR="00DF5345" w:rsidRPr="008F07AB" w:rsidRDefault="00DF5345" w:rsidP="003B4BCE">
            <w:pPr>
              <w:rPr>
                <w:sz w:val="20"/>
              </w:rPr>
            </w:pPr>
            <w:r w:rsidRPr="008F07AB">
              <w:rPr>
                <w:b/>
                <w:bCs/>
                <w:sz w:val="20"/>
              </w:rPr>
              <w:t>&lt;1/100)</w:t>
            </w:r>
          </w:p>
        </w:tc>
        <w:tc>
          <w:tcPr>
            <w:tcW w:w="1333" w:type="dxa"/>
          </w:tcPr>
          <w:p w:rsidR="00DF5345" w:rsidRPr="008F07AB" w:rsidRDefault="00DF5345" w:rsidP="003B4BCE">
            <w:pPr>
              <w:autoSpaceDE w:val="0"/>
              <w:autoSpaceDN w:val="0"/>
              <w:adjustRightInd w:val="0"/>
              <w:rPr>
                <w:b/>
                <w:bCs/>
                <w:sz w:val="20"/>
              </w:rPr>
            </w:pPr>
            <w:r w:rsidRPr="008F07AB">
              <w:rPr>
                <w:b/>
                <w:bCs/>
                <w:sz w:val="20"/>
              </w:rPr>
              <w:t>Sjælden</w:t>
            </w:r>
          </w:p>
          <w:p w:rsidR="00DF5345" w:rsidRPr="008F07AB" w:rsidRDefault="00DF5345" w:rsidP="003B4BCE">
            <w:pPr>
              <w:autoSpaceDE w:val="0"/>
              <w:autoSpaceDN w:val="0"/>
              <w:adjustRightInd w:val="0"/>
              <w:rPr>
                <w:b/>
                <w:bCs/>
                <w:sz w:val="20"/>
              </w:rPr>
            </w:pPr>
            <w:r w:rsidRPr="008F07AB">
              <w:rPr>
                <w:b/>
                <w:bCs/>
                <w:sz w:val="20"/>
              </w:rPr>
              <w:t>(≥1/10000 til</w:t>
            </w:r>
          </w:p>
          <w:p w:rsidR="00DF5345" w:rsidRPr="008F07AB" w:rsidRDefault="00DF5345" w:rsidP="003B4BCE">
            <w:pPr>
              <w:rPr>
                <w:sz w:val="20"/>
              </w:rPr>
            </w:pPr>
            <w:r w:rsidRPr="008F07AB">
              <w:rPr>
                <w:b/>
                <w:bCs/>
                <w:sz w:val="20"/>
              </w:rPr>
              <w:t>&lt;1/1000)</w:t>
            </w:r>
          </w:p>
        </w:tc>
        <w:tc>
          <w:tcPr>
            <w:tcW w:w="2027" w:type="dxa"/>
          </w:tcPr>
          <w:p w:rsidR="00DF5345" w:rsidRPr="008F07AB" w:rsidRDefault="00DF5345" w:rsidP="003B4BCE">
            <w:pPr>
              <w:rPr>
                <w:sz w:val="20"/>
              </w:rPr>
            </w:pPr>
            <w:r w:rsidRPr="008F07AB">
              <w:rPr>
                <w:b/>
                <w:bCs/>
                <w:sz w:val="20"/>
              </w:rPr>
              <w:t>Hyppighed ikke kendt</w:t>
            </w:r>
          </w:p>
        </w:tc>
      </w:tr>
      <w:tr w:rsidR="00DF5345" w:rsidRPr="008F07AB" w:rsidTr="003B4BCE">
        <w:tc>
          <w:tcPr>
            <w:tcW w:w="1572" w:type="dxa"/>
          </w:tcPr>
          <w:p w:rsidR="00DF5345" w:rsidRPr="008F07AB" w:rsidRDefault="00DF5345" w:rsidP="003B4BCE">
            <w:pPr>
              <w:autoSpaceDE w:val="0"/>
              <w:autoSpaceDN w:val="0"/>
              <w:adjustRightInd w:val="0"/>
              <w:rPr>
                <w:b/>
                <w:bCs/>
                <w:i/>
                <w:iCs/>
                <w:sz w:val="20"/>
              </w:rPr>
            </w:pPr>
            <w:r w:rsidRPr="008F07AB">
              <w:rPr>
                <w:b/>
                <w:bCs/>
                <w:i/>
                <w:iCs/>
                <w:sz w:val="20"/>
              </w:rPr>
              <w:t>Blod og lymfesystem</w:t>
            </w:r>
          </w:p>
        </w:tc>
        <w:tc>
          <w:tcPr>
            <w:tcW w:w="1444" w:type="dxa"/>
          </w:tcPr>
          <w:p w:rsidR="00DF5345" w:rsidRPr="008F07AB" w:rsidRDefault="00DF5345" w:rsidP="003B4BCE">
            <w:pPr>
              <w:rPr>
                <w:sz w:val="20"/>
              </w:rPr>
            </w:pPr>
          </w:p>
        </w:tc>
        <w:tc>
          <w:tcPr>
            <w:tcW w:w="1520" w:type="dxa"/>
          </w:tcPr>
          <w:p w:rsidR="00DF5345" w:rsidRPr="008F07AB" w:rsidRDefault="00DF5345" w:rsidP="003B4BCE">
            <w:pPr>
              <w:rPr>
                <w:sz w:val="20"/>
              </w:rPr>
            </w:pPr>
          </w:p>
        </w:tc>
        <w:tc>
          <w:tcPr>
            <w:tcW w:w="1360" w:type="dxa"/>
          </w:tcPr>
          <w:p w:rsidR="00DF5345" w:rsidRPr="008F07AB" w:rsidRDefault="00DF5345" w:rsidP="003B4BCE">
            <w:pPr>
              <w:rPr>
                <w:sz w:val="20"/>
              </w:rPr>
            </w:pPr>
          </w:p>
        </w:tc>
        <w:tc>
          <w:tcPr>
            <w:tcW w:w="1333" w:type="dxa"/>
          </w:tcPr>
          <w:p w:rsidR="00DF5345" w:rsidRPr="008F07AB" w:rsidRDefault="00DF5345" w:rsidP="003B4BCE">
            <w:pPr>
              <w:rPr>
                <w:sz w:val="20"/>
              </w:rPr>
            </w:pPr>
          </w:p>
        </w:tc>
        <w:tc>
          <w:tcPr>
            <w:tcW w:w="2027" w:type="dxa"/>
          </w:tcPr>
          <w:p w:rsidR="00DF5345" w:rsidRPr="008F07AB" w:rsidRDefault="00DF5345" w:rsidP="003B4BCE">
            <w:pPr>
              <w:autoSpaceDE w:val="0"/>
              <w:autoSpaceDN w:val="0"/>
              <w:adjustRightInd w:val="0"/>
              <w:rPr>
                <w:sz w:val="20"/>
              </w:rPr>
            </w:pPr>
            <w:r w:rsidRPr="008F07AB">
              <w:rPr>
                <w:sz w:val="20"/>
              </w:rPr>
              <w:t>- Knoglemarvs-depression (</w:t>
            </w:r>
            <w:proofErr w:type="spellStart"/>
            <w:r w:rsidRPr="008F07AB">
              <w:rPr>
                <w:sz w:val="20"/>
              </w:rPr>
              <w:t>granulocytopeni</w:t>
            </w:r>
            <w:proofErr w:type="spellEnd"/>
            <w:r w:rsidRPr="008F07AB">
              <w:rPr>
                <w:sz w:val="20"/>
              </w:rPr>
              <w:t xml:space="preserve">, </w:t>
            </w:r>
            <w:proofErr w:type="spellStart"/>
            <w:r w:rsidRPr="008F07AB">
              <w:rPr>
                <w:sz w:val="20"/>
              </w:rPr>
              <w:t>agranulocytose</w:t>
            </w:r>
            <w:proofErr w:type="spellEnd"/>
            <w:r w:rsidRPr="008F07AB">
              <w:rPr>
                <w:sz w:val="20"/>
              </w:rPr>
              <w:t>,</w:t>
            </w:r>
          </w:p>
          <w:p w:rsidR="00DF5345" w:rsidRPr="008F07AB" w:rsidRDefault="00DF5345" w:rsidP="003B4BCE">
            <w:pPr>
              <w:autoSpaceDE w:val="0"/>
              <w:autoSpaceDN w:val="0"/>
              <w:adjustRightInd w:val="0"/>
              <w:rPr>
                <w:sz w:val="20"/>
              </w:rPr>
            </w:pPr>
            <w:proofErr w:type="spellStart"/>
            <w:r w:rsidRPr="008F07AB">
              <w:rPr>
                <w:sz w:val="20"/>
              </w:rPr>
              <w:t>aplastisk</w:t>
            </w:r>
            <w:proofErr w:type="spellEnd"/>
            <w:r w:rsidRPr="008F07AB">
              <w:rPr>
                <w:sz w:val="20"/>
              </w:rPr>
              <w:t xml:space="preserve"> anæmi</w:t>
            </w:r>
          </w:p>
          <w:p w:rsidR="00DF5345" w:rsidRPr="008F07AB" w:rsidRDefault="00DF5345" w:rsidP="003B4BCE">
            <w:pPr>
              <w:autoSpaceDE w:val="0"/>
              <w:autoSpaceDN w:val="0"/>
              <w:adjustRightInd w:val="0"/>
              <w:rPr>
                <w:sz w:val="20"/>
              </w:rPr>
            </w:pPr>
            <w:proofErr w:type="spellStart"/>
            <w:r w:rsidRPr="008F07AB">
              <w:rPr>
                <w:sz w:val="20"/>
              </w:rPr>
              <w:t>trombocytopeni</w:t>
            </w:r>
            <w:proofErr w:type="spellEnd"/>
            <w:r w:rsidRPr="008F07AB">
              <w:rPr>
                <w:sz w:val="20"/>
              </w:rPr>
              <w:t>)</w:t>
            </w:r>
          </w:p>
          <w:p w:rsidR="00DF5345" w:rsidRPr="008F07AB" w:rsidRDefault="00DF5345" w:rsidP="003B4BCE">
            <w:pPr>
              <w:rPr>
                <w:sz w:val="20"/>
              </w:rPr>
            </w:pPr>
            <w:r w:rsidRPr="008F07AB">
              <w:rPr>
                <w:sz w:val="20"/>
              </w:rPr>
              <w:t xml:space="preserve">- </w:t>
            </w:r>
            <w:proofErr w:type="spellStart"/>
            <w:r w:rsidRPr="008F07AB">
              <w:rPr>
                <w:sz w:val="20"/>
              </w:rPr>
              <w:t>Eosinofili</w:t>
            </w:r>
            <w:proofErr w:type="spellEnd"/>
          </w:p>
        </w:tc>
      </w:tr>
      <w:tr w:rsidR="00DF5345" w:rsidRPr="008F07AB" w:rsidTr="003B4BCE">
        <w:tc>
          <w:tcPr>
            <w:tcW w:w="1572" w:type="dxa"/>
          </w:tcPr>
          <w:p w:rsidR="00DF5345" w:rsidRPr="008F07AB" w:rsidRDefault="00DF5345" w:rsidP="003B4BCE">
            <w:pPr>
              <w:autoSpaceDE w:val="0"/>
              <w:autoSpaceDN w:val="0"/>
              <w:adjustRightInd w:val="0"/>
              <w:rPr>
                <w:b/>
                <w:bCs/>
                <w:i/>
                <w:iCs/>
                <w:sz w:val="20"/>
              </w:rPr>
            </w:pPr>
            <w:r w:rsidRPr="008F07AB">
              <w:rPr>
                <w:b/>
                <w:bCs/>
                <w:i/>
                <w:iCs/>
                <w:sz w:val="20"/>
              </w:rPr>
              <w:t>Det endokrine system</w:t>
            </w:r>
          </w:p>
        </w:tc>
        <w:tc>
          <w:tcPr>
            <w:tcW w:w="1444" w:type="dxa"/>
          </w:tcPr>
          <w:p w:rsidR="00DF5345" w:rsidRPr="008F07AB" w:rsidRDefault="00DF5345" w:rsidP="003B4BCE">
            <w:pPr>
              <w:rPr>
                <w:sz w:val="20"/>
              </w:rPr>
            </w:pPr>
          </w:p>
        </w:tc>
        <w:tc>
          <w:tcPr>
            <w:tcW w:w="1520" w:type="dxa"/>
          </w:tcPr>
          <w:p w:rsidR="00DF5345" w:rsidRPr="008F07AB" w:rsidRDefault="00DF5345" w:rsidP="003B4BCE">
            <w:pPr>
              <w:rPr>
                <w:sz w:val="20"/>
              </w:rPr>
            </w:pPr>
          </w:p>
        </w:tc>
        <w:tc>
          <w:tcPr>
            <w:tcW w:w="1360" w:type="dxa"/>
          </w:tcPr>
          <w:p w:rsidR="00DF5345" w:rsidRPr="008F07AB" w:rsidRDefault="00DF5345" w:rsidP="003B4BCE">
            <w:pPr>
              <w:rPr>
                <w:sz w:val="20"/>
              </w:rPr>
            </w:pPr>
          </w:p>
        </w:tc>
        <w:tc>
          <w:tcPr>
            <w:tcW w:w="1333" w:type="dxa"/>
          </w:tcPr>
          <w:p w:rsidR="00DF5345" w:rsidRPr="008F07AB" w:rsidRDefault="00DF5345" w:rsidP="003B4BCE">
            <w:pPr>
              <w:rPr>
                <w:sz w:val="20"/>
              </w:rPr>
            </w:pPr>
          </w:p>
        </w:tc>
        <w:tc>
          <w:tcPr>
            <w:tcW w:w="2027" w:type="dxa"/>
          </w:tcPr>
          <w:p w:rsidR="00F22A49" w:rsidRDefault="00F22A49" w:rsidP="00F22A49">
            <w:pPr>
              <w:autoSpaceDE w:val="0"/>
              <w:autoSpaceDN w:val="0"/>
              <w:adjustRightInd w:val="0"/>
              <w:rPr>
                <w:sz w:val="20"/>
              </w:rPr>
            </w:pPr>
            <w:r w:rsidRPr="008F07AB">
              <w:rPr>
                <w:sz w:val="20"/>
              </w:rPr>
              <w:t>- Uhensigtsmæssig produktion af antidiuretisk hormon</w:t>
            </w:r>
          </w:p>
          <w:p w:rsidR="00DF5345" w:rsidRPr="008F07AB" w:rsidRDefault="00F22A49" w:rsidP="00F22A49">
            <w:pPr>
              <w:autoSpaceDE w:val="0"/>
              <w:autoSpaceDN w:val="0"/>
              <w:adjustRightInd w:val="0"/>
              <w:rPr>
                <w:sz w:val="20"/>
              </w:rPr>
            </w:pPr>
            <w:r>
              <w:rPr>
                <w:sz w:val="20"/>
              </w:rPr>
              <w:t xml:space="preserve">- </w:t>
            </w:r>
            <w:proofErr w:type="spellStart"/>
            <w:r w:rsidRPr="003E141E">
              <w:rPr>
                <w:sz w:val="20"/>
              </w:rPr>
              <w:t>Hyperprolaktinæmi</w:t>
            </w:r>
            <w:proofErr w:type="spellEnd"/>
            <w:r w:rsidRPr="003E141E">
              <w:rPr>
                <w:sz w:val="20"/>
              </w:rPr>
              <w:t xml:space="preserve"> (og relaterede symptomer som </w:t>
            </w:r>
            <w:proofErr w:type="spellStart"/>
            <w:r w:rsidRPr="003E141E">
              <w:rPr>
                <w:sz w:val="20"/>
              </w:rPr>
              <w:t>galaktorré</w:t>
            </w:r>
            <w:proofErr w:type="spellEnd"/>
            <w:r w:rsidRPr="003E141E">
              <w:rPr>
                <w:sz w:val="20"/>
              </w:rPr>
              <w:t xml:space="preserve"> og </w:t>
            </w:r>
            <w:proofErr w:type="spellStart"/>
            <w:r w:rsidRPr="003E141E">
              <w:rPr>
                <w:sz w:val="20"/>
              </w:rPr>
              <w:t>gynækomasti</w:t>
            </w:r>
            <w:proofErr w:type="spellEnd"/>
            <w:r w:rsidRPr="003E141E">
              <w:rPr>
                <w:sz w:val="20"/>
              </w:rPr>
              <w:t>)</w:t>
            </w:r>
          </w:p>
        </w:tc>
      </w:tr>
      <w:tr w:rsidR="00DF5345" w:rsidRPr="008F07AB" w:rsidTr="003B4BCE">
        <w:tc>
          <w:tcPr>
            <w:tcW w:w="1572" w:type="dxa"/>
          </w:tcPr>
          <w:p w:rsidR="00DF5345" w:rsidRPr="008F07AB" w:rsidRDefault="00DF5345" w:rsidP="003B4BCE">
            <w:pPr>
              <w:autoSpaceDE w:val="0"/>
              <w:autoSpaceDN w:val="0"/>
              <w:adjustRightInd w:val="0"/>
              <w:rPr>
                <w:b/>
                <w:bCs/>
                <w:i/>
                <w:iCs/>
                <w:sz w:val="20"/>
              </w:rPr>
            </w:pPr>
            <w:r w:rsidRPr="008F07AB">
              <w:rPr>
                <w:b/>
                <w:bCs/>
                <w:i/>
                <w:iCs/>
                <w:sz w:val="20"/>
              </w:rPr>
              <w:t>Metabolisme og ernæring</w:t>
            </w:r>
          </w:p>
        </w:tc>
        <w:tc>
          <w:tcPr>
            <w:tcW w:w="1444" w:type="dxa"/>
          </w:tcPr>
          <w:p w:rsidR="00DF5345" w:rsidRPr="004E4E55" w:rsidRDefault="00DF5345" w:rsidP="003B4BCE">
            <w:pPr>
              <w:rPr>
                <w:sz w:val="20"/>
                <w:vertAlign w:val="superscript"/>
              </w:rPr>
            </w:pPr>
            <w:r w:rsidRPr="008F07AB">
              <w:rPr>
                <w:sz w:val="20"/>
              </w:rPr>
              <w:t>-</w:t>
            </w:r>
            <w:r w:rsidRPr="004E4E55">
              <w:rPr>
                <w:sz w:val="20"/>
              </w:rPr>
              <w:t>Vægtøgning</w:t>
            </w:r>
            <w:r w:rsidRPr="004E4E55">
              <w:rPr>
                <w:sz w:val="20"/>
                <w:vertAlign w:val="superscript"/>
              </w:rPr>
              <w:t>1</w:t>
            </w:r>
          </w:p>
          <w:p w:rsidR="00DF5345" w:rsidRPr="008F07AB" w:rsidRDefault="00DF5345" w:rsidP="003B4BCE">
            <w:pPr>
              <w:rPr>
                <w:sz w:val="20"/>
              </w:rPr>
            </w:pPr>
            <w:r>
              <w:rPr>
                <w:sz w:val="20"/>
              </w:rPr>
              <w:t xml:space="preserve">- </w:t>
            </w:r>
            <w:r w:rsidRPr="008F07AB">
              <w:rPr>
                <w:sz w:val="20"/>
              </w:rPr>
              <w:t>Øget appetit</w:t>
            </w:r>
            <w:r w:rsidRPr="008F07AB">
              <w:rPr>
                <w:sz w:val="20"/>
                <w:vertAlign w:val="superscript"/>
              </w:rPr>
              <w:t>1</w:t>
            </w:r>
          </w:p>
        </w:tc>
        <w:tc>
          <w:tcPr>
            <w:tcW w:w="1520" w:type="dxa"/>
          </w:tcPr>
          <w:p w:rsidR="00DF5345" w:rsidRPr="008F07AB" w:rsidRDefault="00DF5345" w:rsidP="003B4BCE">
            <w:pPr>
              <w:rPr>
                <w:sz w:val="20"/>
              </w:rPr>
            </w:pPr>
          </w:p>
        </w:tc>
        <w:tc>
          <w:tcPr>
            <w:tcW w:w="1360" w:type="dxa"/>
          </w:tcPr>
          <w:p w:rsidR="00DF5345" w:rsidRPr="008F07AB" w:rsidRDefault="00DF5345" w:rsidP="003B4BCE">
            <w:pPr>
              <w:rPr>
                <w:sz w:val="20"/>
              </w:rPr>
            </w:pPr>
          </w:p>
        </w:tc>
        <w:tc>
          <w:tcPr>
            <w:tcW w:w="1333" w:type="dxa"/>
          </w:tcPr>
          <w:p w:rsidR="00DF5345" w:rsidRPr="008F07AB" w:rsidRDefault="00DF5345" w:rsidP="003B4BCE">
            <w:pPr>
              <w:rPr>
                <w:sz w:val="20"/>
              </w:rPr>
            </w:pPr>
          </w:p>
        </w:tc>
        <w:tc>
          <w:tcPr>
            <w:tcW w:w="2027" w:type="dxa"/>
          </w:tcPr>
          <w:p w:rsidR="00DF5345" w:rsidRPr="008F07AB" w:rsidRDefault="00DF5345" w:rsidP="003B4BCE">
            <w:pPr>
              <w:autoSpaceDE w:val="0"/>
              <w:autoSpaceDN w:val="0"/>
              <w:adjustRightInd w:val="0"/>
              <w:rPr>
                <w:sz w:val="20"/>
              </w:rPr>
            </w:pPr>
            <w:r w:rsidRPr="008F07AB">
              <w:rPr>
                <w:sz w:val="20"/>
              </w:rPr>
              <w:t xml:space="preserve">- </w:t>
            </w:r>
            <w:proofErr w:type="spellStart"/>
            <w:r w:rsidRPr="008F07AB">
              <w:rPr>
                <w:sz w:val="20"/>
              </w:rPr>
              <w:t>Hyponatriæmi</w:t>
            </w:r>
            <w:proofErr w:type="spellEnd"/>
          </w:p>
        </w:tc>
      </w:tr>
      <w:tr w:rsidR="00DF5345" w:rsidRPr="008F07AB" w:rsidTr="003B4BCE">
        <w:tc>
          <w:tcPr>
            <w:tcW w:w="1572" w:type="dxa"/>
          </w:tcPr>
          <w:p w:rsidR="00DF5345" w:rsidRPr="008F07AB" w:rsidRDefault="00DF5345" w:rsidP="003B4BCE">
            <w:pPr>
              <w:autoSpaceDE w:val="0"/>
              <w:autoSpaceDN w:val="0"/>
              <w:adjustRightInd w:val="0"/>
              <w:rPr>
                <w:b/>
                <w:bCs/>
                <w:i/>
                <w:iCs/>
                <w:sz w:val="20"/>
              </w:rPr>
            </w:pPr>
            <w:r w:rsidRPr="008F07AB">
              <w:rPr>
                <w:b/>
                <w:bCs/>
                <w:i/>
                <w:iCs/>
                <w:sz w:val="20"/>
              </w:rPr>
              <w:t>Psykiske forstyrrelser</w:t>
            </w:r>
          </w:p>
        </w:tc>
        <w:tc>
          <w:tcPr>
            <w:tcW w:w="1444" w:type="dxa"/>
          </w:tcPr>
          <w:p w:rsidR="00DF5345" w:rsidRPr="008F07AB" w:rsidRDefault="00DF5345" w:rsidP="003B4BCE">
            <w:pPr>
              <w:rPr>
                <w:sz w:val="20"/>
              </w:rPr>
            </w:pPr>
          </w:p>
        </w:tc>
        <w:tc>
          <w:tcPr>
            <w:tcW w:w="1520" w:type="dxa"/>
          </w:tcPr>
          <w:p w:rsidR="00DF5345" w:rsidRPr="008F07AB" w:rsidRDefault="00DF5345" w:rsidP="003B4BCE">
            <w:pPr>
              <w:autoSpaceDE w:val="0"/>
              <w:autoSpaceDN w:val="0"/>
              <w:adjustRightInd w:val="0"/>
              <w:rPr>
                <w:sz w:val="20"/>
              </w:rPr>
            </w:pPr>
            <w:r w:rsidRPr="008F07AB">
              <w:rPr>
                <w:sz w:val="20"/>
              </w:rPr>
              <w:t>- Abnorme drømme</w:t>
            </w:r>
          </w:p>
          <w:p w:rsidR="00DF5345" w:rsidRPr="008F07AB" w:rsidRDefault="00DF5345" w:rsidP="003B4BCE">
            <w:pPr>
              <w:autoSpaceDE w:val="0"/>
              <w:autoSpaceDN w:val="0"/>
              <w:adjustRightInd w:val="0"/>
              <w:rPr>
                <w:sz w:val="20"/>
              </w:rPr>
            </w:pPr>
            <w:r w:rsidRPr="008F07AB">
              <w:rPr>
                <w:sz w:val="20"/>
              </w:rPr>
              <w:t>- Konfusion</w:t>
            </w:r>
          </w:p>
          <w:p w:rsidR="00DF5345" w:rsidRPr="008F07AB" w:rsidRDefault="00DF5345" w:rsidP="003B4BCE">
            <w:pPr>
              <w:autoSpaceDE w:val="0"/>
              <w:autoSpaceDN w:val="0"/>
              <w:adjustRightInd w:val="0"/>
              <w:rPr>
                <w:sz w:val="20"/>
              </w:rPr>
            </w:pPr>
            <w:r w:rsidRPr="008F07AB">
              <w:rPr>
                <w:sz w:val="20"/>
              </w:rPr>
              <w:t>- Angst</w:t>
            </w:r>
            <w:r w:rsidRPr="008F07AB">
              <w:rPr>
                <w:sz w:val="20"/>
                <w:vertAlign w:val="superscript"/>
              </w:rPr>
              <w:t>2, 5</w:t>
            </w:r>
          </w:p>
          <w:p w:rsidR="00DF5345" w:rsidRPr="008F07AB" w:rsidRDefault="00DF5345" w:rsidP="003B4BCE">
            <w:pPr>
              <w:rPr>
                <w:sz w:val="20"/>
              </w:rPr>
            </w:pPr>
            <w:r w:rsidRPr="008F07AB">
              <w:rPr>
                <w:sz w:val="20"/>
              </w:rPr>
              <w:t>- Søvn</w:t>
            </w:r>
            <w:r>
              <w:rPr>
                <w:sz w:val="20"/>
              </w:rPr>
              <w:softHyphen/>
            </w:r>
            <w:r w:rsidRPr="008F07AB">
              <w:rPr>
                <w:sz w:val="20"/>
              </w:rPr>
              <w:t>løshed</w:t>
            </w:r>
            <w:r w:rsidRPr="008F07AB">
              <w:rPr>
                <w:sz w:val="20"/>
                <w:vertAlign w:val="superscript"/>
              </w:rPr>
              <w:t>3, 5</w:t>
            </w:r>
          </w:p>
        </w:tc>
        <w:tc>
          <w:tcPr>
            <w:tcW w:w="1360" w:type="dxa"/>
          </w:tcPr>
          <w:p w:rsidR="00DF5345" w:rsidRPr="008F07AB" w:rsidRDefault="00DF5345" w:rsidP="003B4BCE">
            <w:pPr>
              <w:autoSpaceDE w:val="0"/>
              <w:autoSpaceDN w:val="0"/>
              <w:adjustRightInd w:val="0"/>
              <w:rPr>
                <w:sz w:val="20"/>
              </w:rPr>
            </w:pPr>
            <w:r w:rsidRPr="008F07AB">
              <w:rPr>
                <w:sz w:val="20"/>
              </w:rPr>
              <w:t>- Mareridt</w:t>
            </w:r>
            <w:r w:rsidRPr="008F07AB">
              <w:rPr>
                <w:sz w:val="20"/>
                <w:vertAlign w:val="superscript"/>
              </w:rPr>
              <w:t>2</w:t>
            </w:r>
          </w:p>
          <w:p w:rsidR="00DF5345" w:rsidRPr="008F07AB" w:rsidRDefault="00DF5345" w:rsidP="003B4BCE">
            <w:pPr>
              <w:autoSpaceDE w:val="0"/>
              <w:autoSpaceDN w:val="0"/>
              <w:adjustRightInd w:val="0"/>
              <w:rPr>
                <w:sz w:val="20"/>
              </w:rPr>
            </w:pPr>
            <w:r w:rsidRPr="008F07AB">
              <w:rPr>
                <w:sz w:val="20"/>
              </w:rPr>
              <w:t>- Mani</w:t>
            </w:r>
          </w:p>
          <w:p w:rsidR="00DF5345" w:rsidRPr="008F07AB" w:rsidRDefault="00DF5345" w:rsidP="003B4BCE">
            <w:pPr>
              <w:autoSpaceDE w:val="0"/>
              <w:autoSpaceDN w:val="0"/>
              <w:adjustRightInd w:val="0"/>
              <w:rPr>
                <w:sz w:val="20"/>
              </w:rPr>
            </w:pPr>
            <w:r w:rsidRPr="008F07AB">
              <w:rPr>
                <w:sz w:val="20"/>
              </w:rPr>
              <w:t>- Agitation</w:t>
            </w:r>
            <w:r w:rsidRPr="008F07AB">
              <w:rPr>
                <w:sz w:val="20"/>
                <w:vertAlign w:val="superscript"/>
              </w:rPr>
              <w:t>2</w:t>
            </w:r>
          </w:p>
          <w:p w:rsidR="00DF5345" w:rsidRPr="008F07AB" w:rsidRDefault="00DF5345" w:rsidP="003B4BCE">
            <w:pPr>
              <w:autoSpaceDE w:val="0"/>
              <w:autoSpaceDN w:val="0"/>
              <w:adjustRightInd w:val="0"/>
              <w:rPr>
                <w:sz w:val="20"/>
              </w:rPr>
            </w:pPr>
            <w:r w:rsidRPr="008F07AB">
              <w:rPr>
                <w:sz w:val="20"/>
              </w:rPr>
              <w:t xml:space="preserve">- </w:t>
            </w:r>
            <w:proofErr w:type="spellStart"/>
            <w:r w:rsidRPr="008F07AB">
              <w:rPr>
                <w:sz w:val="20"/>
              </w:rPr>
              <w:t>Hallucina-tioner</w:t>
            </w:r>
            <w:proofErr w:type="spellEnd"/>
          </w:p>
          <w:p w:rsidR="00DF5345" w:rsidRPr="008F07AB" w:rsidRDefault="00DF5345" w:rsidP="003B4BCE">
            <w:pPr>
              <w:autoSpaceDE w:val="0"/>
              <w:autoSpaceDN w:val="0"/>
              <w:adjustRightInd w:val="0"/>
              <w:rPr>
                <w:sz w:val="20"/>
              </w:rPr>
            </w:pPr>
            <w:r w:rsidRPr="008F07AB">
              <w:rPr>
                <w:sz w:val="20"/>
              </w:rPr>
              <w:t xml:space="preserve">- </w:t>
            </w:r>
            <w:proofErr w:type="spellStart"/>
            <w:r w:rsidRPr="008F07AB">
              <w:rPr>
                <w:sz w:val="20"/>
              </w:rPr>
              <w:t>Psykomoto-risk</w:t>
            </w:r>
            <w:proofErr w:type="spellEnd"/>
            <w:r w:rsidRPr="008F07AB">
              <w:rPr>
                <w:sz w:val="20"/>
              </w:rPr>
              <w:t xml:space="preserve"> uro</w:t>
            </w:r>
          </w:p>
          <w:p w:rsidR="00DF5345" w:rsidRPr="008F07AB" w:rsidRDefault="00DF5345" w:rsidP="003B4BCE">
            <w:pPr>
              <w:rPr>
                <w:sz w:val="20"/>
              </w:rPr>
            </w:pPr>
            <w:r w:rsidRPr="008F07AB">
              <w:rPr>
                <w:sz w:val="20"/>
              </w:rPr>
              <w:t xml:space="preserve"> (inkl. </w:t>
            </w:r>
            <w:proofErr w:type="spellStart"/>
            <w:r w:rsidRPr="008F07AB">
              <w:rPr>
                <w:sz w:val="20"/>
              </w:rPr>
              <w:t>akatisi</w:t>
            </w:r>
            <w:proofErr w:type="spellEnd"/>
            <w:r w:rsidRPr="008F07AB">
              <w:rPr>
                <w:sz w:val="20"/>
              </w:rPr>
              <w:t>,</w:t>
            </w:r>
          </w:p>
          <w:p w:rsidR="00DF5345" w:rsidRPr="008F07AB" w:rsidRDefault="00DF5345" w:rsidP="003B4BCE">
            <w:pPr>
              <w:rPr>
                <w:sz w:val="20"/>
              </w:rPr>
            </w:pPr>
            <w:r w:rsidRPr="008F07AB">
              <w:rPr>
                <w:sz w:val="20"/>
              </w:rPr>
              <w:t xml:space="preserve"> </w:t>
            </w:r>
            <w:proofErr w:type="spellStart"/>
            <w:r w:rsidRPr="008F07AB">
              <w:rPr>
                <w:sz w:val="20"/>
              </w:rPr>
              <w:t>hyperkinesi</w:t>
            </w:r>
            <w:proofErr w:type="spellEnd"/>
            <w:r w:rsidRPr="008F07AB">
              <w:rPr>
                <w:sz w:val="20"/>
              </w:rPr>
              <w:t>)</w:t>
            </w:r>
          </w:p>
        </w:tc>
        <w:tc>
          <w:tcPr>
            <w:tcW w:w="1333" w:type="dxa"/>
          </w:tcPr>
          <w:p w:rsidR="00DF5345" w:rsidRPr="008F07AB" w:rsidRDefault="00DF5345" w:rsidP="003B4BCE">
            <w:pPr>
              <w:rPr>
                <w:sz w:val="20"/>
              </w:rPr>
            </w:pPr>
            <w:r w:rsidRPr="004E4E55">
              <w:rPr>
                <w:sz w:val="20"/>
              </w:rPr>
              <w:t>- Aggression</w:t>
            </w:r>
          </w:p>
        </w:tc>
        <w:tc>
          <w:tcPr>
            <w:tcW w:w="2027" w:type="dxa"/>
          </w:tcPr>
          <w:p w:rsidR="00F22A49" w:rsidRPr="008F07AB" w:rsidRDefault="00F22A49" w:rsidP="00F22A49">
            <w:pPr>
              <w:autoSpaceDE w:val="0"/>
              <w:autoSpaceDN w:val="0"/>
              <w:adjustRightInd w:val="0"/>
              <w:rPr>
                <w:sz w:val="20"/>
              </w:rPr>
            </w:pPr>
            <w:r w:rsidRPr="008F07AB">
              <w:rPr>
                <w:sz w:val="20"/>
              </w:rPr>
              <w:t>- Selvmordstanker</w:t>
            </w:r>
            <w:r w:rsidRPr="008F07AB">
              <w:rPr>
                <w:sz w:val="20"/>
                <w:vertAlign w:val="superscript"/>
              </w:rPr>
              <w:t>6</w:t>
            </w:r>
          </w:p>
          <w:p w:rsidR="00F22A49" w:rsidRDefault="00F22A49" w:rsidP="00F22A49">
            <w:pPr>
              <w:autoSpaceDE w:val="0"/>
              <w:autoSpaceDN w:val="0"/>
              <w:adjustRightInd w:val="0"/>
              <w:rPr>
                <w:sz w:val="20"/>
                <w:vertAlign w:val="superscript"/>
              </w:rPr>
            </w:pPr>
            <w:r w:rsidRPr="008F07AB">
              <w:rPr>
                <w:sz w:val="20"/>
              </w:rPr>
              <w:t>- Selvmords</w:t>
            </w:r>
            <w:r>
              <w:rPr>
                <w:sz w:val="20"/>
              </w:rPr>
              <w:softHyphen/>
            </w:r>
            <w:r w:rsidRPr="008F07AB">
              <w:rPr>
                <w:sz w:val="20"/>
              </w:rPr>
              <w:t>adfærd</w:t>
            </w:r>
            <w:r w:rsidRPr="008F07AB">
              <w:rPr>
                <w:sz w:val="20"/>
                <w:vertAlign w:val="superscript"/>
              </w:rPr>
              <w:t>6</w:t>
            </w:r>
          </w:p>
          <w:p w:rsidR="00DF5345" w:rsidRPr="008F07AB" w:rsidRDefault="00F22A49" w:rsidP="00F22A49">
            <w:pPr>
              <w:autoSpaceDE w:val="0"/>
              <w:autoSpaceDN w:val="0"/>
              <w:adjustRightInd w:val="0"/>
              <w:rPr>
                <w:sz w:val="20"/>
              </w:rPr>
            </w:pPr>
            <w:r>
              <w:rPr>
                <w:sz w:val="20"/>
              </w:rPr>
              <w:t xml:space="preserve">- </w:t>
            </w:r>
            <w:proofErr w:type="spellStart"/>
            <w:r w:rsidRPr="003E141E">
              <w:rPr>
                <w:sz w:val="20"/>
              </w:rPr>
              <w:t>Somnabulisme</w:t>
            </w:r>
            <w:proofErr w:type="spellEnd"/>
          </w:p>
        </w:tc>
      </w:tr>
      <w:tr w:rsidR="00DF5345" w:rsidRPr="008F07AB" w:rsidTr="003B4BCE">
        <w:tc>
          <w:tcPr>
            <w:tcW w:w="1572" w:type="dxa"/>
          </w:tcPr>
          <w:p w:rsidR="00DF5345" w:rsidRPr="008F07AB" w:rsidRDefault="00DF5345" w:rsidP="003B4BCE">
            <w:pPr>
              <w:autoSpaceDE w:val="0"/>
              <w:autoSpaceDN w:val="0"/>
              <w:adjustRightInd w:val="0"/>
              <w:rPr>
                <w:b/>
                <w:bCs/>
                <w:i/>
                <w:iCs/>
                <w:sz w:val="20"/>
              </w:rPr>
            </w:pPr>
            <w:r w:rsidRPr="008F07AB">
              <w:rPr>
                <w:b/>
                <w:bCs/>
                <w:i/>
                <w:iCs/>
                <w:sz w:val="20"/>
              </w:rPr>
              <w:t>Nervesystemet</w:t>
            </w:r>
          </w:p>
        </w:tc>
        <w:tc>
          <w:tcPr>
            <w:tcW w:w="1444" w:type="dxa"/>
          </w:tcPr>
          <w:p w:rsidR="00DF5345" w:rsidRPr="004E4E55" w:rsidRDefault="00DF5345" w:rsidP="003B4BCE">
            <w:pPr>
              <w:autoSpaceDE w:val="0"/>
              <w:autoSpaceDN w:val="0"/>
              <w:adjustRightInd w:val="0"/>
              <w:rPr>
                <w:sz w:val="20"/>
                <w:vertAlign w:val="superscript"/>
              </w:rPr>
            </w:pPr>
            <w:r w:rsidRPr="004E4E55">
              <w:rPr>
                <w:sz w:val="20"/>
              </w:rPr>
              <w:t>- Somnolens</w:t>
            </w:r>
            <w:r w:rsidRPr="004E4E55">
              <w:rPr>
                <w:sz w:val="20"/>
                <w:vertAlign w:val="superscript"/>
              </w:rPr>
              <w:t>1, 4</w:t>
            </w:r>
          </w:p>
          <w:p w:rsidR="00DF5345" w:rsidRPr="004E4E55" w:rsidRDefault="00DF5345" w:rsidP="003B4BCE">
            <w:pPr>
              <w:autoSpaceDE w:val="0"/>
              <w:autoSpaceDN w:val="0"/>
              <w:adjustRightInd w:val="0"/>
              <w:rPr>
                <w:sz w:val="20"/>
              </w:rPr>
            </w:pPr>
            <w:r w:rsidRPr="004E4E55">
              <w:rPr>
                <w:sz w:val="20"/>
              </w:rPr>
              <w:t>- Sedation</w:t>
            </w:r>
            <w:r w:rsidRPr="004E4E55">
              <w:rPr>
                <w:sz w:val="20"/>
                <w:vertAlign w:val="superscript"/>
              </w:rPr>
              <w:t>1, 4</w:t>
            </w:r>
          </w:p>
          <w:p w:rsidR="00DF5345" w:rsidRPr="004E4E55" w:rsidRDefault="00DF5345" w:rsidP="003B4BCE">
            <w:pPr>
              <w:rPr>
                <w:sz w:val="20"/>
              </w:rPr>
            </w:pPr>
            <w:r w:rsidRPr="004E4E55">
              <w:rPr>
                <w:sz w:val="20"/>
              </w:rPr>
              <w:t>- Hovedpine</w:t>
            </w:r>
            <w:r w:rsidRPr="004E4E55">
              <w:rPr>
                <w:sz w:val="20"/>
                <w:vertAlign w:val="superscript"/>
              </w:rPr>
              <w:t>2</w:t>
            </w:r>
          </w:p>
        </w:tc>
        <w:tc>
          <w:tcPr>
            <w:tcW w:w="1520" w:type="dxa"/>
          </w:tcPr>
          <w:p w:rsidR="00F22A49" w:rsidRPr="008F07AB" w:rsidRDefault="00F22A49" w:rsidP="00F22A49">
            <w:pPr>
              <w:autoSpaceDE w:val="0"/>
              <w:autoSpaceDN w:val="0"/>
              <w:adjustRightInd w:val="0"/>
              <w:rPr>
                <w:sz w:val="20"/>
              </w:rPr>
            </w:pPr>
            <w:r w:rsidRPr="008F07AB">
              <w:rPr>
                <w:sz w:val="20"/>
              </w:rPr>
              <w:t>Døsighed</w:t>
            </w:r>
            <w:r w:rsidRPr="008F07AB">
              <w:rPr>
                <w:sz w:val="20"/>
                <w:vertAlign w:val="superscript"/>
              </w:rPr>
              <w:t>1</w:t>
            </w:r>
          </w:p>
          <w:p w:rsidR="00F22A49" w:rsidRPr="008F07AB" w:rsidRDefault="00F22A49" w:rsidP="00F22A49">
            <w:pPr>
              <w:autoSpaceDE w:val="0"/>
              <w:autoSpaceDN w:val="0"/>
              <w:adjustRightInd w:val="0"/>
              <w:rPr>
                <w:sz w:val="20"/>
              </w:rPr>
            </w:pPr>
            <w:r w:rsidRPr="008F07AB">
              <w:rPr>
                <w:sz w:val="20"/>
              </w:rPr>
              <w:t xml:space="preserve">- </w:t>
            </w:r>
            <w:proofErr w:type="spellStart"/>
            <w:r w:rsidRPr="008F07AB">
              <w:rPr>
                <w:sz w:val="20"/>
              </w:rPr>
              <w:t>Svimmel-hed</w:t>
            </w:r>
            <w:proofErr w:type="spellEnd"/>
          </w:p>
          <w:p w:rsidR="00F22A49" w:rsidRDefault="00F22A49" w:rsidP="00F22A49">
            <w:pPr>
              <w:rPr>
                <w:sz w:val="20"/>
              </w:rPr>
            </w:pPr>
            <w:r w:rsidRPr="008F07AB">
              <w:rPr>
                <w:sz w:val="20"/>
              </w:rPr>
              <w:t xml:space="preserve">- </w:t>
            </w:r>
            <w:proofErr w:type="spellStart"/>
            <w:r w:rsidRPr="008F07AB">
              <w:rPr>
                <w:sz w:val="20"/>
              </w:rPr>
              <w:t>Tremor</w:t>
            </w:r>
            <w:proofErr w:type="spellEnd"/>
          </w:p>
          <w:p w:rsidR="00DF5345" w:rsidRPr="008F07AB" w:rsidRDefault="00F22A49" w:rsidP="00F22A49">
            <w:pPr>
              <w:rPr>
                <w:sz w:val="20"/>
              </w:rPr>
            </w:pPr>
            <w:r>
              <w:rPr>
                <w:sz w:val="20"/>
              </w:rPr>
              <w:t xml:space="preserve">- </w:t>
            </w:r>
            <w:r w:rsidRPr="003E141E">
              <w:rPr>
                <w:sz w:val="20"/>
              </w:rPr>
              <w:t>Hukomm</w:t>
            </w:r>
            <w:r>
              <w:rPr>
                <w:sz w:val="20"/>
              </w:rPr>
              <w:t>-</w:t>
            </w:r>
            <w:r w:rsidRPr="003E141E">
              <w:rPr>
                <w:sz w:val="20"/>
              </w:rPr>
              <w:t>elsestab</w:t>
            </w:r>
            <w:r w:rsidRPr="0091229D">
              <w:rPr>
                <w:sz w:val="20"/>
                <w:vertAlign w:val="superscript"/>
              </w:rPr>
              <w:t>7</w:t>
            </w:r>
          </w:p>
        </w:tc>
        <w:tc>
          <w:tcPr>
            <w:tcW w:w="1360" w:type="dxa"/>
          </w:tcPr>
          <w:p w:rsidR="00DF5345" w:rsidRPr="008F07AB" w:rsidRDefault="00DF5345" w:rsidP="003B4BCE">
            <w:pPr>
              <w:autoSpaceDE w:val="0"/>
              <w:autoSpaceDN w:val="0"/>
              <w:adjustRightInd w:val="0"/>
              <w:rPr>
                <w:sz w:val="20"/>
              </w:rPr>
            </w:pPr>
            <w:r w:rsidRPr="008F07AB">
              <w:rPr>
                <w:sz w:val="20"/>
              </w:rPr>
              <w:t>- Paræstesi</w:t>
            </w:r>
            <w:r w:rsidRPr="008F07AB">
              <w:rPr>
                <w:sz w:val="20"/>
                <w:vertAlign w:val="superscript"/>
              </w:rPr>
              <w:t>2</w:t>
            </w:r>
          </w:p>
          <w:p w:rsidR="00DF5345" w:rsidRPr="008F07AB" w:rsidRDefault="00DF5345" w:rsidP="003B4BCE">
            <w:pPr>
              <w:autoSpaceDE w:val="0"/>
              <w:autoSpaceDN w:val="0"/>
              <w:adjustRightInd w:val="0"/>
              <w:rPr>
                <w:sz w:val="20"/>
              </w:rPr>
            </w:pPr>
            <w:r w:rsidRPr="008F07AB">
              <w:rPr>
                <w:sz w:val="20"/>
              </w:rPr>
              <w:t>- Uro i benene</w:t>
            </w:r>
          </w:p>
          <w:p w:rsidR="00DF5345" w:rsidRPr="008F07AB" w:rsidRDefault="00DF5345" w:rsidP="003B4BCE">
            <w:pPr>
              <w:rPr>
                <w:sz w:val="20"/>
              </w:rPr>
            </w:pPr>
            <w:r w:rsidRPr="008F07AB">
              <w:rPr>
                <w:sz w:val="20"/>
              </w:rPr>
              <w:t>- Synkope</w:t>
            </w:r>
          </w:p>
        </w:tc>
        <w:tc>
          <w:tcPr>
            <w:tcW w:w="1333" w:type="dxa"/>
          </w:tcPr>
          <w:p w:rsidR="00DF5345" w:rsidRPr="008F07AB" w:rsidRDefault="00DF5345" w:rsidP="003B4BCE">
            <w:pPr>
              <w:rPr>
                <w:sz w:val="20"/>
              </w:rPr>
            </w:pPr>
            <w:r w:rsidRPr="008F07AB">
              <w:rPr>
                <w:sz w:val="20"/>
              </w:rPr>
              <w:t xml:space="preserve">- </w:t>
            </w:r>
            <w:proofErr w:type="spellStart"/>
            <w:r w:rsidRPr="008F07AB">
              <w:rPr>
                <w:sz w:val="20"/>
              </w:rPr>
              <w:t>Myoklonus</w:t>
            </w:r>
            <w:proofErr w:type="spellEnd"/>
          </w:p>
        </w:tc>
        <w:tc>
          <w:tcPr>
            <w:tcW w:w="2027" w:type="dxa"/>
          </w:tcPr>
          <w:p w:rsidR="00DF5345" w:rsidRPr="004E4E55" w:rsidRDefault="00DF5345" w:rsidP="003B4BCE">
            <w:pPr>
              <w:autoSpaceDE w:val="0"/>
              <w:autoSpaceDN w:val="0"/>
              <w:adjustRightInd w:val="0"/>
              <w:rPr>
                <w:sz w:val="20"/>
              </w:rPr>
            </w:pPr>
            <w:r w:rsidRPr="004E4E55">
              <w:rPr>
                <w:sz w:val="20"/>
              </w:rPr>
              <w:t>- Kramper</w:t>
            </w:r>
          </w:p>
          <w:p w:rsidR="00DF5345" w:rsidRPr="004E4E55" w:rsidRDefault="00DF5345" w:rsidP="003B4BCE">
            <w:pPr>
              <w:autoSpaceDE w:val="0"/>
              <w:autoSpaceDN w:val="0"/>
              <w:adjustRightInd w:val="0"/>
              <w:rPr>
                <w:sz w:val="20"/>
              </w:rPr>
            </w:pPr>
            <w:r w:rsidRPr="004E4E55">
              <w:rPr>
                <w:sz w:val="20"/>
              </w:rPr>
              <w:t xml:space="preserve"> (anfald)</w:t>
            </w:r>
          </w:p>
          <w:p w:rsidR="00DF5345" w:rsidRPr="004E4E55" w:rsidRDefault="00DF5345" w:rsidP="003B4BCE">
            <w:pPr>
              <w:autoSpaceDE w:val="0"/>
              <w:autoSpaceDN w:val="0"/>
              <w:adjustRightInd w:val="0"/>
              <w:rPr>
                <w:sz w:val="20"/>
              </w:rPr>
            </w:pPr>
            <w:r w:rsidRPr="004E4E55">
              <w:rPr>
                <w:sz w:val="20"/>
              </w:rPr>
              <w:t xml:space="preserve">- </w:t>
            </w:r>
            <w:proofErr w:type="spellStart"/>
            <w:r w:rsidRPr="004E4E55">
              <w:rPr>
                <w:sz w:val="20"/>
              </w:rPr>
              <w:t>Serotonerg</w:t>
            </w:r>
            <w:proofErr w:type="spellEnd"/>
            <w:r w:rsidRPr="004E4E55">
              <w:rPr>
                <w:sz w:val="20"/>
              </w:rPr>
              <w:t xml:space="preserve"> syndrom</w:t>
            </w:r>
          </w:p>
          <w:p w:rsidR="00DF5345" w:rsidRPr="004E4E55" w:rsidRDefault="00DF5345" w:rsidP="003B4BCE">
            <w:pPr>
              <w:rPr>
                <w:sz w:val="20"/>
              </w:rPr>
            </w:pPr>
            <w:r w:rsidRPr="004E4E55">
              <w:rPr>
                <w:sz w:val="20"/>
              </w:rPr>
              <w:t xml:space="preserve">- Oral </w:t>
            </w:r>
            <w:proofErr w:type="spellStart"/>
            <w:r w:rsidRPr="004E4E55">
              <w:rPr>
                <w:sz w:val="20"/>
              </w:rPr>
              <w:t>paræstesi</w:t>
            </w:r>
            <w:proofErr w:type="spellEnd"/>
          </w:p>
          <w:p w:rsidR="00DF5345" w:rsidRPr="004E4E55" w:rsidRDefault="00DF5345" w:rsidP="003B4BCE">
            <w:pPr>
              <w:rPr>
                <w:sz w:val="20"/>
              </w:rPr>
            </w:pPr>
            <w:r w:rsidRPr="004E4E55">
              <w:rPr>
                <w:sz w:val="20"/>
              </w:rPr>
              <w:t xml:space="preserve">- </w:t>
            </w:r>
            <w:proofErr w:type="spellStart"/>
            <w:r w:rsidRPr="004E4E55">
              <w:rPr>
                <w:sz w:val="20"/>
              </w:rPr>
              <w:t>Dysartri</w:t>
            </w:r>
            <w:proofErr w:type="spellEnd"/>
            <w:r w:rsidRPr="004E4E55">
              <w:rPr>
                <w:sz w:val="20"/>
              </w:rPr>
              <w:t xml:space="preserve"> </w:t>
            </w:r>
          </w:p>
          <w:p w:rsidR="00DF5345" w:rsidRPr="004E4E55" w:rsidRDefault="00DF5345" w:rsidP="003B4BCE">
            <w:pPr>
              <w:rPr>
                <w:sz w:val="20"/>
              </w:rPr>
            </w:pPr>
          </w:p>
        </w:tc>
      </w:tr>
      <w:tr w:rsidR="00DF5345" w:rsidRPr="008F07AB" w:rsidTr="003B4BCE">
        <w:tc>
          <w:tcPr>
            <w:tcW w:w="1572" w:type="dxa"/>
          </w:tcPr>
          <w:p w:rsidR="00DF5345" w:rsidRPr="008F07AB" w:rsidRDefault="00DF5345" w:rsidP="003B4BCE">
            <w:pPr>
              <w:autoSpaceDE w:val="0"/>
              <w:autoSpaceDN w:val="0"/>
              <w:adjustRightInd w:val="0"/>
              <w:rPr>
                <w:b/>
                <w:bCs/>
                <w:i/>
                <w:iCs/>
                <w:sz w:val="20"/>
              </w:rPr>
            </w:pPr>
            <w:proofErr w:type="spellStart"/>
            <w:r w:rsidRPr="008F07AB">
              <w:rPr>
                <w:b/>
                <w:bCs/>
                <w:i/>
                <w:iCs/>
                <w:sz w:val="20"/>
              </w:rPr>
              <w:t>Vaskulære</w:t>
            </w:r>
            <w:proofErr w:type="spellEnd"/>
            <w:r w:rsidRPr="008F07AB">
              <w:rPr>
                <w:b/>
                <w:bCs/>
                <w:i/>
                <w:iCs/>
                <w:sz w:val="20"/>
              </w:rPr>
              <w:t xml:space="preserve"> sygdomme</w:t>
            </w:r>
          </w:p>
        </w:tc>
        <w:tc>
          <w:tcPr>
            <w:tcW w:w="1444" w:type="dxa"/>
          </w:tcPr>
          <w:p w:rsidR="00DF5345" w:rsidRPr="004E4E55" w:rsidRDefault="00DF5345" w:rsidP="003B4BCE">
            <w:pPr>
              <w:autoSpaceDE w:val="0"/>
              <w:autoSpaceDN w:val="0"/>
              <w:adjustRightInd w:val="0"/>
              <w:rPr>
                <w:sz w:val="20"/>
              </w:rPr>
            </w:pPr>
          </w:p>
        </w:tc>
        <w:tc>
          <w:tcPr>
            <w:tcW w:w="1520" w:type="dxa"/>
          </w:tcPr>
          <w:p w:rsidR="00DF5345" w:rsidRPr="008F07AB" w:rsidRDefault="00DF5345" w:rsidP="003B4BCE">
            <w:pPr>
              <w:autoSpaceDE w:val="0"/>
              <w:autoSpaceDN w:val="0"/>
              <w:adjustRightInd w:val="0"/>
              <w:rPr>
                <w:sz w:val="20"/>
              </w:rPr>
            </w:pPr>
            <w:r w:rsidRPr="008F07AB">
              <w:rPr>
                <w:sz w:val="20"/>
              </w:rPr>
              <w:t xml:space="preserve">- </w:t>
            </w:r>
            <w:proofErr w:type="spellStart"/>
            <w:r w:rsidRPr="008F07AB">
              <w:rPr>
                <w:sz w:val="20"/>
              </w:rPr>
              <w:t>Ortostatisk</w:t>
            </w:r>
            <w:proofErr w:type="spellEnd"/>
            <w:r w:rsidRPr="008F07AB">
              <w:rPr>
                <w:sz w:val="20"/>
              </w:rPr>
              <w:t xml:space="preserve"> hypotension</w:t>
            </w:r>
          </w:p>
        </w:tc>
        <w:tc>
          <w:tcPr>
            <w:tcW w:w="1360" w:type="dxa"/>
          </w:tcPr>
          <w:p w:rsidR="00DF5345" w:rsidRPr="008F07AB" w:rsidRDefault="00DF5345" w:rsidP="003B4BCE">
            <w:pPr>
              <w:autoSpaceDE w:val="0"/>
              <w:autoSpaceDN w:val="0"/>
              <w:adjustRightInd w:val="0"/>
              <w:rPr>
                <w:sz w:val="20"/>
              </w:rPr>
            </w:pPr>
            <w:r w:rsidRPr="008F07AB">
              <w:rPr>
                <w:sz w:val="20"/>
              </w:rPr>
              <w:t>Hypotension</w:t>
            </w:r>
            <w:r w:rsidRPr="008F07AB">
              <w:rPr>
                <w:sz w:val="20"/>
                <w:vertAlign w:val="superscript"/>
              </w:rPr>
              <w:t>2</w:t>
            </w:r>
          </w:p>
        </w:tc>
        <w:tc>
          <w:tcPr>
            <w:tcW w:w="1333" w:type="dxa"/>
          </w:tcPr>
          <w:p w:rsidR="00DF5345" w:rsidRPr="008F07AB" w:rsidRDefault="00DF5345" w:rsidP="003B4BCE">
            <w:pPr>
              <w:rPr>
                <w:sz w:val="20"/>
              </w:rPr>
            </w:pPr>
          </w:p>
        </w:tc>
        <w:tc>
          <w:tcPr>
            <w:tcW w:w="2027" w:type="dxa"/>
          </w:tcPr>
          <w:p w:rsidR="00DF5345" w:rsidRPr="004E4E55" w:rsidRDefault="00DF5345" w:rsidP="003B4BCE">
            <w:pPr>
              <w:autoSpaceDE w:val="0"/>
              <w:autoSpaceDN w:val="0"/>
              <w:adjustRightInd w:val="0"/>
              <w:rPr>
                <w:sz w:val="20"/>
              </w:rPr>
            </w:pPr>
          </w:p>
        </w:tc>
      </w:tr>
      <w:tr w:rsidR="00DF5345" w:rsidRPr="008F07AB" w:rsidTr="003B4BCE">
        <w:tc>
          <w:tcPr>
            <w:tcW w:w="1572" w:type="dxa"/>
          </w:tcPr>
          <w:p w:rsidR="00DF5345" w:rsidRPr="008F07AB" w:rsidRDefault="00DF5345" w:rsidP="003B4BCE">
            <w:pPr>
              <w:autoSpaceDE w:val="0"/>
              <w:autoSpaceDN w:val="0"/>
              <w:adjustRightInd w:val="0"/>
              <w:rPr>
                <w:b/>
                <w:bCs/>
                <w:i/>
                <w:iCs/>
                <w:sz w:val="20"/>
              </w:rPr>
            </w:pPr>
            <w:proofErr w:type="spellStart"/>
            <w:r w:rsidRPr="008F07AB">
              <w:rPr>
                <w:b/>
                <w:bCs/>
                <w:i/>
                <w:iCs/>
                <w:sz w:val="20"/>
              </w:rPr>
              <w:t>Mave-tarmkanalen</w:t>
            </w:r>
            <w:proofErr w:type="spellEnd"/>
          </w:p>
        </w:tc>
        <w:tc>
          <w:tcPr>
            <w:tcW w:w="1444" w:type="dxa"/>
          </w:tcPr>
          <w:p w:rsidR="00DF5345" w:rsidRPr="004E4E55" w:rsidRDefault="00DF5345" w:rsidP="003B4BCE">
            <w:pPr>
              <w:rPr>
                <w:sz w:val="20"/>
              </w:rPr>
            </w:pPr>
            <w:r w:rsidRPr="004E4E55">
              <w:rPr>
                <w:sz w:val="20"/>
              </w:rPr>
              <w:t>- Mundtørhed</w:t>
            </w:r>
          </w:p>
        </w:tc>
        <w:tc>
          <w:tcPr>
            <w:tcW w:w="1520" w:type="dxa"/>
          </w:tcPr>
          <w:p w:rsidR="00DF5345" w:rsidRPr="008F07AB" w:rsidRDefault="00DF5345" w:rsidP="003B4BCE">
            <w:pPr>
              <w:autoSpaceDE w:val="0"/>
              <w:autoSpaceDN w:val="0"/>
              <w:adjustRightInd w:val="0"/>
              <w:rPr>
                <w:sz w:val="20"/>
              </w:rPr>
            </w:pPr>
            <w:r w:rsidRPr="008F07AB">
              <w:rPr>
                <w:sz w:val="20"/>
              </w:rPr>
              <w:t>- Kvalme</w:t>
            </w:r>
            <w:r w:rsidRPr="008F07AB">
              <w:rPr>
                <w:sz w:val="20"/>
                <w:vertAlign w:val="superscript"/>
              </w:rPr>
              <w:t>3</w:t>
            </w:r>
          </w:p>
          <w:p w:rsidR="00DF5345" w:rsidRPr="008F07AB" w:rsidRDefault="00DF5345" w:rsidP="003B4BCE">
            <w:pPr>
              <w:autoSpaceDE w:val="0"/>
              <w:autoSpaceDN w:val="0"/>
              <w:adjustRightInd w:val="0"/>
              <w:rPr>
                <w:sz w:val="20"/>
              </w:rPr>
            </w:pPr>
            <w:r w:rsidRPr="008F07AB">
              <w:rPr>
                <w:sz w:val="20"/>
              </w:rPr>
              <w:t>- Diarré</w:t>
            </w:r>
            <w:r w:rsidRPr="008F07AB">
              <w:rPr>
                <w:sz w:val="20"/>
                <w:vertAlign w:val="superscript"/>
              </w:rPr>
              <w:t>2</w:t>
            </w:r>
          </w:p>
          <w:p w:rsidR="00DF5345" w:rsidRDefault="00DF5345" w:rsidP="003B4BCE">
            <w:pPr>
              <w:rPr>
                <w:sz w:val="20"/>
                <w:vertAlign w:val="superscript"/>
              </w:rPr>
            </w:pPr>
            <w:r>
              <w:rPr>
                <w:sz w:val="20"/>
              </w:rPr>
              <w:t xml:space="preserve">- </w:t>
            </w:r>
            <w:r w:rsidRPr="008F07AB">
              <w:rPr>
                <w:sz w:val="20"/>
              </w:rPr>
              <w:t>Opkastning</w:t>
            </w:r>
            <w:r w:rsidRPr="008F07AB">
              <w:rPr>
                <w:sz w:val="20"/>
                <w:vertAlign w:val="superscript"/>
              </w:rPr>
              <w:t>2</w:t>
            </w:r>
          </w:p>
          <w:p w:rsidR="00DF5345" w:rsidRPr="00077FA3" w:rsidRDefault="00DF5345" w:rsidP="003B4BCE">
            <w:pPr>
              <w:rPr>
                <w:sz w:val="20"/>
              </w:rPr>
            </w:pPr>
            <w:r>
              <w:rPr>
                <w:sz w:val="20"/>
              </w:rPr>
              <w:t>- Forstoppelse</w:t>
            </w:r>
          </w:p>
        </w:tc>
        <w:tc>
          <w:tcPr>
            <w:tcW w:w="1360" w:type="dxa"/>
          </w:tcPr>
          <w:p w:rsidR="00DF5345" w:rsidRPr="008F07AB" w:rsidRDefault="00DF5345" w:rsidP="003B4BCE">
            <w:pPr>
              <w:autoSpaceDE w:val="0"/>
              <w:autoSpaceDN w:val="0"/>
              <w:adjustRightInd w:val="0"/>
              <w:rPr>
                <w:sz w:val="20"/>
              </w:rPr>
            </w:pPr>
            <w:r w:rsidRPr="008F07AB">
              <w:rPr>
                <w:sz w:val="20"/>
              </w:rPr>
              <w:t>- Oral</w:t>
            </w:r>
          </w:p>
          <w:p w:rsidR="00DF5345" w:rsidRPr="008F07AB" w:rsidRDefault="00DF5345" w:rsidP="003B4BCE">
            <w:pPr>
              <w:autoSpaceDE w:val="0"/>
              <w:autoSpaceDN w:val="0"/>
              <w:adjustRightInd w:val="0"/>
              <w:rPr>
                <w:sz w:val="20"/>
              </w:rPr>
            </w:pPr>
            <w:proofErr w:type="spellStart"/>
            <w:r w:rsidRPr="008F07AB">
              <w:rPr>
                <w:sz w:val="20"/>
              </w:rPr>
              <w:t>hypoæstesi</w:t>
            </w:r>
            <w:proofErr w:type="spellEnd"/>
          </w:p>
        </w:tc>
        <w:tc>
          <w:tcPr>
            <w:tcW w:w="1333" w:type="dxa"/>
          </w:tcPr>
          <w:p w:rsidR="00DF5345" w:rsidRPr="008F07AB" w:rsidRDefault="00DF5345" w:rsidP="003B4BCE">
            <w:pPr>
              <w:rPr>
                <w:sz w:val="20"/>
              </w:rPr>
            </w:pPr>
            <w:r w:rsidRPr="008F07AB">
              <w:rPr>
                <w:sz w:val="20"/>
              </w:rPr>
              <w:t xml:space="preserve">- </w:t>
            </w:r>
            <w:proofErr w:type="spellStart"/>
            <w:r>
              <w:rPr>
                <w:sz w:val="20"/>
              </w:rPr>
              <w:t>Pancreatitis</w:t>
            </w:r>
            <w:proofErr w:type="spellEnd"/>
          </w:p>
        </w:tc>
        <w:tc>
          <w:tcPr>
            <w:tcW w:w="2027" w:type="dxa"/>
          </w:tcPr>
          <w:p w:rsidR="00DF5345" w:rsidRPr="004E4E55" w:rsidRDefault="00DF5345" w:rsidP="003B4BCE">
            <w:pPr>
              <w:rPr>
                <w:sz w:val="20"/>
              </w:rPr>
            </w:pPr>
            <w:r w:rsidRPr="004E4E55">
              <w:rPr>
                <w:sz w:val="20"/>
              </w:rPr>
              <w:t>- Mundødem</w:t>
            </w:r>
          </w:p>
          <w:p w:rsidR="00DF5345" w:rsidRPr="004E4E55" w:rsidRDefault="00DF5345" w:rsidP="003B4BCE">
            <w:pPr>
              <w:rPr>
                <w:sz w:val="20"/>
              </w:rPr>
            </w:pPr>
            <w:r w:rsidRPr="004E4E55">
              <w:rPr>
                <w:sz w:val="20"/>
              </w:rPr>
              <w:t>- Øget spytflod</w:t>
            </w:r>
          </w:p>
        </w:tc>
      </w:tr>
      <w:tr w:rsidR="00DF5345" w:rsidRPr="008F07AB" w:rsidTr="003B4BCE">
        <w:tc>
          <w:tcPr>
            <w:tcW w:w="1572" w:type="dxa"/>
          </w:tcPr>
          <w:p w:rsidR="00DF5345" w:rsidRPr="008F07AB" w:rsidRDefault="00DF5345" w:rsidP="003B4BCE">
            <w:pPr>
              <w:autoSpaceDE w:val="0"/>
              <w:autoSpaceDN w:val="0"/>
              <w:adjustRightInd w:val="0"/>
              <w:rPr>
                <w:b/>
                <w:bCs/>
                <w:i/>
                <w:iCs/>
                <w:sz w:val="20"/>
              </w:rPr>
            </w:pPr>
            <w:r w:rsidRPr="008F07AB">
              <w:rPr>
                <w:b/>
                <w:bCs/>
                <w:i/>
                <w:iCs/>
                <w:sz w:val="20"/>
              </w:rPr>
              <w:t>Lever- og galdeveje</w:t>
            </w:r>
          </w:p>
        </w:tc>
        <w:tc>
          <w:tcPr>
            <w:tcW w:w="1444" w:type="dxa"/>
          </w:tcPr>
          <w:p w:rsidR="00DF5345" w:rsidRPr="004E4E55" w:rsidDel="00A42EFB" w:rsidRDefault="00DF5345" w:rsidP="003B4BCE">
            <w:pPr>
              <w:rPr>
                <w:sz w:val="20"/>
              </w:rPr>
            </w:pPr>
          </w:p>
        </w:tc>
        <w:tc>
          <w:tcPr>
            <w:tcW w:w="1520" w:type="dxa"/>
          </w:tcPr>
          <w:p w:rsidR="00DF5345" w:rsidRPr="008F07AB" w:rsidRDefault="00DF5345" w:rsidP="003B4BCE">
            <w:pPr>
              <w:autoSpaceDE w:val="0"/>
              <w:autoSpaceDN w:val="0"/>
              <w:adjustRightInd w:val="0"/>
              <w:rPr>
                <w:sz w:val="20"/>
              </w:rPr>
            </w:pPr>
          </w:p>
        </w:tc>
        <w:tc>
          <w:tcPr>
            <w:tcW w:w="1360" w:type="dxa"/>
          </w:tcPr>
          <w:p w:rsidR="00DF5345" w:rsidRPr="008F07AB" w:rsidRDefault="00DF5345" w:rsidP="003B4BCE">
            <w:pPr>
              <w:autoSpaceDE w:val="0"/>
              <w:autoSpaceDN w:val="0"/>
              <w:adjustRightInd w:val="0"/>
              <w:rPr>
                <w:sz w:val="20"/>
              </w:rPr>
            </w:pPr>
          </w:p>
        </w:tc>
        <w:tc>
          <w:tcPr>
            <w:tcW w:w="1333" w:type="dxa"/>
          </w:tcPr>
          <w:p w:rsidR="00DF5345" w:rsidRPr="008F07AB" w:rsidRDefault="00DF5345" w:rsidP="003B4BCE">
            <w:pPr>
              <w:rPr>
                <w:sz w:val="20"/>
              </w:rPr>
            </w:pPr>
            <w:r w:rsidRPr="008F07AB">
              <w:rPr>
                <w:sz w:val="20"/>
              </w:rPr>
              <w:t>- Forøget serumtran</w:t>
            </w:r>
            <w:r w:rsidRPr="008F07AB">
              <w:rPr>
                <w:sz w:val="20"/>
              </w:rPr>
              <w:lastRenderedPageBreak/>
              <w:t>s-</w:t>
            </w:r>
            <w:proofErr w:type="spellStart"/>
            <w:r w:rsidRPr="008F07AB">
              <w:rPr>
                <w:sz w:val="20"/>
              </w:rPr>
              <w:t>aminase</w:t>
            </w:r>
            <w:proofErr w:type="spellEnd"/>
            <w:r w:rsidRPr="008F07AB">
              <w:rPr>
                <w:sz w:val="20"/>
              </w:rPr>
              <w:t xml:space="preserve"> aktivitet</w:t>
            </w:r>
          </w:p>
        </w:tc>
        <w:tc>
          <w:tcPr>
            <w:tcW w:w="2027" w:type="dxa"/>
          </w:tcPr>
          <w:p w:rsidR="00DF5345" w:rsidRPr="004E4E55" w:rsidRDefault="00DF5345" w:rsidP="003B4BCE">
            <w:pPr>
              <w:rPr>
                <w:sz w:val="20"/>
              </w:rPr>
            </w:pPr>
          </w:p>
        </w:tc>
      </w:tr>
      <w:tr w:rsidR="00DF5345" w:rsidRPr="008F07AB" w:rsidTr="003B4BCE">
        <w:tc>
          <w:tcPr>
            <w:tcW w:w="1572" w:type="dxa"/>
          </w:tcPr>
          <w:p w:rsidR="00DF5345" w:rsidRPr="008F07AB" w:rsidRDefault="00DF5345" w:rsidP="003B4BCE">
            <w:pPr>
              <w:autoSpaceDE w:val="0"/>
              <w:autoSpaceDN w:val="0"/>
              <w:adjustRightInd w:val="0"/>
              <w:rPr>
                <w:b/>
                <w:bCs/>
                <w:i/>
                <w:iCs/>
                <w:sz w:val="20"/>
              </w:rPr>
            </w:pPr>
            <w:r w:rsidRPr="008F07AB">
              <w:rPr>
                <w:b/>
                <w:bCs/>
                <w:i/>
                <w:iCs/>
                <w:sz w:val="20"/>
              </w:rPr>
              <w:t>Hud og subkutane væv</w:t>
            </w:r>
          </w:p>
        </w:tc>
        <w:tc>
          <w:tcPr>
            <w:tcW w:w="1444" w:type="dxa"/>
          </w:tcPr>
          <w:p w:rsidR="00DF5345" w:rsidRPr="008F07AB" w:rsidRDefault="00DF5345" w:rsidP="003B4BCE">
            <w:pPr>
              <w:rPr>
                <w:sz w:val="20"/>
              </w:rPr>
            </w:pPr>
          </w:p>
        </w:tc>
        <w:tc>
          <w:tcPr>
            <w:tcW w:w="1520" w:type="dxa"/>
          </w:tcPr>
          <w:p w:rsidR="00DF5345" w:rsidRPr="008F07AB" w:rsidRDefault="00DF5345" w:rsidP="003B4BCE">
            <w:pPr>
              <w:rPr>
                <w:sz w:val="20"/>
              </w:rPr>
            </w:pPr>
            <w:r w:rsidRPr="008F07AB">
              <w:rPr>
                <w:sz w:val="20"/>
              </w:rPr>
              <w:t>-Eksantem</w:t>
            </w:r>
            <w:r w:rsidRPr="008F07AB">
              <w:rPr>
                <w:sz w:val="20"/>
                <w:vertAlign w:val="superscript"/>
              </w:rPr>
              <w:t>2</w:t>
            </w:r>
          </w:p>
        </w:tc>
        <w:tc>
          <w:tcPr>
            <w:tcW w:w="1360" w:type="dxa"/>
          </w:tcPr>
          <w:p w:rsidR="00DF5345" w:rsidRPr="008F07AB" w:rsidRDefault="00DF5345" w:rsidP="003B4BCE">
            <w:pPr>
              <w:rPr>
                <w:sz w:val="20"/>
              </w:rPr>
            </w:pPr>
          </w:p>
        </w:tc>
        <w:tc>
          <w:tcPr>
            <w:tcW w:w="1333" w:type="dxa"/>
          </w:tcPr>
          <w:p w:rsidR="00DF5345" w:rsidRPr="008F07AB" w:rsidRDefault="00DF5345" w:rsidP="003B4BCE">
            <w:pPr>
              <w:rPr>
                <w:sz w:val="20"/>
              </w:rPr>
            </w:pPr>
          </w:p>
        </w:tc>
        <w:tc>
          <w:tcPr>
            <w:tcW w:w="2027" w:type="dxa"/>
          </w:tcPr>
          <w:p w:rsidR="00F22A49" w:rsidRPr="004E4E55" w:rsidRDefault="00F22A49" w:rsidP="00F22A49">
            <w:pPr>
              <w:rPr>
                <w:sz w:val="20"/>
                <w:lang w:val="fr-FR"/>
              </w:rPr>
            </w:pPr>
            <w:r w:rsidRPr="004E4E55">
              <w:rPr>
                <w:sz w:val="20"/>
                <w:lang w:val="fr-FR"/>
              </w:rPr>
              <w:t>- Stevens-Johnson syndrom</w:t>
            </w:r>
            <w:r w:rsidRPr="004E4E55">
              <w:rPr>
                <w:sz w:val="20"/>
                <w:lang w:val="fr-FR"/>
              </w:rPr>
              <w:br/>
              <w:t xml:space="preserve">- Bulløst dermatitis </w:t>
            </w:r>
            <w:r w:rsidRPr="004E4E55">
              <w:rPr>
                <w:sz w:val="20"/>
                <w:lang w:val="fr-FR"/>
              </w:rPr>
              <w:br/>
              <w:t>- Erythema multiforme</w:t>
            </w:r>
          </w:p>
          <w:p w:rsidR="00F22A49" w:rsidRDefault="00F22A49" w:rsidP="00F22A49">
            <w:pPr>
              <w:rPr>
                <w:sz w:val="20"/>
              </w:rPr>
            </w:pPr>
            <w:r w:rsidRPr="004E4E55">
              <w:rPr>
                <w:sz w:val="20"/>
              </w:rPr>
              <w:t xml:space="preserve">- Toksisk </w:t>
            </w:r>
            <w:proofErr w:type="spellStart"/>
            <w:r w:rsidRPr="004E4E55">
              <w:rPr>
                <w:sz w:val="20"/>
              </w:rPr>
              <w:t>epidermal</w:t>
            </w:r>
            <w:proofErr w:type="spellEnd"/>
            <w:r w:rsidRPr="004E4E55">
              <w:rPr>
                <w:sz w:val="20"/>
              </w:rPr>
              <w:t xml:space="preserve"> </w:t>
            </w:r>
            <w:proofErr w:type="spellStart"/>
            <w:r w:rsidRPr="004E4E55">
              <w:rPr>
                <w:sz w:val="20"/>
              </w:rPr>
              <w:t>nekrolyse</w:t>
            </w:r>
            <w:proofErr w:type="spellEnd"/>
          </w:p>
          <w:p w:rsidR="00DF5345" w:rsidRPr="004E4E55" w:rsidRDefault="00F22A49" w:rsidP="00F22A49">
            <w:pPr>
              <w:rPr>
                <w:sz w:val="20"/>
              </w:rPr>
            </w:pPr>
            <w:r>
              <w:rPr>
                <w:sz w:val="20"/>
              </w:rPr>
              <w:t xml:space="preserve">- </w:t>
            </w:r>
            <w:r w:rsidRPr="002007BD">
              <w:rPr>
                <w:sz w:val="20"/>
              </w:rPr>
              <w:t xml:space="preserve">Lægemiddelreaktion med </w:t>
            </w:r>
            <w:proofErr w:type="spellStart"/>
            <w:r w:rsidRPr="002007BD">
              <w:rPr>
                <w:sz w:val="20"/>
              </w:rPr>
              <w:t>eosinofili</w:t>
            </w:r>
            <w:proofErr w:type="spellEnd"/>
            <w:r w:rsidRPr="002007BD">
              <w:rPr>
                <w:sz w:val="20"/>
              </w:rPr>
              <w:t xml:space="preserve"> og systemiske symptomer (DRESS)</w:t>
            </w:r>
          </w:p>
        </w:tc>
      </w:tr>
      <w:tr w:rsidR="00DF5345" w:rsidRPr="008F07AB" w:rsidTr="003B4BCE">
        <w:tc>
          <w:tcPr>
            <w:tcW w:w="1572" w:type="dxa"/>
          </w:tcPr>
          <w:p w:rsidR="00DF5345" w:rsidRPr="008F07AB" w:rsidRDefault="00DF5345" w:rsidP="003B4BCE">
            <w:pPr>
              <w:autoSpaceDE w:val="0"/>
              <w:autoSpaceDN w:val="0"/>
              <w:adjustRightInd w:val="0"/>
              <w:rPr>
                <w:b/>
                <w:bCs/>
                <w:i/>
                <w:iCs/>
                <w:sz w:val="20"/>
              </w:rPr>
            </w:pPr>
            <w:r w:rsidRPr="008F07AB">
              <w:rPr>
                <w:b/>
                <w:bCs/>
                <w:i/>
                <w:iCs/>
                <w:sz w:val="20"/>
              </w:rPr>
              <w:t xml:space="preserve">Knogler, led, muskler og bindevæv </w:t>
            </w:r>
          </w:p>
        </w:tc>
        <w:tc>
          <w:tcPr>
            <w:tcW w:w="1444" w:type="dxa"/>
          </w:tcPr>
          <w:p w:rsidR="00DF5345" w:rsidRPr="008F07AB" w:rsidRDefault="00DF5345" w:rsidP="003B4BCE">
            <w:pPr>
              <w:rPr>
                <w:sz w:val="20"/>
              </w:rPr>
            </w:pPr>
          </w:p>
        </w:tc>
        <w:tc>
          <w:tcPr>
            <w:tcW w:w="1520" w:type="dxa"/>
          </w:tcPr>
          <w:p w:rsidR="00DF5345" w:rsidRPr="008F07AB" w:rsidRDefault="00DF5345" w:rsidP="003B4BCE">
            <w:pPr>
              <w:autoSpaceDE w:val="0"/>
              <w:autoSpaceDN w:val="0"/>
              <w:adjustRightInd w:val="0"/>
              <w:rPr>
                <w:sz w:val="20"/>
              </w:rPr>
            </w:pPr>
            <w:r w:rsidRPr="008F07AB">
              <w:rPr>
                <w:sz w:val="20"/>
              </w:rPr>
              <w:t xml:space="preserve">- </w:t>
            </w:r>
            <w:proofErr w:type="spellStart"/>
            <w:r w:rsidRPr="008F07AB">
              <w:rPr>
                <w:sz w:val="20"/>
              </w:rPr>
              <w:t>Artralgi</w:t>
            </w:r>
            <w:proofErr w:type="spellEnd"/>
          </w:p>
          <w:p w:rsidR="00DF5345" w:rsidRPr="008F07AB" w:rsidRDefault="00DF5345" w:rsidP="003B4BCE">
            <w:pPr>
              <w:autoSpaceDE w:val="0"/>
              <w:autoSpaceDN w:val="0"/>
              <w:adjustRightInd w:val="0"/>
              <w:rPr>
                <w:sz w:val="20"/>
              </w:rPr>
            </w:pPr>
            <w:r w:rsidRPr="008F07AB">
              <w:rPr>
                <w:sz w:val="20"/>
              </w:rPr>
              <w:t>- Myalgi</w:t>
            </w:r>
          </w:p>
          <w:p w:rsidR="00DF5345" w:rsidRPr="008F07AB" w:rsidRDefault="00DF5345" w:rsidP="003B4BCE">
            <w:pPr>
              <w:rPr>
                <w:sz w:val="20"/>
              </w:rPr>
            </w:pPr>
            <w:r w:rsidRPr="008F07AB">
              <w:rPr>
                <w:sz w:val="20"/>
              </w:rPr>
              <w:t>- Ryg</w:t>
            </w:r>
            <w:r>
              <w:rPr>
                <w:sz w:val="20"/>
              </w:rPr>
              <w:softHyphen/>
            </w:r>
            <w:r w:rsidRPr="008F07AB">
              <w:rPr>
                <w:sz w:val="20"/>
              </w:rPr>
              <w:t>smerter</w:t>
            </w:r>
            <w:r w:rsidRPr="008F07AB">
              <w:rPr>
                <w:sz w:val="20"/>
                <w:vertAlign w:val="superscript"/>
              </w:rPr>
              <w:t>1</w:t>
            </w:r>
          </w:p>
        </w:tc>
        <w:tc>
          <w:tcPr>
            <w:tcW w:w="1360" w:type="dxa"/>
          </w:tcPr>
          <w:p w:rsidR="00DF5345" w:rsidRPr="008F07AB" w:rsidRDefault="00DF5345" w:rsidP="003B4BCE">
            <w:pPr>
              <w:rPr>
                <w:sz w:val="20"/>
              </w:rPr>
            </w:pPr>
          </w:p>
        </w:tc>
        <w:tc>
          <w:tcPr>
            <w:tcW w:w="1333" w:type="dxa"/>
          </w:tcPr>
          <w:p w:rsidR="00DF5345" w:rsidRPr="008F07AB" w:rsidRDefault="00DF5345" w:rsidP="003B4BCE">
            <w:pPr>
              <w:rPr>
                <w:sz w:val="20"/>
              </w:rPr>
            </w:pPr>
          </w:p>
        </w:tc>
        <w:tc>
          <w:tcPr>
            <w:tcW w:w="2027" w:type="dxa"/>
          </w:tcPr>
          <w:p w:rsidR="00DF5345" w:rsidRPr="008F07AB" w:rsidRDefault="00DF5345" w:rsidP="003B4BCE">
            <w:pPr>
              <w:rPr>
                <w:sz w:val="20"/>
              </w:rPr>
            </w:pPr>
            <w:r>
              <w:rPr>
                <w:sz w:val="20"/>
              </w:rPr>
              <w:t xml:space="preserve">- </w:t>
            </w:r>
            <w:proofErr w:type="spellStart"/>
            <w:r>
              <w:rPr>
                <w:sz w:val="20"/>
              </w:rPr>
              <w:t>Rhabdomyolyse</w:t>
            </w:r>
            <w:proofErr w:type="spellEnd"/>
          </w:p>
        </w:tc>
      </w:tr>
      <w:tr w:rsidR="00DF5345" w:rsidRPr="008F07AB" w:rsidTr="003B4BCE">
        <w:tc>
          <w:tcPr>
            <w:tcW w:w="1572" w:type="dxa"/>
          </w:tcPr>
          <w:p w:rsidR="00DF5345" w:rsidRPr="008F07AB" w:rsidRDefault="00DF5345" w:rsidP="003B4BCE">
            <w:pPr>
              <w:autoSpaceDE w:val="0"/>
              <w:autoSpaceDN w:val="0"/>
              <w:adjustRightInd w:val="0"/>
              <w:rPr>
                <w:b/>
                <w:bCs/>
                <w:i/>
                <w:iCs/>
                <w:sz w:val="20"/>
              </w:rPr>
            </w:pPr>
            <w:r>
              <w:rPr>
                <w:b/>
                <w:bCs/>
                <w:i/>
                <w:iCs/>
                <w:sz w:val="20"/>
              </w:rPr>
              <w:t>Nyrer og urinveje</w:t>
            </w:r>
          </w:p>
        </w:tc>
        <w:tc>
          <w:tcPr>
            <w:tcW w:w="1444" w:type="dxa"/>
          </w:tcPr>
          <w:p w:rsidR="00DF5345" w:rsidRPr="008F07AB" w:rsidRDefault="00DF5345" w:rsidP="003B4BCE">
            <w:pPr>
              <w:rPr>
                <w:sz w:val="20"/>
              </w:rPr>
            </w:pPr>
          </w:p>
        </w:tc>
        <w:tc>
          <w:tcPr>
            <w:tcW w:w="1520" w:type="dxa"/>
          </w:tcPr>
          <w:p w:rsidR="00DF5345" w:rsidRPr="008F07AB" w:rsidRDefault="00DF5345" w:rsidP="003B4BCE">
            <w:pPr>
              <w:autoSpaceDE w:val="0"/>
              <w:autoSpaceDN w:val="0"/>
              <w:adjustRightInd w:val="0"/>
              <w:rPr>
                <w:sz w:val="20"/>
              </w:rPr>
            </w:pPr>
          </w:p>
        </w:tc>
        <w:tc>
          <w:tcPr>
            <w:tcW w:w="1360" w:type="dxa"/>
          </w:tcPr>
          <w:p w:rsidR="00DF5345" w:rsidRPr="008F07AB" w:rsidRDefault="00DF5345" w:rsidP="003B4BCE">
            <w:pPr>
              <w:rPr>
                <w:sz w:val="20"/>
              </w:rPr>
            </w:pPr>
          </w:p>
        </w:tc>
        <w:tc>
          <w:tcPr>
            <w:tcW w:w="1333" w:type="dxa"/>
          </w:tcPr>
          <w:p w:rsidR="00DF5345" w:rsidRPr="008F07AB" w:rsidRDefault="00DF5345" w:rsidP="003B4BCE">
            <w:pPr>
              <w:rPr>
                <w:sz w:val="20"/>
              </w:rPr>
            </w:pPr>
          </w:p>
        </w:tc>
        <w:tc>
          <w:tcPr>
            <w:tcW w:w="2027" w:type="dxa"/>
          </w:tcPr>
          <w:p w:rsidR="00DF5345" w:rsidRPr="008F07AB" w:rsidRDefault="00DF5345" w:rsidP="003B4BCE">
            <w:pPr>
              <w:rPr>
                <w:sz w:val="20"/>
              </w:rPr>
            </w:pPr>
            <w:r>
              <w:rPr>
                <w:sz w:val="20"/>
              </w:rPr>
              <w:t>- Urinretention</w:t>
            </w:r>
          </w:p>
        </w:tc>
      </w:tr>
      <w:tr w:rsidR="00DF5345" w:rsidRPr="008F07AB" w:rsidTr="003B4BCE">
        <w:tc>
          <w:tcPr>
            <w:tcW w:w="1572" w:type="dxa"/>
          </w:tcPr>
          <w:p w:rsidR="00DF5345" w:rsidRPr="008F07AB" w:rsidRDefault="00DF5345" w:rsidP="003B4BCE">
            <w:pPr>
              <w:autoSpaceDE w:val="0"/>
              <w:autoSpaceDN w:val="0"/>
              <w:adjustRightInd w:val="0"/>
              <w:rPr>
                <w:b/>
                <w:bCs/>
                <w:i/>
                <w:iCs/>
                <w:sz w:val="20"/>
              </w:rPr>
            </w:pPr>
            <w:r w:rsidRPr="008F07AB">
              <w:rPr>
                <w:b/>
                <w:bCs/>
                <w:i/>
                <w:iCs/>
                <w:sz w:val="20"/>
              </w:rPr>
              <w:t>Almene symptomer og reaktioner på administrations-stedet</w:t>
            </w:r>
          </w:p>
        </w:tc>
        <w:tc>
          <w:tcPr>
            <w:tcW w:w="1444" w:type="dxa"/>
          </w:tcPr>
          <w:p w:rsidR="00DF5345" w:rsidRPr="008F07AB" w:rsidRDefault="00DF5345" w:rsidP="003B4BCE">
            <w:pPr>
              <w:rPr>
                <w:sz w:val="20"/>
              </w:rPr>
            </w:pPr>
          </w:p>
        </w:tc>
        <w:tc>
          <w:tcPr>
            <w:tcW w:w="1520" w:type="dxa"/>
          </w:tcPr>
          <w:p w:rsidR="00DF5345" w:rsidRPr="008F07AB" w:rsidRDefault="00DF5345" w:rsidP="003B4BCE">
            <w:pPr>
              <w:autoSpaceDE w:val="0"/>
              <w:autoSpaceDN w:val="0"/>
              <w:adjustRightInd w:val="0"/>
              <w:rPr>
                <w:sz w:val="20"/>
              </w:rPr>
            </w:pPr>
            <w:r w:rsidRPr="008F07AB">
              <w:rPr>
                <w:sz w:val="20"/>
              </w:rPr>
              <w:t>- Perifere ødemer</w:t>
            </w:r>
            <w:r w:rsidRPr="008F07AB">
              <w:rPr>
                <w:sz w:val="20"/>
                <w:vertAlign w:val="superscript"/>
              </w:rPr>
              <w:t>1</w:t>
            </w:r>
          </w:p>
          <w:p w:rsidR="00DF5345" w:rsidRPr="008F07AB" w:rsidRDefault="00DF5345" w:rsidP="003B4BCE">
            <w:pPr>
              <w:rPr>
                <w:sz w:val="20"/>
              </w:rPr>
            </w:pPr>
            <w:r w:rsidRPr="008F07AB">
              <w:rPr>
                <w:sz w:val="20"/>
              </w:rPr>
              <w:t>- Træthed</w:t>
            </w:r>
          </w:p>
        </w:tc>
        <w:tc>
          <w:tcPr>
            <w:tcW w:w="1360" w:type="dxa"/>
          </w:tcPr>
          <w:p w:rsidR="00DF5345" w:rsidRPr="008F07AB" w:rsidRDefault="00DF5345" w:rsidP="003B4BCE">
            <w:pPr>
              <w:rPr>
                <w:sz w:val="20"/>
              </w:rPr>
            </w:pPr>
          </w:p>
        </w:tc>
        <w:tc>
          <w:tcPr>
            <w:tcW w:w="1333" w:type="dxa"/>
          </w:tcPr>
          <w:p w:rsidR="00DF5345" w:rsidRPr="008F07AB" w:rsidRDefault="00DF5345" w:rsidP="003B4BCE">
            <w:pPr>
              <w:rPr>
                <w:sz w:val="20"/>
              </w:rPr>
            </w:pPr>
          </w:p>
        </w:tc>
        <w:tc>
          <w:tcPr>
            <w:tcW w:w="2027" w:type="dxa"/>
          </w:tcPr>
          <w:p w:rsidR="00F22A49" w:rsidRDefault="00F22A49" w:rsidP="00F22A49">
            <w:pPr>
              <w:tabs>
                <w:tab w:val="left" w:pos="74"/>
              </w:tabs>
              <w:rPr>
                <w:sz w:val="20"/>
              </w:rPr>
            </w:pPr>
            <w:r>
              <w:rPr>
                <w:sz w:val="20"/>
              </w:rPr>
              <w:t>- Generelt ødem</w:t>
            </w:r>
          </w:p>
          <w:p w:rsidR="00DF5345" w:rsidRPr="008F07AB" w:rsidRDefault="00F22A49" w:rsidP="00F22A49">
            <w:pPr>
              <w:numPr>
                <w:ilvl w:val="0"/>
                <w:numId w:val="7"/>
              </w:numPr>
              <w:tabs>
                <w:tab w:val="clear" w:pos="2269"/>
                <w:tab w:val="left" w:pos="74"/>
                <w:tab w:val="num" w:pos="222"/>
              </w:tabs>
              <w:ind w:hanging="2269"/>
              <w:rPr>
                <w:sz w:val="20"/>
              </w:rPr>
            </w:pPr>
            <w:r>
              <w:rPr>
                <w:sz w:val="20"/>
              </w:rPr>
              <w:t xml:space="preserve"> Lokalt ødem</w:t>
            </w:r>
          </w:p>
        </w:tc>
      </w:tr>
      <w:tr w:rsidR="00DF5345" w:rsidRPr="008F07AB" w:rsidTr="003B4BCE">
        <w:tc>
          <w:tcPr>
            <w:tcW w:w="1572" w:type="dxa"/>
          </w:tcPr>
          <w:p w:rsidR="00DF5345" w:rsidRPr="008F07AB" w:rsidRDefault="00DF5345" w:rsidP="003B4BCE">
            <w:pPr>
              <w:autoSpaceDE w:val="0"/>
              <w:autoSpaceDN w:val="0"/>
              <w:adjustRightInd w:val="0"/>
              <w:rPr>
                <w:b/>
                <w:bCs/>
                <w:i/>
                <w:iCs/>
                <w:sz w:val="20"/>
              </w:rPr>
            </w:pPr>
            <w:r>
              <w:rPr>
                <w:b/>
                <w:bCs/>
                <w:i/>
                <w:iCs/>
                <w:sz w:val="20"/>
              </w:rPr>
              <w:t>Undersøgelser</w:t>
            </w:r>
          </w:p>
        </w:tc>
        <w:tc>
          <w:tcPr>
            <w:tcW w:w="1444" w:type="dxa"/>
          </w:tcPr>
          <w:p w:rsidR="00DF5345" w:rsidRPr="008F07AB" w:rsidRDefault="00DF5345" w:rsidP="003B4BCE">
            <w:pPr>
              <w:rPr>
                <w:sz w:val="20"/>
              </w:rPr>
            </w:pPr>
          </w:p>
        </w:tc>
        <w:tc>
          <w:tcPr>
            <w:tcW w:w="1520" w:type="dxa"/>
          </w:tcPr>
          <w:p w:rsidR="00DF5345" w:rsidRPr="008F07AB" w:rsidRDefault="00DF5345" w:rsidP="003B4BCE">
            <w:pPr>
              <w:autoSpaceDE w:val="0"/>
              <w:autoSpaceDN w:val="0"/>
              <w:adjustRightInd w:val="0"/>
              <w:rPr>
                <w:sz w:val="20"/>
              </w:rPr>
            </w:pPr>
          </w:p>
        </w:tc>
        <w:tc>
          <w:tcPr>
            <w:tcW w:w="1360" w:type="dxa"/>
          </w:tcPr>
          <w:p w:rsidR="00DF5345" w:rsidRPr="008F07AB" w:rsidRDefault="00DF5345" w:rsidP="003B4BCE">
            <w:pPr>
              <w:rPr>
                <w:sz w:val="20"/>
              </w:rPr>
            </w:pPr>
          </w:p>
        </w:tc>
        <w:tc>
          <w:tcPr>
            <w:tcW w:w="1333" w:type="dxa"/>
          </w:tcPr>
          <w:p w:rsidR="00DF5345" w:rsidRPr="008F07AB" w:rsidRDefault="00DF5345" w:rsidP="003B4BCE">
            <w:pPr>
              <w:rPr>
                <w:sz w:val="20"/>
              </w:rPr>
            </w:pPr>
          </w:p>
        </w:tc>
        <w:tc>
          <w:tcPr>
            <w:tcW w:w="2027" w:type="dxa"/>
          </w:tcPr>
          <w:p w:rsidR="00DF5345" w:rsidRDefault="00DF5345" w:rsidP="00DF5345">
            <w:pPr>
              <w:numPr>
                <w:ilvl w:val="0"/>
                <w:numId w:val="7"/>
              </w:numPr>
              <w:tabs>
                <w:tab w:val="clear" w:pos="2269"/>
                <w:tab w:val="left" w:pos="74"/>
                <w:tab w:val="num" w:pos="222"/>
              </w:tabs>
              <w:ind w:hanging="2269"/>
              <w:rPr>
                <w:sz w:val="20"/>
              </w:rPr>
            </w:pPr>
            <w:r>
              <w:rPr>
                <w:sz w:val="20"/>
              </w:rPr>
              <w:t xml:space="preserve">Øget </w:t>
            </w:r>
            <w:proofErr w:type="spellStart"/>
            <w:r>
              <w:rPr>
                <w:sz w:val="20"/>
              </w:rPr>
              <w:t>kreatininkinase</w:t>
            </w:r>
            <w:proofErr w:type="spellEnd"/>
          </w:p>
        </w:tc>
      </w:tr>
    </w:tbl>
    <w:p w:rsidR="00DF5345" w:rsidRDefault="00DF5345" w:rsidP="00DF5345">
      <w:pPr>
        <w:ind w:left="851"/>
        <w:jc w:val="both"/>
        <w:rPr>
          <w:b/>
          <w:bCs/>
          <w:sz w:val="24"/>
          <w:szCs w:val="24"/>
        </w:rPr>
      </w:pPr>
    </w:p>
    <w:p w:rsidR="00DF5345" w:rsidRDefault="00DF5345" w:rsidP="00DF5345">
      <w:pPr>
        <w:numPr>
          <w:ilvl w:val="0"/>
          <w:numId w:val="9"/>
        </w:numPr>
        <w:autoSpaceDE w:val="0"/>
        <w:autoSpaceDN w:val="0"/>
        <w:adjustRightInd w:val="0"/>
        <w:ind w:left="851" w:hanging="207"/>
        <w:rPr>
          <w:sz w:val="20"/>
        </w:rPr>
      </w:pPr>
      <w:r>
        <w:rPr>
          <w:sz w:val="20"/>
        </w:rPr>
        <w:t xml:space="preserve">I kliniske forsøg forekom disse bivirkninger statistisk signifikant hyppigere under behandlingen med </w:t>
      </w:r>
      <w:proofErr w:type="spellStart"/>
      <w:r>
        <w:rPr>
          <w:sz w:val="20"/>
        </w:rPr>
        <w:t>mirtazapin</w:t>
      </w:r>
      <w:proofErr w:type="spellEnd"/>
      <w:r>
        <w:rPr>
          <w:sz w:val="20"/>
        </w:rPr>
        <w:t xml:space="preserve"> sammenlignet med placebo.</w:t>
      </w:r>
    </w:p>
    <w:p w:rsidR="00DF5345" w:rsidRDefault="00DF5345" w:rsidP="00DF5345">
      <w:pPr>
        <w:numPr>
          <w:ilvl w:val="0"/>
          <w:numId w:val="9"/>
        </w:numPr>
        <w:autoSpaceDE w:val="0"/>
        <w:autoSpaceDN w:val="0"/>
        <w:adjustRightInd w:val="0"/>
        <w:ind w:left="851" w:hanging="207"/>
        <w:rPr>
          <w:sz w:val="20"/>
        </w:rPr>
      </w:pPr>
      <w:r>
        <w:rPr>
          <w:sz w:val="20"/>
        </w:rPr>
        <w:t xml:space="preserve">I kliniske forsøg forekom disse bivirkninger hyppigere under behandlingen med placebo sammenlignet med </w:t>
      </w:r>
      <w:proofErr w:type="spellStart"/>
      <w:r>
        <w:rPr>
          <w:sz w:val="20"/>
        </w:rPr>
        <w:t>mirtazapin</w:t>
      </w:r>
      <w:proofErr w:type="spellEnd"/>
      <w:r>
        <w:rPr>
          <w:sz w:val="20"/>
        </w:rPr>
        <w:t>, men ikke statistisk signifikant hyppigere.</w:t>
      </w:r>
    </w:p>
    <w:p w:rsidR="00DF5345" w:rsidRDefault="00DF5345" w:rsidP="00DF5345">
      <w:pPr>
        <w:numPr>
          <w:ilvl w:val="0"/>
          <w:numId w:val="9"/>
        </w:numPr>
        <w:autoSpaceDE w:val="0"/>
        <w:autoSpaceDN w:val="0"/>
        <w:adjustRightInd w:val="0"/>
        <w:ind w:left="851" w:hanging="207"/>
        <w:rPr>
          <w:sz w:val="20"/>
        </w:rPr>
      </w:pPr>
      <w:r>
        <w:rPr>
          <w:sz w:val="20"/>
        </w:rPr>
        <w:t xml:space="preserve">I kliniske forsøg forekom disse bivirkninger statistisk signifikant hyppigere under behandlingen med placebo sammenlignet med </w:t>
      </w:r>
      <w:proofErr w:type="spellStart"/>
      <w:r>
        <w:rPr>
          <w:sz w:val="20"/>
        </w:rPr>
        <w:t>mirtazapin</w:t>
      </w:r>
      <w:proofErr w:type="spellEnd"/>
      <w:r>
        <w:rPr>
          <w:sz w:val="20"/>
        </w:rPr>
        <w:t>.</w:t>
      </w:r>
    </w:p>
    <w:p w:rsidR="00DF5345" w:rsidRDefault="00DF5345" w:rsidP="00DF5345">
      <w:pPr>
        <w:numPr>
          <w:ilvl w:val="0"/>
          <w:numId w:val="9"/>
        </w:numPr>
        <w:ind w:left="851" w:hanging="207"/>
        <w:jc w:val="both"/>
        <w:rPr>
          <w:b/>
          <w:bCs/>
          <w:sz w:val="20"/>
        </w:rPr>
      </w:pPr>
      <w:r>
        <w:rPr>
          <w:sz w:val="20"/>
        </w:rPr>
        <w:t xml:space="preserve">N.B. dosisreduktion fører generelt ikke til mindre udtalt </w:t>
      </w:r>
      <w:proofErr w:type="spellStart"/>
      <w:r>
        <w:rPr>
          <w:sz w:val="20"/>
        </w:rPr>
        <w:t>somnolens</w:t>
      </w:r>
      <w:proofErr w:type="spellEnd"/>
      <w:r>
        <w:rPr>
          <w:sz w:val="20"/>
        </w:rPr>
        <w:t>/sedation, men kan nedsætte den antidepressive virkning; svimmelhed, hovedpine.</w:t>
      </w:r>
    </w:p>
    <w:p w:rsidR="00DF5345" w:rsidRDefault="00DF5345" w:rsidP="00DF5345">
      <w:pPr>
        <w:numPr>
          <w:ilvl w:val="0"/>
          <w:numId w:val="9"/>
        </w:numPr>
        <w:autoSpaceDE w:val="0"/>
        <w:autoSpaceDN w:val="0"/>
        <w:adjustRightInd w:val="0"/>
        <w:ind w:left="851" w:hanging="207"/>
        <w:rPr>
          <w:sz w:val="20"/>
        </w:rPr>
      </w:pPr>
      <w:r>
        <w:rPr>
          <w:sz w:val="20"/>
        </w:rPr>
        <w:t xml:space="preserve">Ved behandling med </w:t>
      </w:r>
      <w:proofErr w:type="spellStart"/>
      <w:r>
        <w:rPr>
          <w:sz w:val="20"/>
        </w:rPr>
        <w:t>antidepressiva</w:t>
      </w:r>
      <w:proofErr w:type="spellEnd"/>
      <w:r>
        <w:rPr>
          <w:sz w:val="20"/>
        </w:rPr>
        <w:t xml:space="preserve"> generelt, kan angst og søvnløshed (det kan være symptomer på depression) udvikle sig eller blive forværret. Udvikling eller forværring af angst og søvnløshed er blevet rapporteret under behandling med </w:t>
      </w:r>
      <w:proofErr w:type="spellStart"/>
      <w:r>
        <w:rPr>
          <w:sz w:val="20"/>
        </w:rPr>
        <w:t>mirtazapin</w:t>
      </w:r>
      <w:proofErr w:type="spellEnd"/>
      <w:r>
        <w:rPr>
          <w:sz w:val="20"/>
        </w:rPr>
        <w:t>.</w:t>
      </w:r>
    </w:p>
    <w:p w:rsidR="00F22A49" w:rsidRDefault="00F22A49" w:rsidP="00F22A49">
      <w:pPr>
        <w:numPr>
          <w:ilvl w:val="0"/>
          <w:numId w:val="9"/>
        </w:numPr>
        <w:autoSpaceDE w:val="0"/>
        <w:autoSpaceDN w:val="0"/>
        <w:adjustRightInd w:val="0"/>
        <w:ind w:left="851" w:hanging="207"/>
        <w:rPr>
          <w:sz w:val="20"/>
        </w:rPr>
      </w:pPr>
      <w:r>
        <w:rPr>
          <w:sz w:val="20"/>
        </w:rPr>
        <w:t xml:space="preserve">Der er rapporteret tilfælde af selvmordstanker og selvmordsadfærd under </w:t>
      </w:r>
      <w:proofErr w:type="spellStart"/>
      <w:r>
        <w:rPr>
          <w:sz w:val="20"/>
        </w:rPr>
        <w:t>mirtazapin</w:t>
      </w:r>
      <w:proofErr w:type="spellEnd"/>
      <w:r>
        <w:rPr>
          <w:sz w:val="20"/>
        </w:rPr>
        <w:t xml:space="preserve"> behandling eller kort tid efter behandlingsophør (se pkt. 4.4).</w:t>
      </w:r>
    </w:p>
    <w:p w:rsidR="00F22A49" w:rsidRPr="00AE6145" w:rsidRDefault="00F22A49" w:rsidP="00F22A49">
      <w:pPr>
        <w:numPr>
          <w:ilvl w:val="0"/>
          <w:numId w:val="9"/>
        </w:numPr>
        <w:autoSpaceDE w:val="0"/>
        <w:autoSpaceDN w:val="0"/>
        <w:adjustRightInd w:val="0"/>
        <w:ind w:left="851" w:hanging="207"/>
        <w:rPr>
          <w:sz w:val="20"/>
        </w:rPr>
      </w:pPr>
      <w:r w:rsidRPr="00AE6145">
        <w:rPr>
          <w:sz w:val="20"/>
        </w:rPr>
        <w:t xml:space="preserve">I de fleste tilfælde kom patienterne sig efter </w:t>
      </w:r>
      <w:proofErr w:type="spellStart"/>
      <w:r w:rsidRPr="00AE6145">
        <w:rPr>
          <w:sz w:val="20"/>
        </w:rPr>
        <w:t>seponering</w:t>
      </w:r>
      <w:proofErr w:type="spellEnd"/>
      <w:r w:rsidRPr="00AE6145">
        <w:rPr>
          <w:sz w:val="20"/>
        </w:rPr>
        <w:t xml:space="preserve"> af lægemidlet.</w:t>
      </w:r>
    </w:p>
    <w:p w:rsidR="00DF5345" w:rsidRPr="00252A39" w:rsidRDefault="00DF5345" w:rsidP="00DF5345">
      <w:pPr>
        <w:ind w:left="851"/>
        <w:rPr>
          <w:sz w:val="24"/>
          <w:szCs w:val="24"/>
          <w:lang w:eastAsia="fi-FI"/>
        </w:rPr>
      </w:pPr>
    </w:p>
    <w:p w:rsidR="00DF5345" w:rsidRDefault="00DF5345" w:rsidP="00DF5345">
      <w:pPr>
        <w:ind w:left="851"/>
        <w:rPr>
          <w:sz w:val="24"/>
          <w:szCs w:val="24"/>
        </w:rPr>
      </w:pPr>
      <w:r w:rsidRPr="00252A39">
        <w:rPr>
          <w:sz w:val="24"/>
          <w:szCs w:val="24"/>
        </w:rPr>
        <w:t xml:space="preserve">Laboratoriebedømmelser i kliniske forsøg har vist forbigående forhøjelser i </w:t>
      </w:r>
      <w:proofErr w:type="spellStart"/>
      <w:r w:rsidRPr="00252A39">
        <w:rPr>
          <w:sz w:val="24"/>
          <w:szCs w:val="24"/>
        </w:rPr>
        <w:t>transaminaser</w:t>
      </w:r>
      <w:proofErr w:type="spellEnd"/>
      <w:r w:rsidRPr="00252A39">
        <w:rPr>
          <w:sz w:val="24"/>
          <w:szCs w:val="24"/>
        </w:rPr>
        <w:t xml:space="preserve"> og </w:t>
      </w:r>
      <w:proofErr w:type="spellStart"/>
      <w:r w:rsidRPr="00252A39">
        <w:rPr>
          <w:sz w:val="24"/>
          <w:szCs w:val="24"/>
        </w:rPr>
        <w:t>gammaglutamyltransferaser</w:t>
      </w:r>
      <w:proofErr w:type="spellEnd"/>
      <w:r w:rsidRPr="00252A39">
        <w:rPr>
          <w:sz w:val="24"/>
          <w:szCs w:val="24"/>
        </w:rPr>
        <w:t xml:space="preserve"> (associerede bivirkninger er dog ikke blevet rapporteret statistisk signifikant hyppigere med </w:t>
      </w:r>
      <w:proofErr w:type="spellStart"/>
      <w:r w:rsidRPr="00252A39">
        <w:rPr>
          <w:sz w:val="24"/>
          <w:szCs w:val="24"/>
        </w:rPr>
        <w:t>mirtazapin</w:t>
      </w:r>
      <w:proofErr w:type="spellEnd"/>
      <w:r w:rsidRPr="00252A39">
        <w:rPr>
          <w:sz w:val="24"/>
          <w:szCs w:val="24"/>
        </w:rPr>
        <w:t xml:space="preserve"> end med placebo).</w:t>
      </w:r>
    </w:p>
    <w:p w:rsidR="00DF5345" w:rsidRDefault="00DF5345" w:rsidP="00DF5345">
      <w:pPr>
        <w:ind w:left="851"/>
        <w:rPr>
          <w:sz w:val="24"/>
          <w:szCs w:val="24"/>
        </w:rPr>
      </w:pPr>
    </w:p>
    <w:p w:rsidR="00DF5345" w:rsidRPr="004E4E55" w:rsidRDefault="00DF5345" w:rsidP="00DF5345">
      <w:pPr>
        <w:ind w:left="851"/>
      </w:pPr>
      <w:r w:rsidRPr="004E4E55">
        <w:rPr>
          <w:i/>
        </w:rPr>
        <w:t>Pædiatrisk population</w:t>
      </w:r>
    </w:p>
    <w:p w:rsidR="00DF5345" w:rsidRDefault="00DF5345" w:rsidP="00DF5345">
      <w:pPr>
        <w:ind w:left="851"/>
      </w:pPr>
      <w:r w:rsidRPr="004E4E55">
        <w:t xml:space="preserve">I kliniske studier med børn var følgende bivirkninger almindeligt set: vægtøgning, </w:t>
      </w:r>
      <w:proofErr w:type="spellStart"/>
      <w:r w:rsidRPr="004E4E55">
        <w:t>urticaria</w:t>
      </w:r>
      <w:proofErr w:type="spellEnd"/>
      <w:r w:rsidRPr="004E4E55">
        <w:t xml:space="preserve"> og </w:t>
      </w:r>
      <w:proofErr w:type="spellStart"/>
      <w:r w:rsidRPr="004E4E55">
        <w:t>hypertriglyceridæmi</w:t>
      </w:r>
      <w:proofErr w:type="spellEnd"/>
      <w:r w:rsidRPr="004E4E55">
        <w:t xml:space="preserve"> (se også pkt. 5.1).</w:t>
      </w:r>
    </w:p>
    <w:p w:rsidR="00DF5345" w:rsidRDefault="00DF5345" w:rsidP="00DF5345">
      <w:pPr>
        <w:ind w:left="851"/>
      </w:pPr>
    </w:p>
    <w:p w:rsidR="00A0778C" w:rsidRPr="008F49E1" w:rsidRDefault="00A0778C"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A0778C" w:rsidRPr="008F49E1" w:rsidRDefault="00A0778C"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A0778C" w:rsidRPr="008F49E1" w:rsidRDefault="00A0778C" w:rsidP="002A1420">
      <w:pPr>
        <w:ind w:left="851"/>
        <w:rPr>
          <w:sz w:val="24"/>
          <w:szCs w:val="24"/>
          <w:lang w:eastAsia="da-DK"/>
        </w:rPr>
      </w:pPr>
    </w:p>
    <w:p w:rsidR="00A0778C" w:rsidRPr="007A276A" w:rsidRDefault="00A0778C" w:rsidP="002A1420">
      <w:pPr>
        <w:ind w:left="851"/>
        <w:rPr>
          <w:sz w:val="24"/>
          <w:szCs w:val="24"/>
          <w:lang w:eastAsia="da-DK"/>
        </w:rPr>
      </w:pPr>
      <w:r w:rsidRPr="007A276A">
        <w:rPr>
          <w:sz w:val="24"/>
          <w:szCs w:val="24"/>
          <w:lang w:eastAsia="da-DK"/>
        </w:rPr>
        <w:t>Lægemiddelstyrelsen</w:t>
      </w:r>
    </w:p>
    <w:p w:rsidR="00A0778C" w:rsidRPr="007A276A" w:rsidRDefault="00A0778C" w:rsidP="002A1420">
      <w:pPr>
        <w:ind w:left="851"/>
        <w:rPr>
          <w:sz w:val="24"/>
          <w:szCs w:val="24"/>
          <w:lang w:eastAsia="da-DK"/>
        </w:rPr>
      </w:pPr>
      <w:r w:rsidRPr="007A276A">
        <w:rPr>
          <w:sz w:val="24"/>
          <w:szCs w:val="24"/>
          <w:lang w:eastAsia="da-DK"/>
        </w:rPr>
        <w:t>Axel Heides Gade 1</w:t>
      </w:r>
    </w:p>
    <w:p w:rsidR="00A0778C" w:rsidRPr="007A276A" w:rsidRDefault="00A0778C" w:rsidP="002A1420">
      <w:pPr>
        <w:ind w:left="851"/>
        <w:rPr>
          <w:sz w:val="24"/>
          <w:szCs w:val="24"/>
          <w:lang w:eastAsia="da-DK"/>
        </w:rPr>
      </w:pPr>
      <w:r w:rsidRPr="007A276A">
        <w:rPr>
          <w:sz w:val="24"/>
          <w:szCs w:val="24"/>
          <w:lang w:eastAsia="da-DK"/>
        </w:rPr>
        <w:t>DK-2300 København S</w:t>
      </w:r>
    </w:p>
    <w:p w:rsidR="00A0778C" w:rsidRDefault="00A0778C" w:rsidP="002A1420">
      <w:pPr>
        <w:ind w:left="851"/>
        <w:rPr>
          <w:sz w:val="24"/>
          <w:lang w:eastAsia="da-DK"/>
        </w:rPr>
      </w:pPr>
      <w:r w:rsidRPr="00A0778C">
        <w:rPr>
          <w:sz w:val="24"/>
          <w:szCs w:val="24"/>
          <w:lang w:eastAsia="da-DK"/>
        </w:rPr>
        <w:t xml:space="preserve">Websted: </w:t>
      </w:r>
      <w:hyperlink r:id="rId8" w:history="1">
        <w:r w:rsidR="00F22A49" w:rsidRPr="00A427BC">
          <w:rPr>
            <w:rStyle w:val="Hyperlink"/>
            <w:sz w:val="24"/>
            <w:lang w:eastAsia="da-DK"/>
          </w:rPr>
          <w:t>www.meldenbivirkning.dk</w:t>
        </w:r>
      </w:hyperlink>
    </w:p>
    <w:p w:rsidR="00DF5345" w:rsidRPr="00A0778C" w:rsidRDefault="00DF5345" w:rsidP="00DF5345">
      <w:r w:rsidRPr="00A0778C">
        <w:tab/>
      </w:r>
    </w:p>
    <w:p w:rsidR="00DF5345" w:rsidRPr="00F22A49" w:rsidRDefault="00DF5345" w:rsidP="00DF5345">
      <w:pPr>
        <w:ind w:left="851" w:hanging="851"/>
        <w:rPr>
          <w:b/>
          <w:sz w:val="24"/>
          <w:szCs w:val="24"/>
        </w:rPr>
      </w:pPr>
      <w:r w:rsidRPr="00F22A49">
        <w:rPr>
          <w:b/>
          <w:sz w:val="24"/>
          <w:szCs w:val="24"/>
        </w:rPr>
        <w:lastRenderedPageBreak/>
        <w:t>4.9</w:t>
      </w:r>
      <w:r w:rsidRPr="00F22A49">
        <w:rPr>
          <w:b/>
          <w:sz w:val="24"/>
          <w:szCs w:val="24"/>
        </w:rPr>
        <w:tab/>
        <w:t>Overdosering</w:t>
      </w:r>
    </w:p>
    <w:p w:rsidR="00DF5345" w:rsidRPr="00F22A49" w:rsidRDefault="00DF5345" w:rsidP="00DF5345">
      <w:pPr>
        <w:ind w:left="855"/>
        <w:rPr>
          <w:sz w:val="24"/>
          <w:szCs w:val="24"/>
          <w:u w:val="single"/>
        </w:rPr>
      </w:pPr>
      <w:r w:rsidRPr="00F22A49">
        <w:rPr>
          <w:sz w:val="24"/>
          <w:szCs w:val="24"/>
          <w:u w:val="single"/>
        </w:rPr>
        <w:t>Symptomer</w:t>
      </w:r>
    </w:p>
    <w:p w:rsidR="00DF5345" w:rsidRPr="003A5F98" w:rsidRDefault="00DF5345" w:rsidP="00DF5345">
      <w:pPr>
        <w:ind w:left="851"/>
        <w:rPr>
          <w:sz w:val="24"/>
          <w:szCs w:val="24"/>
        </w:rPr>
      </w:pPr>
      <w:r w:rsidRPr="003A5F98">
        <w:rPr>
          <w:sz w:val="24"/>
          <w:szCs w:val="24"/>
        </w:rPr>
        <w:t xml:space="preserve">Erfaringen vedrørende overdosering med </w:t>
      </w:r>
      <w:proofErr w:type="spellStart"/>
      <w:r w:rsidRPr="003A5F98">
        <w:rPr>
          <w:sz w:val="24"/>
          <w:szCs w:val="24"/>
        </w:rPr>
        <w:t>mirtazapin</w:t>
      </w:r>
      <w:proofErr w:type="spellEnd"/>
      <w:r w:rsidRPr="003A5F98">
        <w:rPr>
          <w:sz w:val="24"/>
          <w:szCs w:val="24"/>
        </w:rPr>
        <w:t xml:space="preserve"> alene viser, at symptomerne sædvanligvis er lette. Der er rapporteret om påvirkning af centralnervesystemet med desorientering og længerevarende sedation samtidig med </w:t>
      </w:r>
      <w:proofErr w:type="spellStart"/>
      <w:r w:rsidRPr="003A5F98">
        <w:rPr>
          <w:sz w:val="24"/>
          <w:szCs w:val="24"/>
        </w:rPr>
        <w:t>takykardi</w:t>
      </w:r>
      <w:proofErr w:type="spellEnd"/>
      <w:r w:rsidRPr="003A5F98">
        <w:rPr>
          <w:sz w:val="24"/>
          <w:szCs w:val="24"/>
        </w:rPr>
        <w:t xml:space="preserve"> og let hyper- eller hypotension. Alvorligere følger (inklusive dødsfald) er dog mulige ved doser, der er meget højere end den terapeutiske dosis, specielt i tilfælde af blandingsoverdosering. I disse tilfælde er der også rapporteret om QT-forlængelse og </w:t>
      </w:r>
      <w:proofErr w:type="spellStart"/>
      <w:r w:rsidRPr="003A5F98">
        <w:rPr>
          <w:i/>
          <w:sz w:val="24"/>
          <w:szCs w:val="24"/>
        </w:rPr>
        <w:t>torsades</w:t>
      </w:r>
      <w:proofErr w:type="spellEnd"/>
      <w:r w:rsidRPr="003A5F98">
        <w:rPr>
          <w:i/>
          <w:sz w:val="24"/>
          <w:szCs w:val="24"/>
        </w:rPr>
        <w:t xml:space="preserve"> de pointes</w:t>
      </w:r>
      <w:r w:rsidRPr="003A5F98">
        <w:rPr>
          <w:sz w:val="24"/>
          <w:szCs w:val="24"/>
        </w:rPr>
        <w:t>.</w:t>
      </w:r>
    </w:p>
    <w:p w:rsidR="00DF5345" w:rsidRPr="003A5F98" w:rsidRDefault="00DF5345" w:rsidP="00DF5345">
      <w:pPr>
        <w:ind w:left="851"/>
        <w:rPr>
          <w:sz w:val="24"/>
          <w:szCs w:val="24"/>
        </w:rPr>
      </w:pPr>
    </w:p>
    <w:p w:rsidR="00DF5345" w:rsidRPr="003A5F98" w:rsidRDefault="00DF5345" w:rsidP="00DF5345">
      <w:pPr>
        <w:ind w:left="851"/>
        <w:rPr>
          <w:sz w:val="24"/>
          <w:szCs w:val="24"/>
          <w:u w:val="single"/>
        </w:rPr>
      </w:pPr>
      <w:r w:rsidRPr="003A5F98">
        <w:rPr>
          <w:sz w:val="24"/>
          <w:szCs w:val="24"/>
          <w:u w:val="single"/>
        </w:rPr>
        <w:t>Behandling</w:t>
      </w:r>
    </w:p>
    <w:p w:rsidR="00DF5345" w:rsidRPr="003A5F98" w:rsidRDefault="00DF5345" w:rsidP="00DF5345">
      <w:pPr>
        <w:ind w:left="851"/>
        <w:rPr>
          <w:sz w:val="24"/>
          <w:szCs w:val="24"/>
        </w:rPr>
      </w:pPr>
      <w:r w:rsidRPr="003A5F98">
        <w:rPr>
          <w:sz w:val="24"/>
          <w:szCs w:val="24"/>
        </w:rPr>
        <w:t>I tilfælde af overdosering gives passende symptomatisk behandling og sikring af vitale funktioner. EKG-monitorering bør foretages. Aktivt kul eller maveudskylning bør også overvejes.</w:t>
      </w:r>
    </w:p>
    <w:p w:rsidR="00DF5345" w:rsidRPr="003A5F98" w:rsidRDefault="00DF5345" w:rsidP="00DF5345">
      <w:pPr>
        <w:ind w:left="851" w:hanging="851"/>
        <w:rPr>
          <w:sz w:val="24"/>
          <w:szCs w:val="24"/>
        </w:rPr>
      </w:pPr>
    </w:p>
    <w:p w:rsidR="00DF5345" w:rsidRPr="003A5F98" w:rsidRDefault="00DF5345" w:rsidP="00DF5345">
      <w:pPr>
        <w:ind w:left="851"/>
        <w:rPr>
          <w:sz w:val="24"/>
          <w:szCs w:val="24"/>
          <w:u w:val="single"/>
        </w:rPr>
      </w:pPr>
      <w:r w:rsidRPr="003A5F98">
        <w:rPr>
          <w:sz w:val="24"/>
          <w:szCs w:val="24"/>
          <w:u w:val="single"/>
        </w:rPr>
        <w:t>Pædiatrisk population</w:t>
      </w:r>
    </w:p>
    <w:p w:rsidR="00DF5345" w:rsidRPr="003A5F98" w:rsidRDefault="00DF5345" w:rsidP="00DF5345">
      <w:pPr>
        <w:ind w:left="851" w:hanging="851"/>
        <w:rPr>
          <w:sz w:val="24"/>
          <w:szCs w:val="24"/>
        </w:rPr>
      </w:pPr>
      <w:r w:rsidRPr="003A5F98">
        <w:rPr>
          <w:sz w:val="24"/>
          <w:szCs w:val="24"/>
        </w:rPr>
        <w:tab/>
        <w:t>I tilfælde af overdosering hos pædiatriske patienter skal der tages samme forholdsregler som beskrevet for voksne.</w:t>
      </w:r>
    </w:p>
    <w:p w:rsidR="00DF5345" w:rsidRPr="001B3F3A" w:rsidRDefault="00DF5345" w:rsidP="00DF5345">
      <w:pPr>
        <w:ind w:left="851" w:hanging="851"/>
        <w:rPr>
          <w:sz w:val="24"/>
          <w:szCs w:val="24"/>
        </w:rPr>
      </w:pPr>
    </w:p>
    <w:p w:rsidR="00DF5345" w:rsidRPr="001B3F3A" w:rsidRDefault="00DF5345" w:rsidP="00DF5345">
      <w:pPr>
        <w:tabs>
          <w:tab w:val="left" w:pos="851"/>
        </w:tabs>
        <w:rPr>
          <w:b/>
          <w:sz w:val="24"/>
          <w:szCs w:val="24"/>
        </w:rPr>
      </w:pPr>
      <w:r>
        <w:rPr>
          <w:b/>
          <w:sz w:val="24"/>
          <w:szCs w:val="24"/>
        </w:rPr>
        <w:t>4.10</w:t>
      </w:r>
      <w:r>
        <w:rPr>
          <w:b/>
          <w:sz w:val="24"/>
          <w:szCs w:val="24"/>
        </w:rPr>
        <w:tab/>
      </w:r>
      <w:r w:rsidRPr="001B3F3A">
        <w:rPr>
          <w:b/>
          <w:sz w:val="24"/>
          <w:szCs w:val="24"/>
        </w:rPr>
        <w:t>Udlevering</w:t>
      </w:r>
    </w:p>
    <w:p w:rsidR="00DF5345" w:rsidRPr="001B3F3A" w:rsidRDefault="00DF5345" w:rsidP="00DF5345">
      <w:pPr>
        <w:ind w:left="851" w:hanging="851"/>
        <w:rPr>
          <w:sz w:val="24"/>
          <w:szCs w:val="24"/>
        </w:rPr>
      </w:pPr>
      <w:r w:rsidRPr="001B3F3A">
        <w:rPr>
          <w:sz w:val="24"/>
          <w:szCs w:val="24"/>
        </w:rPr>
        <w:tab/>
      </w:r>
      <w:r>
        <w:rPr>
          <w:sz w:val="24"/>
          <w:szCs w:val="24"/>
        </w:rPr>
        <w:t>B</w:t>
      </w:r>
    </w:p>
    <w:p w:rsidR="00DF5345" w:rsidRPr="001B3F3A" w:rsidRDefault="00DF5345" w:rsidP="00DF5345">
      <w:pPr>
        <w:ind w:left="851" w:hanging="851"/>
        <w:rPr>
          <w:sz w:val="24"/>
          <w:szCs w:val="24"/>
        </w:rPr>
      </w:pPr>
    </w:p>
    <w:p w:rsidR="00DF5345" w:rsidRDefault="00DF5345" w:rsidP="00DF5345">
      <w:pPr>
        <w:ind w:left="851" w:hanging="851"/>
        <w:rPr>
          <w:sz w:val="24"/>
          <w:szCs w:val="24"/>
        </w:rPr>
      </w:pPr>
    </w:p>
    <w:p w:rsidR="00A0778C" w:rsidRPr="001B3F3A" w:rsidRDefault="00A0778C" w:rsidP="00DF5345">
      <w:pPr>
        <w:ind w:left="851" w:hanging="851"/>
        <w:rPr>
          <w:sz w:val="24"/>
          <w:szCs w:val="24"/>
        </w:rPr>
      </w:pPr>
    </w:p>
    <w:p w:rsidR="00DF5345" w:rsidRPr="001B3F3A" w:rsidRDefault="00DF5345" w:rsidP="00DF5345">
      <w:pPr>
        <w:numPr>
          <w:ilvl w:val="0"/>
          <w:numId w:val="1"/>
        </w:numPr>
        <w:tabs>
          <w:tab w:val="clear" w:pos="855"/>
        </w:tabs>
        <w:ind w:left="851" w:hanging="851"/>
        <w:rPr>
          <w:b/>
          <w:sz w:val="24"/>
          <w:szCs w:val="24"/>
        </w:rPr>
      </w:pPr>
      <w:r w:rsidRPr="001B3F3A">
        <w:rPr>
          <w:b/>
          <w:sz w:val="24"/>
          <w:szCs w:val="24"/>
        </w:rPr>
        <w:t>FARMAKOLOGISKE EGENSKABER</w:t>
      </w:r>
    </w:p>
    <w:p w:rsidR="00DF5345" w:rsidRPr="001B3F3A" w:rsidRDefault="00DF5345" w:rsidP="00DF5345">
      <w:pPr>
        <w:ind w:left="851" w:hanging="851"/>
        <w:rPr>
          <w:sz w:val="24"/>
          <w:szCs w:val="24"/>
        </w:rPr>
      </w:pPr>
    </w:p>
    <w:p w:rsidR="00DF5345" w:rsidRPr="003A5F98" w:rsidRDefault="00DF5345" w:rsidP="00DF5345">
      <w:pPr>
        <w:numPr>
          <w:ilvl w:val="1"/>
          <w:numId w:val="2"/>
        </w:numPr>
        <w:tabs>
          <w:tab w:val="clear" w:pos="2159"/>
        </w:tabs>
        <w:ind w:left="851" w:hanging="851"/>
        <w:rPr>
          <w:b/>
          <w:sz w:val="24"/>
          <w:szCs w:val="24"/>
        </w:rPr>
      </w:pPr>
      <w:proofErr w:type="spellStart"/>
      <w:r w:rsidRPr="001B3F3A">
        <w:rPr>
          <w:b/>
          <w:sz w:val="24"/>
          <w:szCs w:val="24"/>
        </w:rPr>
        <w:t>Farmakodynamiske</w:t>
      </w:r>
      <w:proofErr w:type="spellEnd"/>
      <w:r w:rsidRPr="001B3F3A">
        <w:rPr>
          <w:b/>
          <w:sz w:val="24"/>
          <w:szCs w:val="24"/>
        </w:rPr>
        <w:t xml:space="preserve"> egenskaber</w:t>
      </w:r>
    </w:p>
    <w:p w:rsidR="009E02EA" w:rsidRDefault="009E02EA" w:rsidP="009E02EA">
      <w:pPr>
        <w:suppressAutoHyphen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Pr>
          <w:sz w:val="24"/>
          <w:szCs w:val="24"/>
        </w:rPr>
        <w:t>a</w:t>
      </w:r>
      <w:r w:rsidRPr="001B3F3A">
        <w:rPr>
          <w:sz w:val="24"/>
          <w:szCs w:val="24"/>
        </w:rPr>
        <w:t xml:space="preserve">ndre </w:t>
      </w:r>
      <w:proofErr w:type="spellStart"/>
      <w:r w:rsidRPr="001B3F3A">
        <w:rPr>
          <w:sz w:val="24"/>
          <w:szCs w:val="24"/>
        </w:rPr>
        <w:t>antidepressiva</w:t>
      </w:r>
      <w:proofErr w:type="spellEnd"/>
      <w:r w:rsidRPr="001B3F3A">
        <w:rPr>
          <w:sz w:val="24"/>
          <w:szCs w:val="24"/>
        </w:rPr>
        <w:t>. ATC-kode: N06AX11</w:t>
      </w:r>
      <w:r>
        <w:rPr>
          <w:sz w:val="24"/>
          <w:szCs w:val="24"/>
        </w:rPr>
        <w:t>.</w:t>
      </w:r>
    </w:p>
    <w:p w:rsidR="009E02EA" w:rsidRDefault="009E02EA" w:rsidP="00DF5345">
      <w:pPr>
        <w:ind w:left="851"/>
        <w:rPr>
          <w:sz w:val="24"/>
          <w:szCs w:val="24"/>
          <w:u w:val="single"/>
        </w:rPr>
      </w:pPr>
    </w:p>
    <w:p w:rsidR="00DF5345" w:rsidRPr="003A5F98" w:rsidRDefault="00DF5345" w:rsidP="00DF5345">
      <w:pPr>
        <w:ind w:left="851"/>
        <w:rPr>
          <w:sz w:val="24"/>
          <w:szCs w:val="24"/>
          <w:u w:val="single"/>
        </w:rPr>
      </w:pPr>
      <w:r w:rsidRPr="003A5F98">
        <w:rPr>
          <w:sz w:val="24"/>
          <w:szCs w:val="24"/>
          <w:u w:val="single"/>
        </w:rPr>
        <w:t xml:space="preserve">Virkningsmekanisme/ </w:t>
      </w:r>
      <w:proofErr w:type="spellStart"/>
      <w:r w:rsidRPr="003A5F98">
        <w:rPr>
          <w:sz w:val="24"/>
          <w:szCs w:val="24"/>
          <w:u w:val="single"/>
        </w:rPr>
        <w:t>farmakodynamisk</w:t>
      </w:r>
      <w:proofErr w:type="spellEnd"/>
      <w:r w:rsidRPr="003A5F98">
        <w:rPr>
          <w:sz w:val="24"/>
          <w:szCs w:val="24"/>
          <w:u w:val="single"/>
        </w:rPr>
        <w:t xml:space="preserve"> effekt</w:t>
      </w:r>
    </w:p>
    <w:p w:rsidR="00DF5345" w:rsidRPr="00252A39" w:rsidRDefault="00DF5345" w:rsidP="00DF5345">
      <w:pPr>
        <w:ind w:left="851"/>
        <w:rPr>
          <w:sz w:val="24"/>
          <w:szCs w:val="24"/>
        </w:rPr>
      </w:pPr>
      <w:proofErr w:type="spellStart"/>
      <w:r w:rsidRPr="00252A39">
        <w:rPr>
          <w:sz w:val="24"/>
          <w:szCs w:val="24"/>
        </w:rPr>
        <w:t>Mirtazapin</w:t>
      </w:r>
      <w:proofErr w:type="spellEnd"/>
      <w:r w:rsidRPr="00252A39">
        <w:rPr>
          <w:sz w:val="24"/>
          <w:szCs w:val="24"/>
        </w:rPr>
        <w:t xml:space="preserve"> er en centralt virkende </w:t>
      </w:r>
      <w:proofErr w:type="spellStart"/>
      <w:r w:rsidRPr="00252A39">
        <w:rPr>
          <w:sz w:val="24"/>
          <w:szCs w:val="24"/>
        </w:rPr>
        <w:t>præsynaptisk</w:t>
      </w:r>
      <w:proofErr w:type="spellEnd"/>
      <w:r w:rsidRPr="00252A39">
        <w:rPr>
          <w:sz w:val="24"/>
          <w:szCs w:val="24"/>
        </w:rPr>
        <w:t xml:space="preserve"> </w:t>
      </w:r>
      <w:r w:rsidRPr="00252A39">
        <w:rPr>
          <w:sz w:val="24"/>
          <w:szCs w:val="24"/>
        </w:rPr>
        <w:sym w:font="Symbol" w:char="F061"/>
      </w:r>
      <w:r w:rsidRPr="00252A39">
        <w:rPr>
          <w:sz w:val="24"/>
          <w:szCs w:val="24"/>
          <w:vertAlign w:val="subscript"/>
        </w:rPr>
        <w:t>2</w:t>
      </w:r>
      <w:r w:rsidRPr="00252A39">
        <w:rPr>
          <w:sz w:val="24"/>
          <w:szCs w:val="24"/>
        </w:rPr>
        <w:t>-an</w:t>
      </w:r>
      <w:r>
        <w:rPr>
          <w:sz w:val="24"/>
          <w:szCs w:val="24"/>
        </w:rPr>
        <w:t xml:space="preserve">tagonist, som øger den centrale </w:t>
      </w:r>
      <w:proofErr w:type="spellStart"/>
      <w:r w:rsidRPr="00252A39">
        <w:rPr>
          <w:sz w:val="24"/>
          <w:szCs w:val="24"/>
        </w:rPr>
        <w:t>noradrenerge</w:t>
      </w:r>
      <w:proofErr w:type="spellEnd"/>
      <w:r w:rsidRPr="00252A39">
        <w:rPr>
          <w:sz w:val="24"/>
          <w:szCs w:val="24"/>
        </w:rPr>
        <w:t xml:space="preserve"> og </w:t>
      </w:r>
      <w:proofErr w:type="spellStart"/>
      <w:r w:rsidRPr="00252A39">
        <w:rPr>
          <w:sz w:val="24"/>
          <w:szCs w:val="24"/>
        </w:rPr>
        <w:t>serotonerge</w:t>
      </w:r>
      <w:proofErr w:type="spellEnd"/>
      <w:r w:rsidRPr="00252A39">
        <w:rPr>
          <w:sz w:val="24"/>
          <w:szCs w:val="24"/>
        </w:rPr>
        <w:t xml:space="preserve"> </w:t>
      </w:r>
      <w:proofErr w:type="spellStart"/>
      <w:r w:rsidRPr="00252A39">
        <w:rPr>
          <w:sz w:val="24"/>
          <w:szCs w:val="24"/>
        </w:rPr>
        <w:t>neurotransmission</w:t>
      </w:r>
      <w:proofErr w:type="spellEnd"/>
      <w:r w:rsidRPr="00252A39">
        <w:rPr>
          <w:sz w:val="24"/>
          <w:szCs w:val="24"/>
        </w:rPr>
        <w:t xml:space="preserve">. Øgningen af den </w:t>
      </w:r>
      <w:proofErr w:type="spellStart"/>
      <w:r w:rsidRPr="00252A39">
        <w:rPr>
          <w:sz w:val="24"/>
          <w:szCs w:val="24"/>
        </w:rPr>
        <w:t>serotonerge</w:t>
      </w:r>
      <w:proofErr w:type="spellEnd"/>
      <w:r w:rsidRPr="00252A39">
        <w:rPr>
          <w:sz w:val="24"/>
          <w:szCs w:val="24"/>
        </w:rPr>
        <w:t xml:space="preserve"> </w:t>
      </w:r>
      <w:proofErr w:type="spellStart"/>
      <w:r w:rsidRPr="00252A39">
        <w:rPr>
          <w:sz w:val="24"/>
          <w:szCs w:val="24"/>
        </w:rPr>
        <w:t>neurotransmission</w:t>
      </w:r>
      <w:proofErr w:type="spellEnd"/>
      <w:r w:rsidRPr="00252A39">
        <w:rPr>
          <w:sz w:val="24"/>
          <w:szCs w:val="24"/>
        </w:rPr>
        <w:t xml:space="preserve"> er specifikt medieret via 5-HT</w:t>
      </w:r>
      <w:r w:rsidRPr="00252A39">
        <w:rPr>
          <w:sz w:val="24"/>
          <w:szCs w:val="24"/>
          <w:vertAlign w:val="subscript"/>
        </w:rPr>
        <w:t>1</w:t>
      </w:r>
      <w:r w:rsidRPr="00252A39">
        <w:rPr>
          <w:sz w:val="24"/>
          <w:szCs w:val="24"/>
        </w:rPr>
        <w:t xml:space="preserve"> receptorer, fordi 5-HT</w:t>
      </w:r>
      <w:r w:rsidRPr="00252A39">
        <w:rPr>
          <w:sz w:val="24"/>
          <w:szCs w:val="24"/>
          <w:vertAlign w:val="subscript"/>
        </w:rPr>
        <w:t>2</w:t>
      </w:r>
      <w:r w:rsidRPr="00252A39">
        <w:rPr>
          <w:sz w:val="24"/>
          <w:szCs w:val="24"/>
        </w:rPr>
        <w:t xml:space="preserve"> og 5-HT</w:t>
      </w:r>
      <w:r w:rsidRPr="00252A39">
        <w:rPr>
          <w:sz w:val="24"/>
          <w:szCs w:val="24"/>
          <w:vertAlign w:val="subscript"/>
        </w:rPr>
        <w:t>3</w:t>
      </w:r>
      <w:r w:rsidRPr="00252A39">
        <w:rPr>
          <w:sz w:val="24"/>
          <w:szCs w:val="24"/>
        </w:rPr>
        <w:t xml:space="preserve"> receptorerne bliver blokeret af </w:t>
      </w:r>
      <w:proofErr w:type="spellStart"/>
      <w:r w:rsidRPr="00252A39">
        <w:rPr>
          <w:sz w:val="24"/>
          <w:szCs w:val="24"/>
        </w:rPr>
        <w:t>mirtazapin</w:t>
      </w:r>
      <w:proofErr w:type="spellEnd"/>
      <w:r w:rsidRPr="00252A39">
        <w:rPr>
          <w:sz w:val="24"/>
          <w:szCs w:val="24"/>
        </w:rPr>
        <w:t xml:space="preserve">. Begge </w:t>
      </w:r>
      <w:proofErr w:type="spellStart"/>
      <w:r w:rsidRPr="00252A39">
        <w:rPr>
          <w:sz w:val="24"/>
          <w:szCs w:val="24"/>
        </w:rPr>
        <w:t>mirtazapins</w:t>
      </w:r>
      <w:proofErr w:type="spellEnd"/>
      <w:r w:rsidRPr="00252A39">
        <w:rPr>
          <w:sz w:val="24"/>
          <w:szCs w:val="24"/>
        </w:rPr>
        <w:t xml:space="preserve"> </w:t>
      </w:r>
      <w:proofErr w:type="spellStart"/>
      <w:r w:rsidRPr="00252A39">
        <w:rPr>
          <w:sz w:val="24"/>
          <w:szCs w:val="24"/>
        </w:rPr>
        <w:t>enantiomerer</w:t>
      </w:r>
      <w:proofErr w:type="spellEnd"/>
      <w:r w:rsidRPr="00252A39">
        <w:rPr>
          <w:sz w:val="24"/>
          <w:szCs w:val="24"/>
        </w:rPr>
        <w:t xml:space="preserve"> menes at medvirke til den antidepressive virkning, </w:t>
      </w:r>
      <w:proofErr w:type="gramStart"/>
      <w:r w:rsidRPr="00252A39">
        <w:rPr>
          <w:sz w:val="24"/>
          <w:szCs w:val="24"/>
        </w:rPr>
        <w:t>S(</w:t>
      </w:r>
      <w:proofErr w:type="gramEnd"/>
      <w:r w:rsidRPr="00252A39">
        <w:rPr>
          <w:sz w:val="24"/>
          <w:szCs w:val="24"/>
        </w:rPr>
        <w:t xml:space="preserve">+) </w:t>
      </w:r>
      <w:proofErr w:type="spellStart"/>
      <w:r w:rsidRPr="00252A39">
        <w:rPr>
          <w:sz w:val="24"/>
          <w:szCs w:val="24"/>
        </w:rPr>
        <w:t>enantiomeren</w:t>
      </w:r>
      <w:proofErr w:type="spellEnd"/>
      <w:r w:rsidRPr="00252A39">
        <w:rPr>
          <w:sz w:val="24"/>
          <w:szCs w:val="24"/>
        </w:rPr>
        <w:t xml:space="preserve"> ved at blokere </w:t>
      </w:r>
      <w:r w:rsidRPr="00252A39">
        <w:rPr>
          <w:sz w:val="24"/>
          <w:szCs w:val="24"/>
        </w:rPr>
        <w:sym w:font="Symbol" w:char="F061"/>
      </w:r>
      <w:r w:rsidRPr="00252A39">
        <w:rPr>
          <w:sz w:val="24"/>
          <w:szCs w:val="24"/>
          <w:vertAlign w:val="subscript"/>
        </w:rPr>
        <w:t>2</w:t>
      </w:r>
      <w:r w:rsidRPr="00252A39">
        <w:rPr>
          <w:sz w:val="24"/>
          <w:szCs w:val="24"/>
        </w:rPr>
        <w:t xml:space="preserve"> og 5-HT</w:t>
      </w:r>
      <w:r w:rsidRPr="00252A39">
        <w:rPr>
          <w:sz w:val="24"/>
          <w:szCs w:val="24"/>
          <w:vertAlign w:val="subscript"/>
        </w:rPr>
        <w:t>2</w:t>
      </w:r>
      <w:r w:rsidRPr="00252A39">
        <w:rPr>
          <w:sz w:val="24"/>
          <w:szCs w:val="24"/>
        </w:rPr>
        <w:t xml:space="preserve"> receptorerne, og R(-) </w:t>
      </w:r>
      <w:proofErr w:type="spellStart"/>
      <w:r w:rsidRPr="00252A39">
        <w:rPr>
          <w:sz w:val="24"/>
          <w:szCs w:val="24"/>
        </w:rPr>
        <w:t>enantiomeren</w:t>
      </w:r>
      <w:proofErr w:type="spellEnd"/>
      <w:r w:rsidRPr="00252A39">
        <w:rPr>
          <w:sz w:val="24"/>
          <w:szCs w:val="24"/>
        </w:rPr>
        <w:t xml:space="preserve"> ved at blokere 5-HT</w:t>
      </w:r>
      <w:r w:rsidRPr="00252A39">
        <w:rPr>
          <w:sz w:val="24"/>
          <w:szCs w:val="24"/>
          <w:vertAlign w:val="subscript"/>
        </w:rPr>
        <w:t>3</w:t>
      </w:r>
      <w:r w:rsidRPr="00252A39">
        <w:rPr>
          <w:sz w:val="24"/>
          <w:szCs w:val="24"/>
        </w:rPr>
        <w:t xml:space="preserve"> receptorerne.</w:t>
      </w:r>
    </w:p>
    <w:p w:rsidR="00DF5345" w:rsidRDefault="00DF5345" w:rsidP="00DF5345">
      <w:pPr>
        <w:ind w:left="851"/>
        <w:rPr>
          <w:sz w:val="24"/>
          <w:szCs w:val="24"/>
        </w:rPr>
      </w:pPr>
    </w:p>
    <w:p w:rsidR="00DF5345" w:rsidRPr="003A5F98" w:rsidRDefault="00DF5345" w:rsidP="00DF5345">
      <w:pPr>
        <w:ind w:left="851"/>
        <w:rPr>
          <w:sz w:val="24"/>
          <w:szCs w:val="24"/>
          <w:u w:val="single"/>
        </w:rPr>
      </w:pPr>
      <w:r w:rsidRPr="003A5F98">
        <w:rPr>
          <w:sz w:val="24"/>
          <w:szCs w:val="24"/>
          <w:u w:val="single"/>
        </w:rPr>
        <w:t>Klinisk virkning og sikkerhed</w:t>
      </w:r>
    </w:p>
    <w:p w:rsidR="00DF5345" w:rsidRDefault="00DF5345" w:rsidP="00DF5345">
      <w:pPr>
        <w:ind w:left="851"/>
        <w:rPr>
          <w:sz w:val="24"/>
          <w:szCs w:val="24"/>
        </w:rPr>
      </w:pPr>
      <w:proofErr w:type="spellStart"/>
      <w:r w:rsidRPr="003A5F98">
        <w:rPr>
          <w:sz w:val="24"/>
          <w:szCs w:val="24"/>
        </w:rPr>
        <w:t>Mirtazapins</w:t>
      </w:r>
      <w:proofErr w:type="spellEnd"/>
      <w:r w:rsidRPr="003A5F98">
        <w:rPr>
          <w:sz w:val="24"/>
          <w:szCs w:val="24"/>
        </w:rPr>
        <w:t xml:space="preserve"> histamin H1-antagonistiske aktivitet er forbundet med dets sederende egenskaber. Det har praktisk taget ingen </w:t>
      </w:r>
      <w:proofErr w:type="spellStart"/>
      <w:r w:rsidRPr="003A5F98">
        <w:rPr>
          <w:sz w:val="24"/>
          <w:szCs w:val="24"/>
        </w:rPr>
        <w:t>anticholinerg</w:t>
      </w:r>
      <w:proofErr w:type="spellEnd"/>
      <w:r w:rsidRPr="003A5F98">
        <w:rPr>
          <w:sz w:val="24"/>
          <w:szCs w:val="24"/>
        </w:rPr>
        <w:t xml:space="preserve"> aktivitet og har kun begrænset indvirkning (f.eks. </w:t>
      </w:r>
      <w:proofErr w:type="spellStart"/>
      <w:r w:rsidRPr="003A5F98">
        <w:rPr>
          <w:sz w:val="24"/>
          <w:szCs w:val="24"/>
        </w:rPr>
        <w:t>ortostatisk</w:t>
      </w:r>
      <w:proofErr w:type="spellEnd"/>
      <w:r w:rsidRPr="003A5F98">
        <w:rPr>
          <w:sz w:val="24"/>
          <w:szCs w:val="24"/>
        </w:rPr>
        <w:t xml:space="preserve"> hypotension) på det </w:t>
      </w:r>
      <w:proofErr w:type="spellStart"/>
      <w:r w:rsidRPr="003A5F98">
        <w:rPr>
          <w:sz w:val="24"/>
          <w:szCs w:val="24"/>
        </w:rPr>
        <w:t>kardiovaskulære</w:t>
      </w:r>
      <w:proofErr w:type="spellEnd"/>
      <w:r w:rsidRPr="003A5F98">
        <w:rPr>
          <w:sz w:val="24"/>
          <w:szCs w:val="24"/>
        </w:rPr>
        <w:t xml:space="preserve"> system, når det gives i terapeutiske doser.</w:t>
      </w:r>
    </w:p>
    <w:p w:rsidR="00DF5345" w:rsidRDefault="00DF5345" w:rsidP="00DF5345">
      <w:pPr>
        <w:ind w:left="851"/>
        <w:rPr>
          <w:sz w:val="24"/>
          <w:szCs w:val="24"/>
        </w:rPr>
      </w:pPr>
    </w:p>
    <w:p w:rsidR="00F22A49" w:rsidRDefault="00F22A49" w:rsidP="00F22A49">
      <w:pPr>
        <w:ind w:left="851"/>
        <w:rPr>
          <w:sz w:val="24"/>
          <w:szCs w:val="24"/>
        </w:rPr>
      </w:pPr>
      <w:r w:rsidRPr="002007BD">
        <w:rPr>
          <w:sz w:val="24"/>
          <w:szCs w:val="24"/>
        </w:rPr>
        <w:t xml:space="preserve">Effekten af </w:t>
      </w:r>
      <w:proofErr w:type="spellStart"/>
      <w:r w:rsidRPr="002007BD">
        <w:rPr>
          <w:sz w:val="24"/>
          <w:szCs w:val="24"/>
        </w:rPr>
        <w:t>mirtazapin</w:t>
      </w:r>
      <w:proofErr w:type="spellEnd"/>
      <w:r w:rsidRPr="002007BD">
        <w:rPr>
          <w:sz w:val="24"/>
          <w:szCs w:val="24"/>
        </w:rPr>
        <w:t xml:space="preserve"> på </w:t>
      </w:r>
      <w:proofErr w:type="spellStart"/>
      <w:r w:rsidRPr="002007BD">
        <w:rPr>
          <w:sz w:val="24"/>
          <w:szCs w:val="24"/>
        </w:rPr>
        <w:t>QTc</w:t>
      </w:r>
      <w:proofErr w:type="spellEnd"/>
      <w:r w:rsidRPr="002007BD">
        <w:rPr>
          <w:sz w:val="24"/>
          <w:szCs w:val="24"/>
        </w:rPr>
        <w:t xml:space="preserve"> blev vurderet i randomiserede, placebo- og </w:t>
      </w:r>
      <w:proofErr w:type="spellStart"/>
      <w:r w:rsidRPr="002007BD">
        <w:rPr>
          <w:sz w:val="24"/>
          <w:szCs w:val="24"/>
        </w:rPr>
        <w:t>m</w:t>
      </w:r>
      <w:r>
        <w:rPr>
          <w:sz w:val="24"/>
          <w:szCs w:val="24"/>
        </w:rPr>
        <w:t>o</w:t>
      </w:r>
      <w:r w:rsidRPr="002007BD">
        <w:rPr>
          <w:sz w:val="24"/>
          <w:szCs w:val="24"/>
        </w:rPr>
        <w:t>xifloxacin</w:t>
      </w:r>
      <w:proofErr w:type="spellEnd"/>
      <w:r w:rsidRPr="002007BD">
        <w:rPr>
          <w:sz w:val="24"/>
          <w:szCs w:val="24"/>
        </w:rPr>
        <w:t xml:space="preserve">-kontrollerede kliniske forsøg med 54 raske frivillige ved brug af en almindelig dosis på 45 mg og en superterapeutisk dosis på 75 mg. Lineær e-max modellering viste, at forlængelsen af </w:t>
      </w:r>
      <w:proofErr w:type="spellStart"/>
      <w:r w:rsidRPr="002007BD">
        <w:rPr>
          <w:sz w:val="24"/>
          <w:szCs w:val="24"/>
        </w:rPr>
        <w:t>QTc</w:t>
      </w:r>
      <w:proofErr w:type="spellEnd"/>
      <w:r w:rsidRPr="002007BD">
        <w:rPr>
          <w:sz w:val="24"/>
          <w:szCs w:val="24"/>
        </w:rPr>
        <w:t xml:space="preserve"> intervallet forblev under grænsen for klinisk betydende forlængelse (se pkt. 4.4.).</w:t>
      </w:r>
    </w:p>
    <w:p w:rsidR="00F22A49" w:rsidRDefault="00F22A49" w:rsidP="00DF5345">
      <w:pPr>
        <w:ind w:left="851"/>
        <w:rPr>
          <w:sz w:val="24"/>
          <w:szCs w:val="24"/>
        </w:rPr>
      </w:pPr>
    </w:p>
    <w:p w:rsidR="00DF5345" w:rsidRPr="004E4E55" w:rsidRDefault="00DF5345" w:rsidP="00F22A49">
      <w:pPr>
        <w:keepNext/>
        <w:ind w:left="851"/>
        <w:rPr>
          <w:i/>
          <w:szCs w:val="24"/>
        </w:rPr>
      </w:pPr>
      <w:r w:rsidRPr="004E4E55">
        <w:rPr>
          <w:i/>
          <w:szCs w:val="24"/>
        </w:rPr>
        <w:t>Pædiatrisk population</w:t>
      </w:r>
    </w:p>
    <w:p w:rsidR="00DF5345" w:rsidRPr="002A29C2" w:rsidRDefault="00DF5345" w:rsidP="00DF5345">
      <w:pPr>
        <w:ind w:left="851"/>
        <w:rPr>
          <w:szCs w:val="24"/>
        </w:rPr>
      </w:pPr>
      <w:r w:rsidRPr="004E4E55">
        <w:rPr>
          <w:szCs w:val="24"/>
        </w:rPr>
        <w:t xml:space="preserve">To randomiserede, dobbelt-blindede, placebokontrollerede </w:t>
      </w:r>
      <w:proofErr w:type="spellStart"/>
      <w:r w:rsidRPr="004E4E55">
        <w:rPr>
          <w:szCs w:val="24"/>
        </w:rPr>
        <w:t>undersøgleser</w:t>
      </w:r>
      <w:proofErr w:type="spellEnd"/>
      <w:r w:rsidRPr="004E4E55">
        <w:rPr>
          <w:szCs w:val="24"/>
        </w:rPr>
        <w:t xml:space="preserve"> med børn i alderen 7 til 18 år, med major depression (n=259) som brugte en fleksibel dosis i de første 4 uger (15-45 </w:t>
      </w:r>
      <w:r w:rsidRPr="004E4E55">
        <w:rPr>
          <w:szCs w:val="24"/>
        </w:rPr>
        <w:lastRenderedPageBreak/>
        <w:t xml:space="preserve">mg </w:t>
      </w:r>
      <w:proofErr w:type="spellStart"/>
      <w:r w:rsidRPr="004E4E55">
        <w:rPr>
          <w:szCs w:val="24"/>
        </w:rPr>
        <w:t>mirtazapin</w:t>
      </w:r>
      <w:proofErr w:type="spellEnd"/>
      <w:r w:rsidRPr="004E4E55">
        <w:rPr>
          <w:szCs w:val="24"/>
        </w:rPr>
        <w:t xml:space="preserve">) efterfulgt af en fast dosis (15, 30 eller 45 mg </w:t>
      </w:r>
      <w:proofErr w:type="spellStart"/>
      <w:r w:rsidRPr="004E4E55">
        <w:rPr>
          <w:szCs w:val="24"/>
        </w:rPr>
        <w:t>mirtazapin</w:t>
      </w:r>
      <w:proofErr w:type="spellEnd"/>
      <w:r w:rsidRPr="004E4E55">
        <w:rPr>
          <w:szCs w:val="24"/>
        </w:rPr>
        <w:t xml:space="preserve">) i yderligere 4 uger, kunne ikke påvise signifikante forskelle mellem </w:t>
      </w:r>
      <w:proofErr w:type="spellStart"/>
      <w:r w:rsidRPr="004E4E55">
        <w:rPr>
          <w:szCs w:val="24"/>
        </w:rPr>
        <w:t>mirtazapin</w:t>
      </w:r>
      <w:proofErr w:type="spellEnd"/>
      <w:r w:rsidRPr="004E4E55">
        <w:rPr>
          <w:szCs w:val="24"/>
        </w:rPr>
        <w:t xml:space="preserve"> og placebo på det primære samt alle sekundære endepunkter. Signifikant vægtøgning (≥7 %) blev observeret i 48,8 % af de </w:t>
      </w:r>
      <w:proofErr w:type="spellStart"/>
      <w:r w:rsidRPr="004E4E55">
        <w:rPr>
          <w:szCs w:val="24"/>
        </w:rPr>
        <w:t>mirtazapin</w:t>
      </w:r>
      <w:proofErr w:type="spellEnd"/>
      <w:r w:rsidRPr="004E4E55">
        <w:rPr>
          <w:szCs w:val="24"/>
        </w:rPr>
        <w:t xml:space="preserve"> behandlede patienter sammenlignet med 5,7 % hos de placebo-behandlede. </w:t>
      </w:r>
      <w:proofErr w:type="spellStart"/>
      <w:r w:rsidRPr="004E4E55">
        <w:rPr>
          <w:szCs w:val="24"/>
        </w:rPr>
        <w:t>Urticaria</w:t>
      </w:r>
      <w:proofErr w:type="spellEnd"/>
      <w:r w:rsidRPr="004E4E55">
        <w:rPr>
          <w:szCs w:val="24"/>
        </w:rPr>
        <w:t xml:space="preserve"> (11,8 % </w:t>
      </w:r>
      <w:r w:rsidRPr="004E4E55">
        <w:rPr>
          <w:i/>
          <w:szCs w:val="24"/>
        </w:rPr>
        <w:t>versus</w:t>
      </w:r>
      <w:r w:rsidRPr="004E4E55">
        <w:rPr>
          <w:szCs w:val="24"/>
        </w:rPr>
        <w:t xml:space="preserve"> 6,8%) og </w:t>
      </w:r>
      <w:proofErr w:type="spellStart"/>
      <w:r w:rsidRPr="004E4E55">
        <w:rPr>
          <w:szCs w:val="24"/>
        </w:rPr>
        <w:t>hypertriglyceridæmi</w:t>
      </w:r>
      <w:proofErr w:type="spellEnd"/>
      <w:r w:rsidRPr="004E4E55">
        <w:rPr>
          <w:szCs w:val="24"/>
        </w:rPr>
        <w:t xml:space="preserve"> (2,9 % </w:t>
      </w:r>
      <w:r w:rsidRPr="004E4E55">
        <w:rPr>
          <w:i/>
          <w:szCs w:val="24"/>
        </w:rPr>
        <w:t>versus</w:t>
      </w:r>
      <w:r w:rsidRPr="004E4E55">
        <w:rPr>
          <w:szCs w:val="24"/>
        </w:rPr>
        <w:t xml:space="preserve"> 0 %) blev også hyppigt observeret.</w:t>
      </w:r>
      <w:r w:rsidRPr="002A29C2">
        <w:rPr>
          <w:szCs w:val="24"/>
        </w:rPr>
        <w:t xml:space="preserve"> </w:t>
      </w:r>
    </w:p>
    <w:p w:rsidR="00DF5345" w:rsidRPr="00252A39" w:rsidRDefault="00DF5345" w:rsidP="00DF5345">
      <w:pPr>
        <w:ind w:left="851" w:hanging="851"/>
        <w:rPr>
          <w:sz w:val="24"/>
          <w:szCs w:val="24"/>
        </w:rPr>
      </w:pPr>
    </w:p>
    <w:p w:rsidR="00DF5345" w:rsidRPr="00252A39" w:rsidRDefault="00DF5345" w:rsidP="00DF5345">
      <w:pPr>
        <w:numPr>
          <w:ilvl w:val="1"/>
          <w:numId w:val="3"/>
        </w:numPr>
        <w:tabs>
          <w:tab w:val="clear" w:pos="855"/>
        </w:tabs>
        <w:ind w:left="851" w:hanging="851"/>
        <w:rPr>
          <w:b/>
          <w:sz w:val="24"/>
          <w:szCs w:val="24"/>
        </w:rPr>
      </w:pPr>
      <w:proofErr w:type="spellStart"/>
      <w:r w:rsidRPr="00252A39">
        <w:rPr>
          <w:b/>
          <w:sz w:val="24"/>
          <w:szCs w:val="24"/>
        </w:rPr>
        <w:t>Farmakokinetiske</w:t>
      </w:r>
      <w:proofErr w:type="spellEnd"/>
      <w:r w:rsidRPr="00252A39">
        <w:rPr>
          <w:b/>
          <w:sz w:val="24"/>
          <w:szCs w:val="24"/>
        </w:rPr>
        <w:t xml:space="preserve"> egenskaber</w:t>
      </w:r>
    </w:p>
    <w:p w:rsidR="00DF5345" w:rsidRPr="003A5F98" w:rsidRDefault="00DF5345" w:rsidP="00DF5345">
      <w:pPr>
        <w:ind w:left="851"/>
        <w:rPr>
          <w:sz w:val="24"/>
          <w:szCs w:val="24"/>
          <w:u w:val="single"/>
        </w:rPr>
      </w:pPr>
      <w:r w:rsidRPr="003A5F98">
        <w:rPr>
          <w:sz w:val="24"/>
          <w:szCs w:val="24"/>
          <w:u w:val="single"/>
        </w:rPr>
        <w:t>Absorption</w:t>
      </w:r>
    </w:p>
    <w:p w:rsidR="00DF5345" w:rsidRPr="003A5F98" w:rsidRDefault="00DF5345" w:rsidP="00DF5345">
      <w:pPr>
        <w:ind w:left="851" w:hanging="851"/>
        <w:rPr>
          <w:sz w:val="24"/>
          <w:szCs w:val="24"/>
        </w:rPr>
      </w:pPr>
      <w:r w:rsidRPr="003A5F98">
        <w:rPr>
          <w:sz w:val="24"/>
          <w:szCs w:val="24"/>
        </w:rPr>
        <w:tab/>
        <w:t xml:space="preserve">Efter peroral indtagelse af </w:t>
      </w:r>
      <w:r w:rsidR="00A0778C">
        <w:rPr>
          <w:noProof/>
          <w:sz w:val="24"/>
          <w:szCs w:val="24"/>
        </w:rPr>
        <w:t>Mirtazapin</w:t>
      </w:r>
      <w:r w:rsidR="002E190A">
        <w:rPr>
          <w:noProof/>
          <w:sz w:val="24"/>
          <w:szCs w:val="24"/>
        </w:rPr>
        <w:t xml:space="preserve"> ”Paranova”</w:t>
      </w:r>
      <w:r w:rsidRPr="003A5F98">
        <w:rPr>
          <w:noProof/>
          <w:sz w:val="24"/>
          <w:szCs w:val="24"/>
        </w:rPr>
        <w:t xml:space="preserve"> </w:t>
      </w:r>
      <w:r w:rsidRPr="003A5F98">
        <w:rPr>
          <w:sz w:val="24"/>
          <w:szCs w:val="24"/>
        </w:rPr>
        <w:t xml:space="preserve">absorberes det aktive stof </w:t>
      </w:r>
      <w:proofErr w:type="spellStart"/>
      <w:r w:rsidRPr="003A5F98">
        <w:rPr>
          <w:sz w:val="24"/>
          <w:szCs w:val="24"/>
        </w:rPr>
        <w:t>mirtazapin</w:t>
      </w:r>
      <w:proofErr w:type="spellEnd"/>
      <w:r w:rsidRPr="003A5F98">
        <w:rPr>
          <w:sz w:val="24"/>
          <w:szCs w:val="24"/>
        </w:rPr>
        <w:t xml:space="preserve"> hurtigt og godt (biotilgængelighed ≈ 50 %), og maksimale plasmaniveauer nås efter ca. to timer. Indtagelse af føde har ikke nogen indflydelse på </w:t>
      </w:r>
      <w:proofErr w:type="spellStart"/>
      <w:r w:rsidRPr="003A5F98">
        <w:rPr>
          <w:sz w:val="24"/>
          <w:szCs w:val="24"/>
        </w:rPr>
        <w:t>mirtazapins</w:t>
      </w:r>
      <w:proofErr w:type="spellEnd"/>
      <w:r w:rsidRPr="003A5F98">
        <w:rPr>
          <w:sz w:val="24"/>
          <w:szCs w:val="24"/>
        </w:rPr>
        <w:t xml:space="preserve"> farmakokinetik. </w:t>
      </w:r>
    </w:p>
    <w:p w:rsidR="00DF5345" w:rsidRPr="003A5F98" w:rsidRDefault="00DF5345" w:rsidP="00DF5345">
      <w:pPr>
        <w:ind w:left="851" w:hanging="851"/>
        <w:rPr>
          <w:sz w:val="24"/>
          <w:szCs w:val="24"/>
        </w:rPr>
      </w:pPr>
    </w:p>
    <w:p w:rsidR="00DF5345" w:rsidRPr="003A5F98" w:rsidRDefault="00DF5345" w:rsidP="00DF5345">
      <w:pPr>
        <w:ind w:left="851"/>
        <w:rPr>
          <w:sz w:val="24"/>
          <w:szCs w:val="24"/>
          <w:u w:val="single"/>
        </w:rPr>
      </w:pPr>
      <w:r w:rsidRPr="003A5F98">
        <w:rPr>
          <w:sz w:val="24"/>
          <w:szCs w:val="24"/>
          <w:u w:val="single"/>
        </w:rPr>
        <w:t>Fordeling</w:t>
      </w:r>
    </w:p>
    <w:p w:rsidR="00DF5345" w:rsidRPr="003A5F98" w:rsidRDefault="00DF5345" w:rsidP="00DF5345">
      <w:pPr>
        <w:ind w:left="851"/>
        <w:rPr>
          <w:sz w:val="24"/>
          <w:szCs w:val="24"/>
        </w:rPr>
      </w:pPr>
      <w:r w:rsidRPr="003A5F98">
        <w:rPr>
          <w:sz w:val="24"/>
          <w:szCs w:val="24"/>
        </w:rPr>
        <w:t xml:space="preserve">Ca. 85 % af </w:t>
      </w:r>
      <w:proofErr w:type="spellStart"/>
      <w:r w:rsidRPr="003A5F98">
        <w:rPr>
          <w:sz w:val="24"/>
          <w:szCs w:val="24"/>
        </w:rPr>
        <w:t>mirtazapin</w:t>
      </w:r>
      <w:proofErr w:type="spellEnd"/>
      <w:r w:rsidRPr="003A5F98">
        <w:rPr>
          <w:sz w:val="24"/>
          <w:szCs w:val="24"/>
        </w:rPr>
        <w:t xml:space="preserve"> bindes til plasmaproteiner. </w:t>
      </w:r>
    </w:p>
    <w:p w:rsidR="00DF5345" w:rsidRPr="003A5F98" w:rsidRDefault="00DF5345" w:rsidP="00DF5345">
      <w:pPr>
        <w:ind w:left="851"/>
        <w:rPr>
          <w:sz w:val="24"/>
          <w:szCs w:val="24"/>
        </w:rPr>
      </w:pPr>
    </w:p>
    <w:p w:rsidR="00DF5345" w:rsidRPr="003A5F98" w:rsidRDefault="00DF5345" w:rsidP="00DF5345">
      <w:pPr>
        <w:ind w:left="851"/>
        <w:rPr>
          <w:iCs/>
          <w:sz w:val="24"/>
          <w:szCs w:val="24"/>
          <w:u w:val="single"/>
        </w:rPr>
      </w:pPr>
      <w:r w:rsidRPr="003A5F98">
        <w:rPr>
          <w:iCs/>
          <w:sz w:val="24"/>
          <w:szCs w:val="24"/>
          <w:u w:val="single"/>
        </w:rPr>
        <w:t>Biotransformation</w:t>
      </w:r>
    </w:p>
    <w:p w:rsidR="00DF5345" w:rsidRPr="003A5F98" w:rsidRDefault="00DF5345" w:rsidP="00DF5345">
      <w:pPr>
        <w:ind w:left="851"/>
        <w:rPr>
          <w:iCs/>
          <w:sz w:val="24"/>
          <w:szCs w:val="24"/>
        </w:rPr>
      </w:pPr>
      <w:proofErr w:type="spellStart"/>
      <w:r w:rsidRPr="003A5F98">
        <w:rPr>
          <w:iCs/>
          <w:sz w:val="24"/>
          <w:szCs w:val="24"/>
        </w:rPr>
        <w:t>Hovedbiotransformationsvejene</w:t>
      </w:r>
      <w:proofErr w:type="spellEnd"/>
      <w:r w:rsidRPr="003A5F98">
        <w:rPr>
          <w:iCs/>
          <w:sz w:val="24"/>
          <w:szCs w:val="24"/>
        </w:rPr>
        <w:t xml:space="preserve"> er </w:t>
      </w:r>
      <w:proofErr w:type="spellStart"/>
      <w:r w:rsidRPr="003A5F98">
        <w:rPr>
          <w:iCs/>
          <w:sz w:val="24"/>
          <w:szCs w:val="24"/>
        </w:rPr>
        <w:t>demethylering</w:t>
      </w:r>
      <w:proofErr w:type="spellEnd"/>
      <w:r w:rsidRPr="003A5F98">
        <w:rPr>
          <w:iCs/>
          <w:sz w:val="24"/>
          <w:szCs w:val="24"/>
        </w:rPr>
        <w:t xml:space="preserve"> og oxidering, efterfulgt af </w:t>
      </w:r>
      <w:proofErr w:type="spellStart"/>
      <w:r w:rsidRPr="003A5F98">
        <w:rPr>
          <w:iCs/>
          <w:sz w:val="24"/>
          <w:szCs w:val="24"/>
        </w:rPr>
        <w:t>konjugering</w:t>
      </w:r>
      <w:proofErr w:type="spellEnd"/>
      <w:r w:rsidRPr="003A5F98">
        <w:rPr>
          <w:iCs/>
          <w:sz w:val="24"/>
          <w:szCs w:val="24"/>
        </w:rPr>
        <w:t xml:space="preserve">. </w:t>
      </w:r>
      <w:r w:rsidRPr="003A5F98">
        <w:rPr>
          <w:i/>
          <w:sz w:val="24"/>
          <w:szCs w:val="24"/>
        </w:rPr>
        <w:t xml:space="preserve">In </w:t>
      </w:r>
      <w:proofErr w:type="spellStart"/>
      <w:r w:rsidRPr="003A5F98">
        <w:rPr>
          <w:i/>
          <w:sz w:val="24"/>
          <w:szCs w:val="24"/>
        </w:rPr>
        <w:t>vitro</w:t>
      </w:r>
      <w:proofErr w:type="spellEnd"/>
      <w:r w:rsidRPr="003A5F98">
        <w:rPr>
          <w:i/>
          <w:sz w:val="24"/>
          <w:szCs w:val="24"/>
        </w:rPr>
        <w:t xml:space="preserve"> </w:t>
      </w:r>
      <w:r w:rsidRPr="003A5F98">
        <w:rPr>
          <w:iCs/>
          <w:sz w:val="24"/>
          <w:szCs w:val="24"/>
        </w:rPr>
        <w:t xml:space="preserve">data fra humane </w:t>
      </w:r>
      <w:proofErr w:type="spellStart"/>
      <w:r w:rsidRPr="003A5F98">
        <w:rPr>
          <w:iCs/>
          <w:sz w:val="24"/>
          <w:szCs w:val="24"/>
        </w:rPr>
        <w:t>levermikrosomer</w:t>
      </w:r>
      <w:proofErr w:type="spellEnd"/>
      <w:r w:rsidRPr="003A5F98">
        <w:rPr>
          <w:iCs/>
          <w:sz w:val="24"/>
          <w:szCs w:val="24"/>
        </w:rPr>
        <w:t xml:space="preserve"> indikerer at </w:t>
      </w:r>
      <w:proofErr w:type="spellStart"/>
      <w:r w:rsidRPr="003A5F98">
        <w:rPr>
          <w:iCs/>
          <w:sz w:val="24"/>
          <w:szCs w:val="24"/>
        </w:rPr>
        <w:t>cytokrom</w:t>
      </w:r>
      <w:proofErr w:type="spellEnd"/>
      <w:r w:rsidRPr="003A5F98">
        <w:rPr>
          <w:iCs/>
          <w:sz w:val="24"/>
          <w:szCs w:val="24"/>
        </w:rPr>
        <w:t xml:space="preserve"> P450-enzymerne CYP2D6 og CYP1A2 er involveret i dannelsen af 8-hydroxy-metabolitten af </w:t>
      </w:r>
      <w:proofErr w:type="spellStart"/>
      <w:r w:rsidRPr="003A5F98">
        <w:rPr>
          <w:iCs/>
          <w:sz w:val="24"/>
          <w:szCs w:val="24"/>
        </w:rPr>
        <w:t>mirtazapin</w:t>
      </w:r>
      <w:proofErr w:type="spellEnd"/>
      <w:r w:rsidRPr="003A5F98">
        <w:rPr>
          <w:iCs/>
          <w:sz w:val="24"/>
          <w:szCs w:val="24"/>
        </w:rPr>
        <w:t xml:space="preserve">, hvorimod CYP3A4 anses for at være ansvarlig for dannelsen af N-demethyl- og N-oxid-metabolitterne. Demethyl-metabolitten er farmakologisk aktiv og synes at have den samme </w:t>
      </w:r>
      <w:proofErr w:type="spellStart"/>
      <w:r w:rsidRPr="003A5F98">
        <w:rPr>
          <w:iCs/>
          <w:sz w:val="24"/>
          <w:szCs w:val="24"/>
        </w:rPr>
        <w:t>farmakokinetiske</w:t>
      </w:r>
      <w:proofErr w:type="spellEnd"/>
      <w:r w:rsidRPr="003A5F98">
        <w:rPr>
          <w:iCs/>
          <w:sz w:val="24"/>
          <w:szCs w:val="24"/>
        </w:rPr>
        <w:t xml:space="preserve"> profil som det oprindelige stof.</w:t>
      </w:r>
    </w:p>
    <w:p w:rsidR="00DF5345" w:rsidRPr="003A5F98" w:rsidRDefault="00DF5345" w:rsidP="00DF5345">
      <w:pPr>
        <w:ind w:left="851"/>
        <w:rPr>
          <w:sz w:val="24"/>
          <w:szCs w:val="24"/>
        </w:rPr>
      </w:pPr>
    </w:p>
    <w:p w:rsidR="00DF5345" w:rsidRPr="003A5F98" w:rsidRDefault="00DF5345" w:rsidP="00DF5345">
      <w:pPr>
        <w:ind w:left="851"/>
        <w:rPr>
          <w:sz w:val="24"/>
          <w:szCs w:val="24"/>
          <w:u w:val="single"/>
        </w:rPr>
      </w:pPr>
      <w:r w:rsidRPr="003A5F98">
        <w:rPr>
          <w:sz w:val="24"/>
          <w:szCs w:val="24"/>
          <w:u w:val="single"/>
        </w:rPr>
        <w:t>Elimination</w:t>
      </w:r>
    </w:p>
    <w:p w:rsidR="00DF5345" w:rsidRPr="003A5F98" w:rsidRDefault="00DF5345" w:rsidP="00DF5345">
      <w:pPr>
        <w:ind w:left="851"/>
        <w:rPr>
          <w:sz w:val="24"/>
          <w:szCs w:val="24"/>
        </w:rPr>
      </w:pPr>
      <w:proofErr w:type="spellStart"/>
      <w:r w:rsidRPr="003A5F98">
        <w:rPr>
          <w:iCs/>
          <w:sz w:val="24"/>
          <w:szCs w:val="24"/>
        </w:rPr>
        <w:t>Mirtazapin</w:t>
      </w:r>
      <w:proofErr w:type="spellEnd"/>
      <w:r w:rsidRPr="003A5F98">
        <w:rPr>
          <w:iCs/>
          <w:sz w:val="24"/>
          <w:szCs w:val="24"/>
        </w:rPr>
        <w:t xml:space="preserve"> </w:t>
      </w:r>
      <w:proofErr w:type="spellStart"/>
      <w:r w:rsidRPr="003A5F98">
        <w:rPr>
          <w:iCs/>
          <w:sz w:val="24"/>
          <w:szCs w:val="24"/>
        </w:rPr>
        <w:t>metaboliseres</w:t>
      </w:r>
      <w:proofErr w:type="spellEnd"/>
      <w:r w:rsidRPr="003A5F98">
        <w:rPr>
          <w:iCs/>
          <w:sz w:val="24"/>
          <w:szCs w:val="24"/>
        </w:rPr>
        <w:t xml:space="preserve"> i udstrakt grad og udskilles via urinen og afføringen inden for få dage.</w:t>
      </w:r>
      <w:r w:rsidRPr="003A5F98">
        <w:rPr>
          <w:sz w:val="24"/>
          <w:szCs w:val="24"/>
        </w:rPr>
        <w:t xml:space="preserve"> Den gennemsnitlige halveringstid er på 20-40 timer, men der er lejlighedsvis konstateret længere halveringstider på op til 65 timer, og kortere halveringstider er set hos unge mænd. Halveringstiden er tilstrækkelig til at begrunde doseringen med én daglig dosis. </w:t>
      </w:r>
      <w:proofErr w:type="spellStart"/>
      <w:r w:rsidRPr="003A5F98">
        <w:rPr>
          <w:sz w:val="24"/>
          <w:szCs w:val="24"/>
        </w:rPr>
        <w:t>Steady-state</w:t>
      </w:r>
      <w:proofErr w:type="spellEnd"/>
      <w:r w:rsidRPr="003A5F98">
        <w:rPr>
          <w:sz w:val="24"/>
          <w:szCs w:val="24"/>
        </w:rPr>
        <w:t xml:space="preserve"> nås efter 3-4 dage, hvorefter der ikke sker yderligere akkumulation. </w:t>
      </w:r>
    </w:p>
    <w:p w:rsidR="00DF5345" w:rsidRPr="003A5F98" w:rsidRDefault="00DF5345" w:rsidP="00DF5345">
      <w:pPr>
        <w:ind w:left="851"/>
        <w:rPr>
          <w:sz w:val="24"/>
          <w:szCs w:val="24"/>
        </w:rPr>
      </w:pPr>
    </w:p>
    <w:p w:rsidR="00DF5345" w:rsidRPr="003A5F98" w:rsidRDefault="00DF5345" w:rsidP="00DF5345">
      <w:pPr>
        <w:ind w:left="851"/>
        <w:rPr>
          <w:sz w:val="24"/>
          <w:szCs w:val="24"/>
          <w:u w:val="single"/>
        </w:rPr>
      </w:pPr>
      <w:r w:rsidRPr="003A5F98">
        <w:rPr>
          <w:sz w:val="24"/>
          <w:szCs w:val="24"/>
          <w:u w:val="single"/>
        </w:rPr>
        <w:t>Linearitet/non-linearitet</w:t>
      </w:r>
    </w:p>
    <w:p w:rsidR="00DF5345" w:rsidRPr="003A5F98" w:rsidRDefault="00DF5345" w:rsidP="00DF5345">
      <w:pPr>
        <w:ind w:left="851"/>
        <w:rPr>
          <w:sz w:val="24"/>
          <w:szCs w:val="24"/>
        </w:rPr>
      </w:pPr>
      <w:proofErr w:type="spellStart"/>
      <w:r w:rsidRPr="003A5F98">
        <w:rPr>
          <w:sz w:val="24"/>
          <w:szCs w:val="24"/>
        </w:rPr>
        <w:t>Mirtazapin</w:t>
      </w:r>
      <w:proofErr w:type="spellEnd"/>
      <w:r w:rsidRPr="003A5F98">
        <w:rPr>
          <w:sz w:val="24"/>
          <w:szCs w:val="24"/>
        </w:rPr>
        <w:t xml:space="preserve"> udviser lineær farmakokinetik inden for den anbefalede dosering. </w:t>
      </w:r>
    </w:p>
    <w:p w:rsidR="00DF5345" w:rsidRPr="003A5F98" w:rsidRDefault="00DF5345" w:rsidP="00DF5345">
      <w:pPr>
        <w:rPr>
          <w:sz w:val="24"/>
          <w:szCs w:val="24"/>
        </w:rPr>
      </w:pPr>
    </w:p>
    <w:p w:rsidR="00DF5345" w:rsidRPr="003A5F98" w:rsidRDefault="00DF5345" w:rsidP="00DF5345">
      <w:pPr>
        <w:ind w:left="851" w:hanging="851"/>
        <w:rPr>
          <w:sz w:val="24"/>
          <w:szCs w:val="24"/>
          <w:u w:val="single"/>
        </w:rPr>
      </w:pPr>
      <w:r w:rsidRPr="003A5F98">
        <w:rPr>
          <w:sz w:val="24"/>
          <w:szCs w:val="24"/>
        </w:rPr>
        <w:tab/>
      </w:r>
      <w:r w:rsidRPr="003A5F98">
        <w:rPr>
          <w:sz w:val="24"/>
          <w:szCs w:val="24"/>
          <w:u w:val="single"/>
        </w:rPr>
        <w:t>Særlige populationer</w:t>
      </w:r>
    </w:p>
    <w:p w:rsidR="00DF5345" w:rsidRPr="003A5F98" w:rsidRDefault="00DF5345" w:rsidP="00DF5345">
      <w:pPr>
        <w:ind w:left="851"/>
        <w:rPr>
          <w:iCs/>
          <w:sz w:val="24"/>
          <w:szCs w:val="24"/>
        </w:rPr>
      </w:pPr>
      <w:proofErr w:type="spellStart"/>
      <w:r w:rsidRPr="003A5F98">
        <w:rPr>
          <w:iCs/>
          <w:sz w:val="24"/>
          <w:szCs w:val="24"/>
        </w:rPr>
        <w:t>Mirtazapins</w:t>
      </w:r>
      <w:proofErr w:type="spellEnd"/>
      <w:r w:rsidRPr="003A5F98">
        <w:rPr>
          <w:iCs/>
          <w:sz w:val="24"/>
          <w:szCs w:val="24"/>
        </w:rPr>
        <w:t xml:space="preserve"> </w:t>
      </w:r>
      <w:proofErr w:type="spellStart"/>
      <w:r w:rsidRPr="003A5F98">
        <w:rPr>
          <w:iCs/>
          <w:sz w:val="24"/>
          <w:szCs w:val="24"/>
        </w:rPr>
        <w:t>clearance</w:t>
      </w:r>
      <w:proofErr w:type="spellEnd"/>
      <w:r w:rsidRPr="003A5F98">
        <w:rPr>
          <w:iCs/>
          <w:sz w:val="24"/>
          <w:szCs w:val="24"/>
        </w:rPr>
        <w:t xml:space="preserve"> kan være nedsat som et resultat af nyre- eller leverinsufficiens.</w:t>
      </w:r>
    </w:p>
    <w:p w:rsidR="00DF5345" w:rsidRPr="00252A39" w:rsidRDefault="00DF5345" w:rsidP="00DF5345">
      <w:pPr>
        <w:ind w:left="851" w:hanging="851"/>
        <w:rPr>
          <w:sz w:val="24"/>
          <w:szCs w:val="24"/>
        </w:rPr>
      </w:pPr>
    </w:p>
    <w:p w:rsidR="00DF5345" w:rsidRPr="00252A39" w:rsidRDefault="009E02EA" w:rsidP="00DF5345">
      <w:pPr>
        <w:numPr>
          <w:ilvl w:val="1"/>
          <w:numId w:val="4"/>
        </w:numPr>
        <w:tabs>
          <w:tab w:val="clear" w:pos="855"/>
        </w:tabs>
        <w:ind w:left="851" w:hanging="851"/>
        <w:rPr>
          <w:b/>
          <w:sz w:val="24"/>
          <w:szCs w:val="24"/>
        </w:rPr>
      </w:pPr>
      <w:r>
        <w:rPr>
          <w:b/>
          <w:sz w:val="24"/>
          <w:szCs w:val="24"/>
        </w:rPr>
        <w:t>Non-</w:t>
      </w:r>
      <w:r w:rsidR="00DF5345" w:rsidRPr="00252A39">
        <w:rPr>
          <w:b/>
          <w:sz w:val="24"/>
          <w:szCs w:val="24"/>
        </w:rPr>
        <w:t>kliniske sikkerhedsdata</w:t>
      </w:r>
    </w:p>
    <w:p w:rsidR="00DF5345" w:rsidRPr="003A5F98" w:rsidRDefault="00DF5345" w:rsidP="00DF5345">
      <w:pPr>
        <w:ind w:left="851"/>
        <w:rPr>
          <w:sz w:val="24"/>
          <w:szCs w:val="24"/>
        </w:rPr>
      </w:pPr>
      <w:r w:rsidRPr="003A5F98">
        <w:rPr>
          <w:sz w:val="24"/>
          <w:szCs w:val="24"/>
        </w:rPr>
        <w:t xml:space="preserve">De non-kliniske data afslører ingen speciel fare for mennesker på baggrund af konventionelle studier af sikkerhedsfarmakologi, gentagen dosistoksicitet, genotoksicitet, potentielt </w:t>
      </w:r>
      <w:proofErr w:type="spellStart"/>
      <w:r w:rsidRPr="003A5F98">
        <w:rPr>
          <w:sz w:val="24"/>
          <w:szCs w:val="24"/>
        </w:rPr>
        <w:t>karcinogenicitet</w:t>
      </w:r>
      <w:proofErr w:type="spellEnd"/>
      <w:r w:rsidRPr="003A5F98">
        <w:rPr>
          <w:sz w:val="24"/>
          <w:szCs w:val="24"/>
        </w:rPr>
        <w:t xml:space="preserve"> samt reproduktions- og udviklingstoksicitet.</w:t>
      </w:r>
    </w:p>
    <w:p w:rsidR="00DF5345" w:rsidRPr="003A5F98" w:rsidRDefault="00DF5345" w:rsidP="00DF5345">
      <w:pPr>
        <w:ind w:left="851"/>
        <w:rPr>
          <w:sz w:val="24"/>
          <w:szCs w:val="24"/>
        </w:rPr>
      </w:pPr>
      <w:r w:rsidRPr="003A5F98">
        <w:rPr>
          <w:sz w:val="24"/>
          <w:szCs w:val="24"/>
        </w:rPr>
        <w:t xml:space="preserve">I reproduktionstoksicitetsstudier på rotter og kaniner påvistes ingen </w:t>
      </w:r>
      <w:proofErr w:type="spellStart"/>
      <w:r w:rsidRPr="003A5F98">
        <w:rPr>
          <w:sz w:val="24"/>
          <w:szCs w:val="24"/>
        </w:rPr>
        <w:t>teratogen</w:t>
      </w:r>
      <w:proofErr w:type="spellEnd"/>
      <w:r w:rsidRPr="003A5F98">
        <w:rPr>
          <w:sz w:val="24"/>
          <w:szCs w:val="24"/>
        </w:rPr>
        <w:t xml:space="preserve"> effekt. Ved dobbelt systemisk eksponering sammenlignet med maksimal human terapeutisk eksponering, var der en stigning i postimplantationstab, et fald i ungernes fødselsvægt og en reduktion i ungernes overlevelse de første tre dage af diegivningen hos rotter.</w:t>
      </w:r>
    </w:p>
    <w:p w:rsidR="00DF5345" w:rsidRDefault="00DF5345" w:rsidP="00DF5345">
      <w:pPr>
        <w:ind w:left="851" w:hanging="851"/>
        <w:rPr>
          <w:sz w:val="24"/>
          <w:szCs w:val="24"/>
        </w:rPr>
      </w:pPr>
    </w:p>
    <w:p w:rsidR="00DF5345" w:rsidRDefault="00DF5345" w:rsidP="00DF5345">
      <w:pPr>
        <w:ind w:left="851"/>
        <w:rPr>
          <w:sz w:val="24"/>
          <w:szCs w:val="24"/>
        </w:rPr>
      </w:pPr>
      <w:proofErr w:type="spellStart"/>
      <w:r w:rsidRPr="00252A39">
        <w:rPr>
          <w:sz w:val="24"/>
          <w:szCs w:val="24"/>
        </w:rPr>
        <w:t>Mirtazapin</w:t>
      </w:r>
      <w:proofErr w:type="spellEnd"/>
      <w:r w:rsidRPr="00252A39">
        <w:rPr>
          <w:sz w:val="24"/>
          <w:szCs w:val="24"/>
        </w:rPr>
        <w:t xml:space="preserve"> udviste ikke genotoksicitet i en række tests for genmutation og kromosom- og DNA-skader. Fundet af tumorer i skjoldbruskkirtlen i et </w:t>
      </w:r>
      <w:proofErr w:type="spellStart"/>
      <w:r w:rsidRPr="00252A39">
        <w:rPr>
          <w:sz w:val="24"/>
          <w:szCs w:val="24"/>
        </w:rPr>
        <w:t>carcinogenicitetsstudie</w:t>
      </w:r>
      <w:proofErr w:type="spellEnd"/>
      <w:r w:rsidRPr="00252A39">
        <w:rPr>
          <w:sz w:val="24"/>
          <w:szCs w:val="24"/>
        </w:rPr>
        <w:t xml:space="preserve"> på rotter og fundet af </w:t>
      </w:r>
      <w:proofErr w:type="spellStart"/>
      <w:r w:rsidRPr="00252A39">
        <w:rPr>
          <w:sz w:val="24"/>
          <w:szCs w:val="24"/>
        </w:rPr>
        <w:t>hepatocellulære</w:t>
      </w:r>
      <w:proofErr w:type="spellEnd"/>
      <w:r w:rsidRPr="00252A39">
        <w:rPr>
          <w:sz w:val="24"/>
          <w:szCs w:val="24"/>
        </w:rPr>
        <w:t xml:space="preserve"> neoplasmer i et </w:t>
      </w:r>
      <w:proofErr w:type="spellStart"/>
      <w:r w:rsidRPr="00252A39">
        <w:rPr>
          <w:sz w:val="24"/>
          <w:szCs w:val="24"/>
        </w:rPr>
        <w:t>carcinogenicitetsstudie</w:t>
      </w:r>
      <w:proofErr w:type="spellEnd"/>
      <w:r w:rsidRPr="00252A39">
        <w:rPr>
          <w:sz w:val="24"/>
          <w:szCs w:val="24"/>
        </w:rPr>
        <w:t xml:space="preserve"> på mus anses for at være artsbestemt, non-genotoksisk respons i forbindelse med langtidsbehandling med høje doser af leverenzyminduktorer.</w:t>
      </w:r>
    </w:p>
    <w:p w:rsidR="00DF5345" w:rsidRDefault="00DF5345" w:rsidP="00DF5345">
      <w:pPr>
        <w:ind w:left="851"/>
        <w:rPr>
          <w:sz w:val="24"/>
          <w:szCs w:val="24"/>
        </w:rPr>
      </w:pPr>
    </w:p>
    <w:p w:rsidR="00DF5345" w:rsidRDefault="00DF5345" w:rsidP="00DF5345">
      <w:pPr>
        <w:ind w:left="851"/>
        <w:rPr>
          <w:b/>
          <w:sz w:val="24"/>
          <w:szCs w:val="24"/>
        </w:rPr>
      </w:pPr>
    </w:p>
    <w:p w:rsidR="00DF5345" w:rsidRPr="001B3F3A" w:rsidRDefault="00DF5345" w:rsidP="00DF5345">
      <w:pPr>
        <w:numPr>
          <w:ilvl w:val="0"/>
          <w:numId w:val="3"/>
        </w:numPr>
        <w:rPr>
          <w:b/>
          <w:sz w:val="24"/>
          <w:szCs w:val="24"/>
        </w:rPr>
      </w:pPr>
      <w:r w:rsidRPr="001B3F3A">
        <w:rPr>
          <w:b/>
          <w:sz w:val="24"/>
          <w:szCs w:val="24"/>
        </w:rPr>
        <w:t>FARMACEUTISKE OPLYSNINGER</w:t>
      </w:r>
    </w:p>
    <w:p w:rsidR="00DF5345" w:rsidRPr="001B3F3A" w:rsidRDefault="00DF5345" w:rsidP="00DF5345">
      <w:pPr>
        <w:ind w:left="851" w:hanging="851"/>
        <w:rPr>
          <w:b/>
          <w:sz w:val="24"/>
          <w:szCs w:val="24"/>
        </w:rPr>
      </w:pPr>
    </w:p>
    <w:p w:rsidR="00DF5345" w:rsidRPr="001B3F3A" w:rsidRDefault="00DF5345" w:rsidP="00DF5345">
      <w:pPr>
        <w:numPr>
          <w:ilvl w:val="1"/>
          <w:numId w:val="5"/>
        </w:numPr>
        <w:tabs>
          <w:tab w:val="clear" w:pos="855"/>
        </w:tabs>
        <w:ind w:left="851" w:hanging="851"/>
        <w:rPr>
          <w:b/>
          <w:sz w:val="24"/>
          <w:szCs w:val="24"/>
        </w:rPr>
      </w:pPr>
      <w:r w:rsidRPr="001B3F3A">
        <w:rPr>
          <w:b/>
          <w:sz w:val="24"/>
          <w:szCs w:val="24"/>
        </w:rPr>
        <w:t>Hjælpestoffer</w:t>
      </w:r>
    </w:p>
    <w:p w:rsidR="00DF5345" w:rsidRPr="001B3F3A" w:rsidRDefault="00DF5345" w:rsidP="00DF5345">
      <w:pPr>
        <w:suppressAutoHyphens/>
        <w:ind w:left="851" w:hanging="851"/>
        <w:rPr>
          <w:sz w:val="24"/>
          <w:szCs w:val="24"/>
        </w:rPr>
      </w:pPr>
      <w:r w:rsidRPr="001B3F3A">
        <w:rPr>
          <w:sz w:val="24"/>
          <w:szCs w:val="24"/>
        </w:rPr>
        <w:tab/>
      </w:r>
      <w:proofErr w:type="spellStart"/>
      <w:r w:rsidRPr="001B3F3A">
        <w:rPr>
          <w:sz w:val="24"/>
          <w:szCs w:val="24"/>
        </w:rPr>
        <w:t>Lactosemonohydrat</w:t>
      </w:r>
      <w:proofErr w:type="spellEnd"/>
    </w:p>
    <w:p w:rsidR="00DF5345" w:rsidRPr="001B3F3A" w:rsidRDefault="00DF5345" w:rsidP="00DF5345">
      <w:pPr>
        <w:suppressAutoHyphens/>
        <w:ind w:left="851"/>
        <w:rPr>
          <w:sz w:val="24"/>
          <w:szCs w:val="24"/>
        </w:rPr>
      </w:pPr>
      <w:proofErr w:type="spellStart"/>
      <w:r w:rsidRPr="001B3F3A">
        <w:rPr>
          <w:sz w:val="24"/>
          <w:szCs w:val="24"/>
        </w:rPr>
        <w:t>Ethylcellulose</w:t>
      </w:r>
      <w:proofErr w:type="spellEnd"/>
    </w:p>
    <w:p w:rsidR="00DF5345" w:rsidRPr="001B3F3A" w:rsidRDefault="00DF5345" w:rsidP="00DF5345">
      <w:pPr>
        <w:suppressAutoHyphens/>
        <w:ind w:left="851"/>
        <w:rPr>
          <w:sz w:val="24"/>
          <w:szCs w:val="24"/>
        </w:rPr>
      </w:pPr>
      <w:proofErr w:type="spellStart"/>
      <w:r w:rsidRPr="001B3F3A">
        <w:rPr>
          <w:sz w:val="24"/>
          <w:szCs w:val="24"/>
        </w:rPr>
        <w:t>Mannitol</w:t>
      </w:r>
      <w:proofErr w:type="spellEnd"/>
      <w:r w:rsidRPr="001B3F3A">
        <w:rPr>
          <w:sz w:val="24"/>
          <w:szCs w:val="24"/>
        </w:rPr>
        <w:t xml:space="preserve"> (E421)</w:t>
      </w:r>
    </w:p>
    <w:p w:rsidR="00DF5345" w:rsidRPr="001B3F3A" w:rsidRDefault="00DF5345" w:rsidP="00DF5345">
      <w:pPr>
        <w:suppressAutoHyphens/>
        <w:ind w:left="851"/>
        <w:rPr>
          <w:sz w:val="24"/>
          <w:szCs w:val="24"/>
        </w:rPr>
      </w:pPr>
      <w:r w:rsidRPr="001B3F3A">
        <w:rPr>
          <w:sz w:val="24"/>
          <w:szCs w:val="24"/>
        </w:rPr>
        <w:t>Sorbitol (E420)</w:t>
      </w:r>
    </w:p>
    <w:p w:rsidR="00DF5345" w:rsidRPr="001B3F3A" w:rsidRDefault="00DF5345" w:rsidP="00DF5345">
      <w:pPr>
        <w:suppressAutoHyphens/>
        <w:ind w:left="851"/>
        <w:rPr>
          <w:sz w:val="24"/>
          <w:szCs w:val="24"/>
        </w:rPr>
      </w:pPr>
      <w:proofErr w:type="spellStart"/>
      <w:r w:rsidRPr="001B3F3A">
        <w:rPr>
          <w:sz w:val="24"/>
          <w:szCs w:val="24"/>
        </w:rPr>
        <w:t>Crospovidon</w:t>
      </w:r>
      <w:proofErr w:type="spellEnd"/>
    </w:p>
    <w:p w:rsidR="00DF5345" w:rsidRPr="001B3F3A" w:rsidRDefault="00DF5345" w:rsidP="00DF5345">
      <w:pPr>
        <w:suppressAutoHyphens/>
        <w:ind w:left="851"/>
        <w:rPr>
          <w:sz w:val="24"/>
          <w:szCs w:val="24"/>
        </w:rPr>
      </w:pPr>
      <w:proofErr w:type="spellStart"/>
      <w:r>
        <w:rPr>
          <w:sz w:val="24"/>
          <w:szCs w:val="24"/>
        </w:rPr>
        <w:t>S</w:t>
      </w:r>
      <w:r w:rsidRPr="001B3F3A">
        <w:rPr>
          <w:sz w:val="24"/>
          <w:szCs w:val="24"/>
        </w:rPr>
        <w:t>ilica</w:t>
      </w:r>
      <w:proofErr w:type="spellEnd"/>
      <w:r>
        <w:rPr>
          <w:sz w:val="24"/>
          <w:szCs w:val="24"/>
        </w:rPr>
        <w:t>, kolloid</w:t>
      </w:r>
    </w:p>
    <w:p w:rsidR="00DF5345" w:rsidRPr="001B3F3A" w:rsidRDefault="00DF5345" w:rsidP="00DF5345">
      <w:pPr>
        <w:suppressAutoHyphens/>
        <w:ind w:left="851"/>
        <w:rPr>
          <w:sz w:val="24"/>
          <w:szCs w:val="24"/>
        </w:rPr>
      </w:pPr>
      <w:r w:rsidRPr="001B3F3A">
        <w:rPr>
          <w:sz w:val="24"/>
          <w:szCs w:val="24"/>
        </w:rPr>
        <w:t xml:space="preserve">Orangejuice smag (indeholder </w:t>
      </w:r>
      <w:proofErr w:type="spellStart"/>
      <w:r w:rsidRPr="001B3F3A">
        <w:rPr>
          <w:sz w:val="24"/>
          <w:szCs w:val="24"/>
        </w:rPr>
        <w:t>maltodextriner</w:t>
      </w:r>
      <w:proofErr w:type="spellEnd"/>
      <w:r w:rsidRPr="001B3F3A">
        <w:rPr>
          <w:sz w:val="24"/>
          <w:szCs w:val="24"/>
        </w:rPr>
        <w:t>, modificeret majsstivelse)</w:t>
      </w:r>
    </w:p>
    <w:p w:rsidR="00DF5345" w:rsidRPr="001B3F3A" w:rsidRDefault="00DF5345" w:rsidP="00DF5345">
      <w:pPr>
        <w:suppressAutoHyphens/>
        <w:ind w:left="851"/>
        <w:rPr>
          <w:sz w:val="24"/>
          <w:szCs w:val="24"/>
        </w:rPr>
      </w:pPr>
      <w:proofErr w:type="spellStart"/>
      <w:r w:rsidRPr="001B3F3A">
        <w:rPr>
          <w:sz w:val="24"/>
          <w:szCs w:val="24"/>
        </w:rPr>
        <w:t>Aspartam</w:t>
      </w:r>
      <w:proofErr w:type="spellEnd"/>
      <w:r w:rsidRPr="001B3F3A">
        <w:rPr>
          <w:sz w:val="24"/>
          <w:szCs w:val="24"/>
        </w:rPr>
        <w:t xml:space="preserve"> (E951)</w:t>
      </w:r>
    </w:p>
    <w:p w:rsidR="00DF5345" w:rsidRPr="001B3F3A" w:rsidRDefault="00DF5345" w:rsidP="00DF5345">
      <w:pPr>
        <w:suppressAutoHyphens/>
        <w:ind w:left="851"/>
        <w:rPr>
          <w:sz w:val="24"/>
          <w:szCs w:val="24"/>
        </w:rPr>
      </w:pPr>
      <w:proofErr w:type="spellStart"/>
      <w:r w:rsidRPr="001B3F3A">
        <w:rPr>
          <w:sz w:val="24"/>
          <w:szCs w:val="24"/>
        </w:rPr>
        <w:t>Magnesiumstearat</w:t>
      </w:r>
      <w:proofErr w:type="spellEnd"/>
    </w:p>
    <w:p w:rsidR="00DF5345" w:rsidRPr="001B3F3A" w:rsidRDefault="00DF5345" w:rsidP="00DF5345">
      <w:pPr>
        <w:ind w:left="851" w:hanging="851"/>
        <w:rPr>
          <w:sz w:val="24"/>
          <w:szCs w:val="24"/>
        </w:rPr>
      </w:pPr>
    </w:p>
    <w:p w:rsidR="00DF5345" w:rsidRPr="001B3F3A" w:rsidRDefault="00DF5345" w:rsidP="00DF5345">
      <w:pPr>
        <w:numPr>
          <w:ilvl w:val="1"/>
          <w:numId w:val="5"/>
        </w:numPr>
        <w:tabs>
          <w:tab w:val="clear" w:pos="855"/>
        </w:tabs>
        <w:ind w:left="851" w:hanging="851"/>
        <w:rPr>
          <w:b/>
          <w:sz w:val="24"/>
          <w:szCs w:val="24"/>
        </w:rPr>
      </w:pPr>
      <w:r w:rsidRPr="001B3F3A">
        <w:rPr>
          <w:b/>
          <w:sz w:val="24"/>
          <w:szCs w:val="24"/>
        </w:rPr>
        <w:t>Uforligeligheder</w:t>
      </w:r>
    </w:p>
    <w:p w:rsidR="00DF5345" w:rsidRPr="001B3F3A" w:rsidRDefault="00DF5345" w:rsidP="00DF5345">
      <w:pPr>
        <w:ind w:left="851" w:hanging="851"/>
        <w:rPr>
          <w:sz w:val="24"/>
          <w:szCs w:val="24"/>
        </w:rPr>
      </w:pPr>
      <w:r w:rsidRPr="001B3F3A">
        <w:rPr>
          <w:sz w:val="24"/>
          <w:szCs w:val="24"/>
        </w:rPr>
        <w:tab/>
        <w:t>Ikke relevant.</w:t>
      </w:r>
    </w:p>
    <w:p w:rsidR="00DF5345" w:rsidRPr="001B3F3A" w:rsidRDefault="00DF5345" w:rsidP="00DF5345">
      <w:pPr>
        <w:ind w:left="851" w:hanging="851"/>
        <w:rPr>
          <w:sz w:val="24"/>
          <w:szCs w:val="24"/>
        </w:rPr>
      </w:pPr>
    </w:p>
    <w:p w:rsidR="00DF5345" w:rsidRPr="001B3F3A" w:rsidRDefault="00DF5345" w:rsidP="00DF5345">
      <w:pPr>
        <w:numPr>
          <w:ilvl w:val="1"/>
          <w:numId w:val="5"/>
        </w:numPr>
        <w:tabs>
          <w:tab w:val="clear" w:pos="855"/>
        </w:tabs>
        <w:ind w:left="851" w:hanging="851"/>
        <w:rPr>
          <w:b/>
          <w:sz w:val="24"/>
          <w:szCs w:val="24"/>
        </w:rPr>
      </w:pPr>
      <w:r w:rsidRPr="001B3F3A">
        <w:rPr>
          <w:b/>
          <w:sz w:val="24"/>
          <w:szCs w:val="24"/>
        </w:rPr>
        <w:t>Opbevaringstid</w:t>
      </w:r>
    </w:p>
    <w:p w:rsidR="00DF5345" w:rsidRPr="001B3F3A" w:rsidRDefault="00DF5345" w:rsidP="00DF5345">
      <w:pPr>
        <w:ind w:left="851"/>
        <w:rPr>
          <w:sz w:val="24"/>
          <w:szCs w:val="24"/>
        </w:rPr>
      </w:pPr>
      <w:r>
        <w:rPr>
          <w:sz w:val="24"/>
          <w:szCs w:val="24"/>
        </w:rPr>
        <w:t>5</w:t>
      </w:r>
      <w:r w:rsidRPr="001B3F3A">
        <w:rPr>
          <w:sz w:val="24"/>
          <w:szCs w:val="24"/>
        </w:rPr>
        <w:t xml:space="preserve"> år.</w:t>
      </w:r>
    </w:p>
    <w:p w:rsidR="00DF5345" w:rsidRPr="001B3F3A" w:rsidRDefault="00DF5345" w:rsidP="00DF5345">
      <w:pPr>
        <w:ind w:left="851" w:hanging="851"/>
        <w:rPr>
          <w:sz w:val="24"/>
          <w:szCs w:val="24"/>
        </w:rPr>
      </w:pPr>
    </w:p>
    <w:p w:rsidR="00DF5345" w:rsidRPr="001B3F3A" w:rsidRDefault="00DF5345" w:rsidP="00DF5345">
      <w:pPr>
        <w:numPr>
          <w:ilvl w:val="1"/>
          <w:numId w:val="5"/>
        </w:numPr>
        <w:tabs>
          <w:tab w:val="clear" w:pos="855"/>
        </w:tabs>
        <w:ind w:left="851" w:hanging="851"/>
        <w:rPr>
          <w:b/>
          <w:sz w:val="24"/>
          <w:szCs w:val="24"/>
        </w:rPr>
      </w:pPr>
      <w:r w:rsidRPr="001B3F3A">
        <w:rPr>
          <w:b/>
          <w:sz w:val="24"/>
          <w:szCs w:val="24"/>
        </w:rPr>
        <w:t>Særlige opbevaringsforhold</w:t>
      </w:r>
    </w:p>
    <w:p w:rsidR="00DF5345" w:rsidRPr="001B3F3A" w:rsidRDefault="001574A6" w:rsidP="001574A6">
      <w:pPr>
        <w:ind w:left="851"/>
        <w:rPr>
          <w:sz w:val="24"/>
          <w:szCs w:val="24"/>
        </w:rPr>
      </w:pPr>
      <w:r>
        <w:rPr>
          <w:sz w:val="24"/>
          <w:szCs w:val="24"/>
        </w:rPr>
        <w:t>Ingen særlige opbevaringsbetingelser.</w:t>
      </w:r>
    </w:p>
    <w:p w:rsidR="00DF5345" w:rsidRPr="001B3F3A" w:rsidRDefault="00DF5345" w:rsidP="00DF5345">
      <w:pPr>
        <w:ind w:left="851" w:hanging="851"/>
        <w:rPr>
          <w:sz w:val="24"/>
          <w:szCs w:val="24"/>
        </w:rPr>
      </w:pPr>
    </w:p>
    <w:p w:rsidR="00DF5345" w:rsidRPr="001B3F3A" w:rsidRDefault="00DF5345" w:rsidP="00DF5345">
      <w:pPr>
        <w:numPr>
          <w:ilvl w:val="1"/>
          <w:numId w:val="5"/>
        </w:numPr>
        <w:tabs>
          <w:tab w:val="clear" w:pos="855"/>
        </w:tabs>
        <w:ind w:left="851" w:hanging="851"/>
        <w:rPr>
          <w:b/>
          <w:sz w:val="24"/>
          <w:szCs w:val="24"/>
        </w:rPr>
      </w:pPr>
      <w:r w:rsidRPr="001B3F3A">
        <w:rPr>
          <w:b/>
          <w:sz w:val="24"/>
          <w:szCs w:val="24"/>
        </w:rPr>
        <w:t>Emballagetype og pakningsstørrelser</w:t>
      </w:r>
    </w:p>
    <w:p w:rsidR="00DF5345" w:rsidRPr="001B3F3A" w:rsidRDefault="002E190A" w:rsidP="002E190A">
      <w:pPr>
        <w:suppressAutoHyphens/>
        <w:ind w:left="851"/>
        <w:rPr>
          <w:sz w:val="24"/>
          <w:szCs w:val="24"/>
        </w:rPr>
      </w:pPr>
      <w:r>
        <w:rPr>
          <w:sz w:val="24"/>
          <w:szCs w:val="24"/>
        </w:rPr>
        <w:t>Blister.</w:t>
      </w:r>
    </w:p>
    <w:p w:rsidR="00A0778C" w:rsidRPr="001B3F3A" w:rsidRDefault="00A0778C" w:rsidP="00DF5345">
      <w:pPr>
        <w:ind w:left="851" w:hanging="851"/>
        <w:rPr>
          <w:sz w:val="24"/>
          <w:szCs w:val="24"/>
        </w:rPr>
      </w:pPr>
    </w:p>
    <w:p w:rsidR="00DF5345" w:rsidRPr="001B3F3A" w:rsidRDefault="00DF5345" w:rsidP="00DF5345">
      <w:pPr>
        <w:numPr>
          <w:ilvl w:val="1"/>
          <w:numId w:val="5"/>
        </w:numPr>
        <w:tabs>
          <w:tab w:val="clear" w:pos="855"/>
        </w:tabs>
        <w:ind w:left="851" w:hanging="851"/>
        <w:rPr>
          <w:b/>
          <w:sz w:val="24"/>
          <w:szCs w:val="24"/>
        </w:rPr>
      </w:pPr>
      <w:r w:rsidRPr="001B3F3A">
        <w:rPr>
          <w:b/>
          <w:sz w:val="24"/>
          <w:szCs w:val="24"/>
        </w:rPr>
        <w:t xml:space="preserve">Regler for </w:t>
      </w:r>
      <w:r w:rsidR="009E02EA">
        <w:rPr>
          <w:b/>
          <w:sz w:val="24"/>
          <w:szCs w:val="24"/>
        </w:rPr>
        <w:t>bortskaffelse</w:t>
      </w:r>
      <w:r w:rsidRPr="001B3F3A">
        <w:rPr>
          <w:b/>
          <w:sz w:val="24"/>
          <w:szCs w:val="24"/>
        </w:rPr>
        <w:t xml:space="preserve"> og anden håndtering</w:t>
      </w:r>
    </w:p>
    <w:p w:rsidR="00DF5345" w:rsidRPr="001B3F3A" w:rsidRDefault="00DF5345" w:rsidP="00DF5345">
      <w:pPr>
        <w:ind w:left="851" w:hanging="851"/>
        <w:rPr>
          <w:sz w:val="24"/>
          <w:szCs w:val="24"/>
        </w:rPr>
      </w:pPr>
      <w:r w:rsidRPr="001B3F3A">
        <w:rPr>
          <w:sz w:val="24"/>
          <w:szCs w:val="24"/>
        </w:rPr>
        <w:tab/>
        <w:t>Ingen særlige forholdsregler.</w:t>
      </w:r>
    </w:p>
    <w:p w:rsidR="00DF5345" w:rsidRDefault="00DF5345" w:rsidP="00DF5345">
      <w:pPr>
        <w:ind w:left="851" w:hanging="851"/>
        <w:jc w:val="both"/>
        <w:rPr>
          <w:sz w:val="24"/>
          <w:szCs w:val="24"/>
        </w:rPr>
      </w:pPr>
    </w:p>
    <w:p w:rsidR="00DF5345" w:rsidRPr="001B3F3A" w:rsidRDefault="00DF5345" w:rsidP="00DF5345">
      <w:pPr>
        <w:ind w:left="851" w:hanging="851"/>
        <w:rPr>
          <w:b/>
          <w:sz w:val="24"/>
          <w:szCs w:val="24"/>
        </w:rPr>
      </w:pPr>
      <w:r w:rsidRPr="001B3F3A">
        <w:rPr>
          <w:b/>
          <w:sz w:val="24"/>
          <w:szCs w:val="24"/>
        </w:rPr>
        <w:t>7.</w:t>
      </w:r>
      <w:r w:rsidRPr="001B3F3A">
        <w:rPr>
          <w:b/>
          <w:sz w:val="24"/>
          <w:szCs w:val="24"/>
        </w:rPr>
        <w:tab/>
        <w:t>INDEHAVER AF MARKEDSFØRINGSTILLADELSEN</w:t>
      </w:r>
    </w:p>
    <w:p w:rsidR="002E190A" w:rsidRPr="00ED4C55" w:rsidRDefault="00DF5345">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szCs w:val="24"/>
        </w:rPr>
      </w:pPr>
      <w:r w:rsidRPr="001B3F3A">
        <w:rPr>
          <w:sz w:val="24"/>
          <w:szCs w:val="24"/>
        </w:rPr>
        <w:tab/>
      </w:r>
      <w:r w:rsidR="002E190A" w:rsidRPr="00ED4C55">
        <w:rPr>
          <w:spacing w:val="-2"/>
          <w:sz w:val="24"/>
          <w:szCs w:val="24"/>
        </w:rPr>
        <w:t>Paranova Danmark A/S</w:t>
      </w:r>
    </w:p>
    <w:p w:rsidR="009E02EA" w:rsidRDefault="002E190A">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szCs w:val="24"/>
        </w:rPr>
      </w:pPr>
      <w:r>
        <w:rPr>
          <w:spacing w:val="-2"/>
          <w:sz w:val="24"/>
          <w:szCs w:val="24"/>
        </w:rPr>
        <w:tab/>
      </w:r>
      <w:r w:rsidR="009E02EA">
        <w:rPr>
          <w:spacing w:val="-2"/>
          <w:sz w:val="24"/>
          <w:szCs w:val="24"/>
        </w:rPr>
        <w:t>Stationsalleen 42, 1. sal</w:t>
      </w:r>
    </w:p>
    <w:p w:rsidR="002E190A" w:rsidRPr="00ED4C55" w:rsidRDefault="002E190A">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szCs w:val="24"/>
        </w:rPr>
      </w:pPr>
      <w:r>
        <w:rPr>
          <w:spacing w:val="-2"/>
          <w:sz w:val="24"/>
          <w:szCs w:val="24"/>
        </w:rPr>
        <w:tab/>
      </w:r>
      <w:r w:rsidRPr="00ED4C55">
        <w:rPr>
          <w:spacing w:val="-2"/>
          <w:sz w:val="24"/>
          <w:szCs w:val="24"/>
        </w:rPr>
        <w:t>2730 Herlev</w:t>
      </w:r>
    </w:p>
    <w:p w:rsidR="00DF5345" w:rsidRPr="001B3F3A" w:rsidRDefault="00DF5345" w:rsidP="00DF5345">
      <w:pPr>
        <w:ind w:left="851" w:hanging="851"/>
        <w:rPr>
          <w:sz w:val="24"/>
          <w:szCs w:val="24"/>
        </w:rPr>
      </w:pPr>
    </w:p>
    <w:p w:rsidR="00DF5345" w:rsidRPr="001B3F3A" w:rsidRDefault="00DF5345" w:rsidP="00DF5345">
      <w:pPr>
        <w:ind w:left="851" w:hanging="851"/>
        <w:rPr>
          <w:b/>
          <w:sz w:val="24"/>
          <w:szCs w:val="24"/>
        </w:rPr>
      </w:pPr>
      <w:r w:rsidRPr="001B3F3A">
        <w:rPr>
          <w:b/>
          <w:sz w:val="24"/>
          <w:szCs w:val="24"/>
        </w:rPr>
        <w:t>8.</w:t>
      </w:r>
      <w:r w:rsidRPr="001B3F3A">
        <w:rPr>
          <w:b/>
          <w:sz w:val="24"/>
          <w:szCs w:val="24"/>
        </w:rPr>
        <w:tab/>
        <w:t>MARKEDSFØRINGSTILLADELSESNUMMER (</w:t>
      </w:r>
      <w:r w:rsidR="009E02EA">
        <w:rPr>
          <w:b/>
          <w:sz w:val="24"/>
          <w:szCs w:val="24"/>
        </w:rPr>
        <w:t>-</w:t>
      </w:r>
      <w:r w:rsidRPr="001B3F3A">
        <w:rPr>
          <w:b/>
          <w:sz w:val="24"/>
          <w:szCs w:val="24"/>
        </w:rPr>
        <w:t>NUMRE)</w:t>
      </w:r>
    </w:p>
    <w:p w:rsidR="00DF5345" w:rsidRDefault="00DF5345" w:rsidP="002E190A">
      <w:pPr>
        <w:ind w:left="851" w:hanging="851"/>
        <w:rPr>
          <w:sz w:val="24"/>
          <w:szCs w:val="24"/>
        </w:rPr>
      </w:pPr>
      <w:r w:rsidRPr="001B3F3A">
        <w:rPr>
          <w:sz w:val="24"/>
          <w:szCs w:val="24"/>
        </w:rPr>
        <w:tab/>
      </w:r>
      <w:r w:rsidR="002E190A" w:rsidRPr="002E190A">
        <w:rPr>
          <w:sz w:val="24"/>
          <w:szCs w:val="24"/>
        </w:rPr>
        <w:t>64097</w:t>
      </w:r>
    </w:p>
    <w:p w:rsidR="002E190A" w:rsidRPr="001B3F3A" w:rsidRDefault="002E190A" w:rsidP="002E190A">
      <w:pPr>
        <w:ind w:left="851" w:hanging="851"/>
        <w:rPr>
          <w:sz w:val="24"/>
          <w:szCs w:val="24"/>
        </w:rPr>
      </w:pPr>
    </w:p>
    <w:p w:rsidR="00DF5345" w:rsidRPr="001B3F3A" w:rsidRDefault="00DF5345" w:rsidP="00DF5345">
      <w:pPr>
        <w:ind w:left="851" w:hanging="851"/>
        <w:rPr>
          <w:b/>
          <w:sz w:val="24"/>
          <w:szCs w:val="24"/>
        </w:rPr>
      </w:pPr>
      <w:r w:rsidRPr="001B3F3A">
        <w:rPr>
          <w:b/>
          <w:sz w:val="24"/>
          <w:szCs w:val="24"/>
        </w:rPr>
        <w:t>9.</w:t>
      </w:r>
      <w:r w:rsidRPr="001B3F3A">
        <w:rPr>
          <w:b/>
          <w:sz w:val="24"/>
          <w:szCs w:val="24"/>
        </w:rPr>
        <w:tab/>
        <w:t>DATO FOR FØRSTE MARKEDSFØRINGSTILLADELSE</w:t>
      </w:r>
    </w:p>
    <w:p w:rsidR="00DF5345" w:rsidRPr="001B3F3A" w:rsidRDefault="00DF5345" w:rsidP="00DF5345">
      <w:pPr>
        <w:ind w:left="851" w:hanging="851"/>
        <w:rPr>
          <w:sz w:val="24"/>
          <w:szCs w:val="24"/>
        </w:rPr>
      </w:pPr>
      <w:r w:rsidRPr="001B3F3A">
        <w:rPr>
          <w:sz w:val="24"/>
          <w:szCs w:val="24"/>
        </w:rPr>
        <w:tab/>
      </w:r>
      <w:r w:rsidR="002E190A">
        <w:rPr>
          <w:sz w:val="24"/>
          <w:szCs w:val="24"/>
        </w:rPr>
        <w:t>13. marts 2020</w:t>
      </w:r>
    </w:p>
    <w:p w:rsidR="00DF5345" w:rsidRPr="001B3F3A" w:rsidRDefault="00DF5345" w:rsidP="00DF5345">
      <w:pPr>
        <w:ind w:left="851" w:hanging="851"/>
        <w:rPr>
          <w:sz w:val="24"/>
          <w:szCs w:val="24"/>
        </w:rPr>
      </w:pPr>
    </w:p>
    <w:p w:rsidR="00DF5345" w:rsidRPr="001B3F3A" w:rsidRDefault="00DF5345" w:rsidP="00DF5345">
      <w:pPr>
        <w:ind w:left="851" w:hanging="851"/>
        <w:rPr>
          <w:b/>
          <w:sz w:val="24"/>
          <w:szCs w:val="24"/>
        </w:rPr>
      </w:pPr>
      <w:r w:rsidRPr="001B3F3A">
        <w:rPr>
          <w:b/>
          <w:sz w:val="24"/>
          <w:szCs w:val="24"/>
        </w:rPr>
        <w:t>10.</w:t>
      </w:r>
      <w:r w:rsidRPr="001B3F3A">
        <w:rPr>
          <w:b/>
          <w:sz w:val="24"/>
          <w:szCs w:val="24"/>
        </w:rPr>
        <w:tab/>
        <w:t>DATO FOR ÆNDRING AF TEKSTEN</w:t>
      </w:r>
    </w:p>
    <w:p w:rsidR="00DF5345" w:rsidRDefault="00DF5345" w:rsidP="00DF5345">
      <w:pPr>
        <w:ind w:left="851" w:hanging="851"/>
        <w:rPr>
          <w:sz w:val="24"/>
          <w:szCs w:val="24"/>
        </w:rPr>
      </w:pPr>
      <w:r w:rsidRPr="001B3F3A">
        <w:rPr>
          <w:sz w:val="24"/>
          <w:szCs w:val="24"/>
        </w:rPr>
        <w:tab/>
      </w:r>
      <w:r w:rsidR="009E02EA">
        <w:rPr>
          <w:sz w:val="24"/>
          <w:szCs w:val="24"/>
        </w:rPr>
        <w:t>5. marts 2024</w:t>
      </w:r>
    </w:p>
    <w:p w:rsidR="00DF5345" w:rsidRPr="001B3F3A" w:rsidRDefault="00DF5345" w:rsidP="00DF5345">
      <w:pPr>
        <w:ind w:left="851" w:hanging="851"/>
        <w:rPr>
          <w:sz w:val="24"/>
          <w:szCs w:val="24"/>
        </w:rPr>
      </w:pPr>
    </w:p>
    <w:p w:rsidR="00DF5345" w:rsidRPr="00BD75B6" w:rsidRDefault="00DF5345" w:rsidP="00DF5345"/>
    <w:p w:rsidR="00DF5345" w:rsidRPr="00222F7F" w:rsidRDefault="00DF5345" w:rsidP="00DF5345"/>
    <w:p w:rsidR="009260DE" w:rsidRPr="00DF5345" w:rsidRDefault="009260DE" w:rsidP="00DF5345"/>
    <w:sectPr w:rsidR="009260DE" w:rsidRPr="00DF534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345" w:rsidRDefault="00DF5345">
      <w:r>
        <w:separator/>
      </w:r>
    </w:p>
  </w:endnote>
  <w:endnote w:type="continuationSeparator" w:id="0">
    <w:p w:rsidR="00DF5345" w:rsidRDefault="00DF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0778C">
      <w:rPr>
        <w:i/>
        <w:noProof/>
        <w:sz w:val="18"/>
        <w:szCs w:val="18"/>
      </w:rPr>
      <w:t>Mirtazapin Paranova (Paranova), smeltetabletter 15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345" w:rsidRDefault="00DF5345">
      <w:r>
        <w:separator/>
      </w:r>
    </w:p>
  </w:footnote>
  <w:footnote w:type="continuationSeparator" w:id="0">
    <w:p w:rsidR="00DF5345" w:rsidRDefault="00DF5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595018D"/>
    <w:multiLevelType w:val="hybridMultilevel"/>
    <w:tmpl w:val="371449E8"/>
    <w:lvl w:ilvl="0" w:tplc="C2D4D80A">
      <w:start w:val="1"/>
      <w:numFmt w:val="bullet"/>
      <w:lvlText w:val="-"/>
      <w:lvlJc w:val="left"/>
      <w:pPr>
        <w:tabs>
          <w:tab w:val="num" w:pos="2269"/>
        </w:tabs>
        <w:ind w:left="2269" w:hanging="567"/>
      </w:pPr>
      <w:rPr>
        <w:rFonts w:hint="default"/>
      </w:rPr>
    </w:lvl>
    <w:lvl w:ilvl="1" w:tplc="04090003">
      <w:start w:val="1"/>
      <w:numFmt w:val="bullet"/>
      <w:lvlText w:val="o"/>
      <w:lvlJc w:val="left"/>
      <w:pPr>
        <w:tabs>
          <w:tab w:val="num" w:pos="3142"/>
        </w:tabs>
        <w:ind w:left="3142" w:hanging="360"/>
      </w:pPr>
      <w:rPr>
        <w:rFonts w:ascii="Courier New" w:hAnsi="Courier New" w:cs="Courier New" w:hint="default"/>
      </w:rPr>
    </w:lvl>
    <w:lvl w:ilvl="2" w:tplc="04090005" w:tentative="1">
      <w:start w:val="1"/>
      <w:numFmt w:val="bullet"/>
      <w:lvlText w:val=""/>
      <w:lvlJc w:val="left"/>
      <w:pPr>
        <w:tabs>
          <w:tab w:val="num" w:pos="3862"/>
        </w:tabs>
        <w:ind w:left="3862" w:hanging="360"/>
      </w:pPr>
      <w:rPr>
        <w:rFonts w:ascii="Wingdings" w:hAnsi="Wingdings" w:hint="default"/>
      </w:rPr>
    </w:lvl>
    <w:lvl w:ilvl="3" w:tplc="04090001" w:tentative="1">
      <w:start w:val="1"/>
      <w:numFmt w:val="bullet"/>
      <w:lvlText w:val=""/>
      <w:lvlJc w:val="left"/>
      <w:pPr>
        <w:tabs>
          <w:tab w:val="num" w:pos="4582"/>
        </w:tabs>
        <w:ind w:left="4582" w:hanging="360"/>
      </w:pPr>
      <w:rPr>
        <w:rFonts w:ascii="Symbol" w:hAnsi="Symbol" w:hint="default"/>
      </w:rPr>
    </w:lvl>
    <w:lvl w:ilvl="4" w:tplc="04090003" w:tentative="1">
      <w:start w:val="1"/>
      <w:numFmt w:val="bullet"/>
      <w:lvlText w:val="o"/>
      <w:lvlJc w:val="left"/>
      <w:pPr>
        <w:tabs>
          <w:tab w:val="num" w:pos="5302"/>
        </w:tabs>
        <w:ind w:left="5302" w:hanging="360"/>
      </w:pPr>
      <w:rPr>
        <w:rFonts w:ascii="Courier New" w:hAnsi="Courier New" w:cs="Courier New" w:hint="default"/>
      </w:rPr>
    </w:lvl>
    <w:lvl w:ilvl="5" w:tplc="04090005" w:tentative="1">
      <w:start w:val="1"/>
      <w:numFmt w:val="bullet"/>
      <w:lvlText w:val=""/>
      <w:lvlJc w:val="left"/>
      <w:pPr>
        <w:tabs>
          <w:tab w:val="num" w:pos="6022"/>
        </w:tabs>
        <w:ind w:left="6022" w:hanging="360"/>
      </w:pPr>
      <w:rPr>
        <w:rFonts w:ascii="Wingdings" w:hAnsi="Wingdings" w:hint="default"/>
      </w:rPr>
    </w:lvl>
    <w:lvl w:ilvl="6" w:tplc="04090001" w:tentative="1">
      <w:start w:val="1"/>
      <w:numFmt w:val="bullet"/>
      <w:lvlText w:val=""/>
      <w:lvlJc w:val="left"/>
      <w:pPr>
        <w:tabs>
          <w:tab w:val="num" w:pos="6742"/>
        </w:tabs>
        <w:ind w:left="6742" w:hanging="360"/>
      </w:pPr>
      <w:rPr>
        <w:rFonts w:ascii="Symbol" w:hAnsi="Symbol" w:hint="default"/>
      </w:rPr>
    </w:lvl>
    <w:lvl w:ilvl="7" w:tplc="04090003" w:tentative="1">
      <w:start w:val="1"/>
      <w:numFmt w:val="bullet"/>
      <w:lvlText w:val="o"/>
      <w:lvlJc w:val="left"/>
      <w:pPr>
        <w:tabs>
          <w:tab w:val="num" w:pos="7462"/>
        </w:tabs>
        <w:ind w:left="7462" w:hanging="360"/>
      </w:pPr>
      <w:rPr>
        <w:rFonts w:ascii="Courier New" w:hAnsi="Courier New" w:cs="Courier New" w:hint="default"/>
      </w:rPr>
    </w:lvl>
    <w:lvl w:ilvl="8" w:tplc="04090005" w:tentative="1">
      <w:start w:val="1"/>
      <w:numFmt w:val="bullet"/>
      <w:lvlText w:val=""/>
      <w:lvlJc w:val="left"/>
      <w:pPr>
        <w:tabs>
          <w:tab w:val="num" w:pos="8182"/>
        </w:tabs>
        <w:ind w:left="8182" w:hanging="360"/>
      </w:pPr>
      <w:rPr>
        <w:rFonts w:ascii="Wingdings" w:hAnsi="Wingdings" w:hint="default"/>
      </w:rPr>
    </w:lvl>
  </w:abstractNum>
  <w:abstractNum w:abstractNumId="2" w15:restartNumberingAfterBreak="0">
    <w:nsid w:val="28BA2088"/>
    <w:multiLevelType w:val="hybridMultilevel"/>
    <w:tmpl w:val="2F924160"/>
    <w:lvl w:ilvl="0" w:tplc="D8969F3A">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8E50B60"/>
    <w:multiLevelType w:val="hybridMultilevel"/>
    <w:tmpl w:val="E38CEEB2"/>
    <w:lvl w:ilvl="0" w:tplc="C9BEF9EE">
      <w:start w:val="1"/>
      <w:numFmt w:val="decimal"/>
      <w:lvlText w:val="%1."/>
      <w:lvlJc w:val="left"/>
      <w:pPr>
        <w:ind w:left="1004" w:hanging="360"/>
      </w:pPr>
      <w:rPr>
        <w:b w:val="0"/>
        <w:vertAlign w:val="superscript"/>
      </w:rPr>
    </w:lvl>
    <w:lvl w:ilvl="1" w:tplc="041D0019">
      <w:start w:val="1"/>
      <w:numFmt w:val="lowerLetter"/>
      <w:lvlText w:val="%2."/>
      <w:lvlJc w:val="left"/>
      <w:pPr>
        <w:ind w:left="1724" w:hanging="360"/>
      </w:pPr>
    </w:lvl>
    <w:lvl w:ilvl="2" w:tplc="041D001B">
      <w:start w:val="1"/>
      <w:numFmt w:val="lowerRoman"/>
      <w:lvlText w:val="%3."/>
      <w:lvlJc w:val="right"/>
      <w:pPr>
        <w:ind w:left="2444" w:hanging="180"/>
      </w:pPr>
    </w:lvl>
    <w:lvl w:ilvl="3" w:tplc="041D000F">
      <w:start w:val="1"/>
      <w:numFmt w:val="decimal"/>
      <w:lvlText w:val="%4."/>
      <w:lvlJc w:val="left"/>
      <w:pPr>
        <w:ind w:left="3164" w:hanging="360"/>
      </w:pPr>
    </w:lvl>
    <w:lvl w:ilvl="4" w:tplc="041D0019">
      <w:start w:val="1"/>
      <w:numFmt w:val="lowerLetter"/>
      <w:lvlText w:val="%5."/>
      <w:lvlJc w:val="left"/>
      <w:pPr>
        <w:ind w:left="3884" w:hanging="360"/>
      </w:pPr>
    </w:lvl>
    <w:lvl w:ilvl="5" w:tplc="041D001B">
      <w:start w:val="1"/>
      <w:numFmt w:val="lowerRoman"/>
      <w:lvlText w:val="%6."/>
      <w:lvlJc w:val="right"/>
      <w:pPr>
        <w:ind w:left="4604" w:hanging="180"/>
      </w:pPr>
    </w:lvl>
    <w:lvl w:ilvl="6" w:tplc="041D000F">
      <w:start w:val="1"/>
      <w:numFmt w:val="decimal"/>
      <w:lvlText w:val="%7."/>
      <w:lvlJc w:val="left"/>
      <w:pPr>
        <w:ind w:left="5324" w:hanging="360"/>
      </w:pPr>
    </w:lvl>
    <w:lvl w:ilvl="7" w:tplc="041D0019">
      <w:start w:val="1"/>
      <w:numFmt w:val="lowerLetter"/>
      <w:lvlText w:val="%8."/>
      <w:lvlJc w:val="left"/>
      <w:pPr>
        <w:ind w:left="6044" w:hanging="360"/>
      </w:pPr>
    </w:lvl>
    <w:lvl w:ilvl="8" w:tplc="041D001B">
      <w:start w:val="1"/>
      <w:numFmt w:val="lowerRoman"/>
      <w:lvlText w:val="%9."/>
      <w:lvlJc w:val="right"/>
      <w:pPr>
        <w:ind w:left="6764" w:hanging="180"/>
      </w:pPr>
    </w:lvl>
  </w:abstractNum>
  <w:abstractNum w:abstractNumId="8" w15:restartNumberingAfterBreak="0">
    <w:nsid w:val="6F6E2A9A"/>
    <w:multiLevelType w:val="multilevel"/>
    <w:tmpl w:val="00760904"/>
    <w:lvl w:ilvl="0">
      <w:start w:val="4"/>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345"/>
    <w:rsid w:val="000259B9"/>
    <w:rsid w:val="00041491"/>
    <w:rsid w:val="00050D16"/>
    <w:rsid w:val="00074F2A"/>
    <w:rsid w:val="000A1CA8"/>
    <w:rsid w:val="000A3306"/>
    <w:rsid w:val="000A466B"/>
    <w:rsid w:val="000B058C"/>
    <w:rsid w:val="000E4EE6"/>
    <w:rsid w:val="001454E2"/>
    <w:rsid w:val="001574A6"/>
    <w:rsid w:val="00206CE8"/>
    <w:rsid w:val="0021526C"/>
    <w:rsid w:val="00283A2B"/>
    <w:rsid w:val="002B30AD"/>
    <w:rsid w:val="002C2C01"/>
    <w:rsid w:val="002E190A"/>
    <w:rsid w:val="002E1CFC"/>
    <w:rsid w:val="00327572"/>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05DA4"/>
    <w:rsid w:val="00737275"/>
    <w:rsid w:val="00740EEC"/>
    <w:rsid w:val="0078011A"/>
    <w:rsid w:val="00782AF4"/>
    <w:rsid w:val="00790EE7"/>
    <w:rsid w:val="007B6649"/>
    <w:rsid w:val="007D1652"/>
    <w:rsid w:val="0081546F"/>
    <w:rsid w:val="0082576E"/>
    <w:rsid w:val="00907F75"/>
    <w:rsid w:val="009260DE"/>
    <w:rsid w:val="0093258A"/>
    <w:rsid w:val="0095027A"/>
    <w:rsid w:val="009C7BA3"/>
    <w:rsid w:val="009D1F5A"/>
    <w:rsid w:val="009E02EA"/>
    <w:rsid w:val="00A0778C"/>
    <w:rsid w:val="00A46223"/>
    <w:rsid w:val="00B003BF"/>
    <w:rsid w:val="00B373D7"/>
    <w:rsid w:val="00B9290A"/>
    <w:rsid w:val="00C36276"/>
    <w:rsid w:val="00C42586"/>
    <w:rsid w:val="00C60CCD"/>
    <w:rsid w:val="00C84483"/>
    <w:rsid w:val="00C95551"/>
    <w:rsid w:val="00CB20D7"/>
    <w:rsid w:val="00D020B0"/>
    <w:rsid w:val="00D11748"/>
    <w:rsid w:val="00D366CF"/>
    <w:rsid w:val="00DC7BD6"/>
    <w:rsid w:val="00DF5345"/>
    <w:rsid w:val="00E108AA"/>
    <w:rsid w:val="00E31812"/>
    <w:rsid w:val="00E3749A"/>
    <w:rsid w:val="00E7437F"/>
    <w:rsid w:val="00E865B8"/>
    <w:rsid w:val="00EC0B9B"/>
    <w:rsid w:val="00ED5E9F"/>
    <w:rsid w:val="00F22A4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08E92"/>
  <w15:chartTrackingRefBased/>
  <w15:docId w15:val="{C446C8DD-D82C-4DCB-9481-4DCE67AA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2EA"/>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DF5345"/>
    <w:pPr>
      <w:spacing w:before="120" w:after="120"/>
      <w:jc w:val="both"/>
    </w:pPr>
    <w:rPr>
      <w:sz w:val="22"/>
      <w:lang w:val="en-US"/>
    </w:rPr>
  </w:style>
  <w:style w:type="character" w:styleId="Hyperlink">
    <w:name w:val="Hyperlink"/>
    <w:uiPriority w:val="99"/>
    <w:unhideWhenUsed/>
    <w:rsid w:val="00DF5345"/>
    <w:rPr>
      <w:color w:val="0563C1"/>
      <w:u w:val="single"/>
    </w:rPr>
  </w:style>
  <w:style w:type="character" w:styleId="Ulstomtale">
    <w:name w:val="Unresolved Mention"/>
    <w:basedOn w:val="Standardskrifttypeiafsnit"/>
    <w:uiPriority w:val="99"/>
    <w:semiHidden/>
    <w:unhideWhenUsed/>
    <w:rsid w:val="00F22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3964</Words>
  <Characters>26082</Characters>
  <Application>Microsoft Office Word</Application>
  <DocSecurity>0</DocSecurity>
  <Lines>217</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2022024642 - opdat. pkt. 6.4.</dc:description>
  <cp:lastModifiedBy>Marianne Ott Jensen</cp:lastModifiedBy>
  <cp:revision>3</cp:revision>
  <cp:lastPrinted>2012-08-22T08:53:00Z</cp:lastPrinted>
  <dcterms:created xsi:type="dcterms:W3CDTF">2024-08-23T12:05:00Z</dcterms:created>
  <dcterms:modified xsi:type="dcterms:W3CDTF">2024-08-23T12:07:00Z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