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65" w:rsidRPr="007634F0" w:rsidRDefault="00CD5165" w:rsidP="00CD5165">
      <w:pPr>
        <w:rPr>
          <w:sz w:val="24"/>
          <w:szCs w:val="24"/>
        </w:rPr>
      </w:pPr>
      <w:r w:rsidRPr="007634F0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EE15F41" wp14:editId="27104A7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34F0">
        <w:rPr>
          <w:sz w:val="24"/>
          <w:szCs w:val="24"/>
        </w:rPr>
        <w:br w:type="textWrapping" w:clear="all"/>
      </w:r>
    </w:p>
    <w:p w:rsidR="00CD5165" w:rsidRPr="007634F0" w:rsidRDefault="00F95FA7" w:rsidP="008C2BF0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1</w:t>
      </w:r>
      <w:r w:rsidR="003409E2">
        <w:rPr>
          <w:szCs w:val="24"/>
        </w:rPr>
        <w:t xml:space="preserve">8. </w:t>
      </w:r>
      <w:r>
        <w:rPr>
          <w:szCs w:val="24"/>
        </w:rPr>
        <w:t>september 2024</w:t>
      </w:r>
    </w:p>
    <w:p w:rsidR="00CD5165" w:rsidRPr="007634F0" w:rsidRDefault="00CD5165" w:rsidP="00CD5165">
      <w:pPr>
        <w:pStyle w:val="Titel"/>
        <w:jc w:val="left"/>
        <w:rPr>
          <w:b w:val="0"/>
          <w:szCs w:val="24"/>
        </w:rPr>
      </w:pPr>
    </w:p>
    <w:p w:rsidR="00CD5165" w:rsidRPr="007634F0" w:rsidRDefault="00CD5165" w:rsidP="00CD5165">
      <w:pPr>
        <w:jc w:val="center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PRODUKTRESUMÉ</w:t>
      </w:r>
    </w:p>
    <w:p w:rsidR="00CD5165" w:rsidRPr="007634F0" w:rsidRDefault="00CD5165" w:rsidP="00CD5165">
      <w:pPr>
        <w:jc w:val="center"/>
        <w:rPr>
          <w:b/>
          <w:sz w:val="24"/>
          <w:szCs w:val="24"/>
        </w:rPr>
      </w:pPr>
    </w:p>
    <w:p w:rsidR="00CD5165" w:rsidRPr="007634F0" w:rsidRDefault="0073572C" w:rsidP="0073572C">
      <w:pPr>
        <w:tabs>
          <w:tab w:val="left" w:pos="24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5165" w:rsidRPr="007634F0">
        <w:rPr>
          <w:b/>
          <w:sz w:val="24"/>
          <w:szCs w:val="24"/>
        </w:rPr>
        <w:t>for</w:t>
      </w:r>
    </w:p>
    <w:p w:rsidR="00CD5165" w:rsidRPr="007634F0" w:rsidRDefault="00CD5165" w:rsidP="00CD5165">
      <w:pPr>
        <w:jc w:val="center"/>
        <w:rPr>
          <w:b/>
          <w:sz w:val="24"/>
          <w:szCs w:val="24"/>
        </w:rPr>
      </w:pPr>
    </w:p>
    <w:p w:rsidR="00F053C4" w:rsidRPr="007634F0" w:rsidRDefault="00F053C4" w:rsidP="00F053C4">
      <w:pPr>
        <w:jc w:val="center"/>
        <w:rPr>
          <w:b/>
          <w:sz w:val="24"/>
          <w:szCs w:val="24"/>
        </w:rPr>
      </w:pPr>
      <w:proofErr w:type="spellStart"/>
      <w:r w:rsidRPr="007634F0">
        <w:rPr>
          <w:b/>
          <w:sz w:val="24"/>
          <w:szCs w:val="24"/>
        </w:rPr>
        <w:t>Mitomycin</w:t>
      </w:r>
      <w:proofErr w:type="spellEnd"/>
      <w:r w:rsidRPr="007634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"</w:t>
      </w:r>
      <w:proofErr w:type="spellStart"/>
      <w:r w:rsidRPr="007634F0">
        <w:rPr>
          <w:b/>
          <w:sz w:val="24"/>
          <w:szCs w:val="24"/>
        </w:rPr>
        <w:t>medac</w:t>
      </w:r>
      <w:proofErr w:type="spellEnd"/>
      <w:r>
        <w:rPr>
          <w:b/>
          <w:sz w:val="24"/>
          <w:szCs w:val="24"/>
        </w:rPr>
        <w:t>"</w:t>
      </w:r>
      <w:r w:rsidRPr="007634F0">
        <w:rPr>
          <w:b/>
          <w:sz w:val="24"/>
          <w:szCs w:val="24"/>
        </w:rPr>
        <w:t>,</w:t>
      </w:r>
    </w:p>
    <w:p w:rsidR="00F053C4" w:rsidRPr="007634F0" w:rsidRDefault="00F053C4" w:rsidP="00F053C4">
      <w:pPr>
        <w:jc w:val="center"/>
        <w:rPr>
          <w:b/>
          <w:sz w:val="24"/>
          <w:szCs w:val="24"/>
        </w:rPr>
      </w:pPr>
      <w:r w:rsidRPr="00250A07">
        <w:rPr>
          <w:b/>
          <w:sz w:val="24"/>
          <w:szCs w:val="24"/>
        </w:rPr>
        <w:t xml:space="preserve">pulver til </w:t>
      </w:r>
      <w:r>
        <w:rPr>
          <w:b/>
          <w:sz w:val="24"/>
          <w:szCs w:val="24"/>
        </w:rPr>
        <w:t xml:space="preserve">injektions-/infusionsvæske, </w:t>
      </w:r>
      <w:r w:rsidRPr="00250A07">
        <w:rPr>
          <w:b/>
          <w:sz w:val="24"/>
          <w:szCs w:val="24"/>
        </w:rPr>
        <w:t>opløsning</w:t>
      </w:r>
      <w:r>
        <w:rPr>
          <w:b/>
          <w:sz w:val="24"/>
          <w:szCs w:val="24"/>
        </w:rPr>
        <w:t>,</w:t>
      </w:r>
      <w:r w:rsidRPr="00250A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eller </w:t>
      </w:r>
      <w:r w:rsidRPr="00250A07">
        <w:rPr>
          <w:b/>
          <w:sz w:val="24"/>
          <w:szCs w:val="24"/>
        </w:rPr>
        <w:t xml:space="preserve">til </w:t>
      </w:r>
      <w:proofErr w:type="spellStart"/>
      <w:r w:rsidRPr="00250A07">
        <w:rPr>
          <w:b/>
          <w:sz w:val="24"/>
          <w:szCs w:val="24"/>
        </w:rPr>
        <w:t>intravesikal</w:t>
      </w:r>
      <w:proofErr w:type="spellEnd"/>
      <w:r w:rsidRPr="00250A07">
        <w:rPr>
          <w:b/>
          <w:sz w:val="24"/>
          <w:szCs w:val="24"/>
        </w:rPr>
        <w:t xml:space="preserve"> opløsning</w:t>
      </w:r>
    </w:p>
    <w:p w:rsidR="00CD5165" w:rsidRPr="007634F0" w:rsidRDefault="00CD5165" w:rsidP="00CD5165">
      <w:pPr>
        <w:jc w:val="both"/>
        <w:rPr>
          <w:sz w:val="24"/>
          <w:szCs w:val="24"/>
        </w:rPr>
      </w:pPr>
    </w:p>
    <w:p w:rsidR="00CD5165" w:rsidRPr="007634F0" w:rsidRDefault="00CD5165" w:rsidP="00CD5165">
      <w:pPr>
        <w:jc w:val="both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0.</w:t>
      </w:r>
      <w:r w:rsidRPr="007634F0">
        <w:rPr>
          <w:b/>
          <w:sz w:val="24"/>
          <w:szCs w:val="24"/>
        </w:rPr>
        <w:tab/>
        <w:t>D.SP.NR.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06279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1.</w:t>
      </w:r>
      <w:r w:rsidRPr="007634F0">
        <w:rPr>
          <w:b/>
          <w:sz w:val="24"/>
          <w:szCs w:val="24"/>
        </w:rPr>
        <w:tab/>
        <w:t>LÆGEMIDLETS NAVN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 w:rsidRPr="007634F0">
        <w:rPr>
          <w:sz w:val="24"/>
          <w:szCs w:val="24"/>
        </w:rPr>
        <w:t>medac</w:t>
      </w:r>
      <w:proofErr w:type="spellEnd"/>
      <w:r>
        <w:rPr>
          <w:sz w:val="24"/>
          <w:szCs w:val="24"/>
        </w:rPr>
        <w:t>"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2.</w:t>
      </w:r>
      <w:r w:rsidRPr="007634F0">
        <w:rPr>
          <w:b/>
          <w:sz w:val="24"/>
          <w:szCs w:val="24"/>
        </w:rPr>
        <w:tab/>
        <w:t>KVALITATIV OG KVANTITATIV SAMMENSÆTNING</w:t>
      </w:r>
    </w:p>
    <w:p w:rsidR="00CD5165" w:rsidRPr="007634F0" w:rsidRDefault="00CD5165" w:rsidP="00CD5165">
      <w:pPr>
        <w:widowControl w:val="0"/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Hvert hætteglas indeholder 2 mg, 10 mg, 20 mg eller 40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Alle hjælpestoffer er anført under pkt. 6.1.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3.</w:t>
      </w:r>
      <w:r w:rsidRPr="007634F0">
        <w:rPr>
          <w:b/>
          <w:sz w:val="24"/>
          <w:szCs w:val="24"/>
        </w:rPr>
        <w:tab/>
        <w:t>LÆGEMIDDELFORM</w:t>
      </w:r>
    </w:p>
    <w:p w:rsidR="00F053C4" w:rsidRPr="007634F0" w:rsidRDefault="00F053C4" w:rsidP="00F053C4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Pr="00250A07">
        <w:rPr>
          <w:sz w:val="24"/>
          <w:szCs w:val="24"/>
        </w:rPr>
        <w:t xml:space="preserve">ulver til </w:t>
      </w:r>
      <w:r>
        <w:rPr>
          <w:sz w:val="24"/>
          <w:szCs w:val="24"/>
        </w:rPr>
        <w:t xml:space="preserve">injektions-/infusionsvæske, </w:t>
      </w:r>
      <w:r w:rsidRPr="00250A07">
        <w:rPr>
          <w:sz w:val="24"/>
          <w:szCs w:val="24"/>
        </w:rPr>
        <w:t>opløsning</w:t>
      </w:r>
      <w:r>
        <w:rPr>
          <w:sz w:val="24"/>
          <w:szCs w:val="24"/>
        </w:rPr>
        <w:t>,</w:t>
      </w:r>
      <w:r w:rsidRPr="00250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eller </w:t>
      </w:r>
      <w:r w:rsidRPr="00250A07">
        <w:rPr>
          <w:sz w:val="24"/>
          <w:szCs w:val="24"/>
        </w:rPr>
        <w:t xml:space="preserve">til </w:t>
      </w:r>
      <w:proofErr w:type="spellStart"/>
      <w:r w:rsidRPr="00250A07">
        <w:rPr>
          <w:sz w:val="24"/>
          <w:szCs w:val="24"/>
        </w:rPr>
        <w:t>intravesikal</w:t>
      </w:r>
      <w:proofErr w:type="spellEnd"/>
      <w:r w:rsidRPr="00250A07">
        <w:rPr>
          <w:sz w:val="24"/>
          <w:szCs w:val="24"/>
        </w:rPr>
        <w:t xml:space="preserve"> opløsning</w:t>
      </w:r>
    </w:p>
    <w:p w:rsidR="00F053C4" w:rsidRPr="007634F0" w:rsidRDefault="00F053C4" w:rsidP="00F053C4">
      <w:pPr>
        <w:widowControl w:val="0"/>
        <w:ind w:left="851"/>
        <w:rPr>
          <w:sz w:val="24"/>
          <w:szCs w:val="24"/>
        </w:rPr>
      </w:pPr>
    </w:p>
    <w:p w:rsidR="00F053C4" w:rsidRPr="007634F0" w:rsidRDefault="00F053C4" w:rsidP="00F053C4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Gråt til gråblåt pulver eller kage.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</w:t>
      </w:r>
      <w:r w:rsidRPr="007634F0">
        <w:rPr>
          <w:b/>
          <w:sz w:val="24"/>
          <w:szCs w:val="24"/>
        </w:rPr>
        <w:tab/>
        <w:t>KLINISKE OPLYSNINGER</w:t>
      </w:r>
    </w:p>
    <w:p w:rsidR="00CD5165" w:rsidRPr="007634F0" w:rsidRDefault="00CD5165" w:rsidP="00CD516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634F0">
        <w:rPr>
          <w:b/>
          <w:sz w:val="24"/>
          <w:szCs w:val="24"/>
        </w:rPr>
        <w:t>4.1</w:t>
      </w:r>
      <w:r w:rsidRPr="007634F0">
        <w:rPr>
          <w:b/>
          <w:sz w:val="24"/>
          <w:szCs w:val="24"/>
        </w:rPr>
        <w:tab/>
        <w:t>Terapeutiske indikationer</w:t>
      </w:r>
    </w:p>
    <w:p w:rsidR="003409E2" w:rsidRPr="00AD5DD3" w:rsidRDefault="003409E2" w:rsidP="003409E2">
      <w:pPr>
        <w:keepNext/>
        <w:tabs>
          <w:tab w:val="left" w:pos="709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Intraven</w:t>
      </w:r>
      <w:r w:rsidRPr="00AD5DD3">
        <w:rPr>
          <w:sz w:val="24"/>
          <w:szCs w:val="24"/>
          <w:u w:val="single"/>
        </w:rPr>
        <w:t>øs anvendelse</w:t>
      </w:r>
    </w:p>
    <w:p w:rsidR="003409E2" w:rsidRPr="00AD5DD3" w:rsidRDefault="003409E2" w:rsidP="003409E2">
      <w:pPr>
        <w:keepNext/>
        <w:tabs>
          <w:tab w:val="left" w:pos="709"/>
        </w:tabs>
        <w:ind w:left="851"/>
        <w:rPr>
          <w:sz w:val="24"/>
          <w:szCs w:val="24"/>
          <w:u w:val="single"/>
        </w:rPr>
      </w:pPr>
    </w:p>
    <w:p w:rsidR="003409E2" w:rsidRPr="007634F0" w:rsidRDefault="003409E2" w:rsidP="003409E2">
      <w:pPr>
        <w:tabs>
          <w:tab w:val="left" w:pos="709"/>
        </w:tabs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bruges til palliativ tumorbehandling.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noProof/>
          <w:sz w:val="24"/>
          <w:szCs w:val="24"/>
        </w:rPr>
        <w:t xml:space="preserve">Mitomycin er indiceret til </w:t>
      </w:r>
      <w:r w:rsidRPr="00AD5DD3">
        <w:rPr>
          <w:b/>
          <w:bCs/>
          <w:noProof/>
          <w:sz w:val="24"/>
          <w:szCs w:val="24"/>
        </w:rPr>
        <w:t>intravenøs</w:t>
      </w:r>
      <w:r w:rsidRPr="007634F0">
        <w:rPr>
          <w:b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anvendelse</w:t>
      </w:r>
      <w:r w:rsidRPr="007634F0">
        <w:rPr>
          <w:noProof/>
          <w:sz w:val="24"/>
          <w:szCs w:val="24"/>
        </w:rPr>
        <w:t xml:space="preserve"> som enkeltstof-kemoterapi eller som kemoterapi sammen med andre cytostatika til behandling af voksne med:</w:t>
      </w:r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>
        <w:rPr>
          <w:sz w:val="24"/>
          <w:szCs w:val="24"/>
        </w:rPr>
        <w:t>f</w:t>
      </w:r>
      <w:r w:rsidRPr="007634F0">
        <w:rPr>
          <w:sz w:val="24"/>
          <w:szCs w:val="24"/>
        </w:rPr>
        <w:t xml:space="preserve">remskredent </w:t>
      </w:r>
      <w:proofErr w:type="spellStart"/>
      <w:r w:rsidRPr="007634F0">
        <w:rPr>
          <w:sz w:val="24"/>
          <w:szCs w:val="24"/>
        </w:rPr>
        <w:t>kolorektalt</w:t>
      </w:r>
      <w:proofErr w:type="spellEnd"/>
      <w:r w:rsidRPr="007634F0">
        <w:rPr>
          <w:sz w:val="24"/>
          <w:szCs w:val="24"/>
        </w:rPr>
        <w:t xml:space="preserve"> karcinom</w:t>
      </w:r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>fremskredent gastrisk karcinom</w:t>
      </w:r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>fremskredent og/eller metastatisk brystkarcinom</w:t>
      </w:r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 xml:space="preserve">fremskredent </w:t>
      </w:r>
      <w:proofErr w:type="spellStart"/>
      <w:r w:rsidRPr="007634F0">
        <w:rPr>
          <w:sz w:val="24"/>
          <w:szCs w:val="24"/>
        </w:rPr>
        <w:t>øsofaguskarcinom</w:t>
      </w:r>
      <w:proofErr w:type="spellEnd"/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 xml:space="preserve">fremskredent </w:t>
      </w:r>
      <w:proofErr w:type="spellStart"/>
      <w:r w:rsidRPr="007634F0">
        <w:rPr>
          <w:sz w:val="24"/>
          <w:szCs w:val="24"/>
        </w:rPr>
        <w:t>cervixkarcinom</w:t>
      </w:r>
      <w:proofErr w:type="spellEnd"/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>ikke-småcellet bronkiekarcinom</w:t>
      </w:r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 xml:space="preserve">fremskredent </w:t>
      </w:r>
      <w:proofErr w:type="spellStart"/>
      <w:r w:rsidRPr="007634F0">
        <w:rPr>
          <w:sz w:val="24"/>
          <w:szCs w:val="24"/>
        </w:rPr>
        <w:t>pankreaskarcinom</w:t>
      </w:r>
      <w:proofErr w:type="spellEnd"/>
    </w:p>
    <w:p w:rsidR="003409E2" w:rsidRPr="007634F0" w:rsidRDefault="003409E2" w:rsidP="003409E2">
      <w:pPr>
        <w:numPr>
          <w:ilvl w:val="0"/>
          <w:numId w:val="6"/>
        </w:numPr>
        <w:tabs>
          <w:tab w:val="left" w:pos="567"/>
        </w:tabs>
        <w:spacing w:line="260" w:lineRule="exact"/>
        <w:ind w:left="1134" w:hanging="283"/>
        <w:rPr>
          <w:sz w:val="24"/>
          <w:szCs w:val="24"/>
        </w:rPr>
      </w:pPr>
      <w:r w:rsidRPr="007634F0">
        <w:rPr>
          <w:sz w:val="24"/>
          <w:szCs w:val="24"/>
        </w:rPr>
        <w:t>fremskredne tumorer i hoved og hals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Default="003409E2" w:rsidP="003409E2">
      <w:pPr>
        <w:keepNext/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5DD3">
        <w:rPr>
          <w:sz w:val="24"/>
          <w:szCs w:val="24"/>
          <w:u w:val="single"/>
        </w:rPr>
        <w:lastRenderedPageBreak/>
        <w:t>Intravesikal</w:t>
      </w:r>
      <w:proofErr w:type="spellEnd"/>
      <w:r w:rsidRPr="00AD5DD3">
        <w:rPr>
          <w:rFonts w:ascii="Arial" w:hAnsi="Arial"/>
          <w:sz w:val="24"/>
          <w:szCs w:val="24"/>
          <w:u w:val="single"/>
        </w:rPr>
        <w:t xml:space="preserve"> </w:t>
      </w:r>
      <w:r w:rsidRPr="00AD5DD3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>nvendelse</w:t>
      </w:r>
    </w:p>
    <w:p w:rsidR="003409E2" w:rsidRDefault="003409E2" w:rsidP="003409E2">
      <w:pPr>
        <w:keepNext/>
        <w:tabs>
          <w:tab w:val="left" w:pos="851"/>
        </w:tabs>
        <w:ind w:left="851"/>
        <w:rPr>
          <w:sz w:val="24"/>
          <w:szCs w:val="24"/>
        </w:rPr>
      </w:pP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Mitomycin</w:t>
      </w:r>
      <w:proofErr w:type="spellEnd"/>
      <w:r>
        <w:rPr>
          <w:sz w:val="24"/>
          <w:szCs w:val="24"/>
        </w:rPr>
        <w:t xml:space="preserve"> er indiceret til </w:t>
      </w:r>
      <w:proofErr w:type="spellStart"/>
      <w:r w:rsidRPr="00AD5DD3">
        <w:rPr>
          <w:b/>
          <w:sz w:val="24"/>
          <w:szCs w:val="24"/>
        </w:rPr>
        <w:t>intravesikal</w:t>
      </w:r>
      <w:proofErr w:type="spellEnd"/>
      <w:r>
        <w:rPr>
          <w:sz w:val="24"/>
          <w:szCs w:val="24"/>
        </w:rPr>
        <w:t xml:space="preserve"> administration </w:t>
      </w:r>
      <w:r w:rsidRPr="007634F0">
        <w:rPr>
          <w:sz w:val="24"/>
          <w:szCs w:val="24"/>
        </w:rPr>
        <w:t xml:space="preserve">til forebyggelse af recidiv hos voksne med overfladisk karcinom i urinblæren efter </w:t>
      </w:r>
      <w:proofErr w:type="spellStart"/>
      <w:r w:rsidRPr="007634F0">
        <w:rPr>
          <w:sz w:val="24"/>
          <w:szCs w:val="24"/>
        </w:rPr>
        <w:t>transuretral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resektion</w:t>
      </w:r>
      <w:proofErr w:type="spellEnd"/>
      <w:r w:rsidRPr="007634F0">
        <w:rPr>
          <w:sz w:val="24"/>
          <w:szCs w:val="24"/>
        </w:rPr>
        <w:t>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4.2</w:t>
      </w:r>
      <w:r w:rsidRPr="007634F0">
        <w:rPr>
          <w:b/>
          <w:sz w:val="24"/>
          <w:szCs w:val="24"/>
        </w:rPr>
        <w:tab/>
        <w:t xml:space="preserve">Dosering og </w:t>
      </w:r>
      <w:r w:rsidR="00015E7D">
        <w:rPr>
          <w:b/>
          <w:sz w:val="24"/>
          <w:szCs w:val="24"/>
        </w:rPr>
        <w:t>administration</w:t>
      </w:r>
    </w:p>
    <w:p w:rsidR="00CD5165" w:rsidRPr="007634F0" w:rsidRDefault="00CD5165" w:rsidP="00CD5165">
      <w:pPr>
        <w:ind w:left="851"/>
        <w:rPr>
          <w:sz w:val="24"/>
          <w:szCs w:val="24"/>
          <w:u w:val="single"/>
        </w:rPr>
      </w:pPr>
    </w:p>
    <w:p w:rsidR="003409E2" w:rsidRDefault="003409E2" w:rsidP="003409E2">
      <w:pPr>
        <w:ind w:left="851"/>
        <w:rPr>
          <w:bCs/>
          <w:sz w:val="24"/>
          <w:szCs w:val="24"/>
          <w:u w:val="single"/>
        </w:rPr>
      </w:pPr>
      <w:r w:rsidRPr="00AD5DD3">
        <w:rPr>
          <w:bCs/>
          <w:sz w:val="24"/>
          <w:szCs w:val="24"/>
          <w:u w:val="single"/>
        </w:rPr>
        <w:t>Dosering</w:t>
      </w:r>
    </w:p>
    <w:p w:rsidR="003409E2" w:rsidRDefault="003409E2" w:rsidP="003409E2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</w:t>
      </w:r>
      <w:r>
        <w:rPr>
          <w:sz w:val="24"/>
          <w:szCs w:val="24"/>
        </w:rPr>
        <w:t>skal administreres af læger</w:t>
      </w:r>
      <w:r w:rsidRPr="007634F0">
        <w:rPr>
          <w:sz w:val="24"/>
          <w:szCs w:val="24"/>
        </w:rPr>
        <w:t>, der har erfaring med den</w:t>
      </w:r>
      <w:r>
        <w:rPr>
          <w:sz w:val="24"/>
          <w:szCs w:val="24"/>
        </w:rPr>
        <w:t>ne</w:t>
      </w:r>
      <w:r w:rsidRPr="007634F0">
        <w:rPr>
          <w:sz w:val="24"/>
          <w:szCs w:val="24"/>
        </w:rPr>
        <w:t xml:space="preserve"> behandling, </w:t>
      </w:r>
      <w:r>
        <w:rPr>
          <w:sz w:val="24"/>
          <w:szCs w:val="24"/>
        </w:rPr>
        <w:t xml:space="preserve">og kun hvis det er klart indiceret. Intravenøs anvendelse skal ske </w:t>
      </w:r>
      <w:r w:rsidRPr="007634F0">
        <w:rPr>
          <w:sz w:val="24"/>
          <w:szCs w:val="24"/>
        </w:rPr>
        <w:t>under kontinuerlig overvågning af de hæmatologiske parametre.</w:t>
      </w:r>
    </w:p>
    <w:p w:rsidR="003409E2" w:rsidRDefault="003409E2" w:rsidP="003409E2">
      <w:pPr>
        <w:ind w:left="851"/>
        <w:rPr>
          <w:sz w:val="24"/>
          <w:szCs w:val="24"/>
        </w:rPr>
      </w:pPr>
    </w:p>
    <w:p w:rsidR="003409E2" w:rsidRPr="003409E2" w:rsidRDefault="003409E2" w:rsidP="003409E2">
      <w:pPr>
        <w:keepNext/>
        <w:ind w:left="851"/>
        <w:rPr>
          <w:i/>
          <w:iCs/>
          <w:sz w:val="24"/>
          <w:szCs w:val="24"/>
        </w:rPr>
      </w:pPr>
      <w:r w:rsidRPr="00AD5DD3">
        <w:rPr>
          <w:i/>
          <w:iCs/>
          <w:sz w:val="24"/>
          <w:szCs w:val="24"/>
        </w:rPr>
        <w:t>Intravenøs administration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Det er vigtigt, at injektionen indgives intravenøst. Hvis lægemidlet injiceres </w:t>
      </w:r>
      <w:proofErr w:type="spellStart"/>
      <w:r w:rsidRPr="007634F0">
        <w:rPr>
          <w:sz w:val="24"/>
          <w:szCs w:val="24"/>
        </w:rPr>
        <w:t>perivaskulært</w:t>
      </w:r>
      <w:proofErr w:type="spellEnd"/>
      <w:r w:rsidRPr="007634F0">
        <w:rPr>
          <w:sz w:val="24"/>
          <w:szCs w:val="24"/>
        </w:rPr>
        <w:t>, vil der opstå omfattende nekrose i det pågældende væv.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Medmindre andet ordineres, doseres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som følger: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Ved </w:t>
      </w:r>
      <w:proofErr w:type="spellStart"/>
      <w:r w:rsidRPr="007634F0">
        <w:rPr>
          <w:sz w:val="24"/>
          <w:szCs w:val="24"/>
        </w:rPr>
        <w:t>cytostatisk</w:t>
      </w:r>
      <w:proofErr w:type="spellEnd"/>
      <w:r w:rsidRPr="007634F0">
        <w:rPr>
          <w:sz w:val="24"/>
          <w:szCs w:val="24"/>
        </w:rPr>
        <w:t xml:space="preserve"> enkeltstof-kemoterapi indgives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normalt intravenøst som en </w:t>
      </w:r>
      <w:proofErr w:type="spellStart"/>
      <w:r w:rsidRPr="007634F0">
        <w:rPr>
          <w:sz w:val="24"/>
          <w:szCs w:val="24"/>
        </w:rPr>
        <w:t>bolusinjektion</w:t>
      </w:r>
      <w:proofErr w:type="spellEnd"/>
      <w:r w:rsidRPr="007634F0">
        <w:rPr>
          <w:sz w:val="24"/>
          <w:szCs w:val="24"/>
        </w:rPr>
        <w:t>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De anbefalede dos</w:t>
      </w:r>
      <w:r>
        <w:rPr>
          <w:sz w:val="24"/>
          <w:szCs w:val="24"/>
        </w:rPr>
        <w:t>er</w:t>
      </w:r>
      <w:r w:rsidRPr="007634F0">
        <w:rPr>
          <w:sz w:val="24"/>
          <w:szCs w:val="24"/>
        </w:rPr>
        <w:t xml:space="preserve"> er 10</w:t>
      </w:r>
      <w:r w:rsidRPr="007634F0">
        <w:rPr>
          <w:sz w:val="24"/>
          <w:szCs w:val="24"/>
        </w:rPr>
        <w:noBreakHyphen/>
        <w:t>20 mg/m² legemsoverflade hver 6.</w:t>
      </w:r>
      <w:r w:rsidRPr="007634F0">
        <w:rPr>
          <w:sz w:val="24"/>
          <w:szCs w:val="24"/>
        </w:rPr>
        <w:noBreakHyphen/>
        <w:t>8. uge, 8</w:t>
      </w:r>
      <w:r w:rsidRPr="007634F0">
        <w:rPr>
          <w:sz w:val="24"/>
          <w:szCs w:val="24"/>
        </w:rPr>
        <w:noBreakHyphen/>
        <w:t>12 mg/m² legemsoverflade hver 3.</w:t>
      </w:r>
      <w:r w:rsidRPr="007634F0">
        <w:rPr>
          <w:sz w:val="24"/>
          <w:szCs w:val="24"/>
        </w:rPr>
        <w:noBreakHyphen/>
        <w:t>4. uge eller 5</w:t>
      </w:r>
      <w:r w:rsidRPr="007634F0">
        <w:rPr>
          <w:sz w:val="24"/>
          <w:szCs w:val="24"/>
        </w:rPr>
        <w:noBreakHyphen/>
        <w:t>10 mg/m² legemsoverflade hver 3.</w:t>
      </w:r>
      <w:r w:rsidRPr="007634F0">
        <w:rPr>
          <w:sz w:val="24"/>
          <w:szCs w:val="24"/>
        </w:rPr>
        <w:noBreakHyphen/>
        <w:t>6. uge, alt efter hvilken behandlingsplan der benyttes.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Ved kombinationsbehandling er dosen betydeligt lavere. På grund af risikoen for additiv </w:t>
      </w:r>
      <w:proofErr w:type="spellStart"/>
      <w:r w:rsidRPr="007634F0">
        <w:rPr>
          <w:sz w:val="24"/>
          <w:szCs w:val="24"/>
        </w:rPr>
        <w:t>myelotoksicitet</w:t>
      </w:r>
      <w:proofErr w:type="spellEnd"/>
      <w:r w:rsidRPr="007634F0">
        <w:rPr>
          <w:sz w:val="24"/>
          <w:szCs w:val="24"/>
        </w:rPr>
        <w:t xml:space="preserve"> må de afprøvede behandlingsprotokoller ikke fraviges uden en specifik grund.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AD5DD3" w:rsidRDefault="003409E2" w:rsidP="003409E2">
      <w:pPr>
        <w:ind w:left="851"/>
        <w:rPr>
          <w:i/>
          <w:iCs/>
          <w:sz w:val="24"/>
          <w:szCs w:val="24"/>
        </w:rPr>
      </w:pPr>
      <w:proofErr w:type="spellStart"/>
      <w:r w:rsidRPr="00AD5DD3">
        <w:rPr>
          <w:i/>
          <w:iCs/>
          <w:sz w:val="24"/>
          <w:szCs w:val="24"/>
        </w:rPr>
        <w:t>Intravesikal</w:t>
      </w:r>
      <w:proofErr w:type="spellEnd"/>
      <w:r w:rsidRPr="00AD5DD3">
        <w:rPr>
          <w:i/>
          <w:iCs/>
          <w:sz w:val="24"/>
          <w:szCs w:val="24"/>
        </w:rPr>
        <w:t xml:space="preserve"> administration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Der findes mange </w:t>
      </w:r>
      <w:proofErr w:type="spellStart"/>
      <w:r w:rsidRPr="007634F0">
        <w:rPr>
          <w:sz w:val="24"/>
          <w:szCs w:val="24"/>
        </w:rPr>
        <w:t>intravesikale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-regimer, der varierer med hensyn til </w:t>
      </w:r>
      <w:proofErr w:type="spellStart"/>
      <w:r w:rsidRPr="007634F0">
        <w:rPr>
          <w:sz w:val="24"/>
          <w:szCs w:val="24"/>
        </w:rPr>
        <w:t>mitomycindosis</w:t>
      </w:r>
      <w:proofErr w:type="spellEnd"/>
      <w:r w:rsidRPr="007634F0">
        <w:rPr>
          <w:sz w:val="24"/>
          <w:szCs w:val="24"/>
        </w:rPr>
        <w:t xml:space="preserve">, </w:t>
      </w:r>
      <w:proofErr w:type="spellStart"/>
      <w:r w:rsidRPr="007634F0">
        <w:rPr>
          <w:sz w:val="24"/>
          <w:szCs w:val="24"/>
        </w:rPr>
        <w:t>instillationshyppighed</w:t>
      </w:r>
      <w:proofErr w:type="spellEnd"/>
      <w:r w:rsidRPr="007634F0">
        <w:rPr>
          <w:sz w:val="24"/>
          <w:szCs w:val="24"/>
        </w:rPr>
        <w:t xml:space="preserve"> og behandlingsvarighed.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Medmindre andet er angivet, er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-dosen 40 mg, der </w:t>
      </w:r>
      <w:proofErr w:type="spellStart"/>
      <w:r w:rsidRPr="007634F0">
        <w:rPr>
          <w:sz w:val="24"/>
          <w:szCs w:val="24"/>
        </w:rPr>
        <w:t>instilleres</w:t>
      </w:r>
      <w:proofErr w:type="spellEnd"/>
      <w:r w:rsidRPr="007634F0">
        <w:rPr>
          <w:sz w:val="24"/>
          <w:szCs w:val="24"/>
        </w:rPr>
        <w:t xml:space="preserve"> i blæren én gang om ugen. Regimer med </w:t>
      </w:r>
      <w:proofErr w:type="spellStart"/>
      <w:r w:rsidRPr="007634F0">
        <w:rPr>
          <w:sz w:val="24"/>
          <w:szCs w:val="24"/>
        </w:rPr>
        <w:t>instillation</w:t>
      </w:r>
      <w:proofErr w:type="spellEnd"/>
      <w:r w:rsidRPr="007634F0">
        <w:rPr>
          <w:sz w:val="24"/>
          <w:szCs w:val="24"/>
        </w:rPr>
        <w:t xml:space="preserve"> én gang hver 2. uge, én gang om måneden eller hver 3. måned kan også anvendes.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34F0">
        <w:rPr>
          <w:sz w:val="24"/>
          <w:szCs w:val="24"/>
        </w:rPr>
        <w:t>Speciallægen afgør, hvilket regime, hvilken hyppighed og hvilken behandlingsvarighed, der passer bedst til den enkelte patient.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AD5DD3" w:rsidRDefault="003409E2" w:rsidP="003409E2">
      <w:pPr>
        <w:ind w:left="851"/>
        <w:rPr>
          <w:i/>
          <w:iCs/>
          <w:sz w:val="24"/>
          <w:szCs w:val="24"/>
        </w:rPr>
      </w:pPr>
      <w:r w:rsidRPr="00AD5DD3">
        <w:rPr>
          <w:i/>
          <w:iCs/>
          <w:sz w:val="24"/>
          <w:szCs w:val="24"/>
        </w:rPr>
        <w:t>Særlige populationer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Dosen skal reduceres hos patienter, der tidligere har fået store mængder </w:t>
      </w:r>
      <w:proofErr w:type="spellStart"/>
      <w:r w:rsidRPr="007634F0">
        <w:rPr>
          <w:sz w:val="24"/>
          <w:szCs w:val="24"/>
        </w:rPr>
        <w:t>cytostatika</w:t>
      </w:r>
      <w:proofErr w:type="spellEnd"/>
      <w:r w:rsidRPr="007634F0">
        <w:rPr>
          <w:sz w:val="24"/>
          <w:szCs w:val="24"/>
        </w:rPr>
        <w:t xml:space="preserve">, der lider af </w:t>
      </w:r>
      <w:proofErr w:type="spellStart"/>
      <w:r w:rsidRPr="007634F0">
        <w:rPr>
          <w:sz w:val="24"/>
          <w:szCs w:val="24"/>
        </w:rPr>
        <w:t>myelosuppression</w:t>
      </w:r>
      <w:proofErr w:type="spellEnd"/>
      <w:r w:rsidRPr="007634F0">
        <w:rPr>
          <w:sz w:val="24"/>
          <w:szCs w:val="24"/>
        </w:rPr>
        <w:t>, eller som er ældre</w:t>
      </w:r>
      <w:r>
        <w:rPr>
          <w:sz w:val="24"/>
          <w:szCs w:val="24"/>
        </w:rPr>
        <w:t xml:space="preserve"> (kun gældende for intravenøs anvendelse af </w:t>
      </w:r>
      <w:proofErr w:type="spellStart"/>
      <w:r>
        <w:rPr>
          <w:sz w:val="24"/>
          <w:szCs w:val="24"/>
        </w:rPr>
        <w:t>mitomycin</w:t>
      </w:r>
      <w:proofErr w:type="spellEnd"/>
      <w:r>
        <w:rPr>
          <w:sz w:val="24"/>
          <w:szCs w:val="24"/>
        </w:rPr>
        <w:t>)</w:t>
      </w:r>
      <w:r w:rsidRPr="007634F0">
        <w:rPr>
          <w:sz w:val="24"/>
          <w:szCs w:val="24"/>
        </w:rPr>
        <w:t>.</w:t>
      </w:r>
    </w:p>
    <w:p w:rsidR="003409E2" w:rsidRPr="007634F0" w:rsidRDefault="003409E2" w:rsidP="003409E2">
      <w:pPr>
        <w:pStyle w:val="Brdtekst2"/>
        <w:ind w:left="851"/>
        <w:jc w:val="left"/>
        <w:rPr>
          <w:sz w:val="24"/>
          <w:szCs w:val="24"/>
        </w:rPr>
      </w:pPr>
    </w:p>
    <w:p w:rsidR="003409E2" w:rsidRDefault="003409E2" w:rsidP="003409E2">
      <w:pPr>
        <w:pStyle w:val="Brdtekst2"/>
        <w:ind w:left="851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Ældre</w:t>
      </w:r>
    </w:p>
    <w:p w:rsidR="003409E2" w:rsidRPr="007634F0" w:rsidRDefault="003409E2" w:rsidP="003409E2">
      <w:pPr>
        <w:pStyle w:val="Brdtekst2"/>
        <w:ind w:left="851"/>
        <w:jc w:val="left"/>
        <w:rPr>
          <w:sz w:val="24"/>
          <w:szCs w:val="24"/>
        </w:rPr>
      </w:pPr>
      <w:r w:rsidRPr="007634F0">
        <w:rPr>
          <w:sz w:val="24"/>
          <w:szCs w:val="24"/>
        </w:rPr>
        <w:t xml:space="preserve">Der foreligger ikke tilstrækkelige data fra kliniske forsøg vedrørende brugen af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hos patienter i alderen 65 år eller derover.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5A7CEE" w:rsidRDefault="003409E2" w:rsidP="003409E2">
      <w:pPr>
        <w:keepNext/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i/>
          <w:sz w:val="24"/>
          <w:szCs w:val="24"/>
        </w:rPr>
        <w:t>Nedsat nyre- eller leverfunktion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Lægemidlet </w:t>
      </w:r>
      <w:r>
        <w:rPr>
          <w:sz w:val="24"/>
          <w:szCs w:val="24"/>
        </w:rPr>
        <w:t>skal anvendes med forsigtighed</w:t>
      </w:r>
      <w:r w:rsidRPr="007634F0">
        <w:rPr>
          <w:sz w:val="24"/>
          <w:szCs w:val="24"/>
        </w:rPr>
        <w:t xml:space="preserve"> til patienter med nedsat nyre</w:t>
      </w:r>
      <w:r>
        <w:rPr>
          <w:sz w:val="24"/>
          <w:szCs w:val="24"/>
        </w:rPr>
        <w:t>- eller lever</w:t>
      </w:r>
      <w:r w:rsidRPr="007634F0">
        <w:rPr>
          <w:sz w:val="24"/>
          <w:szCs w:val="24"/>
        </w:rPr>
        <w:t>funktion.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keepNext/>
        <w:ind w:left="851"/>
        <w:rPr>
          <w:i/>
          <w:sz w:val="24"/>
          <w:szCs w:val="24"/>
        </w:rPr>
      </w:pPr>
      <w:r w:rsidRPr="007634F0">
        <w:rPr>
          <w:i/>
          <w:sz w:val="24"/>
          <w:szCs w:val="24"/>
        </w:rPr>
        <w:lastRenderedPageBreak/>
        <w:t>Pædiatrisk population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Mitomycins</w:t>
      </w:r>
      <w:proofErr w:type="spellEnd"/>
      <w:r w:rsidRPr="007634F0">
        <w:rPr>
          <w:sz w:val="24"/>
          <w:szCs w:val="24"/>
        </w:rPr>
        <w:t xml:space="preserve"> sikkerhed og virkning hos børn er ikke klarlagt.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Der foreligger ingen data.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AD5DD3" w:rsidRDefault="003409E2" w:rsidP="003409E2">
      <w:pPr>
        <w:ind w:left="851"/>
        <w:rPr>
          <w:bCs/>
          <w:sz w:val="24"/>
          <w:szCs w:val="24"/>
          <w:u w:val="single"/>
        </w:rPr>
      </w:pPr>
      <w:r w:rsidRPr="00AD5DD3">
        <w:rPr>
          <w:bCs/>
          <w:sz w:val="24"/>
          <w:szCs w:val="24"/>
          <w:u w:val="single"/>
        </w:rPr>
        <w:t>Administration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</w:t>
      </w:r>
      <w:r>
        <w:rPr>
          <w:sz w:val="24"/>
          <w:szCs w:val="24"/>
        </w:rPr>
        <w:t xml:space="preserve">kun </w:t>
      </w:r>
      <w:r w:rsidRPr="007634F0">
        <w:rPr>
          <w:sz w:val="24"/>
          <w:szCs w:val="24"/>
        </w:rPr>
        <w:t xml:space="preserve">beregnet til injektion/infusion i en blodåre (intravenøs) eller </w:t>
      </w:r>
      <w:proofErr w:type="spellStart"/>
      <w:r w:rsidRPr="007634F0">
        <w:rPr>
          <w:sz w:val="24"/>
          <w:szCs w:val="24"/>
        </w:rPr>
        <w:t>intravesikal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instillation</w:t>
      </w:r>
      <w:proofErr w:type="spellEnd"/>
      <w:r w:rsidRPr="007634F0">
        <w:rPr>
          <w:sz w:val="24"/>
          <w:szCs w:val="24"/>
        </w:rPr>
        <w:t>, når det er blevet opløst. Delvis anvendelse er mulig</w:t>
      </w:r>
      <w:r>
        <w:rPr>
          <w:sz w:val="24"/>
          <w:szCs w:val="24"/>
        </w:rPr>
        <w:t xml:space="preserve"> (kun gældende for intravenøs anvendelse af </w:t>
      </w:r>
      <w:proofErr w:type="spellStart"/>
      <w:r>
        <w:rPr>
          <w:sz w:val="24"/>
          <w:szCs w:val="24"/>
        </w:rPr>
        <w:t>mitomycin</w:t>
      </w:r>
      <w:proofErr w:type="spellEnd"/>
      <w:r>
        <w:rPr>
          <w:sz w:val="24"/>
          <w:szCs w:val="24"/>
        </w:rPr>
        <w:t>)</w:t>
      </w:r>
      <w:r w:rsidRPr="007634F0">
        <w:rPr>
          <w:sz w:val="24"/>
          <w:szCs w:val="24"/>
        </w:rPr>
        <w:t>.</w:t>
      </w:r>
    </w:p>
    <w:p w:rsidR="003409E2" w:rsidRDefault="003409E2" w:rsidP="003409E2">
      <w:pPr>
        <w:ind w:left="851"/>
        <w:rPr>
          <w:sz w:val="24"/>
          <w:szCs w:val="24"/>
        </w:rPr>
      </w:pPr>
    </w:p>
    <w:p w:rsidR="003409E2" w:rsidRDefault="003409E2" w:rsidP="003409E2">
      <w:pPr>
        <w:keepNext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Intravenøs administration</w:t>
      </w:r>
    </w:p>
    <w:p w:rsidR="003409E2" w:rsidRPr="00AD5DD3" w:rsidRDefault="003409E2" w:rsidP="003409E2">
      <w:pPr>
        <w:keepNext/>
        <w:ind w:left="851"/>
        <w:rPr>
          <w:i/>
          <w:iCs/>
          <w:sz w:val="24"/>
          <w:szCs w:val="24"/>
        </w:rPr>
      </w:pPr>
    </w:p>
    <w:p w:rsidR="003409E2" w:rsidRPr="00AD5DD3" w:rsidRDefault="003409E2" w:rsidP="003409E2">
      <w:pPr>
        <w:ind w:left="851"/>
        <w:rPr>
          <w:i/>
          <w:iCs/>
          <w:sz w:val="24"/>
          <w:szCs w:val="24"/>
        </w:rPr>
      </w:pPr>
      <w:r w:rsidRPr="00AD5DD3">
        <w:rPr>
          <w:i/>
          <w:iCs/>
          <w:sz w:val="24"/>
          <w:szCs w:val="24"/>
        </w:rPr>
        <w:t>Forholdsregler, der skal tages før håndtering eller administration af lægemidlet</w:t>
      </w:r>
    </w:p>
    <w:p w:rsidR="003409E2" w:rsidRPr="00AD5DD3" w:rsidRDefault="003409E2" w:rsidP="003409E2">
      <w:pPr>
        <w:pStyle w:val="Listeafsnit"/>
        <w:numPr>
          <w:ilvl w:val="0"/>
          <w:numId w:val="11"/>
        </w:numPr>
        <w:rPr>
          <w:sz w:val="24"/>
          <w:szCs w:val="24"/>
        </w:rPr>
      </w:pPr>
      <w:proofErr w:type="spellStart"/>
      <w:r w:rsidRPr="00AD5DD3">
        <w:rPr>
          <w:sz w:val="24"/>
          <w:szCs w:val="24"/>
        </w:rPr>
        <w:t>Mitomycin</w:t>
      </w:r>
      <w:proofErr w:type="spellEnd"/>
      <w:r w:rsidRPr="00AD5DD3">
        <w:rPr>
          <w:sz w:val="24"/>
          <w:szCs w:val="24"/>
        </w:rPr>
        <w:t xml:space="preserve"> "</w:t>
      </w:r>
      <w:proofErr w:type="spellStart"/>
      <w:r w:rsidRPr="00AD5DD3">
        <w:rPr>
          <w:sz w:val="24"/>
          <w:szCs w:val="24"/>
        </w:rPr>
        <w:t>medac</w:t>
      </w:r>
      <w:proofErr w:type="spellEnd"/>
      <w:r w:rsidRPr="00AD5DD3">
        <w:rPr>
          <w:sz w:val="24"/>
          <w:szCs w:val="24"/>
        </w:rPr>
        <w:t>" må ikke indgives sammen med andre injektionsvæsker.</w:t>
      </w:r>
    </w:p>
    <w:p w:rsidR="003409E2" w:rsidRPr="007634F0" w:rsidRDefault="003409E2" w:rsidP="003409E2">
      <w:pPr>
        <w:pStyle w:val="Brdtekst"/>
        <w:numPr>
          <w:ilvl w:val="0"/>
          <w:numId w:val="11"/>
        </w:numPr>
        <w:spacing w:after="0"/>
        <w:rPr>
          <w:sz w:val="24"/>
          <w:szCs w:val="24"/>
        </w:rPr>
      </w:pPr>
      <w:r w:rsidRPr="007634F0">
        <w:rPr>
          <w:sz w:val="24"/>
          <w:szCs w:val="24"/>
        </w:rPr>
        <w:t>Andre injektions- eller infusionsvæsker skal indgives separat.</w:t>
      </w:r>
    </w:p>
    <w:p w:rsidR="003409E2" w:rsidRPr="007634F0" w:rsidRDefault="003409E2" w:rsidP="003409E2">
      <w:pPr>
        <w:pStyle w:val="Brdtekst"/>
        <w:numPr>
          <w:ilvl w:val="0"/>
          <w:numId w:val="11"/>
        </w:numPr>
        <w:spacing w:after="0"/>
        <w:rPr>
          <w:sz w:val="24"/>
          <w:szCs w:val="24"/>
        </w:rPr>
      </w:pPr>
      <w:r w:rsidRPr="007634F0">
        <w:rPr>
          <w:sz w:val="24"/>
          <w:szCs w:val="24"/>
        </w:rPr>
        <w:t>Det er vigtigt, at injektionen indgives intravenøst.</w:t>
      </w:r>
    </w:p>
    <w:p w:rsidR="003409E2" w:rsidRDefault="003409E2" w:rsidP="003409E2">
      <w:pPr>
        <w:ind w:left="851"/>
        <w:rPr>
          <w:sz w:val="24"/>
          <w:szCs w:val="24"/>
          <w:u w:val="single"/>
        </w:rPr>
      </w:pPr>
    </w:p>
    <w:p w:rsidR="003409E2" w:rsidRPr="003409E2" w:rsidRDefault="003409E2" w:rsidP="003409E2">
      <w:pPr>
        <w:keepNext/>
        <w:ind w:left="851"/>
        <w:rPr>
          <w:i/>
          <w:iCs/>
          <w:sz w:val="24"/>
          <w:szCs w:val="24"/>
        </w:rPr>
      </w:pPr>
      <w:proofErr w:type="spellStart"/>
      <w:r w:rsidRPr="00AD5DD3">
        <w:rPr>
          <w:i/>
          <w:iCs/>
          <w:sz w:val="24"/>
          <w:szCs w:val="24"/>
        </w:rPr>
        <w:t>Intravesikal</w:t>
      </w:r>
      <w:proofErr w:type="spellEnd"/>
      <w:r w:rsidRPr="00AD5DD3">
        <w:rPr>
          <w:i/>
          <w:iCs/>
          <w:sz w:val="24"/>
          <w:szCs w:val="24"/>
        </w:rPr>
        <w:t xml:space="preserve"> administration</w:t>
      </w: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>Det tilrådes at anvende dette lægemiddel ved dets optimale pH-værdi (pH-værdi i urin &gt;</w:t>
      </w:r>
      <w:r>
        <w:rPr>
          <w:sz w:val="24"/>
          <w:szCs w:val="24"/>
        </w:rPr>
        <w:t> </w:t>
      </w:r>
      <w:r w:rsidRPr="005A7CEE">
        <w:rPr>
          <w:sz w:val="24"/>
          <w:szCs w:val="24"/>
        </w:rPr>
        <w:t xml:space="preserve">6) og at opretholde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-koncentrationen ved at mindske væskeindtaget inden, under og efter </w:t>
      </w:r>
      <w:proofErr w:type="spellStart"/>
      <w:r w:rsidRPr="005A7CEE">
        <w:rPr>
          <w:sz w:val="24"/>
          <w:szCs w:val="24"/>
        </w:rPr>
        <w:t>instillation</w:t>
      </w:r>
      <w:proofErr w:type="spellEnd"/>
      <w:r w:rsidRPr="005A7CEE">
        <w:rPr>
          <w:sz w:val="24"/>
          <w:szCs w:val="24"/>
        </w:rPr>
        <w:t xml:space="preserve">. Blæren skal tømmes inden </w:t>
      </w:r>
      <w:proofErr w:type="spellStart"/>
      <w:r w:rsidRPr="005A7CEE">
        <w:rPr>
          <w:sz w:val="24"/>
          <w:szCs w:val="24"/>
        </w:rPr>
        <w:t>instillation</w:t>
      </w:r>
      <w:proofErr w:type="spellEnd"/>
      <w:r w:rsidRPr="005A7CEE">
        <w:rPr>
          <w:sz w:val="24"/>
          <w:szCs w:val="24"/>
        </w:rPr>
        <w:t xml:space="preserve">.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indføres i blæren ved hjælp af et kateter og ved lavt tryk. Den enkelte </w:t>
      </w:r>
      <w:proofErr w:type="spellStart"/>
      <w:r w:rsidRPr="005A7CEE">
        <w:rPr>
          <w:sz w:val="24"/>
          <w:szCs w:val="24"/>
        </w:rPr>
        <w:t>instillations</w:t>
      </w:r>
      <w:proofErr w:type="spellEnd"/>
      <w:r w:rsidRPr="005A7CEE">
        <w:rPr>
          <w:sz w:val="24"/>
          <w:szCs w:val="24"/>
        </w:rPr>
        <w:t xml:space="preserve"> varighed skal være 1</w:t>
      </w:r>
      <w:r>
        <w:rPr>
          <w:sz w:val="24"/>
          <w:szCs w:val="24"/>
        </w:rPr>
        <w:noBreakHyphen/>
      </w:r>
      <w:r w:rsidRPr="005A7CEE">
        <w:rPr>
          <w:sz w:val="24"/>
          <w:szCs w:val="24"/>
        </w:rPr>
        <w:t xml:space="preserve">2 timer. I dette tidsrum bør opløsningen have tilstrækkelig kontakt med hele slimhindeoverfladen i blæren. Patienten bør derfor mobiliseres mest muligt. Efter 2 timer skal patienten udtømme den </w:t>
      </w:r>
      <w:proofErr w:type="spellStart"/>
      <w:r w:rsidRPr="005A7CEE">
        <w:rPr>
          <w:sz w:val="24"/>
          <w:szCs w:val="24"/>
        </w:rPr>
        <w:t>instillerede</w:t>
      </w:r>
      <w:proofErr w:type="spellEnd"/>
      <w:r w:rsidRPr="005A7CEE">
        <w:rPr>
          <w:sz w:val="24"/>
          <w:szCs w:val="24"/>
        </w:rPr>
        <w:t xml:space="preserve"> opløsning, helst i siddende stilling.</w:t>
      </w:r>
    </w:p>
    <w:p w:rsidR="003409E2" w:rsidRPr="00EF5E61" w:rsidRDefault="003409E2" w:rsidP="003409E2">
      <w:pPr>
        <w:ind w:left="851"/>
        <w:rPr>
          <w:sz w:val="24"/>
          <w:szCs w:val="24"/>
          <w:u w:val="single"/>
        </w:rPr>
      </w:pP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For instruktioner om </w:t>
      </w:r>
      <w:proofErr w:type="spellStart"/>
      <w:r w:rsidRPr="007634F0">
        <w:rPr>
          <w:sz w:val="24"/>
          <w:szCs w:val="24"/>
        </w:rPr>
        <w:t>rekonstitution</w:t>
      </w:r>
      <w:proofErr w:type="spellEnd"/>
      <w:r w:rsidRPr="007634F0">
        <w:rPr>
          <w:sz w:val="24"/>
          <w:szCs w:val="24"/>
        </w:rPr>
        <w:t xml:space="preserve"> og fortynding af lægemidlet før administration, se pkt. 6.6.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4.3</w:t>
      </w:r>
      <w:r w:rsidRPr="007634F0">
        <w:rPr>
          <w:b/>
          <w:sz w:val="24"/>
          <w:szCs w:val="24"/>
        </w:rPr>
        <w:tab/>
        <w:t>Kontraindikationer</w:t>
      </w:r>
    </w:p>
    <w:p w:rsidR="003409E2" w:rsidRPr="007634F0" w:rsidRDefault="003409E2" w:rsidP="003409E2">
      <w:pPr>
        <w:ind w:left="1134" w:hanging="283"/>
        <w:rPr>
          <w:sz w:val="24"/>
          <w:szCs w:val="24"/>
        </w:rPr>
      </w:pPr>
      <w:r w:rsidRPr="005A7CEE">
        <w:rPr>
          <w:szCs w:val="22"/>
        </w:rPr>
        <w:t>•</w:t>
      </w:r>
      <w:r w:rsidRPr="005A7CEE">
        <w:rPr>
          <w:szCs w:val="22"/>
        </w:rPr>
        <w:tab/>
      </w:r>
      <w:r w:rsidRPr="007634F0">
        <w:rPr>
          <w:sz w:val="24"/>
          <w:szCs w:val="24"/>
        </w:rPr>
        <w:t>Overfølsomhed over for det aktive stof eller over for et eller flere af hjælpestofferne anført i pkt. 6.1.</w:t>
      </w:r>
    </w:p>
    <w:p w:rsidR="003409E2" w:rsidRPr="007634F0" w:rsidRDefault="003409E2" w:rsidP="003409E2">
      <w:pPr>
        <w:tabs>
          <w:tab w:val="left" w:pos="567"/>
        </w:tabs>
        <w:ind w:left="1134" w:hanging="283"/>
        <w:rPr>
          <w:sz w:val="24"/>
          <w:szCs w:val="24"/>
        </w:rPr>
      </w:pPr>
      <w:r w:rsidRPr="005A7CEE">
        <w:rPr>
          <w:szCs w:val="22"/>
        </w:rPr>
        <w:t>•</w:t>
      </w:r>
      <w:r w:rsidRPr="005A7CEE">
        <w:rPr>
          <w:szCs w:val="22"/>
        </w:rPr>
        <w:tab/>
      </w:r>
      <w:r w:rsidRPr="007634F0">
        <w:rPr>
          <w:sz w:val="24"/>
          <w:szCs w:val="24"/>
        </w:rPr>
        <w:t>Amning</w:t>
      </w:r>
    </w:p>
    <w:p w:rsidR="003409E2" w:rsidRPr="007634F0" w:rsidRDefault="003409E2" w:rsidP="003409E2">
      <w:pPr>
        <w:tabs>
          <w:tab w:val="left" w:pos="567"/>
        </w:tabs>
        <w:ind w:left="851"/>
        <w:rPr>
          <w:sz w:val="24"/>
          <w:szCs w:val="24"/>
        </w:rPr>
      </w:pPr>
    </w:p>
    <w:p w:rsidR="003409E2" w:rsidRPr="00AD5DD3" w:rsidRDefault="003409E2" w:rsidP="003409E2">
      <w:pPr>
        <w:tabs>
          <w:tab w:val="left" w:pos="567"/>
        </w:tabs>
        <w:ind w:left="851"/>
        <w:rPr>
          <w:i/>
          <w:iCs/>
          <w:sz w:val="24"/>
          <w:szCs w:val="24"/>
        </w:rPr>
      </w:pPr>
      <w:r w:rsidRPr="00AD5DD3">
        <w:rPr>
          <w:i/>
          <w:iCs/>
          <w:sz w:val="24"/>
          <w:szCs w:val="24"/>
        </w:rPr>
        <w:t>Systemisk behandling</w:t>
      </w:r>
    </w:p>
    <w:p w:rsidR="003409E2" w:rsidRPr="007634F0" w:rsidRDefault="003409E2" w:rsidP="003409E2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Pancytopeni</w:t>
      </w:r>
      <w:proofErr w:type="spellEnd"/>
      <w:r w:rsidRPr="007634F0">
        <w:rPr>
          <w:sz w:val="24"/>
          <w:szCs w:val="24"/>
        </w:rPr>
        <w:t xml:space="preserve">, isoleret </w:t>
      </w:r>
      <w:proofErr w:type="spellStart"/>
      <w:r w:rsidRPr="007634F0">
        <w:rPr>
          <w:sz w:val="24"/>
          <w:szCs w:val="24"/>
        </w:rPr>
        <w:t>leukopeni</w:t>
      </w:r>
      <w:proofErr w:type="spellEnd"/>
      <w:r w:rsidRPr="007634F0">
        <w:rPr>
          <w:sz w:val="24"/>
          <w:szCs w:val="24"/>
        </w:rPr>
        <w:t xml:space="preserve"> eller </w:t>
      </w:r>
      <w:proofErr w:type="spellStart"/>
      <w:r w:rsidRPr="004078DE">
        <w:rPr>
          <w:sz w:val="24"/>
          <w:szCs w:val="24"/>
        </w:rPr>
        <w:t>trombocytopeni</w:t>
      </w:r>
      <w:proofErr w:type="spellEnd"/>
      <w:r w:rsidRPr="007634F0">
        <w:rPr>
          <w:sz w:val="24"/>
          <w:szCs w:val="24"/>
        </w:rPr>
        <w:t xml:space="preserve">, </w:t>
      </w:r>
      <w:proofErr w:type="spellStart"/>
      <w:r w:rsidRPr="007634F0">
        <w:rPr>
          <w:sz w:val="24"/>
          <w:szCs w:val="24"/>
        </w:rPr>
        <w:t>hæmoragisk</w:t>
      </w:r>
      <w:proofErr w:type="spellEnd"/>
      <w:r w:rsidRPr="007634F0">
        <w:rPr>
          <w:sz w:val="24"/>
          <w:szCs w:val="24"/>
        </w:rPr>
        <w:t xml:space="preserve"> diatese og akutte infektioner er absolutte kontraindikationer.</w:t>
      </w:r>
    </w:p>
    <w:p w:rsidR="00015E7D" w:rsidRPr="007634F0" w:rsidRDefault="00015E7D" w:rsidP="00015E7D">
      <w:pPr>
        <w:tabs>
          <w:tab w:val="left" w:pos="851"/>
        </w:tabs>
        <w:ind w:left="851"/>
        <w:rPr>
          <w:sz w:val="24"/>
          <w:szCs w:val="24"/>
        </w:rPr>
      </w:pPr>
    </w:p>
    <w:p w:rsidR="00015E7D" w:rsidRPr="007634F0" w:rsidRDefault="00015E7D" w:rsidP="00015E7D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Restriktive eller obstruktive lungeforstyrrelser, nedsat nyrefunktion, nedsat leverfunktion og/eller dårlig generel helbredstilstand er relative kontraindikationer. Hvis patienten samtidig skal have strålebehandling eller anden </w:t>
      </w:r>
      <w:proofErr w:type="spellStart"/>
      <w:r w:rsidRPr="007634F0">
        <w:rPr>
          <w:sz w:val="24"/>
          <w:szCs w:val="24"/>
        </w:rPr>
        <w:t>cytostatisk</w:t>
      </w:r>
      <w:proofErr w:type="spellEnd"/>
      <w:r w:rsidRPr="007634F0">
        <w:rPr>
          <w:sz w:val="24"/>
          <w:szCs w:val="24"/>
        </w:rPr>
        <w:t xml:space="preserve"> behandling, kan det også være en kontraindikation.</w:t>
      </w:r>
    </w:p>
    <w:p w:rsidR="00015E7D" w:rsidRPr="007634F0" w:rsidRDefault="00015E7D" w:rsidP="00015E7D">
      <w:pPr>
        <w:tabs>
          <w:tab w:val="left" w:pos="851"/>
        </w:tabs>
        <w:ind w:left="851"/>
        <w:rPr>
          <w:sz w:val="24"/>
          <w:szCs w:val="24"/>
        </w:rPr>
      </w:pPr>
    </w:p>
    <w:p w:rsidR="003409E2" w:rsidRPr="00AD5DD3" w:rsidRDefault="003409E2" w:rsidP="003409E2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AD5DD3">
        <w:rPr>
          <w:i/>
          <w:iCs/>
          <w:sz w:val="24"/>
          <w:szCs w:val="24"/>
        </w:rPr>
        <w:t>Intravesikal</w:t>
      </w:r>
      <w:proofErr w:type="spellEnd"/>
      <w:r w:rsidRPr="00AD5DD3">
        <w:rPr>
          <w:i/>
          <w:iCs/>
          <w:sz w:val="24"/>
          <w:szCs w:val="24"/>
        </w:rPr>
        <w:t xml:space="preserve"> behandling</w:t>
      </w: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Perforering af blærevæggen</w:t>
      </w:r>
      <w:r>
        <w:rPr>
          <w:sz w:val="24"/>
          <w:szCs w:val="24"/>
        </w:rPr>
        <w:t>, cystitis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3409E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4.4</w:t>
      </w:r>
      <w:r w:rsidRPr="007634F0">
        <w:rPr>
          <w:b/>
          <w:sz w:val="24"/>
          <w:szCs w:val="24"/>
        </w:rPr>
        <w:tab/>
        <w:t>Særlige advarsler og forsigtighedsregler vedrørende brugen</w:t>
      </w:r>
    </w:p>
    <w:p w:rsidR="003409E2" w:rsidRDefault="003409E2" w:rsidP="003409E2">
      <w:pPr>
        <w:keepNext/>
        <w:ind w:left="851"/>
        <w:rPr>
          <w:rFonts w:cs="Arial"/>
          <w:szCs w:val="22"/>
          <w:u w:val="single"/>
        </w:rPr>
      </w:pPr>
    </w:p>
    <w:p w:rsidR="003409E2" w:rsidRPr="005A7CEE" w:rsidRDefault="003409E2" w:rsidP="003409E2">
      <w:pPr>
        <w:keepNext/>
        <w:ind w:left="851"/>
        <w:rPr>
          <w:rFonts w:cs="Arial"/>
          <w:szCs w:val="22"/>
          <w:u w:val="single"/>
        </w:rPr>
      </w:pPr>
      <w:proofErr w:type="spellStart"/>
      <w:r w:rsidRPr="005A7CEE">
        <w:rPr>
          <w:rFonts w:cs="Arial"/>
          <w:szCs w:val="22"/>
          <w:u w:val="single"/>
        </w:rPr>
        <w:t>Ekstravasation</w:t>
      </w:r>
      <w:proofErr w:type="spellEnd"/>
      <w:r w:rsidRPr="005A7CEE">
        <w:rPr>
          <w:rFonts w:cs="Arial"/>
          <w:szCs w:val="22"/>
          <w:u w:val="single"/>
        </w:rPr>
        <w:t xml:space="preserve"> efter </w:t>
      </w:r>
      <w:r>
        <w:rPr>
          <w:rFonts w:cs="Arial"/>
          <w:szCs w:val="22"/>
          <w:u w:val="single"/>
        </w:rPr>
        <w:t>systemisk</w:t>
      </w:r>
      <w:r w:rsidRPr="005A7CEE">
        <w:rPr>
          <w:rFonts w:cs="Arial"/>
          <w:szCs w:val="22"/>
          <w:u w:val="single"/>
        </w:rPr>
        <w:t xml:space="preserve"> administration</w:t>
      </w:r>
    </w:p>
    <w:p w:rsidR="003409E2" w:rsidRPr="007634F0" w:rsidRDefault="003409E2" w:rsidP="003409E2">
      <w:pPr>
        <w:ind w:left="851"/>
        <w:rPr>
          <w:color w:val="000000"/>
          <w:sz w:val="24"/>
          <w:szCs w:val="24"/>
        </w:rPr>
      </w:pPr>
      <w:r w:rsidRPr="007634F0">
        <w:rPr>
          <w:sz w:val="24"/>
          <w:szCs w:val="24"/>
        </w:rPr>
        <w:t xml:space="preserve">Det er vigtigt, at injektionen indgives intravenøst. Hvis lægemidlet injiceres </w:t>
      </w:r>
      <w:proofErr w:type="spellStart"/>
      <w:r w:rsidRPr="007634F0">
        <w:rPr>
          <w:sz w:val="24"/>
          <w:szCs w:val="24"/>
        </w:rPr>
        <w:t>perivaskulært</w:t>
      </w:r>
      <w:proofErr w:type="spellEnd"/>
      <w:r w:rsidRPr="007634F0">
        <w:rPr>
          <w:sz w:val="24"/>
          <w:szCs w:val="24"/>
        </w:rPr>
        <w:t xml:space="preserve">, vil der opstå omfattende nekrose i det pågældende væv. </w:t>
      </w:r>
      <w:r w:rsidRPr="007634F0">
        <w:rPr>
          <w:color w:val="000000"/>
          <w:sz w:val="24"/>
          <w:szCs w:val="24"/>
        </w:rPr>
        <w:t>For at undgå nekrose anbefales følgende:</w:t>
      </w:r>
    </w:p>
    <w:p w:rsidR="003409E2" w:rsidRPr="007634F0" w:rsidRDefault="003409E2" w:rsidP="003409E2">
      <w:pPr>
        <w:pStyle w:val="Brdtekst2"/>
        <w:numPr>
          <w:ilvl w:val="0"/>
          <w:numId w:val="9"/>
        </w:numPr>
        <w:ind w:left="1134" w:hanging="283"/>
        <w:contextualSpacing/>
        <w:jc w:val="left"/>
        <w:rPr>
          <w:sz w:val="24"/>
          <w:szCs w:val="24"/>
        </w:rPr>
      </w:pPr>
      <w:r w:rsidRPr="007634F0">
        <w:rPr>
          <w:sz w:val="24"/>
          <w:szCs w:val="24"/>
        </w:rPr>
        <w:lastRenderedPageBreak/>
        <w:t>Injicér altid i de store vener i armene.</w:t>
      </w:r>
    </w:p>
    <w:p w:rsidR="003409E2" w:rsidRPr="007634F0" w:rsidRDefault="003409E2" w:rsidP="003409E2">
      <w:pPr>
        <w:pStyle w:val="Brdtekst2"/>
        <w:numPr>
          <w:ilvl w:val="0"/>
          <w:numId w:val="9"/>
        </w:numPr>
        <w:ind w:left="1134" w:hanging="283"/>
        <w:contextualSpacing/>
        <w:jc w:val="left"/>
        <w:rPr>
          <w:sz w:val="24"/>
          <w:szCs w:val="24"/>
        </w:rPr>
      </w:pPr>
      <w:r w:rsidRPr="007634F0">
        <w:rPr>
          <w:sz w:val="24"/>
          <w:szCs w:val="24"/>
        </w:rPr>
        <w:t>Injicér ikke direkte i venen – injicér gennem slangen til en sikker og stabilt løbende infusion.</w:t>
      </w:r>
    </w:p>
    <w:p w:rsidR="003409E2" w:rsidRDefault="003409E2" w:rsidP="003409E2">
      <w:pPr>
        <w:pStyle w:val="Brdtekst2"/>
        <w:numPr>
          <w:ilvl w:val="0"/>
          <w:numId w:val="9"/>
        </w:numPr>
        <w:ind w:left="1134" w:hanging="283"/>
        <w:contextualSpacing/>
        <w:jc w:val="left"/>
        <w:rPr>
          <w:sz w:val="24"/>
          <w:szCs w:val="24"/>
        </w:rPr>
      </w:pPr>
      <w:r w:rsidRPr="007634F0">
        <w:rPr>
          <w:sz w:val="24"/>
          <w:szCs w:val="24"/>
        </w:rPr>
        <w:t xml:space="preserve">Før nålen fjernes efter administration i en central vene, skal den skylles igennem i et par minutter med infusionsvæsken, så eventuelle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-rester frigøres.</w:t>
      </w:r>
    </w:p>
    <w:p w:rsidR="00015E7D" w:rsidRPr="007634F0" w:rsidRDefault="00015E7D" w:rsidP="00015E7D">
      <w:pPr>
        <w:pStyle w:val="Brdtekst2"/>
        <w:contextualSpacing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Hvis der sker </w:t>
      </w:r>
      <w:proofErr w:type="spellStart"/>
      <w:r w:rsidRPr="007634F0">
        <w:rPr>
          <w:sz w:val="24"/>
          <w:szCs w:val="24"/>
        </w:rPr>
        <w:t>ekstravasation</w:t>
      </w:r>
      <w:proofErr w:type="spellEnd"/>
      <w:r w:rsidRPr="007634F0">
        <w:rPr>
          <w:sz w:val="24"/>
          <w:szCs w:val="24"/>
        </w:rPr>
        <w:t xml:space="preserve">, anbefales øjeblikkelig topisk anvendelse af </w:t>
      </w:r>
      <w:proofErr w:type="spellStart"/>
      <w:r w:rsidRPr="007634F0">
        <w:rPr>
          <w:sz w:val="24"/>
          <w:szCs w:val="24"/>
        </w:rPr>
        <w:t>dimetylsulfoxid</w:t>
      </w:r>
      <w:proofErr w:type="spellEnd"/>
      <w:r w:rsidRPr="007634F0">
        <w:rPr>
          <w:sz w:val="24"/>
          <w:szCs w:val="24"/>
        </w:rPr>
        <w:t xml:space="preserve"> (DMSO 99 %), der gentages for hver 4</w:t>
      </w:r>
      <w:r w:rsidRPr="007634F0">
        <w:rPr>
          <w:sz w:val="24"/>
          <w:szCs w:val="24"/>
        </w:rPr>
        <w:noBreakHyphen/>
        <w:t>8 timer, samt brug af tørre, kolde kompresbind. En (plastik)kirurg skal konsulteres forholdsvis hurtigt (inden for 72 timer). Systemisk injektion af 200 mg B</w:t>
      </w:r>
      <w:r w:rsidRPr="00AD5DD3">
        <w:rPr>
          <w:sz w:val="24"/>
          <w:szCs w:val="24"/>
        </w:rPr>
        <w:t>6</w:t>
      </w:r>
      <w:r w:rsidRPr="007634F0">
        <w:rPr>
          <w:sz w:val="24"/>
          <w:szCs w:val="24"/>
        </w:rPr>
        <w:t>-vitamin kan være gavnligt for at fremme regenereringen af de væv, der er blevet beskadiget.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5A7CEE" w:rsidRDefault="003409E2" w:rsidP="003409E2">
      <w:pPr>
        <w:keepNext/>
        <w:ind w:left="851"/>
        <w:rPr>
          <w:rFonts w:cs="Arial"/>
          <w:szCs w:val="22"/>
          <w:u w:val="single"/>
        </w:rPr>
      </w:pPr>
      <w:proofErr w:type="spellStart"/>
      <w:r w:rsidRPr="005A7CEE">
        <w:rPr>
          <w:rFonts w:cs="Arial"/>
          <w:szCs w:val="22"/>
          <w:u w:val="single"/>
        </w:rPr>
        <w:t>Ekstravasation</w:t>
      </w:r>
      <w:proofErr w:type="spellEnd"/>
      <w:r w:rsidRPr="005A7CEE">
        <w:rPr>
          <w:rFonts w:cs="Arial"/>
          <w:szCs w:val="22"/>
          <w:u w:val="single"/>
        </w:rPr>
        <w:t xml:space="preserve"> efter </w:t>
      </w:r>
      <w:proofErr w:type="spellStart"/>
      <w:r w:rsidRPr="005A7CEE">
        <w:rPr>
          <w:rFonts w:cs="Arial"/>
          <w:szCs w:val="22"/>
          <w:u w:val="single"/>
        </w:rPr>
        <w:t>intravesikal</w:t>
      </w:r>
      <w:proofErr w:type="spellEnd"/>
      <w:r w:rsidRPr="005A7CEE">
        <w:rPr>
          <w:rFonts w:cs="Arial"/>
          <w:szCs w:val="22"/>
          <w:u w:val="single"/>
        </w:rPr>
        <w:t xml:space="preserve"> administration</w:t>
      </w:r>
    </w:p>
    <w:p w:rsidR="003409E2" w:rsidRPr="005A7CEE" w:rsidRDefault="003409E2" w:rsidP="003409E2">
      <w:pPr>
        <w:ind w:left="851"/>
        <w:rPr>
          <w:rFonts w:cs="Arial"/>
          <w:szCs w:val="22"/>
        </w:rPr>
      </w:pPr>
      <w:r w:rsidRPr="005A7CEE">
        <w:rPr>
          <w:rFonts w:cs="Arial"/>
          <w:szCs w:val="22"/>
        </w:rPr>
        <w:t xml:space="preserve">Symptomer på </w:t>
      </w:r>
      <w:proofErr w:type="spellStart"/>
      <w:r w:rsidRPr="005A7CEE">
        <w:rPr>
          <w:rFonts w:cs="Arial"/>
          <w:szCs w:val="22"/>
        </w:rPr>
        <w:t>ekstravasation</w:t>
      </w:r>
      <w:proofErr w:type="spellEnd"/>
      <w:r w:rsidRPr="005A7CEE">
        <w:rPr>
          <w:rFonts w:cs="Arial"/>
          <w:szCs w:val="22"/>
        </w:rPr>
        <w:t xml:space="preserve"> efter </w:t>
      </w:r>
      <w:proofErr w:type="spellStart"/>
      <w:r w:rsidRPr="005A7CEE">
        <w:rPr>
          <w:rFonts w:cs="Arial"/>
          <w:szCs w:val="22"/>
        </w:rPr>
        <w:t>intravesikal</w:t>
      </w:r>
      <w:proofErr w:type="spellEnd"/>
      <w:r w:rsidRPr="005A7CEE">
        <w:rPr>
          <w:rFonts w:cs="Arial"/>
          <w:szCs w:val="22"/>
        </w:rPr>
        <w:t xml:space="preserve"> administration af </w:t>
      </w:r>
      <w:proofErr w:type="spellStart"/>
      <w:r w:rsidRPr="005A7CEE">
        <w:rPr>
          <w:rFonts w:cs="Arial"/>
          <w:szCs w:val="22"/>
        </w:rPr>
        <w:t>mitomycin</w:t>
      </w:r>
      <w:proofErr w:type="spellEnd"/>
      <w:r w:rsidRPr="005A7CEE">
        <w:rPr>
          <w:rFonts w:cs="Arial"/>
          <w:szCs w:val="22"/>
        </w:rPr>
        <w:t xml:space="preserve"> kan forekomme straks efter applikationen eller uger eller måneder senere. Det </w:t>
      </w:r>
      <w:r>
        <w:rPr>
          <w:rFonts w:cs="Arial"/>
          <w:szCs w:val="22"/>
        </w:rPr>
        <w:t>kan være</w:t>
      </w:r>
      <w:r w:rsidRPr="005A7CEE">
        <w:rPr>
          <w:rFonts w:cs="Arial"/>
          <w:szCs w:val="22"/>
        </w:rPr>
        <w:t xml:space="preserve"> uklart, om </w:t>
      </w:r>
      <w:proofErr w:type="spellStart"/>
      <w:r w:rsidRPr="005A7CEE">
        <w:rPr>
          <w:rFonts w:cs="Arial"/>
          <w:szCs w:val="22"/>
        </w:rPr>
        <w:t>ekstravasationen</w:t>
      </w:r>
      <w:proofErr w:type="spellEnd"/>
      <w:r w:rsidRPr="005A7CEE">
        <w:rPr>
          <w:rFonts w:cs="Arial"/>
          <w:szCs w:val="22"/>
        </w:rPr>
        <w:t xml:space="preserve"> fandt sted som følge af en ubemærket perforation, en </w:t>
      </w:r>
      <w:proofErr w:type="spellStart"/>
      <w:r w:rsidRPr="005A7CEE">
        <w:rPr>
          <w:rFonts w:cs="Arial"/>
          <w:i/>
          <w:szCs w:val="22"/>
        </w:rPr>
        <w:t>muscularis</w:t>
      </w:r>
      <w:proofErr w:type="spellEnd"/>
      <w:r w:rsidRPr="005A7CEE">
        <w:rPr>
          <w:rFonts w:cs="Arial"/>
          <w:i/>
          <w:szCs w:val="22"/>
        </w:rPr>
        <w:t xml:space="preserve"> </w:t>
      </w:r>
      <w:proofErr w:type="spellStart"/>
      <w:r w:rsidRPr="005A7CEE">
        <w:rPr>
          <w:rFonts w:cs="Arial"/>
          <w:i/>
          <w:szCs w:val="22"/>
        </w:rPr>
        <w:t>propria</w:t>
      </w:r>
      <w:proofErr w:type="spellEnd"/>
      <w:r w:rsidRPr="005A7CEE">
        <w:rPr>
          <w:rFonts w:cs="Arial"/>
          <w:i/>
          <w:szCs w:val="22"/>
        </w:rPr>
        <w:t>,</w:t>
      </w:r>
      <w:r w:rsidRPr="005A7CEE">
        <w:rPr>
          <w:rFonts w:cs="Arial"/>
          <w:szCs w:val="22"/>
        </w:rPr>
        <w:t xml:space="preserve"> som er blevet tyndere, eller hvis </w:t>
      </w:r>
      <w:r>
        <w:rPr>
          <w:rFonts w:cs="Arial"/>
          <w:szCs w:val="22"/>
        </w:rPr>
        <w:t>lægemidlet</w:t>
      </w:r>
      <w:r w:rsidRPr="005A7CEE">
        <w:rPr>
          <w:rFonts w:cs="Arial"/>
          <w:szCs w:val="22"/>
        </w:rPr>
        <w:t xml:space="preserve"> ikke blev administreret korrekt.</w:t>
      </w:r>
    </w:p>
    <w:p w:rsidR="003409E2" w:rsidRPr="005A7CEE" w:rsidRDefault="003409E2" w:rsidP="003409E2">
      <w:pPr>
        <w:ind w:left="851"/>
        <w:rPr>
          <w:rFonts w:cs="Arial"/>
          <w:szCs w:val="22"/>
        </w:rPr>
      </w:pPr>
      <w:r w:rsidRPr="005A7CEE">
        <w:rPr>
          <w:rFonts w:cs="Arial"/>
          <w:szCs w:val="22"/>
        </w:rPr>
        <w:t xml:space="preserve">De første symptomer viser sig som smerter i bækkenet eller abdomen, som er refraktære til almindelige </w:t>
      </w:r>
      <w:proofErr w:type="spellStart"/>
      <w:r w:rsidRPr="005A7CEE">
        <w:rPr>
          <w:rFonts w:cs="Arial"/>
          <w:szCs w:val="22"/>
        </w:rPr>
        <w:t>analgetika</w:t>
      </w:r>
      <w:proofErr w:type="spellEnd"/>
      <w:r w:rsidRPr="005A7CEE">
        <w:rPr>
          <w:rFonts w:cs="Arial"/>
          <w:szCs w:val="22"/>
        </w:rPr>
        <w:t xml:space="preserve">. Nekrose af (fedt)vævet i den omgivende region som følge af </w:t>
      </w:r>
      <w:proofErr w:type="spellStart"/>
      <w:r w:rsidRPr="005A7CEE">
        <w:rPr>
          <w:rFonts w:cs="Arial"/>
          <w:szCs w:val="22"/>
        </w:rPr>
        <w:t>ekstravasationen</w:t>
      </w:r>
      <w:proofErr w:type="spellEnd"/>
      <w:r w:rsidRPr="005A7CEE">
        <w:rPr>
          <w:rFonts w:cs="Arial"/>
          <w:szCs w:val="22"/>
        </w:rPr>
        <w:t xml:space="preserve"> blev observeret i de fleste tilfælde. Der er også blevet rapporteret blæreperforation eller udvikling af en fistel og/eller byld (se pkt. 4.8).</w:t>
      </w:r>
    </w:p>
    <w:p w:rsidR="003409E2" w:rsidRPr="005A7CEE" w:rsidRDefault="003409E2" w:rsidP="003409E2">
      <w:pPr>
        <w:ind w:left="851"/>
        <w:rPr>
          <w:rFonts w:cs="Arial"/>
          <w:szCs w:val="22"/>
        </w:rPr>
      </w:pPr>
      <w:r w:rsidRPr="005A7CEE">
        <w:rPr>
          <w:rFonts w:cs="Arial"/>
          <w:szCs w:val="22"/>
        </w:rPr>
        <w:t xml:space="preserve">Lægerne skal derfor overveje muligheden for, at der er opstået en </w:t>
      </w:r>
      <w:proofErr w:type="spellStart"/>
      <w:r w:rsidRPr="005A7CEE">
        <w:rPr>
          <w:rFonts w:cs="Arial"/>
          <w:szCs w:val="22"/>
        </w:rPr>
        <w:t>ekstravasation</w:t>
      </w:r>
      <w:proofErr w:type="spellEnd"/>
      <w:r w:rsidRPr="005A7CEE">
        <w:rPr>
          <w:rFonts w:cs="Arial"/>
          <w:szCs w:val="22"/>
        </w:rPr>
        <w:t>, hvis patienten klager over smerter i bækkenet eller abdomen, for at forhindre alvorlige konsekvenser.</w:t>
      </w:r>
    </w:p>
    <w:p w:rsidR="003409E2" w:rsidRPr="005A7CEE" w:rsidRDefault="003409E2" w:rsidP="003409E2">
      <w:pPr>
        <w:ind w:left="851"/>
        <w:rPr>
          <w:rFonts w:cs="Arial"/>
          <w:szCs w:val="22"/>
        </w:rPr>
      </w:pPr>
    </w:p>
    <w:p w:rsidR="003409E2" w:rsidRPr="005A7CEE" w:rsidRDefault="003409E2" w:rsidP="003409E2">
      <w:pPr>
        <w:keepNext/>
        <w:ind w:left="851"/>
        <w:rPr>
          <w:u w:val="single"/>
        </w:rPr>
      </w:pPr>
      <w:r w:rsidRPr="005A7CEE">
        <w:rPr>
          <w:u w:val="single"/>
        </w:rPr>
        <w:t>Generel hygiejne for patienten</w:t>
      </w:r>
      <w:r>
        <w:rPr>
          <w:u w:val="single"/>
        </w:rPr>
        <w:t xml:space="preserve"> efter </w:t>
      </w:r>
      <w:proofErr w:type="spellStart"/>
      <w:r>
        <w:rPr>
          <w:u w:val="single"/>
        </w:rPr>
        <w:t>instillation</w:t>
      </w:r>
      <w:proofErr w:type="spellEnd"/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t xml:space="preserve">Det anbefales, at hænder og </w:t>
      </w:r>
      <w:proofErr w:type="spellStart"/>
      <w:r w:rsidRPr="005A7CEE">
        <w:t>genitalia</w:t>
      </w:r>
      <w:proofErr w:type="spellEnd"/>
      <w:r w:rsidRPr="005A7CEE">
        <w:t xml:space="preserve"> vaskes efter </w:t>
      </w:r>
      <w:proofErr w:type="spellStart"/>
      <w:r w:rsidRPr="005A7CEE">
        <w:t>mikturition</w:t>
      </w:r>
      <w:proofErr w:type="spellEnd"/>
      <w:r w:rsidRPr="005A7CEE">
        <w:t xml:space="preserve">. Dette gælder især for de første vandladninger efter administration af </w:t>
      </w:r>
      <w:proofErr w:type="spellStart"/>
      <w:r w:rsidRPr="005A7CEE">
        <w:t>mitomycin</w:t>
      </w:r>
      <w:proofErr w:type="spellEnd"/>
      <w:r w:rsidRPr="005A7CEE">
        <w:t>.</w:t>
      </w:r>
      <w:r>
        <w:t xml:space="preserve">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er et mutagent og potentielt </w:t>
      </w:r>
      <w:proofErr w:type="spellStart"/>
      <w:r w:rsidRPr="005A7CEE">
        <w:rPr>
          <w:sz w:val="24"/>
          <w:szCs w:val="24"/>
        </w:rPr>
        <w:t>karcinogent</w:t>
      </w:r>
      <w:proofErr w:type="spellEnd"/>
      <w:r w:rsidRPr="005A7CEE">
        <w:rPr>
          <w:sz w:val="24"/>
          <w:szCs w:val="24"/>
        </w:rPr>
        <w:t xml:space="preserve"> stof for mennesker. Kontakt med hud og slimhinder skal undgås.</w:t>
      </w:r>
    </w:p>
    <w:p w:rsidR="003409E2" w:rsidRDefault="003409E2" w:rsidP="003409E2">
      <w:pPr>
        <w:ind w:left="851"/>
        <w:rPr>
          <w:szCs w:val="22"/>
        </w:rPr>
      </w:pP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 xml:space="preserve">Hvis der opstår cystitis, skal symptomerne behandles med lokale antiinflammatoriske lægemidler og smertestillende medicin. I de fleste tilfælde kan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>-behandlingen fortsættes, om nødvendigt med en reduceret dosis. Der er rapporteret om isolerede tilfælde af allergisk (</w:t>
      </w:r>
      <w:proofErr w:type="spellStart"/>
      <w:r w:rsidRPr="005A7CEE">
        <w:rPr>
          <w:sz w:val="24"/>
          <w:szCs w:val="24"/>
        </w:rPr>
        <w:t>eosinofil</w:t>
      </w:r>
      <w:proofErr w:type="spellEnd"/>
      <w:r w:rsidRPr="005A7CEE">
        <w:rPr>
          <w:sz w:val="24"/>
          <w:szCs w:val="24"/>
        </w:rPr>
        <w:t>) cystitis, hvor det var nødvendigt at seponere behandlingen (se pkt. 4.8).</w:t>
      </w:r>
    </w:p>
    <w:p w:rsidR="003409E2" w:rsidRDefault="003409E2" w:rsidP="003409E2">
      <w:pPr>
        <w:ind w:left="851"/>
        <w:rPr>
          <w:szCs w:val="22"/>
        </w:rPr>
      </w:pPr>
    </w:p>
    <w:p w:rsidR="003409E2" w:rsidRPr="005A7CEE" w:rsidRDefault="003409E2" w:rsidP="003409E2">
      <w:pPr>
        <w:keepNext/>
        <w:tabs>
          <w:tab w:val="left" w:pos="851"/>
        </w:tabs>
        <w:ind w:left="851"/>
        <w:rPr>
          <w:i/>
          <w:sz w:val="24"/>
          <w:szCs w:val="24"/>
        </w:rPr>
      </w:pPr>
      <w:r w:rsidRPr="005A7CEE">
        <w:rPr>
          <w:i/>
          <w:sz w:val="24"/>
          <w:szCs w:val="24"/>
        </w:rPr>
        <w:t>Ældre</w:t>
      </w: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 xml:space="preserve">Ældre patienter har ofte nedsat fysiologisk funktion og knoglemarvsdepression, der kan være langvarig, hvorfor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skal administreres med særlig forsigtighed hos denne population og med tæt overvågning af patientens tilstand.</w:t>
      </w:r>
    </w:p>
    <w:p w:rsidR="003409E2" w:rsidRPr="005A7CEE" w:rsidRDefault="003409E2" w:rsidP="003409E2">
      <w:pPr>
        <w:ind w:left="851"/>
        <w:rPr>
          <w:szCs w:val="22"/>
        </w:rPr>
      </w:pPr>
    </w:p>
    <w:p w:rsidR="003409E2" w:rsidRDefault="003409E2" w:rsidP="003409E2">
      <w:pPr>
        <w:keepNext/>
        <w:tabs>
          <w:tab w:val="left" w:pos="851"/>
        </w:tabs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Knoglemarvstoksicitet</w:t>
      </w:r>
    </w:p>
    <w:p w:rsidR="003409E2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 xml:space="preserve">På grund af </w:t>
      </w:r>
      <w:proofErr w:type="spellStart"/>
      <w:r w:rsidRPr="005A7CEE">
        <w:rPr>
          <w:sz w:val="24"/>
          <w:szCs w:val="24"/>
        </w:rPr>
        <w:t>mitomycins</w:t>
      </w:r>
      <w:proofErr w:type="spellEnd"/>
      <w:r w:rsidRPr="005A7CEE">
        <w:rPr>
          <w:sz w:val="24"/>
          <w:szCs w:val="24"/>
        </w:rPr>
        <w:t xml:space="preserve"> toksiske virkning på knoglemarven skal andre </w:t>
      </w:r>
      <w:proofErr w:type="spellStart"/>
      <w:r w:rsidRPr="005A7CEE">
        <w:rPr>
          <w:sz w:val="24"/>
          <w:szCs w:val="24"/>
        </w:rPr>
        <w:t>myelotoksiske</w:t>
      </w:r>
      <w:proofErr w:type="spellEnd"/>
      <w:r w:rsidRPr="005A7CEE">
        <w:rPr>
          <w:sz w:val="24"/>
          <w:szCs w:val="24"/>
        </w:rPr>
        <w:t xml:space="preserve"> behandlinger (navnlig andre </w:t>
      </w:r>
      <w:proofErr w:type="spellStart"/>
      <w:r w:rsidRPr="005A7CEE">
        <w:rPr>
          <w:sz w:val="24"/>
          <w:szCs w:val="24"/>
        </w:rPr>
        <w:t>cytostatika</w:t>
      </w:r>
      <w:proofErr w:type="spellEnd"/>
      <w:r w:rsidRPr="005A7CEE">
        <w:rPr>
          <w:sz w:val="24"/>
          <w:szCs w:val="24"/>
        </w:rPr>
        <w:t xml:space="preserve"> og strålebehandling) administreres med særlig forsigtighed for at minimere risikoen for additiv </w:t>
      </w:r>
      <w:proofErr w:type="spellStart"/>
      <w:r w:rsidRPr="005A7CEE">
        <w:rPr>
          <w:sz w:val="24"/>
          <w:szCs w:val="24"/>
        </w:rPr>
        <w:t>myelosuppression</w:t>
      </w:r>
      <w:proofErr w:type="spellEnd"/>
      <w:r w:rsidRPr="005A7CEE">
        <w:rPr>
          <w:sz w:val="24"/>
          <w:szCs w:val="24"/>
        </w:rPr>
        <w:t>.</w:t>
      </w: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Langvarig behandling kan forårsage kumulativ knoglemarvstoksicitet. Knoglemarvssuppression kan typisk først mærkes efter et stykke tid og kraftigst efter 4</w:t>
      </w:r>
      <w:r w:rsidRPr="007634F0">
        <w:rPr>
          <w:sz w:val="24"/>
          <w:szCs w:val="24"/>
        </w:rPr>
        <w:noBreakHyphen/>
        <w:t>6 uger. Efter længerevarende behandling kan der forekomme kumulativ knoglemarvssuppression, og individuel dosisjustering er derfor ofte påkrævet.</w:t>
      </w:r>
    </w:p>
    <w:p w:rsidR="003409E2" w:rsidRPr="007634F0" w:rsidRDefault="003409E2" w:rsidP="003409E2">
      <w:pPr>
        <w:pStyle w:val="NormalWeb"/>
        <w:spacing w:before="0" w:beforeAutospacing="0" w:after="0"/>
        <w:ind w:left="851"/>
      </w:pP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lastRenderedPageBreak/>
        <w:t xml:space="preserve">Forekomsten af akut leukæmi (i nogle tilfælde efter en præleukæmisk fase) og </w:t>
      </w:r>
      <w:proofErr w:type="spellStart"/>
      <w:r w:rsidRPr="005A7CEE">
        <w:rPr>
          <w:sz w:val="24"/>
          <w:szCs w:val="24"/>
        </w:rPr>
        <w:t>myelodysplastisk</w:t>
      </w:r>
      <w:proofErr w:type="spellEnd"/>
      <w:r w:rsidRPr="005A7CEE">
        <w:rPr>
          <w:sz w:val="24"/>
          <w:szCs w:val="24"/>
        </w:rPr>
        <w:t xml:space="preserve"> syndrom er indberettet hos patienter, der har fået samtidig intravenøs behandling af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og andre </w:t>
      </w:r>
      <w:proofErr w:type="spellStart"/>
      <w:r w:rsidRPr="005A7CEE">
        <w:rPr>
          <w:sz w:val="24"/>
          <w:szCs w:val="24"/>
        </w:rPr>
        <w:t>antineoplastiske</w:t>
      </w:r>
      <w:proofErr w:type="spellEnd"/>
      <w:r w:rsidRPr="005A7CEE">
        <w:rPr>
          <w:sz w:val="24"/>
          <w:szCs w:val="24"/>
        </w:rPr>
        <w:t xml:space="preserve"> stoffer.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Hvis der opstår lungesymptomer, der ikke kan tilskrives den underliggende sygdom, skal behandlingen seponeres med det samme. Lungetoksicitet kan behandles godt med steroider.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Behandlingen skal også straks seponeres, hvis der er symptomer på </w:t>
      </w:r>
      <w:proofErr w:type="spellStart"/>
      <w:r w:rsidRPr="007634F0">
        <w:rPr>
          <w:sz w:val="24"/>
          <w:szCs w:val="24"/>
        </w:rPr>
        <w:t>hæmolyse</w:t>
      </w:r>
      <w:proofErr w:type="spellEnd"/>
      <w:r w:rsidRPr="007634F0">
        <w:rPr>
          <w:sz w:val="24"/>
          <w:szCs w:val="24"/>
        </w:rPr>
        <w:t xml:space="preserve"> eller tegn på nedsat nyrefunktion (</w:t>
      </w:r>
      <w:proofErr w:type="spellStart"/>
      <w:r w:rsidRPr="007634F0">
        <w:rPr>
          <w:sz w:val="24"/>
          <w:szCs w:val="24"/>
        </w:rPr>
        <w:t>nefrotoksicitet</w:t>
      </w:r>
      <w:proofErr w:type="spellEnd"/>
      <w:r w:rsidRPr="007634F0">
        <w:rPr>
          <w:sz w:val="24"/>
          <w:szCs w:val="24"/>
        </w:rPr>
        <w:t xml:space="preserve">). Hvis der opstår </w:t>
      </w:r>
      <w:proofErr w:type="spellStart"/>
      <w:r w:rsidRPr="007634F0">
        <w:rPr>
          <w:sz w:val="24"/>
          <w:szCs w:val="24"/>
        </w:rPr>
        <w:t>hæmolytisk</w:t>
      </w:r>
      <w:proofErr w:type="spellEnd"/>
      <w:r w:rsidRPr="007634F0">
        <w:rPr>
          <w:sz w:val="24"/>
          <w:szCs w:val="24"/>
        </w:rPr>
        <w:t xml:space="preserve">-uræmisk syndrom (HUS: irreversibelt nyresvigt, </w:t>
      </w:r>
      <w:proofErr w:type="spellStart"/>
      <w:r w:rsidRPr="007634F0">
        <w:rPr>
          <w:sz w:val="24"/>
          <w:szCs w:val="24"/>
        </w:rPr>
        <w:t>mikroangiopatisk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hæmolytisk</w:t>
      </w:r>
      <w:proofErr w:type="spellEnd"/>
      <w:r w:rsidRPr="007634F0">
        <w:rPr>
          <w:sz w:val="24"/>
          <w:szCs w:val="24"/>
        </w:rPr>
        <w:t xml:space="preserve"> anæmi [MAHA-syndrom] og </w:t>
      </w:r>
      <w:proofErr w:type="spellStart"/>
      <w:r w:rsidRPr="007634F0">
        <w:rPr>
          <w:sz w:val="24"/>
          <w:szCs w:val="24"/>
        </w:rPr>
        <w:t>trombocytopeni</w:t>
      </w:r>
      <w:proofErr w:type="spellEnd"/>
      <w:r w:rsidRPr="007634F0">
        <w:rPr>
          <w:sz w:val="24"/>
          <w:szCs w:val="24"/>
        </w:rPr>
        <w:t>), har det almindeligvis døden til følge.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 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Ved </w:t>
      </w:r>
      <w:r>
        <w:rPr>
          <w:sz w:val="24"/>
          <w:szCs w:val="24"/>
        </w:rPr>
        <w:t xml:space="preserve">intravenøse </w:t>
      </w:r>
      <w:r w:rsidRPr="007634F0">
        <w:rPr>
          <w:sz w:val="24"/>
          <w:szCs w:val="24"/>
        </w:rPr>
        <w:t xml:space="preserve">doser på &gt; 30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/m² legemsoverflade er der set </w:t>
      </w:r>
      <w:proofErr w:type="spellStart"/>
      <w:r w:rsidRPr="007634F0">
        <w:rPr>
          <w:sz w:val="24"/>
          <w:szCs w:val="24"/>
        </w:rPr>
        <w:t>mikroangiopatisk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hæmolytisk</w:t>
      </w:r>
      <w:proofErr w:type="spellEnd"/>
      <w:r w:rsidRPr="007634F0">
        <w:rPr>
          <w:sz w:val="24"/>
          <w:szCs w:val="24"/>
        </w:rPr>
        <w:t xml:space="preserve"> anæmi. Tæt overvågning af nyrefunktionen anbefales.</w:t>
      </w:r>
      <w:r>
        <w:rPr>
          <w:sz w:val="24"/>
          <w:szCs w:val="24"/>
        </w:rPr>
        <w:t xml:space="preserve"> Der er endnu ikke observeret tilfælde af MAHA efter </w:t>
      </w:r>
      <w:proofErr w:type="spellStart"/>
      <w:r>
        <w:rPr>
          <w:sz w:val="24"/>
          <w:szCs w:val="24"/>
        </w:rPr>
        <w:t>intravesikal</w:t>
      </w:r>
      <w:proofErr w:type="spellEnd"/>
      <w:r>
        <w:rPr>
          <w:sz w:val="24"/>
          <w:szCs w:val="24"/>
        </w:rPr>
        <w:t xml:space="preserve"> anvendelse af </w:t>
      </w:r>
      <w:proofErr w:type="spellStart"/>
      <w:r>
        <w:rPr>
          <w:sz w:val="24"/>
          <w:szCs w:val="24"/>
        </w:rPr>
        <w:t>mitomycin</w:t>
      </w:r>
      <w:proofErr w:type="spellEnd"/>
      <w:r>
        <w:rPr>
          <w:sz w:val="24"/>
          <w:szCs w:val="24"/>
        </w:rPr>
        <w:t>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Nye resultater indikerer, at et terapeutisk forsøg kan være en mulighed til fjernelse af immunkomplekser, der synes at spille en væsentlig rolle i forekomsten af symptomer via </w:t>
      </w:r>
      <w:r>
        <w:rPr>
          <w:sz w:val="24"/>
          <w:szCs w:val="24"/>
        </w:rPr>
        <w:t xml:space="preserve">immunadsorption med </w:t>
      </w:r>
      <w:r w:rsidRPr="007634F0">
        <w:rPr>
          <w:sz w:val="24"/>
          <w:szCs w:val="24"/>
        </w:rPr>
        <w:t>stafylokokprotein A</w:t>
      </w:r>
      <w:r>
        <w:rPr>
          <w:sz w:val="24"/>
          <w:szCs w:val="24"/>
        </w:rPr>
        <w:noBreakHyphen/>
        <w:t>kolonner</w:t>
      </w:r>
      <w:r w:rsidRPr="007634F0">
        <w:rPr>
          <w:sz w:val="24"/>
          <w:szCs w:val="24"/>
        </w:rPr>
        <w:t>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Anbefalede kontroller og sikkerhedsforanstaltninger ved intravenøs administration:</w:t>
      </w:r>
    </w:p>
    <w:p w:rsidR="003409E2" w:rsidRPr="007634F0" w:rsidRDefault="003409E2" w:rsidP="003409E2">
      <w:pPr>
        <w:ind w:left="851"/>
        <w:outlineLvl w:val="0"/>
        <w:rPr>
          <w:sz w:val="24"/>
          <w:szCs w:val="24"/>
        </w:rPr>
      </w:pPr>
    </w:p>
    <w:p w:rsidR="003409E2" w:rsidRPr="00AD5DD3" w:rsidRDefault="003409E2" w:rsidP="003409E2">
      <w:pPr>
        <w:ind w:left="851"/>
        <w:outlineLvl w:val="0"/>
        <w:rPr>
          <w:i/>
          <w:iCs/>
          <w:sz w:val="24"/>
          <w:szCs w:val="24"/>
        </w:rPr>
      </w:pPr>
      <w:r w:rsidRPr="00AD5DD3">
        <w:rPr>
          <w:i/>
          <w:sz w:val="24"/>
          <w:szCs w:val="24"/>
        </w:rPr>
        <w:t>Før behandlingsstart</w:t>
      </w:r>
    </w:p>
    <w:p w:rsidR="003409E2" w:rsidRPr="007634F0" w:rsidRDefault="003409E2" w:rsidP="003409E2">
      <w:pPr>
        <w:tabs>
          <w:tab w:val="left" w:pos="567"/>
        </w:tabs>
        <w:spacing w:line="260" w:lineRule="exact"/>
        <w:ind w:left="1134" w:hanging="283"/>
        <w:outlineLvl w:val="0"/>
        <w:rPr>
          <w:i/>
          <w:iCs/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>
        <w:rPr>
          <w:sz w:val="24"/>
          <w:szCs w:val="24"/>
        </w:rPr>
        <w:t>Fuldstændig</w:t>
      </w:r>
      <w:r w:rsidRPr="007634F0">
        <w:rPr>
          <w:sz w:val="24"/>
          <w:szCs w:val="24"/>
        </w:rPr>
        <w:t xml:space="preserve"> blodtælling</w:t>
      </w:r>
    </w:p>
    <w:p w:rsidR="003409E2" w:rsidRPr="007634F0" w:rsidRDefault="003409E2" w:rsidP="003409E2">
      <w:pPr>
        <w:tabs>
          <w:tab w:val="left" w:pos="567"/>
        </w:tabs>
        <w:spacing w:line="260" w:lineRule="exact"/>
        <w:ind w:left="1134" w:hanging="283"/>
        <w:outlineLvl w:val="0"/>
        <w:rPr>
          <w:i/>
          <w:iCs/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 w:rsidRPr="007634F0">
        <w:rPr>
          <w:sz w:val="24"/>
          <w:szCs w:val="24"/>
        </w:rPr>
        <w:t>Lungefunktionstest, hvis der er mistanke om eksisterende nedsat lungefunktion</w:t>
      </w:r>
    </w:p>
    <w:p w:rsidR="003409E2" w:rsidRPr="007634F0" w:rsidRDefault="003409E2" w:rsidP="003409E2">
      <w:pPr>
        <w:tabs>
          <w:tab w:val="left" w:pos="567"/>
        </w:tabs>
        <w:spacing w:line="260" w:lineRule="exact"/>
        <w:ind w:left="1134" w:hanging="283"/>
        <w:outlineLvl w:val="0"/>
        <w:rPr>
          <w:i/>
          <w:iCs/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 w:rsidRPr="007634F0">
        <w:rPr>
          <w:sz w:val="24"/>
          <w:szCs w:val="24"/>
        </w:rPr>
        <w:t>Nyrefunktionstest for at udelukke nedsat nyrefunktion</w:t>
      </w:r>
    </w:p>
    <w:p w:rsidR="003409E2" w:rsidRPr="007634F0" w:rsidRDefault="003409E2" w:rsidP="003409E2">
      <w:pPr>
        <w:tabs>
          <w:tab w:val="left" w:pos="567"/>
        </w:tabs>
        <w:spacing w:line="260" w:lineRule="exact"/>
        <w:ind w:left="1134" w:hanging="283"/>
        <w:outlineLvl w:val="0"/>
        <w:rPr>
          <w:i/>
          <w:iCs/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 w:rsidRPr="007634F0">
        <w:rPr>
          <w:sz w:val="24"/>
          <w:szCs w:val="24"/>
        </w:rPr>
        <w:t>Leverfunktionstest for at udelukke nedsat leverfunktion</w:t>
      </w:r>
    </w:p>
    <w:p w:rsidR="003409E2" w:rsidRPr="007634F0" w:rsidRDefault="003409E2" w:rsidP="003409E2">
      <w:pPr>
        <w:ind w:left="851"/>
        <w:outlineLvl w:val="0"/>
        <w:rPr>
          <w:sz w:val="24"/>
          <w:szCs w:val="24"/>
        </w:rPr>
      </w:pPr>
    </w:p>
    <w:p w:rsidR="003409E2" w:rsidRPr="00AD5DD3" w:rsidRDefault="003409E2" w:rsidP="003409E2">
      <w:pPr>
        <w:ind w:left="851"/>
        <w:outlineLvl w:val="0"/>
        <w:rPr>
          <w:i/>
          <w:iCs/>
          <w:sz w:val="24"/>
          <w:szCs w:val="24"/>
        </w:rPr>
      </w:pPr>
      <w:r w:rsidRPr="00AD5DD3">
        <w:rPr>
          <w:i/>
          <w:sz w:val="24"/>
          <w:szCs w:val="24"/>
        </w:rPr>
        <w:t>Under behandlingen</w:t>
      </w:r>
    </w:p>
    <w:p w:rsidR="003409E2" w:rsidRPr="007634F0" w:rsidRDefault="003409E2" w:rsidP="003409E2">
      <w:pPr>
        <w:tabs>
          <w:tab w:val="left" w:pos="567"/>
        </w:tabs>
        <w:spacing w:line="260" w:lineRule="exact"/>
        <w:ind w:left="1134" w:hanging="283"/>
        <w:outlineLvl w:val="0"/>
        <w:rPr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 w:rsidRPr="007634F0">
        <w:rPr>
          <w:sz w:val="24"/>
          <w:szCs w:val="24"/>
        </w:rPr>
        <w:t>Regelmæssig overvågning af blodtal</w:t>
      </w:r>
    </w:p>
    <w:p w:rsidR="003409E2" w:rsidRPr="007634F0" w:rsidRDefault="003409E2" w:rsidP="003409E2">
      <w:pPr>
        <w:tabs>
          <w:tab w:val="left" w:pos="851"/>
        </w:tabs>
        <w:ind w:left="1134" w:hanging="283"/>
        <w:rPr>
          <w:sz w:val="24"/>
          <w:szCs w:val="24"/>
        </w:rPr>
      </w:pPr>
      <w:r w:rsidRPr="00882D9E">
        <w:rPr>
          <w:noProof/>
          <w:szCs w:val="22"/>
        </w:rPr>
        <w:t>•</w:t>
      </w:r>
      <w:r w:rsidRPr="00882D9E">
        <w:rPr>
          <w:noProof/>
          <w:szCs w:val="22"/>
        </w:rPr>
        <w:tab/>
      </w:r>
      <w:r w:rsidRPr="007634F0">
        <w:rPr>
          <w:sz w:val="24"/>
          <w:szCs w:val="24"/>
        </w:rPr>
        <w:t>Tæt overvågning af nyrefunktionen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4.5</w:t>
      </w:r>
      <w:r w:rsidRPr="007634F0">
        <w:rPr>
          <w:b/>
          <w:sz w:val="24"/>
          <w:szCs w:val="24"/>
        </w:rPr>
        <w:tab/>
        <w:t>Interaktion med andre lægemidler og andre former for interaktion</w:t>
      </w:r>
    </w:p>
    <w:p w:rsidR="00015E7D" w:rsidRDefault="00015E7D" w:rsidP="00015E7D">
      <w:pPr>
        <w:keepNext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3409E2" w:rsidRDefault="003409E2" w:rsidP="003409E2">
      <w:pPr>
        <w:keepNext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Mulige interaktioner ved systemisk behandling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7634F0">
        <w:rPr>
          <w:sz w:val="24"/>
          <w:szCs w:val="24"/>
        </w:rPr>
        <w:t xml:space="preserve">Der kan forekomme </w:t>
      </w:r>
      <w:proofErr w:type="spellStart"/>
      <w:r w:rsidRPr="007634F0">
        <w:rPr>
          <w:sz w:val="24"/>
          <w:szCs w:val="24"/>
        </w:rPr>
        <w:t>myelotoksiske</w:t>
      </w:r>
      <w:proofErr w:type="spellEnd"/>
      <w:r w:rsidRPr="007634F0">
        <w:rPr>
          <w:sz w:val="24"/>
          <w:szCs w:val="24"/>
        </w:rPr>
        <w:t xml:space="preserve"> interaktioner med andre knoglemarvstoksiske behandlinger (navnlig andre </w:t>
      </w:r>
      <w:proofErr w:type="spellStart"/>
      <w:r w:rsidRPr="007634F0">
        <w:rPr>
          <w:sz w:val="24"/>
          <w:szCs w:val="24"/>
        </w:rPr>
        <w:t>cytotoksiske</w:t>
      </w:r>
      <w:proofErr w:type="spellEnd"/>
      <w:r w:rsidRPr="007634F0">
        <w:rPr>
          <w:sz w:val="24"/>
          <w:szCs w:val="24"/>
        </w:rPr>
        <w:t xml:space="preserve"> lægemidler og strålebehandling).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7634F0">
        <w:rPr>
          <w:sz w:val="24"/>
          <w:szCs w:val="24"/>
        </w:rPr>
        <w:t xml:space="preserve">Samtidig behandling med vinca-alkaloider eller </w:t>
      </w:r>
      <w:proofErr w:type="spellStart"/>
      <w:r w:rsidRPr="007634F0">
        <w:rPr>
          <w:sz w:val="24"/>
          <w:szCs w:val="24"/>
        </w:rPr>
        <w:t>bleomycin</w:t>
      </w:r>
      <w:proofErr w:type="spellEnd"/>
      <w:r w:rsidRPr="007634F0">
        <w:rPr>
          <w:sz w:val="24"/>
          <w:szCs w:val="24"/>
        </w:rPr>
        <w:t xml:space="preserve"> kan forværre lungetoksiciteten.</w:t>
      </w:r>
    </w:p>
    <w:p w:rsidR="003409E2" w:rsidRPr="007634F0" w:rsidRDefault="003409E2" w:rsidP="003409E2">
      <w:pPr>
        <w:tabs>
          <w:tab w:val="left" w:pos="709"/>
        </w:tabs>
        <w:ind w:left="851"/>
        <w:rPr>
          <w:sz w:val="24"/>
          <w:szCs w:val="24"/>
        </w:rPr>
      </w:pPr>
    </w:p>
    <w:p w:rsidR="003409E2" w:rsidRPr="007634F0" w:rsidRDefault="003409E2" w:rsidP="003409E2">
      <w:pPr>
        <w:tabs>
          <w:tab w:val="left" w:pos="709"/>
        </w:tabs>
        <w:ind w:left="851"/>
        <w:rPr>
          <w:rFonts w:eastAsia="MS Mincho" w:cs="TimesNewRoman"/>
          <w:sz w:val="24"/>
          <w:szCs w:val="24"/>
        </w:rPr>
      </w:pPr>
      <w:r w:rsidRPr="007634F0">
        <w:rPr>
          <w:sz w:val="24"/>
          <w:szCs w:val="24"/>
        </w:rPr>
        <w:t xml:space="preserve">Der er rapporteret om øget risiko for </w:t>
      </w:r>
      <w:proofErr w:type="spellStart"/>
      <w:r w:rsidRPr="007634F0">
        <w:rPr>
          <w:sz w:val="24"/>
          <w:szCs w:val="24"/>
        </w:rPr>
        <w:t>hæmolytisk</w:t>
      </w:r>
      <w:proofErr w:type="spellEnd"/>
      <w:r w:rsidRPr="007634F0">
        <w:rPr>
          <w:sz w:val="24"/>
          <w:szCs w:val="24"/>
        </w:rPr>
        <w:t xml:space="preserve">-uræmisk syndrom hos patienter, der får </w:t>
      </w:r>
      <w:r>
        <w:rPr>
          <w:sz w:val="24"/>
          <w:szCs w:val="24"/>
        </w:rPr>
        <w:t xml:space="preserve">intravenøs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samtidig med 5-fluorouracil eller </w:t>
      </w:r>
      <w:proofErr w:type="spellStart"/>
      <w:r w:rsidRPr="007634F0">
        <w:rPr>
          <w:sz w:val="24"/>
          <w:szCs w:val="24"/>
        </w:rPr>
        <w:t>tamoxifen</w:t>
      </w:r>
      <w:proofErr w:type="spellEnd"/>
      <w:r w:rsidRPr="007634F0">
        <w:rPr>
          <w:sz w:val="24"/>
          <w:szCs w:val="24"/>
        </w:rPr>
        <w:t>.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7634F0">
        <w:rPr>
          <w:sz w:val="24"/>
          <w:szCs w:val="24"/>
        </w:rPr>
        <w:t xml:space="preserve">Dyreforsøg tyder på, at virkningen af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går tabt, hvis det indgives samtidig med </w:t>
      </w:r>
      <w:proofErr w:type="spellStart"/>
      <w:r w:rsidRPr="007634F0">
        <w:rPr>
          <w:sz w:val="24"/>
          <w:szCs w:val="24"/>
        </w:rPr>
        <w:t>pyridoxinhydrochlorid</w:t>
      </w:r>
      <w:proofErr w:type="spellEnd"/>
      <w:r w:rsidRPr="007634F0">
        <w:rPr>
          <w:sz w:val="24"/>
          <w:szCs w:val="24"/>
        </w:rPr>
        <w:t xml:space="preserve"> (B</w:t>
      </w:r>
      <w:r w:rsidRPr="00AD5DD3">
        <w:rPr>
          <w:sz w:val="24"/>
          <w:szCs w:val="24"/>
        </w:rPr>
        <w:t>6</w:t>
      </w:r>
      <w:r w:rsidRPr="007634F0">
        <w:rPr>
          <w:sz w:val="24"/>
          <w:szCs w:val="24"/>
        </w:rPr>
        <w:t>-vitamin).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Der må ikke foretages injektion med levende vacciner i forbindelse med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-behandling, da levende vacciner kan øge risikoen for infektion.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Hjertetoksiciteten ved </w:t>
      </w:r>
      <w:proofErr w:type="spellStart"/>
      <w:r w:rsidRPr="007634F0">
        <w:rPr>
          <w:sz w:val="24"/>
          <w:szCs w:val="24"/>
        </w:rPr>
        <w:t>Adriamycin</w:t>
      </w:r>
      <w:proofErr w:type="spellEnd"/>
      <w:r w:rsidRPr="007634F0">
        <w:rPr>
          <w:sz w:val="24"/>
          <w:szCs w:val="24"/>
        </w:rPr>
        <w:t xml:space="preserve"> (</w:t>
      </w:r>
      <w:proofErr w:type="spellStart"/>
      <w:r w:rsidRPr="007634F0">
        <w:rPr>
          <w:sz w:val="24"/>
          <w:szCs w:val="24"/>
        </w:rPr>
        <w:t>doxorubicin</w:t>
      </w:r>
      <w:proofErr w:type="spellEnd"/>
      <w:r w:rsidRPr="007634F0">
        <w:rPr>
          <w:sz w:val="24"/>
          <w:szCs w:val="24"/>
        </w:rPr>
        <w:t xml:space="preserve">) kan forstærkes af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lastRenderedPageBreak/>
        <w:t>4.6</w:t>
      </w:r>
      <w:r w:rsidRPr="007634F0">
        <w:rPr>
          <w:b/>
          <w:sz w:val="24"/>
          <w:szCs w:val="24"/>
        </w:rPr>
        <w:tab/>
      </w:r>
      <w:r w:rsidR="00015E7D">
        <w:rPr>
          <w:b/>
          <w:sz w:val="24"/>
          <w:szCs w:val="24"/>
        </w:rPr>
        <w:t>Fertilitet, g</w:t>
      </w:r>
      <w:r w:rsidRPr="007634F0">
        <w:rPr>
          <w:b/>
          <w:sz w:val="24"/>
          <w:szCs w:val="24"/>
        </w:rPr>
        <w:t>raviditet og amning</w:t>
      </w:r>
    </w:p>
    <w:p w:rsidR="00CD5165" w:rsidRPr="007634F0" w:rsidRDefault="00CD5165" w:rsidP="00CD5165">
      <w:pPr>
        <w:ind w:left="851"/>
        <w:rPr>
          <w:i/>
          <w:sz w:val="24"/>
          <w:szCs w:val="24"/>
        </w:rPr>
      </w:pPr>
    </w:p>
    <w:p w:rsidR="003409E2" w:rsidRPr="007634F0" w:rsidRDefault="003409E2" w:rsidP="003409E2">
      <w:pPr>
        <w:ind w:left="851"/>
        <w:rPr>
          <w:iCs/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>Fertilitet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Kvindelige patienter må ikke blive gravide, mens de er i behandling med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. Hvis en kvindelig patient bliver gravid, mens hun er i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-behandling, skal hun have genetisk rådgivning. </w:t>
      </w:r>
      <w:r>
        <w:rPr>
          <w:sz w:val="24"/>
          <w:szCs w:val="24"/>
        </w:rPr>
        <w:t>Kvinder i den f</w:t>
      </w:r>
      <w:r w:rsidRPr="007634F0">
        <w:rPr>
          <w:sz w:val="24"/>
          <w:szCs w:val="24"/>
        </w:rPr>
        <w:t xml:space="preserve">ertile </w:t>
      </w:r>
      <w:r>
        <w:rPr>
          <w:sz w:val="24"/>
          <w:szCs w:val="24"/>
        </w:rPr>
        <w:t>alder</w:t>
      </w:r>
      <w:r w:rsidRPr="007634F0">
        <w:rPr>
          <w:sz w:val="24"/>
          <w:szCs w:val="24"/>
        </w:rPr>
        <w:t xml:space="preserve"> skal </w:t>
      </w:r>
      <w:r>
        <w:rPr>
          <w:sz w:val="24"/>
          <w:szCs w:val="24"/>
        </w:rPr>
        <w:t>anvende</w:t>
      </w:r>
      <w:r w:rsidRPr="007634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sikker </w:t>
      </w:r>
      <w:r w:rsidRPr="007634F0">
        <w:rPr>
          <w:sz w:val="24"/>
          <w:szCs w:val="24"/>
        </w:rPr>
        <w:t>prævention eller være seksuelt afholdende under kemoterapien og i 6 måneder efter selve behandlingen.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genotoksisk. Mænd, der er i behandling med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, rådes derfor til at undgå at gøre en kvinde gravid i behandlingsperioden og i 6 måneder efter selve behandlingen. De skal søge råd om nedfrysning af sæd, inden behandlingen går i gang, da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kan forårsage uigenkaldelig </w:t>
      </w:r>
      <w:proofErr w:type="spellStart"/>
      <w:r>
        <w:rPr>
          <w:sz w:val="24"/>
          <w:szCs w:val="24"/>
        </w:rPr>
        <w:t>infertilitet</w:t>
      </w:r>
      <w:proofErr w:type="spellEnd"/>
      <w:r w:rsidRPr="007634F0">
        <w:rPr>
          <w:sz w:val="24"/>
          <w:szCs w:val="24"/>
        </w:rPr>
        <w:t>.</w:t>
      </w: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iCs/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>Graviditet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genotoksisk og kan have skadelig virkning på fosterets udvikling</w:t>
      </w:r>
      <w:r>
        <w:rPr>
          <w:sz w:val="24"/>
          <w:szCs w:val="24"/>
        </w:rPr>
        <w:t xml:space="preserve"> (se pkt. 5.3)</w:t>
      </w:r>
      <w:r w:rsidRPr="007634F0">
        <w:rPr>
          <w:sz w:val="24"/>
          <w:szCs w:val="24"/>
        </w:rPr>
        <w:t xml:space="preserve">.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må ikke anvendes under graviditet. Hvis det er tvingende indiceret for en gravid patient at få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, skal hun tale med en læge om den risiko for skadelige virkninger på barnet, der er forbundet med behandlingen.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>Amning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udskilles i human mælk. </w:t>
      </w:r>
      <w:r w:rsidRPr="005A7CEE">
        <w:rPr>
          <w:sz w:val="24"/>
          <w:szCs w:val="24"/>
        </w:rPr>
        <w:t xml:space="preserve">Da det er dokumenteret, at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har mutagene, </w:t>
      </w:r>
      <w:proofErr w:type="spellStart"/>
      <w:r w:rsidRPr="005A7CEE">
        <w:rPr>
          <w:sz w:val="24"/>
          <w:szCs w:val="24"/>
        </w:rPr>
        <w:t>teratogene</w:t>
      </w:r>
      <w:proofErr w:type="spellEnd"/>
      <w:r w:rsidRPr="005A7CEE">
        <w:rPr>
          <w:sz w:val="24"/>
          <w:szCs w:val="24"/>
        </w:rPr>
        <w:t xml:space="preserve"> og </w:t>
      </w:r>
      <w:proofErr w:type="spellStart"/>
      <w:r w:rsidRPr="005A7CEE">
        <w:rPr>
          <w:sz w:val="24"/>
          <w:szCs w:val="24"/>
        </w:rPr>
        <w:t>karcinogene</w:t>
      </w:r>
      <w:proofErr w:type="spellEnd"/>
      <w:r w:rsidRPr="005A7CEE">
        <w:rPr>
          <w:sz w:val="24"/>
          <w:szCs w:val="24"/>
        </w:rPr>
        <w:t xml:space="preserve"> virkninger, skal amning ophøre under behandling med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"</w:t>
      </w:r>
      <w:proofErr w:type="spellStart"/>
      <w:r w:rsidRPr="005A7CEE">
        <w:rPr>
          <w:sz w:val="24"/>
          <w:szCs w:val="24"/>
        </w:rPr>
        <w:t>medac</w:t>
      </w:r>
      <w:proofErr w:type="spellEnd"/>
      <w:r w:rsidRPr="005A7CEE">
        <w:rPr>
          <w:sz w:val="24"/>
          <w:szCs w:val="24"/>
        </w:rPr>
        <w:t>"</w:t>
      </w:r>
      <w:r w:rsidRPr="007634F0">
        <w:rPr>
          <w:sz w:val="24"/>
          <w:szCs w:val="24"/>
        </w:rPr>
        <w:t xml:space="preserve"> (se pkt. 4.3).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4.7</w:t>
      </w:r>
      <w:r w:rsidRPr="007634F0">
        <w:rPr>
          <w:b/>
          <w:sz w:val="24"/>
          <w:szCs w:val="24"/>
        </w:rPr>
        <w:tab/>
        <w:t xml:space="preserve">Virkning på evnen til at føre motorkøretøj </w:t>
      </w:r>
      <w:r w:rsidR="00015E7D">
        <w:rPr>
          <w:b/>
          <w:sz w:val="24"/>
          <w:szCs w:val="24"/>
        </w:rPr>
        <w:t>og</w:t>
      </w:r>
      <w:r w:rsidRPr="007634F0">
        <w:rPr>
          <w:b/>
          <w:sz w:val="24"/>
          <w:szCs w:val="24"/>
        </w:rPr>
        <w:t xml:space="preserve"> betjene maskiner</w:t>
      </w:r>
    </w:p>
    <w:p w:rsidR="00CD5165" w:rsidRPr="007634F0" w:rsidRDefault="00CD5165" w:rsidP="00CD5165">
      <w:pPr>
        <w:tabs>
          <w:tab w:val="left" w:pos="851"/>
        </w:tabs>
        <w:ind w:left="851" w:hanging="851"/>
        <w:rPr>
          <w:sz w:val="24"/>
          <w:szCs w:val="24"/>
        </w:rPr>
      </w:pPr>
      <w:r w:rsidRPr="007634F0">
        <w:rPr>
          <w:sz w:val="24"/>
          <w:szCs w:val="24"/>
        </w:rPr>
        <w:tab/>
        <w:t>Ikke mærkning</w:t>
      </w:r>
    </w:p>
    <w:p w:rsidR="003409E2" w:rsidRPr="007634F0" w:rsidRDefault="003409E2" w:rsidP="003409E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634F0">
        <w:rPr>
          <w:sz w:val="24"/>
          <w:szCs w:val="24"/>
        </w:rPr>
        <w:t xml:space="preserve">Selv når dette lægemiddel anvendes i overensstemmelse med anvisningerne, kan det medføre kvalme og opkastning og dermed nedsætte reaktionstiden så meget, at evnen til at føre motorkøretøj </w:t>
      </w:r>
      <w:r>
        <w:rPr>
          <w:sz w:val="24"/>
          <w:szCs w:val="24"/>
        </w:rPr>
        <w:t>og</w:t>
      </w:r>
      <w:r w:rsidRPr="007634F0">
        <w:rPr>
          <w:sz w:val="24"/>
          <w:szCs w:val="24"/>
        </w:rPr>
        <w:t xml:space="preserve"> betjene maskiner forringes. Dette gælder navnlig</w:t>
      </w:r>
      <w:r>
        <w:rPr>
          <w:sz w:val="24"/>
          <w:szCs w:val="24"/>
        </w:rPr>
        <w:t>, hvis alkohol indtages på samme tid</w:t>
      </w:r>
      <w:r w:rsidRPr="007634F0">
        <w:rPr>
          <w:sz w:val="24"/>
          <w:szCs w:val="24"/>
        </w:rPr>
        <w:t>.</w:t>
      </w:r>
    </w:p>
    <w:p w:rsidR="00015E7D" w:rsidRPr="007634F0" w:rsidRDefault="00015E7D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4.8</w:t>
      </w:r>
      <w:r w:rsidRPr="007634F0">
        <w:rPr>
          <w:b/>
          <w:sz w:val="24"/>
          <w:szCs w:val="24"/>
        </w:rPr>
        <w:tab/>
        <w:t>Bivirkninger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Bivirkninger er anført nedenfor efter systemorganklasse og hyppighed. Hyppigheden defineres som:</w:t>
      </w:r>
    </w:p>
    <w:p w:rsidR="00F053C4" w:rsidRPr="007634F0" w:rsidRDefault="00F053C4" w:rsidP="00F053C4">
      <w:pPr>
        <w:ind w:left="851"/>
        <w:rPr>
          <w:sz w:val="24"/>
          <w:szCs w:val="24"/>
        </w:rPr>
      </w:pPr>
      <w:r w:rsidRPr="007634F0">
        <w:rPr>
          <w:color w:val="000000"/>
          <w:sz w:val="24"/>
          <w:szCs w:val="24"/>
        </w:rPr>
        <w:t>Meget almindelig (</w:t>
      </w:r>
      <w:r w:rsidRPr="007634F0">
        <w:rPr>
          <w:sz w:val="24"/>
          <w:szCs w:val="24"/>
        </w:rPr>
        <w:sym w:font="Symbol" w:char="F0B3"/>
      </w:r>
      <w:r w:rsidRPr="007634F0">
        <w:rPr>
          <w:color w:val="000000"/>
          <w:sz w:val="24"/>
          <w:szCs w:val="24"/>
        </w:rPr>
        <w:t> 1/10), almindelig (</w:t>
      </w:r>
      <w:r w:rsidRPr="007634F0">
        <w:rPr>
          <w:sz w:val="24"/>
          <w:szCs w:val="24"/>
        </w:rPr>
        <w:sym w:font="Symbol" w:char="F0B3"/>
      </w:r>
      <w:r w:rsidRPr="007634F0">
        <w:rPr>
          <w:color w:val="000000"/>
          <w:sz w:val="24"/>
          <w:szCs w:val="24"/>
        </w:rPr>
        <w:t> 1/100 til &lt; 1/10), ikke almindelig (</w:t>
      </w:r>
      <w:r w:rsidRPr="007634F0">
        <w:rPr>
          <w:sz w:val="24"/>
          <w:szCs w:val="24"/>
        </w:rPr>
        <w:sym w:font="Symbol" w:char="F0B3"/>
      </w:r>
      <w:r w:rsidRPr="007634F0">
        <w:rPr>
          <w:color w:val="000000"/>
          <w:sz w:val="24"/>
          <w:szCs w:val="24"/>
        </w:rPr>
        <w:t> 1/1</w:t>
      </w:r>
      <w:r>
        <w:rPr>
          <w:color w:val="000000"/>
          <w:sz w:val="24"/>
          <w:szCs w:val="24"/>
        </w:rPr>
        <w:t> </w:t>
      </w:r>
      <w:r w:rsidRPr="007634F0">
        <w:rPr>
          <w:color w:val="000000"/>
          <w:sz w:val="24"/>
          <w:szCs w:val="24"/>
        </w:rPr>
        <w:t>000 til &lt; 1/100), sjælden (</w:t>
      </w:r>
      <w:r w:rsidRPr="007634F0">
        <w:rPr>
          <w:sz w:val="24"/>
          <w:szCs w:val="24"/>
        </w:rPr>
        <w:sym w:font="Symbol" w:char="F0B3"/>
      </w:r>
      <w:r w:rsidRPr="007634F0">
        <w:rPr>
          <w:color w:val="000000"/>
          <w:sz w:val="24"/>
          <w:szCs w:val="24"/>
        </w:rPr>
        <w:t> 1/10</w:t>
      </w:r>
      <w:r>
        <w:rPr>
          <w:color w:val="000000"/>
          <w:sz w:val="24"/>
          <w:szCs w:val="24"/>
        </w:rPr>
        <w:t> </w:t>
      </w:r>
      <w:r w:rsidRPr="007634F0">
        <w:rPr>
          <w:color w:val="000000"/>
          <w:sz w:val="24"/>
          <w:szCs w:val="24"/>
        </w:rPr>
        <w:t>000 til &lt; 1/1</w:t>
      </w:r>
      <w:r>
        <w:rPr>
          <w:color w:val="000000"/>
          <w:sz w:val="24"/>
          <w:szCs w:val="24"/>
        </w:rPr>
        <w:t> </w:t>
      </w:r>
      <w:r w:rsidRPr="007634F0">
        <w:rPr>
          <w:color w:val="000000"/>
          <w:sz w:val="24"/>
          <w:szCs w:val="24"/>
        </w:rPr>
        <w:t>000), meget sjælden (&lt; 1/10</w:t>
      </w:r>
      <w:r>
        <w:rPr>
          <w:color w:val="000000"/>
          <w:sz w:val="24"/>
          <w:szCs w:val="24"/>
        </w:rPr>
        <w:t> </w:t>
      </w:r>
      <w:r w:rsidRPr="007634F0">
        <w:rPr>
          <w:color w:val="000000"/>
          <w:sz w:val="24"/>
          <w:szCs w:val="24"/>
        </w:rPr>
        <w:t>000), ikke kendt (kan ikke estimeres ud fra forhåndenværende data).</w:t>
      </w:r>
    </w:p>
    <w:p w:rsidR="00CD5165" w:rsidRDefault="00CD5165" w:rsidP="00CD516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409E2" w:rsidRDefault="003409E2" w:rsidP="003409E2">
      <w:pPr>
        <w:keepNext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Mulige bivirkninger ved systemisk behandling</w:t>
      </w:r>
    </w:p>
    <w:p w:rsidR="003409E2" w:rsidRPr="007634F0" w:rsidRDefault="003409E2" w:rsidP="003409E2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 xml:space="preserve">De mest almindelige bivirkninger ved systemisk administreret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</w:t>
      </w:r>
      <w:proofErr w:type="spellStart"/>
      <w:r w:rsidRPr="007634F0">
        <w:rPr>
          <w:sz w:val="24"/>
          <w:szCs w:val="24"/>
        </w:rPr>
        <w:t>gastrointestinale</w:t>
      </w:r>
      <w:proofErr w:type="spellEnd"/>
      <w:r w:rsidRPr="007634F0">
        <w:rPr>
          <w:sz w:val="24"/>
          <w:szCs w:val="24"/>
        </w:rPr>
        <w:t xml:space="preserve"> symptomer som kvalme og opkastning samt knoglemarvssuppression med </w:t>
      </w:r>
      <w:proofErr w:type="spellStart"/>
      <w:r w:rsidRPr="007634F0">
        <w:rPr>
          <w:sz w:val="24"/>
          <w:szCs w:val="24"/>
        </w:rPr>
        <w:t>leukopeni</w:t>
      </w:r>
      <w:proofErr w:type="spellEnd"/>
      <w:r w:rsidRPr="007634F0">
        <w:rPr>
          <w:sz w:val="24"/>
          <w:szCs w:val="24"/>
        </w:rPr>
        <w:t xml:space="preserve"> og ofte dominerende </w:t>
      </w:r>
      <w:proofErr w:type="spellStart"/>
      <w:r w:rsidRPr="004078DE">
        <w:rPr>
          <w:sz w:val="24"/>
          <w:szCs w:val="24"/>
        </w:rPr>
        <w:t>trombocytopeni</w:t>
      </w:r>
      <w:proofErr w:type="spellEnd"/>
      <w:r w:rsidRPr="007634F0">
        <w:rPr>
          <w:sz w:val="24"/>
          <w:szCs w:val="24"/>
        </w:rPr>
        <w:t>. Knoglemarvssuppression forekommer hos op til 65 % af patienterne. Da denne bivirkning er kumulativ ved langvarig behandling, er den ofte dosisbegrænsende.</w:t>
      </w:r>
    </w:p>
    <w:p w:rsidR="00CD5165" w:rsidRPr="007634F0" w:rsidRDefault="00CD5165" w:rsidP="00CD5165">
      <w:pPr>
        <w:pStyle w:val="Brdtekst2"/>
        <w:ind w:left="851"/>
        <w:jc w:val="left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Hos op til 10 % af patienterne må alvorlig organtoksicitet i form af </w:t>
      </w:r>
      <w:proofErr w:type="spellStart"/>
      <w:r w:rsidRPr="007634F0">
        <w:rPr>
          <w:sz w:val="24"/>
          <w:szCs w:val="24"/>
        </w:rPr>
        <w:t>interstitiel</w:t>
      </w:r>
      <w:proofErr w:type="spellEnd"/>
      <w:r w:rsidRPr="007634F0">
        <w:rPr>
          <w:sz w:val="24"/>
          <w:szCs w:val="24"/>
        </w:rPr>
        <w:t xml:space="preserve"> lungebetændelse eller </w:t>
      </w:r>
      <w:proofErr w:type="spellStart"/>
      <w:r w:rsidRPr="007634F0">
        <w:rPr>
          <w:sz w:val="24"/>
          <w:szCs w:val="24"/>
        </w:rPr>
        <w:t>nefrotoksicitet</w:t>
      </w:r>
      <w:proofErr w:type="spellEnd"/>
      <w:r w:rsidRPr="007634F0">
        <w:rPr>
          <w:sz w:val="24"/>
          <w:szCs w:val="24"/>
        </w:rPr>
        <w:t xml:space="preserve"> forventes.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pStyle w:val="Brdtekst2"/>
        <w:ind w:left="851"/>
        <w:jc w:val="left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potentielt </w:t>
      </w:r>
      <w:proofErr w:type="spellStart"/>
      <w:r w:rsidRPr="007634F0">
        <w:rPr>
          <w:sz w:val="24"/>
          <w:szCs w:val="24"/>
        </w:rPr>
        <w:t>hepatotoksisk</w:t>
      </w:r>
      <w:proofErr w:type="spellEnd"/>
      <w:r w:rsidRPr="007634F0">
        <w:rPr>
          <w:sz w:val="24"/>
          <w:szCs w:val="24"/>
        </w:rPr>
        <w:t>.</w:t>
      </w:r>
    </w:p>
    <w:p w:rsidR="00CD5165" w:rsidRPr="007634F0" w:rsidRDefault="00CD5165" w:rsidP="00CD5165">
      <w:pPr>
        <w:autoSpaceDE w:val="0"/>
        <w:autoSpaceDN w:val="0"/>
        <w:adjustRightInd w:val="0"/>
        <w:ind w:left="851"/>
        <w:jc w:val="both"/>
        <w:rPr>
          <w:iCs/>
          <w:sz w:val="24"/>
          <w:szCs w:val="24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3409E2" w:rsidRPr="007634F0" w:rsidTr="00AD5DD3">
        <w:tc>
          <w:tcPr>
            <w:tcW w:w="3686" w:type="dxa"/>
          </w:tcPr>
          <w:p w:rsidR="003409E2" w:rsidRPr="007634F0" w:rsidRDefault="003409E2" w:rsidP="003409E2">
            <w:pPr>
              <w:keepNext/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lastRenderedPageBreak/>
              <w:t>Blod og lymfesystem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Meget 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Knoglemarvssuppression, </w:t>
            </w:r>
            <w:proofErr w:type="spellStart"/>
            <w:r w:rsidRPr="007634F0">
              <w:rPr>
                <w:sz w:val="24"/>
                <w:szCs w:val="24"/>
              </w:rPr>
              <w:t>leukopeni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trombocytopeni</w:t>
            </w:r>
            <w:proofErr w:type="spellEnd"/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5A7CEE" w:rsidRDefault="003409E2" w:rsidP="00AD5DD3">
            <w:pPr>
              <w:keepNext/>
              <w:ind w:left="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Pr="007634F0">
              <w:rPr>
                <w:sz w:val="24"/>
                <w:szCs w:val="24"/>
              </w:rPr>
              <w:t>æmolytisk</w:t>
            </w:r>
            <w:proofErr w:type="spellEnd"/>
            <w:r w:rsidRPr="007634F0">
              <w:rPr>
                <w:sz w:val="24"/>
                <w:szCs w:val="24"/>
              </w:rPr>
              <w:t xml:space="preserve"> anæmi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A7CEE">
              <w:rPr>
                <w:sz w:val="24"/>
                <w:szCs w:val="24"/>
              </w:rPr>
              <w:t>trombotisk</w:t>
            </w:r>
            <w:proofErr w:type="spellEnd"/>
            <w:r w:rsidRPr="005A7CEE">
              <w:rPr>
                <w:sz w:val="24"/>
                <w:szCs w:val="24"/>
              </w:rPr>
              <w:t xml:space="preserve"> </w:t>
            </w:r>
            <w:proofErr w:type="spellStart"/>
            <w:r w:rsidRPr="005A7CEE">
              <w:rPr>
                <w:sz w:val="24"/>
                <w:szCs w:val="24"/>
              </w:rPr>
              <w:t>mikroangiopati</w:t>
            </w:r>
            <w:proofErr w:type="spellEnd"/>
            <w:r w:rsidRPr="005A7CEE">
              <w:rPr>
                <w:sz w:val="24"/>
                <w:szCs w:val="24"/>
              </w:rPr>
              <w:t xml:space="preserve"> (TMA) med </w:t>
            </w:r>
            <w:proofErr w:type="spellStart"/>
            <w:r w:rsidRPr="005A7CEE">
              <w:rPr>
                <w:sz w:val="24"/>
                <w:szCs w:val="24"/>
              </w:rPr>
              <w:t>trombotisk</w:t>
            </w:r>
            <w:proofErr w:type="spellEnd"/>
            <w:r w:rsidRPr="005A7CEE">
              <w:rPr>
                <w:sz w:val="24"/>
                <w:szCs w:val="24"/>
              </w:rPr>
              <w:t xml:space="preserve"> </w:t>
            </w:r>
            <w:proofErr w:type="spellStart"/>
            <w:r w:rsidRPr="005A7CEE">
              <w:rPr>
                <w:sz w:val="24"/>
                <w:szCs w:val="24"/>
              </w:rPr>
              <w:t>trombocytopenisk</w:t>
            </w:r>
            <w:proofErr w:type="spellEnd"/>
            <w:r w:rsidRPr="005A7CEE">
              <w:rPr>
                <w:sz w:val="24"/>
                <w:szCs w:val="24"/>
              </w:rPr>
              <w:t xml:space="preserve"> </w:t>
            </w:r>
            <w:proofErr w:type="spellStart"/>
            <w:r w:rsidRPr="005A7CEE">
              <w:rPr>
                <w:sz w:val="24"/>
                <w:szCs w:val="24"/>
              </w:rPr>
              <w:t>purpura</w:t>
            </w:r>
            <w:proofErr w:type="spellEnd"/>
            <w:r w:rsidRPr="005A7CEE">
              <w:rPr>
                <w:sz w:val="24"/>
                <w:szCs w:val="24"/>
              </w:rPr>
              <w:t xml:space="preserve"> (TTP)</w:t>
            </w:r>
          </w:p>
          <w:p w:rsidR="003409E2" w:rsidRPr="005A7CEE" w:rsidRDefault="003409E2" w:rsidP="00AD5DD3">
            <w:pPr>
              <w:keepNext/>
              <w:ind w:left="37"/>
              <w:rPr>
                <w:sz w:val="24"/>
                <w:szCs w:val="24"/>
                <w:u w:val="single"/>
              </w:rPr>
            </w:pPr>
            <w:r w:rsidRPr="005A7CEE">
              <w:rPr>
                <w:sz w:val="24"/>
                <w:szCs w:val="24"/>
                <w:u w:val="single"/>
              </w:rPr>
              <w:t>Ikke kendt</w:t>
            </w:r>
          </w:p>
          <w:p w:rsidR="003409E2" w:rsidRPr="0037655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AD5DD3">
              <w:rPr>
                <w:sz w:val="24"/>
                <w:szCs w:val="24"/>
              </w:rPr>
              <w:t>Anæmi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Infektioner og parasitære sygdomme</w:t>
            </w:r>
          </w:p>
        </w:tc>
        <w:tc>
          <w:tcPr>
            <w:tcW w:w="5244" w:type="dxa"/>
          </w:tcPr>
          <w:p w:rsidR="003409E2" w:rsidRPr="00367CFB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367CFB">
              <w:rPr>
                <w:sz w:val="24"/>
                <w:szCs w:val="24"/>
                <w:u w:val="single"/>
              </w:rPr>
              <w:t>Sjælden</w:t>
            </w:r>
          </w:p>
          <w:p w:rsidR="003409E2" w:rsidRPr="00367CFB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37"/>
              <w:rPr>
                <w:bCs/>
                <w:iCs/>
                <w:szCs w:val="22"/>
                <w:u w:val="single"/>
              </w:rPr>
            </w:pPr>
            <w:r w:rsidRPr="00367CFB">
              <w:rPr>
                <w:bCs/>
                <w:iCs/>
                <w:szCs w:val="22"/>
              </w:rPr>
              <w:t>Li</w:t>
            </w:r>
            <w:r>
              <w:rPr>
                <w:bCs/>
                <w:iCs/>
                <w:szCs w:val="22"/>
              </w:rPr>
              <w:t>vstruende infektion</w:t>
            </w:r>
            <w:r w:rsidRPr="00367CFB">
              <w:rPr>
                <w:bCs/>
                <w:iCs/>
                <w:szCs w:val="22"/>
              </w:rPr>
              <w:t>, sepsis</w:t>
            </w:r>
          </w:p>
          <w:p w:rsidR="003409E2" w:rsidRPr="00367CFB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37"/>
              <w:rPr>
                <w:bCs/>
                <w:iCs/>
                <w:szCs w:val="22"/>
                <w:u w:val="single"/>
              </w:rPr>
            </w:pPr>
            <w:r>
              <w:rPr>
                <w:bCs/>
                <w:iCs/>
                <w:szCs w:val="22"/>
                <w:u w:val="single"/>
              </w:rPr>
              <w:t>Ikke kendt</w:t>
            </w:r>
          </w:p>
          <w:p w:rsidR="003409E2" w:rsidRPr="00367CFB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367CFB">
              <w:rPr>
                <w:bCs/>
                <w:iCs/>
                <w:szCs w:val="22"/>
              </w:rPr>
              <w:t>Infe</w:t>
            </w:r>
            <w:r>
              <w:rPr>
                <w:bCs/>
                <w:iCs/>
                <w:szCs w:val="22"/>
              </w:rPr>
              <w:t>k</w:t>
            </w:r>
            <w:r w:rsidRPr="00367CFB">
              <w:rPr>
                <w:bCs/>
                <w:iCs/>
                <w:szCs w:val="22"/>
              </w:rPr>
              <w:t>tion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Immunsystemet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Meget 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iCs/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</w:rPr>
              <w:t>Alvorlig allergisk reaktion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Hjerte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Hjertesvigt efter tidligere behandling med </w:t>
            </w:r>
            <w:proofErr w:type="spellStart"/>
            <w:r w:rsidRPr="007634F0">
              <w:rPr>
                <w:sz w:val="24"/>
                <w:szCs w:val="24"/>
              </w:rPr>
              <w:t>antracykliner</w:t>
            </w:r>
            <w:proofErr w:type="spellEnd"/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7634F0">
              <w:rPr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Interstitiel</w:t>
            </w:r>
            <w:proofErr w:type="spellEnd"/>
            <w:r w:rsidRPr="007634F0">
              <w:rPr>
                <w:sz w:val="24"/>
                <w:szCs w:val="24"/>
              </w:rPr>
              <w:t xml:space="preserve"> lungebetændelse, dyspnø, hoste, åndenød</w:t>
            </w:r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iCs/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Pulmonal</w:t>
            </w:r>
            <w:proofErr w:type="spellEnd"/>
            <w:r w:rsidRPr="007634F0">
              <w:rPr>
                <w:sz w:val="24"/>
                <w:szCs w:val="24"/>
              </w:rPr>
              <w:t xml:space="preserve"> hypertension, </w:t>
            </w:r>
            <w:proofErr w:type="spellStart"/>
            <w:r w:rsidRPr="007634F0">
              <w:rPr>
                <w:sz w:val="24"/>
                <w:szCs w:val="24"/>
              </w:rPr>
              <w:t>pulmonal</w:t>
            </w:r>
            <w:proofErr w:type="spellEnd"/>
            <w:r w:rsidRPr="007634F0">
              <w:rPr>
                <w:sz w:val="24"/>
                <w:szCs w:val="24"/>
              </w:rPr>
              <w:t xml:space="preserve"> </w:t>
            </w:r>
            <w:proofErr w:type="spellStart"/>
            <w:r w:rsidRPr="007634F0">
              <w:rPr>
                <w:sz w:val="24"/>
                <w:szCs w:val="24"/>
              </w:rPr>
              <w:t>veneokklusiv</w:t>
            </w:r>
            <w:proofErr w:type="spellEnd"/>
            <w:r w:rsidRPr="007634F0">
              <w:rPr>
                <w:sz w:val="24"/>
                <w:szCs w:val="24"/>
              </w:rPr>
              <w:t xml:space="preserve"> sygdom (PVOD)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Mave-tarm-kanalen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Meget 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Kvalme, opkastning</w:t>
            </w:r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Ikke 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proofErr w:type="spellStart"/>
            <w:r w:rsidRPr="007634F0">
              <w:rPr>
                <w:sz w:val="24"/>
                <w:szCs w:val="24"/>
              </w:rPr>
              <w:t>Mucositis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stomatitis</w:t>
            </w:r>
            <w:proofErr w:type="spellEnd"/>
            <w:r w:rsidRPr="007634F0">
              <w:rPr>
                <w:sz w:val="24"/>
                <w:szCs w:val="24"/>
              </w:rPr>
              <w:t>, diarré, anoreksi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Lever og galdeveje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Nedsat leverfunktion, øgede </w:t>
            </w:r>
            <w:proofErr w:type="spellStart"/>
            <w:r w:rsidRPr="007634F0">
              <w:rPr>
                <w:sz w:val="24"/>
                <w:szCs w:val="24"/>
              </w:rPr>
              <w:t>aminotransferaser</w:t>
            </w:r>
            <w:proofErr w:type="spellEnd"/>
            <w:r w:rsidRPr="007634F0">
              <w:rPr>
                <w:sz w:val="24"/>
                <w:szCs w:val="24"/>
              </w:rPr>
              <w:t xml:space="preserve">, gulsot, </w:t>
            </w:r>
            <w:proofErr w:type="spellStart"/>
            <w:r w:rsidRPr="007634F0">
              <w:rPr>
                <w:sz w:val="24"/>
                <w:szCs w:val="24"/>
              </w:rPr>
              <w:t>veneokklusiv</w:t>
            </w:r>
            <w:proofErr w:type="spellEnd"/>
            <w:r w:rsidRPr="007634F0">
              <w:rPr>
                <w:sz w:val="24"/>
                <w:szCs w:val="24"/>
              </w:rPr>
              <w:t xml:space="preserve"> sygdom (VOD) i leveren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Hud og subkutane væv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Eksantem</w:t>
            </w:r>
            <w:proofErr w:type="spellEnd"/>
            <w:r w:rsidRPr="007634F0">
              <w:rPr>
                <w:sz w:val="24"/>
                <w:szCs w:val="24"/>
              </w:rPr>
              <w:t xml:space="preserve">, allergisk hududslæt, </w:t>
            </w:r>
            <w:proofErr w:type="spellStart"/>
            <w:r w:rsidRPr="007634F0">
              <w:rPr>
                <w:sz w:val="24"/>
                <w:szCs w:val="24"/>
              </w:rPr>
              <w:t>kontaktdermatitis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palmoplantart</w:t>
            </w:r>
            <w:proofErr w:type="spellEnd"/>
            <w:r w:rsidRPr="007634F0">
              <w:rPr>
                <w:sz w:val="24"/>
                <w:szCs w:val="24"/>
              </w:rPr>
              <w:t xml:space="preserve"> </w:t>
            </w:r>
            <w:proofErr w:type="spellStart"/>
            <w:r w:rsidRPr="007634F0">
              <w:rPr>
                <w:sz w:val="24"/>
                <w:szCs w:val="24"/>
              </w:rPr>
              <w:t>erytem</w:t>
            </w:r>
            <w:proofErr w:type="spellEnd"/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Ikke 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Alopeci</w:t>
            </w:r>
            <w:proofErr w:type="spellEnd"/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Generaliseret </w:t>
            </w:r>
            <w:proofErr w:type="spellStart"/>
            <w:r w:rsidRPr="007634F0">
              <w:rPr>
                <w:sz w:val="24"/>
                <w:szCs w:val="24"/>
              </w:rPr>
              <w:t>eksantem</w:t>
            </w:r>
            <w:proofErr w:type="spellEnd"/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Nyrer og urinveje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Nedsat nyrefunktion, øget </w:t>
            </w:r>
            <w:proofErr w:type="spellStart"/>
            <w:r w:rsidRPr="007634F0">
              <w:rPr>
                <w:sz w:val="24"/>
                <w:szCs w:val="24"/>
              </w:rPr>
              <w:t>serumkreatinin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glomerulopati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nefrotoksicitet</w:t>
            </w:r>
            <w:proofErr w:type="spellEnd"/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Hæmolytisk</w:t>
            </w:r>
            <w:proofErr w:type="spellEnd"/>
            <w:r w:rsidRPr="007634F0">
              <w:rPr>
                <w:sz w:val="24"/>
                <w:szCs w:val="24"/>
              </w:rPr>
              <w:t xml:space="preserve">-uræmisk syndrom (HUS) (almindeligvis dødeligt), </w:t>
            </w:r>
            <w:proofErr w:type="spellStart"/>
            <w:r w:rsidRPr="007634F0">
              <w:rPr>
                <w:sz w:val="24"/>
                <w:szCs w:val="24"/>
              </w:rPr>
              <w:t>mikroangiopatisk</w:t>
            </w:r>
            <w:proofErr w:type="spellEnd"/>
            <w:r w:rsidRPr="007634F0">
              <w:rPr>
                <w:sz w:val="24"/>
                <w:szCs w:val="24"/>
              </w:rPr>
              <w:t xml:space="preserve"> </w:t>
            </w:r>
            <w:proofErr w:type="spellStart"/>
            <w:r w:rsidRPr="007634F0">
              <w:rPr>
                <w:sz w:val="24"/>
                <w:szCs w:val="24"/>
              </w:rPr>
              <w:t>hæmolytisk</w:t>
            </w:r>
            <w:proofErr w:type="spellEnd"/>
            <w:r w:rsidRPr="007634F0">
              <w:rPr>
                <w:sz w:val="24"/>
                <w:szCs w:val="24"/>
              </w:rPr>
              <w:t xml:space="preserve"> anæmi (MAHA-syndrom)</w:t>
            </w:r>
          </w:p>
        </w:tc>
      </w:tr>
      <w:tr w:rsidR="003409E2" w:rsidRPr="007634F0" w:rsidTr="00AD5DD3">
        <w:tc>
          <w:tcPr>
            <w:tcW w:w="3686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34"/>
              <w:rPr>
                <w:bCs/>
                <w:iCs/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5244" w:type="dxa"/>
          </w:tcPr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Ved</w:t>
            </w:r>
            <w:r w:rsidRPr="007634F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34F0">
              <w:rPr>
                <w:i/>
                <w:sz w:val="24"/>
                <w:szCs w:val="24"/>
              </w:rPr>
              <w:t>ekstravasation</w:t>
            </w:r>
            <w:proofErr w:type="spellEnd"/>
            <w:r w:rsidRPr="007634F0">
              <w:rPr>
                <w:i/>
                <w:sz w:val="24"/>
                <w:szCs w:val="24"/>
              </w:rPr>
              <w:t>: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Cellulitis, vævsnekrose</w:t>
            </w:r>
          </w:p>
          <w:p w:rsidR="003409E2" w:rsidRPr="007634F0" w:rsidRDefault="003409E2" w:rsidP="00AD5DD3">
            <w:pPr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3409E2" w:rsidRPr="007634F0" w:rsidRDefault="003409E2" w:rsidP="00AD5DD3">
            <w:pPr>
              <w:tabs>
                <w:tab w:val="left" w:pos="317"/>
              </w:tabs>
              <w:autoSpaceDE w:val="0"/>
              <w:autoSpaceDN w:val="0"/>
              <w:adjustRightInd w:val="0"/>
              <w:ind w:left="67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</w:rPr>
              <w:t>Feber</w:t>
            </w:r>
          </w:p>
        </w:tc>
      </w:tr>
    </w:tbl>
    <w:p w:rsidR="00CD5165" w:rsidRPr="007634F0" w:rsidRDefault="00CD5165" w:rsidP="00CD5165">
      <w:pPr>
        <w:tabs>
          <w:tab w:val="left" w:pos="1490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3409E2" w:rsidRPr="00AD5DD3" w:rsidRDefault="003409E2" w:rsidP="003409E2">
      <w:pPr>
        <w:ind w:left="851"/>
        <w:jc w:val="both"/>
        <w:rPr>
          <w:bCs/>
          <w:sz w:val="24"/>
          <w:szCs w:val="24"/>
          <w:u w:val="single"/>
        </w:rPr>
      </w:pPr>
      <w:r w:rsidRPr="00AD5DD3">
        <w:rPr>
          <w:bCs/>
          <w:sz w:val="24"/>
          <w:szCs w:val="24"/>
          <w:u w:val="single"/>
        </w:rPr>
        <w:lastRenderedPageBreak/>
        <w:t xml:space="preserve">Mulige bivirkninger ved </w:t>
      </w:r>
      <w:proofErr w:type="spellStart"/>
      <w:r w:rsidRPr="00AD5DD3">
        <w:rPr>
          <w:bCs/>
          <w:sz w:val="24"/>
          <w:szCs w:val="24"/>
          <w:u w:val="single"/>
        </w:rPr>
        <w:t>intravesikal</w:t>
      </w:r>
      <w:proofErr w:type="spellEnd"/>
      <w:r w:rsidRPr="00AD5DD3">
        <w:rPr>
          <w:bCs/>
          <w:sz w:val="24"/>
          <w:szCs w:val="24"/>
          <w:u w:val="single"/>
        </w:rPr>
        <w:t xml:space="preserve"> behandling</w:t>
      </w:r>
    </w:p>
    <w:p w:rsidR="003409E2" w:rsidRDefault="003409E2" w:rsidP="003409E2">
      <w:pPr>
        <w:pStyle w:val="Brdtekst2"/>
        <w:ind w:left="851"/>
        <w:rPr>
          <w:sz w:val="24"/>
          <w:szCs w:val="24"/>
        </w:rPr>
      </w:pP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 xml:space="preserve">Opløsningen til </w:t>
      </w:r>
      <w:proofErr w:type="spellStart"/>
      <w:r w:rsidRPr="005A7CEE">
        <w:rPr>
          <w:sz w:val="24"/>
          <w:szCs w:val="24"/>
        </w:rPr>
        <w:t>intravesikal</w:t>
      </w:r>
      <w:proofErr w:type="spellEnd"/>
      <w:r w:rsidRPr="005A7CEE">
        <w:rPr>
          <w:sz w:val="24"/>
          <w:szCs w:val="24"/>
        </w:rPr>
        <w:t xml:space="preserve"> </w:t>
      </w:r>
      <w:proofErr w:type="spellStart"/>
      <w:r w:rsidRPr="005A7CEE">
        <w:rPr>
          <w:sz w:val="24"/>
          <w:szCs w:val="24"/>
        </w:rPr>
        <w:t>instillation</w:t>
      </w:r>
      <w:proofErr w:type="spellEnd"/>
      <w:r w:rsidRPr="005A7CEE">
        <w:rPr>
          <w:sz w:val="24"/>
          <w:szCs w:val="24"/>
        </w:rPr>
        <w:t xml:space="preserve"> eller den dybe </w:t>
      </w:r>
      <w:proofErr w:type="spellStart"/>
      <w:r w:rsidRPr="005A7CEE">
        <w:rPr>
          <w:sz w:val="24"/>
          <w:szCs w:val="24"/>
        </w:rPr>
        <w:t>resektion</w:t>
      </w:r>
      <w:proofErr w:type="spellEnd"/>
      <w:r w:rsidRPr="005A7CEE">
        <w:rPr>
          <w:sz w:val="24"/>
          <w:szCs w:val="24"/>
        </w:rPr>
        <w:t xml:space="preserve"> kan medføre bivirkninger.</w:t>
      </w:r>
    </w:p>
    <w:p w:rsidR="003409E2" w:rsidRPr="005A7CEE" w:rsidRDefault="003409E2" w:rsidP="003409E2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3409E2" w:rsidRPr="005A7CEE" w:rsidRDefault="003409E2" w:rsidP="003409E2">
      <w:pPr>
        <w:tabs>
          <w:tab w:val="left" w:pos="851"/>
        </w:tabs>
        <w:ind w:left="851"/>
        <w:rPr>
          <w:iCs/>
          <w:sz w:val="24"/>
          <w:szCs w:val="24"/>
        </w:rPr>
      </w:pPr>
      <w:r w:rsidRPr="005A7CEE">
        <w:rPr>
          <w:sz w:val="24"/>
          <w:szCs w:val="24"/>
        </w:rPr>
        <w:t xml:space="preserve">De mest almindelige bivirkninger ved </w:t>
      </w:r>
      <w:proofErr w:type="spellStart"/>
      <w:r w:rsidRPr="005A7CEE">
        <w:rPr>
          <w:sz w:val="24"/>
          <w:szCs w:val="24"/>
        </w:rPr>
        <w:t>intravesikalt</w:t>
      </w:r>
      <w:proofErr w:type="spellEnd"/>
      <w:r w:rsidRPr="005A7CEE">
        <w:rPr>
          <w:sz w:val="24"/>
          <w:szCs w:val="24"/>
        </w:rPr>
        <w:t xml:space="preserve"> administreret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 xml:space="preserve"> er allergiske hudreaktioner i form af lokalt </w:t>
      </w:r>
      <w:proofErr w:type="spellStart"/>
      <w:r w:rsidRPr="005A7CEE">
        <w:rPr>
          <w:sz w:val="24"/>
          <w:szCs w:val="24"/>
        </w:rPr>
        <w:t>eksantem</w:t>
      </w:r>
      <w:proofErr w:type="spellEnd"/>
      <w:r w:rsidRPr="005A7CEE">
        <w:rPr>
          <w:sz w:val="24"/>
          <w:szCs w:val="24"/>
        </w:rPr>
        <w:t xml:space="preserve"> (f.eks. </w:t>
      </w:r>
      <w:proofErr w:type="spellStart"/>
      <w:r w:rsidRPr="005A7CEE">
        <w:rPr>
          <w:sz w:val="24"/>
          <w:szCs w:val="24"/>
        </w:rPr>
        <w:t>kontaktdermatitis</w:t>
      </w:r>
      <w:proofErr w:type="spellEnd"/>
      <w:r w:rsidRPr="005A7CEE">
        <w:rPr>
          <w:sz w:val="24"/>
          <w:szCs w:val="24"/>
        </w:rPr>
        <w:t xml:space="preserve">, herunder </w:t>
      </w:r>
      <w:proofErr w:type="spellStart"/>
      <w:r w:rsidRPr="005A7CEE">
        <w:rPr>
          <w:sz w:val="24"/>
          <w:szCs w:val="24"/>
        </w:rPr>
        <w:t>palmoplantart</w:t>
      </w:r>
      <w:proofErr w:type="spellEnd"/>
      <w:r w:rsidRPr="005A7CEE">
        <w:rPr>
          <w:sz w:val="24"/>
          <w:szCs w:val="24"/>
        </w:rPr>
        <w:t xml:space="preserve"> </w:t>
      </w:r>
      <w:proofErr w:type="spellStart"/>
      <w:r w:rsidRPr="005A7CEE">
        <w:rPr>
          <w:sz w:val="24"/>
          <w:szCs w:val="24"/>
        </w:rPr>
        <w:t>erytem</w:t>
      </w:r>
      <w:proofErr w:type="spellEnd"/>
      <w:r w:rsidRPr="005A7CEE">
        <w:rPr>
          <w:sz w:val="24"/>
          <w:szCs w:val="24"/>
        </w:rPr>
        <w:t>) og cystitis.</w:t>
      </w:r>
    </w:p>
    <w:p w:rsidR="00015E7D" w:rsidRPr="007634F0" w:rsidRDefault="00015E7D" w:rsidP="00CD5165">
      <w:pPr>
        <w:pStyle w:val="Brdtekst2"/>
        <w:ind w:left="851"/>
        <w:rPr>
          <w:sz w:val="24"/>
          <w:szCs w:val="24"/>
        </w:rPr>
      </w:pPr>
    </w:p>
    <w:tbl>
      <w:tblPr>
        <w:tblpPr w:leftFromText="141" w:rightFromText="141" w:vertAnchor="text" w:horzAnchor="page" w:tblpX="1870" w:tblpY="3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245"/>
      </w:tblGrid>
      <w:tr w:rsidR="003409E2" w:rsidRPr="007634F0" w:rsidTr="00AD5DD3">
        <w:tc>
          <w:tcPr>
            <w:tcW w:w="3681" w:type="dxa"/>
          </w:tcPr>
          <w:p w:rsidR="003409E2" w:rsidRPr="007634F0" w:rsidRDefault="003409E2" w:rsidP="00AD5DD3">
            <w:pPr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Hud og subkutane væv</w:t>
            </w:r>
          </w:p>
        </w:tc>
        <w:tc>
          <w:tcPr>
            <w:tcW w:w="5245" w:type="dxa"/>
          </w:tcPr>
          <w:p w:rsidR="003409E2" w:rsidRPr="007634F0" w:rsidRDefault="003409E2" w:rsidP="00AD5DD3">
            <w:pPr>
              <w:pStyle w:val="Brdtekst2"/>
              <w:ind w:left="72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pStyle w:val="Brdtekstindrykning2"/>
              <w:spacing w:after="0" w:line="240" w:lineRule="auto"/>
              <w:ind w:left="72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Pruritus</w:t>
            </w:r>
            <w:proofErr w:type="spellEnd"/>
            <w:r w:rsidRPr="007634F0">
              <w:rPr>
                <w:sz w:val="24"/>
                <w:szCs w:val="24"/>
              </w:rPr>
              <w:t xml:space="preserve">, allergisk hududslæt, </w:t>
            </w:r>
            <w:proofErr w:type="spellStart"/>
            <w:r w:rsidRPr="007634F0">
              <w:rPr>
                <w:sz w:val="24"/>
                <w:szCs w:val="24"/>
              </w:rPr>
              <w:t>kontaktdermatitis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palmoplantart</w:t>
            </w:r>
            <w:proofErr w:type="spellEnd"/>
            <w:r w:rsidRPr="007634F0">
              <w:rPr>
                <w:sz w:val="24"/>
                <w:szCs w:val="24"/>
              </w:rPr>
              <w:t xml:space="preserve"> </w:t>
            </w:r>
            <w:proofErr w:type="spellStart"/>
            <w:r w:rsidRPr="007634F0">
              <w:rPr>
                <w:sz w:val="24"/>
                <w:szCs w:val="24"/>
              </w:rPr>
              <w:t>erytem</w:t>
            </w:r>
            <w:proofErr w:type="spellEnd"/>
          </w:p>
          <w:p w:rsidR="003409E2" w:rsidRPr="007634F0" w:rsidRDefault="003409E2" w:rsidP="00AD5DD3">
            <w:pPr>
              <w:pStyle w:val="Brdtekst2"/>
              <w:ind w:left="72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Sjælden</w:t>
            </w:r>
          </w:p>
          <w:p w:rsidR="003409E2" w:rsidRPr="007634F0" w:rsidRDefault="003409E2" w:rsidP="00AD5DD3">
            <w:pPr>
              <w:ind w:left="72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Generaliseret </w:t>
            </w:r>
            <w:proofErr w:type="spellStart"/>
            <w:r w:rsidRPr="007634F0">
              <w:rPr>
                <w:sz w:val="24"/>
                <w:szCs w:val="24"/>
              </w:rPr>
              <w:t>eksamtem</w:t>
            </w:r>
            <w:proofErr w:type="spellEnd"/>
          </w:p>
        </w:tc>
      </w:tr>
      <w:tr w:rsidR="003409E2" w:rsidRPr="007634F0" w:rsidTr="00AD5DD3">
        <w:tc>
          <w:tcPr>
            <w:tcW w:w="3681" w:type="dxa"/>
          </w:tcPr>
          <w:p w:rsidR="003409E2" w:rsidRPr="007634F0" w:rsidRDefault="003409E2" w:rsidP="00AD5DD3">
            <w:pPr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>Nyrer og urinveje</w:t>
            </w:r>
          </w:p>
        </w:tc>
        <w:tc>
          <w:tcPr>
            <w:tcW w:w="5245" w:type="dxa"/>
          </w:tcPr>
          <w:p w:rsidR="003409E2" w:rsidRPr="007634F0" w:rsidRDefault="003409E2" w:rsidP="00AD5DD3">
            <w:pPr>
              <w:pStyle w:val="Brdtekst2"/>
              <w:ind w:left="72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Almindelig</w:t>
            </w:r>
          </w:p>
          <w:p w:rsidR="003409E2" w:rsidRPr="007634F0" w:rsidRDefault="003409E2" w:rsidP="00AD5DD3">
            <w:pPr>
              <w:pStyle w:val="Brdtekstindrykning3"/>
              <w:spacing w:after="0"/>
              <w:ind w:left="72"/>
              <w:rPr>
                <w:sz w:val="24"/>
                <w:szCs w:val="24"/>
              </w:rPr>
            </w:pPr>
            <w:r w:rsidRPr="007634F0">
              <w:rPr>
                <w:sz w:val="24"/>
                <w:szCs w:val="24"/>
              </w:rPr>
              <w:t xml:space="preserve">Cystitis (evt. </w:t>
            </w:r>
            <w:proofErr w:type="spellStart"/>
            <w:r w:rsidRPr="007634F0">
              <w:rPr>
                <w:sz w:val="24"/>
                <w:szCs w:val="24"/>
              </w:rPr>
              <w:t>hæmoragisk</w:t>
            </w:r>
            <w:proofErr w:type="spellEnd"/>
            <w:r w:rsidRPr="007634F0">
              <w:rPr>
                <w:sz w:val="24"/>
                <w:szCs w:val="24"/>
              </w:rPr>
              <w:t xml:space="preserve"> cystitis), </w:t>
            </w:r>
            <w:proofErr w:type="spellStart"/>
            <w:r w:rsidRPr="007634F0">
              <w:rPr>
                <w:sz w:val="24"/>
                <w:szCs w:val="24"/>
              </w:rPr>
              <w:t>dysuri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nykturi</w:t>
            </w:r>
            <w:proofErr w:type="spellEnd"/>
            <w:r w:rsidRPr="007634F0">
              <w:rPr>
                <w:sz w:val="24"/>
                <w:szCs w:val="24"/>
              </w:rPr>
              <w:t xml:space="preserve">, </w:t>
            </w:r>
            <w:proofErr w:type="spellStart"/>
            <w:r w:rsidRPr="007634F0">
              <w:rPr>
                <w:sz w:val="24"/>
                <w:szCs w:val="24"/>
              </w:rPr>
              <w:t>pollakisuri</w:t>
            </w:r>
            <w:proofErr w:type="spellEnd"/>
            <w:r w:rsidRPr="007634F0">
              <w:rPr>
                <w:sz w:val="24"/>
                <w:szCs w:val="24"/>
              </w:rPr>
              <w:t>, hæmaturi, lokal irritation af blærevæggen</w:t>
            </w:r>
          </w:p>
          <w:p w:rsidR="003409E2" w:rsidRPr="007634F0" w:rsidRDefault="003409E2" w:rsidP="00AD5DD3">
            <w:pPr>
              <w:pStyle w:val="Brdtekst2"/>
              <w:ind w:left="72"/>
              <w:rPr>
                <w:sz w:val="24"/>
                <w:szCs w:val="24"/>
                <w:u w:val="single"/>
              </w:rPr>
            </w:pPr>
            <w:r w:rsidRPr="007634F0">
              <w:rPr>
                <w:sz w:val="24"/>
                <w:szCs w:val="24"/>
                <w:u w:val="single"/>
              </w:rPr>
              <w:t>Meget sjælden</w:t>
            </w:r>
          </w:p>
          <w:p w:rsidR="003409E2" w:rsidRDefault="003409E2" w:rsidP="00AD5DD3">
            <w:pPr>
              <w:ind w:left="72"/>
              <w:rPr>
                <w:sz w:val="24"/>
                <w:szCs w:val="24"/>
              </w:rPr>
            </w:pPr>
            <w:proofErr w:type="spellStart"/>
            <w:r w:rsidRPr="007634F0">
              <w:rPr>
                <w:sz w:val="24"/>
                <w:szCs w:val="24"/>
              </w:rPr>
              <w:t>Nekrotiserende</w:t>
            </w:r>
            <w:proofErr w:type="spellEnd"/>
            <w:r w:rsidRPr="007634F0">
              <w:rPr>
                <w:sz w:val="24"/>
                <w:szCs w:val="24"/>
              </w:rPr>
              <w:t xml:space="preserve"> cystitis, allergisk (</w:t>
            </w:r>
            <w:proofErr w:type="spellStart"/>
            <w:r w:rsidRPr="007634F0">
              <w:rPr>
                <w:sz w:val="24"/>
                <w:szCs w:val="24"/>
              </w:rPr>
              <w:t>eosinofil</w:t>
            </w:r>
            <w:proofErr w:type="spellEnd"/>
            <w:r w:rsidRPr="007634F0">
              <w:rPr>
                <w:sz w:val="24"/>
                <w:szCs w:val="24"/>
              </w:rPr>
              <w:t xml:space="preserve">) cystitis, stenose af de fraførende urinveje, reduceret blærekapacitet, </w:t>
            </w:r>
            <w:proofErr w:type="spellStart"/>
            <w:r w:rsidRPr="007634F0">
              <w:rPr>
                <w:sz w:val="24"/>
                <w:szCs w:val="24"/>
              </w:rPr>
              <w:t>kalcifikation</w:t>
            </w:r>
            <w:proofErr w:type="spellEnd"/>
            <w:r w:rsidRPr="007634F0">
              <w:rPr>
                <w:sz w:val="24"/>
                <w:szCs w:val="24"/>
              </w:rPr>
              <w:t xml:space="preserve"> af blærevæggen, </w:t>
            </w:r>
            <w:proofErr w:type="spellStart"/>
            <w:r w:rsidRPr="007634F0">
              <w:rPr>
                <w:sz w:val="24"/>
                <w:szCs w:val="24"/>
              </w:rPr>
              <w:t>blærevægsfibrose</w:t>
            </w:r>
            <w:proofErr w:type="spellEnd"/>
            <w:r w:rsidRPr="007634F0">
              <w:rPr>
                <w:sz w:val="24"/>
                <w:szCs w:val="24"/>
              </w:rPr>
              <w:t>, perforeret blære.</w:t>
            </w:r>
          </w:p>
          <w:p w:rsidR="003409E2" w:rsidRPr="005A7CEE" w:rsidRDefault="003409E2" w:rsidP="00AD5DD3">
            <w:pPr>
              <w:keepNext/>
              <w:ind w:left="62"/>
              <w:rPr>
                <w:sz w:val="24"/>
                <w:szCs w:val="24"/>
                <w:u w:val="single"/>
              </w:rPr>
            </w:pPr>
            <w:r w:rsidRPr="005A7CEE">
              <w:rPr>
                <w:sz w:val="24"/>
                <w:szCs w:val="24"/>
                <w:u w:val="single"/>
              </w:rPr>
              <w:t>Ikke kendt</w:t>
            </w:r>
          </w:p>
          <w:p w:rsidR="003409E2" w:rsidRPr="005A7CEE" w:rsidRDefault="003409E2" w:rsidP="00AD5DD3">
            <w:pPr>
              <w:keepNext/>
              <w:ind w:left="63"/>
              <w:rPr>
                <w:i/>
                <w:sz w:val="24"/>
                <w:szCs w:val="24"/>
              </w:rPr>
            </w:pPr>
            <w:r w:rsidRPr="005A7CEE">
              <w:rPr>
                <w:i/>
                <w:sz w:val="24"/>
                <w:szCs w:val="24"/>
              </w:rPr>
              <w:t xml:space="preserve">I tilfælde af </w:t>
            </w:r>
            <w:proofErr w:type="spellStart"/>
            <w:r w:rsidRPr="005A7CEE">
              <w:rPr>
                <w:i/>
                <w:sz w:val="24"/>
                <w:szCs w:val="24"/>
              </w:rPr>
              <w:t>ekstravasation</w:t>
            </w:r>
            <w:proofErr w:type="spellEnd"/>
          </w:p>
          <w:p w:rsidR="003409E2" w:rsidRPr="007634F0" w:rsidRDefault="003409E2" w:rsidP="00AD5DD3">
            <w:pPr>
              <w:ind w:left="7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 xml:space="preserve">Perforeret blære, nekrose af (fedt)væv i det omgivende område, </w:t>
            </w:r>
            <w:proofErr w:type="spellStart"/>
            <w:r w:rsidRPr="005A7CEE">
              <w:rPr>
                <w:sz w:val="24"/>
                <w:szCs w:val="24"/>
              </w:rPr>
              <w:t>vesikal</w:t>
            </w:r>
            <w:proofErr w:type="spellEnd"/>
            <w:r w:rsidRPr="005A7CEE">
              <w:rPr>
                <w:sz w:val="24"/>
                <w:szCs w:val="24"/>
              </w:rPr>
              <w:t xml:space="preserve"> fistel, bylder</w:t>
            </w:r>
          </w:p>
        </w:tc>
      </w:tr>
    </w:tbl>
    <w:p w:rsidR="00CD5165" w:rsidRPr="007634F0" w:rsidRDefault="00CD5165" w:rsidP="00CD5165">
      <w:pPr>
        <w:tabs>
          <w:tab w:val="left" w:pos="1490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  <w:szCs w:val="24"/>
        </w:rPr>
        <w:t xml:space="preserve">Efter </w:t>
      </w:r>
      <w:proofErr w:type="spellStart"/>
      <w:r w:rsidRPr="005A7CEE">
        <w:rPr>
          <w:sz w:val="24"/>
          <w:szCs w:val="24"/>
        </w:rPr>
        <w:t>intravesikal</w:t>
      </w:r>
      <w:proofErr w:type="spellEnd"/>
      <w:r w:rsidRPr="005A7CEE">
        <w:rPr>
          <w:sz w:val="24"/>
          <w:szCs w:val="24"/>
        </w:rPr>
        <w:t xml:space="preserve"> administration er det kun mindre mængder </w:t>
      </w:r>
      <w:proofErr w:type="spellStart"/>
      <w:r w:rsidRPr="005A7CEE">
        <w:rPr>
          <w:sz w:val="24"/>
          <w:szCs w:val="24"/>
        </w:rPr>
        <w:t>mitomycin</w:t>
      </w:r>
      <w:proofErr w:type="spellEnd"/>
      <w:r w:rsidRPr="005A7CEE">
        <w:rPr>
          <w:sz w:val="24"/>
          <w:szCs w:val="24"/>
        </w:rPr>
        <w:t>, der når det systemiske kredsløb. I meget sjældne tilfælde er følgende systemiske virkninger dog blevet indberettet:</w:t>
      </w: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</w:p>
    <w:p w:rsidR="003409E2" w:rsidRPr="005A7CEE" w:rsidRDefault="003409E2" w:rsidP="003409E2">
      <w:pPr>
        <w:tabs>
          <w:tab w:val="left" w:pos="851"/>
        </w:tabs>
        <w:ind w:left="851"/>
        <w:rPr>
          <w:sz w:val="24"/>
        </w:rPr>
      </w:pPr>
      <w:r w:rsidRPr="005A7CEE">
        <w:rPr>
          <w:sz w:val="24"/>
          <w:szCs w:val="24"/>
        </w:rPr>
        <w:t xml:space="preserve">Mulige systemiske bivirkninger, der </w:t>
      </w:r>
      <w:r w:rsidRPr="005A7CEE">
        <w:rPr>
          <w:b/>
          <w:bCs/>
          <w:sz w:val="24"/>
          <w:szCs w:val="24"/>
        </w:rPr>
        <w:t>meget sjældent</w:t>
      </w:r>
      <w:r w:rsidRPr="005A7CEE">
        <w:rPr>
          <w:sz w:val="24"/>
          <w:szCs w:val="24"/>
        </w:rPr>
        <w:t xml:space="preserve"> forekommer efter </w:t>
      </w:r>
      <w:proofErr w:type="spellStart"/>
      <w:r w:rsidRPr="005A7CEE">
        <w:rPr>
          <w:sz w:val="24"/>
          <w:szCs w:val="24"/>
        </w:rPr>
        <w:t>intravesikal</w:t>
      </w:r>
      <w:proofErr w:type="spellEnd"/>
      <w:r w:rsidRPr="005A7CEE">
        <w:rPr>
          <w:sz w:val="24"/>
          <w:szCs w:val="24"/>
        </w:rPr>
        <w:t xml:space="preserve"> administration</w:t>
      </w:r>
    </w:p>
    <w:p w:rsidR="00CD5165" w:rsidRDefault="00CD5165" w:rsidP="00CD516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43"/>
      </w:tblGrid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Blod og lymfesystem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proofErr w:type="spellStart"/>
            <w:r w:rsidRPr="005A7CEE">
              <w:rPr>
                <w:sz w:val="24"/>
                <w:szCs w:val="24"/>
              </w:rPr>
              <w:t>Leukocytopeni</w:t>
            </w:r>
            <w:proofErr w:type="spellEnd"/>
            <w:r w:rsidRPr="005A7CEE">
              <w:rPr>
                <w:sz w:val="24"/>
                <w:szCs w:val="24"/>
              </w:rPr>
              <w:t xml:space="preserve">, </w:t>
            </w:r>
            <w:proofErr w:type="spellStart"/>
            <w:r w:rsidRPr="005A7CEE">
              <w:rPr>
                <w:sz w:val="24"/>
                <w:szCs w:val="24"/>
              </w:rPr>
              <w:t>trombocytopeni</w:t>
            </w:r>
            <w:proofErr w:type="spellEnd"/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5A7CEE">
              <w:rPr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proofErr w:type="spellStart"/>
            <w:r w:rsidRPr="005A7CEE">
              <w:rPr>
                <w:sz w:val="24"/>
                <w:szCs w:val="24"/>
              </w:rPr>
              <w:t>Interstitiel</w:t>
            </w:r>
            <w:proofErr w:type="spellEnd"/>
            <w:r w:rsidRPr="005A7CEE">
              <w:rPr>
                <w:sz w:val="24"/>
                <w:szCs w:val="24"/>
              </w:rPr>
              <w:t xml:space="preserve"> lungesygdom</w:t>
            </w:r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Mave-tarm-kanalen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Kvalme, opkastning, diarré</w:t>
            </w:r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Lever og galdeveje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 xml:space="preserve">Forhøjede </w:t>
            </w:r>
            <w:proofErr w:type="spellStart"/>
            <w:r w:rsidRPr="005A7CEE">
              <w:rPr>
                <w:sz w:val="24"/>
                <w:szCs w:val="24"/>
              </w:rPr>
              <w:t>aminotransferaser</w:t>
            </w:r>
            <w:proofErr w:type="spellEnd"/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Hud og subkutane væv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proofErr w:type="spellStart"/>
            <w:r w:rsidRPr="005A7CEE">
              <w:rPr>
                <w:sz w:val="24"/>
                <w:szCs w:val="24"/>
              </w:rPr>
              <w:t>Alopeci</w:t>
            </w:r>
            <w:proofErr w:type="spellEnd"/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Nyrer og urinveje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Nyredysfunktion</w:t>
            </w:r>
          </w:p>
        </w:tc>
      </w:tr>
      <w:tr w:rsidR="003409E2" w:rsidRPr="005A7CEE" w:rsidTr="00AD5DD3">
        <w:tc>
          <w:tcPr>
            <w:tcW w:w="4678" w:type="dxa"/>
          </w:tcPr>
          <w:p w:rsidR="003409E2" w:rsidRPr="005A7CEE" w:rsidRDefault="003409E2" w:rsidP="00AD5DD3">
            <w:pPr>
              <w:ind w:left="62"/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3543" w:type="dxa"/>
          </w:tcPr>
          <w:p w:rsidR="003409E2" w:rsidRPr="005A7CEE" w:rsidRDefault="003409E2" w:rsidP="00AD5DD3">
            <w:pPr>
              <w:rPr>
                <w:sz w:val="24"/>
                <w:szCs w:val="24"/>
              </w:rPr>
            </w:pPr>
            <w:r w:rsidRPr="005A7CEE">
              <w:rPr>
                <w:sz w:val="24"/>
                <w:szCs w:val="24"/>
              </w:rPr>
              <w:t>Feber</w:t>
            </w:r>
          </w:p>
        </w:tc>
      </w:tr>
    </w:tbl>
    <w:p w:rsidR="00015E7D" w:rsidRPr="007634F0" w:rsidRDefault="00015E7D" w:rsidP="00CD516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>Indberetning af formodede bivirkninger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7634F0">
        <w:rPr>
          <w:sz w:val="24"/>
          <w:szCs w:val="24"/>
        </w:rPr>
        <w:t>risk</w:t>
      </w:r>
      <w:proofErr w:type="spellEnd"/>
      <w:r w:rsidRPr="007634F0">
        <w:rPr>
          <w:sz w:val="24"/>
          <w:szCs w:val="24"/>
        </w:rPr>
        <w:t xml:space="preserve">-forholdet for lægemidlet. </w:t>
      </w:r>
      <w:r w:rsidR="00015E7D">
        <w:rPr>
          <w:sz w:val="24"/>
          <w:szCs w:val="24"/>
        </w:rPr>
        <w:t xml:space="preserve">Sundhedspersoner </w:t>
      </w:r>
      <w:r w:rsidRPr="007634F0">
        <w:rPr>
          <w:sz w:val="24"/>
          <w:szCs w:val="24"/>
        </w:rPr>
        <w:t>anmodes om at indberette alle formodede bivirkninger via: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Lægemiddelstyrelsen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Axel Heides Gade 1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DK-2300 København S</w:t>
      </w:r>
    </w:p>
    <w:p w:rsidR="00CD5165" w:rsidRPr="003409E2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3409E2">
        <w:rPr>
          <w:sz w:val="24"/>
          <w:szCs w:val="24"/>
        </w:rPr>
        <w:lastRenderedPageBreak/>
        <w:t xml:space="preserve">Websted: </w:t>
      </w:r>
      <w:hyperlink r:id="rId8" w:history="1">
        <w:r w:rsidRPr="003409E2">
          <w:rPr>
            <w:rStyle w:val="Hyperlink"/>
            <w:szCs w:val="24"/>
          </w:rPr>
          <w:t>www.meldenbivirkning.dk</w:t>
        </w:r>
      </w:hyperlink>
    </w:p>
    <w:p w:rsidR="00CD5165" w:rsidRPr="003409E2" w:rsidRDefault="00CD5165" w:rsidP="00CD5165">
      <w:pPr>
        <w:pStyle w:val="Sidehoved"/>
        <w:tabs>
          <w:tab w:val="left" w:pos="851"/>
        </w:tabs>
        <w:ind w:left="851"/>
        <w:rPr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4.9</w:t>
      </w:r>
      <w:r w:rsidRPr="007634F0">
        <w:rPr>
          <w:b/>
          <w:sz w:val="24"/>
          <w:szCs w:val="24"/>
        </w:rPr>
        <w:tab/>
        <w:t>Overdosering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I tilfælde af overdosering må svær </w:t>
      </w:r>
      <w:proofErr w:type="spellStart"/>
      <w:r w:rsidRPr="007634F0">
        <w:rPr>
          <w:sz w:val="24"/>
          <w:szCs w:val="24"/>
        </w:rPr>
        <w:t>myelotoksicitet</w:t>
      </w:r>
      <w:proofErr w:type="spellEnd"/>
      <w:r w:rsidRPr="007634F0">
        <w:rPr>
          <w:sz w:val="24"/>
          <w:szCs w:val="24"/>
        </w:rPr>
        <w:t xml:space="preserve"> eller endog </w:t>
      </w:r>
      <w:proofErr w:type="spellStart"/>
      <w:r w:rsidRPr="007634F0">
        <w:rPr>
          <w:sz w:val="24"/>
          <w:szCs w:val="24"/>
        </w:rPr>
        <w:t>myeloftise</w:t>
      </w:r>
      <w:proofErr w:type="spellEnd"/>
      <w:r w:rsidRPr="007634F0">
        <w:rPr>
          <w:sz w:val="24"/>
          <w:szCs w:val="24"/>
        </w:rPr>
        <w:t xml:space="preserve"> forventes, idet den fulde kliniske virkning først ses efter ca. 2 uger.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Den tid, der går, før antallet af leukocytter falder til den laveste værdi, kan være 4 uger. Det skal derfor omhyggeligt sikres, at patienten overvåges hæmatologisk over en længere periode, hvis der er mistanke om overdosering.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widowControl w:val="0"/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Til dato</w:t>
      </w:r>
      <w:r w:rsidRPr="007634F0">
        <w:rPr>
          <w:noProof/>
          <w:sz w:val="24"/>
          <w:szCs w:val="24"/>
        </w:rPr>
        <w:t xml:space="preserve"> er der </w:t>
      </w:r>
      <w:r>
        <w:rPr>
          <w:noProof/>
          <w:sz w:val="24"/>
          <w:szCs w:val="24"/>
        </w:rPr>
        <w:t>dog</w:t>
      </w:r>
      <w:r w:rsidRPr="007634F0">
        <w:rPr>
          <w:noProof/>
          <w:sz w:val="24"/>
          <w:szCs w:val="24"/>
        </w:rPr>
        <w:t xml:space="preserve"> ikke rapporteret om tilfælde af overdosering ved intravesikal administration af mitomycin.</w:t>
      </w:r>
    </w:p>
    <w:p w:rsidR="00CD5165" w:rsidRPr="007634F0" w:rsidRDefault="00CD5165" w:rsidP="00CD5165">
      <w:pPr>
        <w:widowControl w:val="0"/>
        <w:ind w:left="851"/>
        <w:rPr>
          <w:noProof/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  <w:highlight w:val="yellow"/>
        </w:rPr>
      </w:pPr>
      <w:r w:rsidRPr="007634F0">
        <w:rPr>
          <w:iCs/>
          <w:noProof/>
          <w:sz w:val="24"/>
          <w:szCs w:val="24"/>
        </w:rPr>
        <w:t>Da der ikke findes nogen effektiv antidot, skal der udvises ekstrem forsigtighed ved den enkelte indgivelse.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4.10</w:t>
      </w:r>
      <w:r w:rsidRPr="007634F0">
        <w:rPr>
          <w:b/>
          <w:sz w:val="24"/>
          <w:szCs w:val="24"/>
        </w:rPr>
        <w:tab/>
        <w:t>Udlevering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A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sz w:val="24"/>
          <w:szCs w:val="24"/>
        </w:rPr>
      </w:pPr>
      <w:r w:rsidRPr="007634F0">
        <w:rPr>
          <w:b/>
          <w:sz w:val="24"/>
          <w:szCs w:val="24"/>
        </w:rPr>
        <w:t>5.</w:t>
      </w:r>
      <w:r w:rsidRPr="007634F0">
        <w:rPr>
          <w:b/>
          <w:sz w:val="24"/>
          <w:szCs w:val="24"/>
        </w:rPr>
        <w:tab/>
        <w:t>FARMAKOLOGISKE EGENSKABER</w:t>
      </w:r>
      <w:r w:rsidRPr="007634F0">
        <w:rPr>
          <w:sz w:val="24"/>
          <w:szCs w:val="24"/>
        </w:rPr>
        <w:tab/>
        <w:t xml:space="preserve"> 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5.1</w:t>
      </w:r>
      <w:r w:rsidRPr="007634F0">
        <w:rPr>
          <w:b/>
          <w:sz w:val="24"/>
          <w:szCs w:val="24"/>
        </w:rPr>
        <w:tab/>
      </w:r>
      <w:proofErr w:type="spellStart"/>
      <w:r w:rsidRPr="007634F0">
        <w:rPr>
          <w:b/>
          <w:sz w:val="24"/>
          <w:szCs w:val="24"/>
        </w:rPr>
        <w:t>Farmakodynamiske</w:t>
      </w:r>
      <w:proofErr w:type="spellEnd"/>
      <w:r w:rsidRPr="007634F0">
        <w:rPr>
          <w:b/>
          <w:sz w:val="24"/>
          <w:szCs w:val="24"/>
        </w:rPr>
        <w:t xml:space="preserve"> egenskaber</w:t>
      </w:r>
    </w:p>
    <w:p w:rsidR="00015E7D" w:rsidRDefault="00015E7D" w:rsidP="00CD516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634F0">
        <w:rPr>
          <w:sz w:val="24"/>
          <w:szCs w:val="24"/>
        </w:rPr>
        <w:t>Antineoplastiske</w:t>
      </w:r>
      <w:proofErr w:type="spellEnd"/>
      <w:r w:rsidRPr="007634F0">
        <w:rPr>
          <w:sz w:val="24"/>
          <w:szCs w:val="24"/>
        </w:rPr>
        <w:t xml:space="preserve"> stoffer, andre </w:t>
      </w:r>
      <w:proofErr w:type="spellStart"/>
      <w:r w:rsidRPr="007634F0">
        <w:rPr>
          <w:sz w:val="24"/>
          <w:szCs w:val="24"/>
        </w:rPr>
        <w:t>cytotoxiske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antibiotica</w:t>
      </w:r>
      <w:proofErr w:type="spellEnd"/>
      <w:r w:rsidRPr="007634F0">
        <w:rPr>
          <w:sz w:val="24"/>
          <w:szCs w:val="24"/>
        </w:rPr>
        <w:t xml:space="preserve"> og beslægtede stoffer, andre </w:t>
      </w:r>
      <w:proofErr w:type="spellStart"/>
      <w:r w:rsidRPr="007634F0">
        <w:rPr>
          <w:sz w:val="24"/>
          <w:szCs w:val="24"/>
        </w:rPr>
        <w:t>cytotoxiske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antibiotica</w:t>
      </w:r>
      <w:proofErr w:type="spellEnd"/>
      <w:r>
        <w:rPr>
          <w:sz w:val="24"/>
          <w:szCs w:val="24"/>
        </w:rPr>
        <w:t xml:space="preserve">, </w:t>
      </w:r>
      <w:r w:rsidRPr="007634F0">
        <w:rPr>
          <w:sz w:val="24"/>
          <w:szCs w:val="24"/>
        </w:rPr>
        <w:t>ATC-kode: L01DC03.</w:t>
      </w:r>
    </w:p>
    <w:p w:rsidR="00015E7D" w:rsidRDefault="00015E7D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Antibiotikummet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et </w:t>
      </w:r>
      <w:proofErr w:type="spellStart"/>
      <w:r w:rsidRPr="007634F0">
        <w:rPr>
          <w:sz w:val="24"/>
          <w:szCs w:val="24"/>
        </w:rPr>
        <w:t>cytostatisk</w:t>
      </w:r>
      <w:proofErr w:type="spellEnd"/>
      <w:r w:rsidRPr="007634F0">
        <w:rPr>
          <w:sz w:val="24"/>
          <w:szCs w:val="24"/>
        </w:rPr>
        <w:t xml:space="preserve"> lægemiddel fra gruppen af </w:t>
      </w:r>
      <w:proofErr w:type="spellStart"/>
      <w:r w:rsidRPr="007634F0">
        <w:rPr>
          <w:sz w:val="24"/>
          <w:szCs w:val="24"/>
        </w:rPr>
        <w:t>alkylerende</w:t>
      </w:r>
      <w:proofErr w:type="spellEnd"/>
      <w:r w:rsidRPr="007634F0">
        <w:rPr>
          <w:sz w:val="24"/>
          <w:szCs w:val="24"/>
        </w:rPr>
        <w:t xml:space="preserve"> midler.</w:t>
      </w:r>
    </w:p>
    <w:p w:rsidR="00CD5165" w:rsidRDefault="00CD5165" w:rsidP="00CD5165">
      <w:pPr>
        <w:ind w:left="851"/>
        <w:rPr>
          <w:i/>
          <w:sz w:val="24"/>
          <w:szCs w:val="24"/>
        </w:rPr>
      </w:pPr>
    </w:p>
    <w:p w:rsidR="003409E2" w:rsidRPr="005A7CEE" w:rsidRDefault="003409E2" w:rsidP="003409E2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5A7CEE">
        <w:rPr>
          <w:sz w:val="24"/>
          <w:szCs w:val="24"/>
          <w:u w:val="single"/>
        </w:rPr>
        <w:t>Virkningsmekanisme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er et antibiotikum, der isoleres fra </w:t>
      </w:r>
      <w:proofErr w:type="spellStart"/>
      <w:r w:rsidRPr="007634F0">
        <w:rPr>
          <w:i/>
          <w:sz w:val="24"/>
          <w:szCs w:val="24"/>
        </w:rPr>
        <w:t>Streptomyces</w:t>
      </w:r>
      <w:proofErr w:type="spellEnd"/>
      <w:r w:rsidRPr="007634F0">
        <w:rPr>
          <w:i/>
          <w:sz w:val="24"/>
          <w:szCs w:val="24"/>
        </w:rPr>
        <w:t xml:space="preserve"> </w:t>
      </w:r>
      <w:proofErr w:type="spellStart"/>
      <w:r w:rsidRPr="007634F0">
        <w:rPr>
          <w:i/>
          <w:sz w:val="24"/>
          <w:szCs w:val="24"/>
        </w:rPr>
        <w:t>caespitosus</w:t>
      </w:r>
      <w:proofErr w:type="spellEnd"/>
      <w:r w:rsidRPr="007634F0">
        <w:rPr>
          <w:sz w:val="24"/>
          <w:szCs w:val="24"/>
        </w:rPr>
        <w:t xml:space="preserve">, og som har </w:t>
      </w:r>
      <w:proofErr w:type="spellStart"/>
      <w:r w:rsidRPr="007634F0">
        <w:rPr>
          <w:sz w:val="24"/>
          <w:szCs w:val="24"/>
        </w:rPr>
        <w:t>antineoplastisk</w:t>
      </w:r>
      <w:proofErr w:type="spellEnd"/>
      <w:r w:rsidRPr="007634F0">
        <w:rPr>
          <w:sz w:val="24"/>
          <w:szCs w:val="24"/>
        </w:rPr>
        <w:t xml:space="preserve"> virkning.</w:t>
      </w:r>
      <w:r w:rsidRPr="007634F0">
        <w:rPr>
          <w:i/>
          <w:sz w:val="24"/>
          <w:szCs w:val="24"/>
        </w:rPr>
        <w:t xml:space="preserve"> </w:t>
      </w:r>
      <w:r w:rsidRPr="007634F0">
        <w:rPr>
          <w:sz w:val="24"/>
          <w:szCs w:val="24"/>
        </w:rPr>
        <w:t xml:space="preserve">Det optræder i en inaktiv form. Aktiveringen til et trifunktionelt </w:t>
      </w:r>
      <w:proofErr w:type="spellStart"/>
      <w:r w:rsidRPr="007634F0">
        <w:rPr>
          <w:sz w:val="24"/>
          <w:szCs w:val="24"/>
        </w:rPr>
        <w:t>alkylerende</w:t>
      </w:r>
      <w:proofErr w:type="spellEnd"/>
      <w:r w:rsidRPr="007634F0">
        <w:rPr>
          <w:sz w:val="24"/>
          <w:szCs w:val="24"/>
        </w:rPr>
        <w:t xml:space="preserve"> middel sker hurtigt, enten ved fysiologisk pH under tilstedeværelsen af NADPH i serum eller intracellulært i stort set alle celler i kroppen med undtagelse af </w:t>
      </w:r>
      <w:proofErr w:type="spellStart"/>
      <w:r w:rsidRPr="007634F0">
        <w:rPr>
          <w:sz w:val="24"/>
          <w:szCs w:val="24"/>
        </w:rPr>
        <w:t>cerebrum</w:t>
      </w:r>
      <w:proofErr w:type="spellEnd"/>
      <w:r w:rsidRPr="007634F0">
        <w:rPr>
          <w:sz w:val="24"/>
          <w:szCs w:val="24"/>
        </w:rPr>
        <w:t xml:space="preserve">, da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ikke passerer blod-hjerne-barrieren. De 3 </w:t>
      </w:r>
      <w:proofErr w:type="spellStart"/>
      <w:r w:rsidRPr="007634F0">
        <w:rPr>
          <w:sz w:val="24"/>
          <w:szCs w:val="24"/>
        </w:rPr>
        <w:t>alkylerende</w:t>
      </w:r>
      <w:proofErr w:type="spellEnd"/>
      <w:r w:rsidRPr="007634F0">
        <w:rPr>
          <w:sz w:val="24"/>
          <w:szCs w:val="24"/>
        </w:rPr>
        <w:t xml:space="preserve"> radikaler stammer alle fra en </w:t>
      </w:r>
      <w:proofErr w:type="spellStart"/>
      <w:r w:rsidRPr="007634F0">
        <w:rPr>
          <w:sz w:val="24"/>
          <w:szCs w:val="24"/>
        </w:rPr>
        <w:t>quinon</w:t>
      </w:r>
      <w:proofErr w:type="spellEnd"/>
      <w:r w:rsidRPr="007634F0">
        <w:rPr>
          <w:sz w:val="24"/>
          <w:szCs w:val="24"/>
        </w:rPr>
        <w:t xml:space="preserve">-, en </w:t>
      </w:r>
      <w:proofErr w:type="spellStart"/>
      <w:r w:rsidRPr="007634F0">
        <w:rPr>
          <w:sz w:val="24"/>
          <w:szCs w:val="24"/>
        </w:rPr>
        <w:t>aziridin</w:t>
      </w:r>
      <w:proofErr w:type="spellEnd"/>
      <w:r w:rsidRPr="007634F0">
        <w:rPr>
          <w:sz w:val="24"/>
          <w:szCs w:val="24"/>
        </w:rPr>
        <w:t xml:space="preserve">- og en </w:t>
      </w:r>
      <w:proofErr w:type="spellStart"/>
      <w:r w:rsidRPr="007634F0">
        <w:rPr>
          <w:sz w:val="24"/>
          <w:szCs w:val="24"/>
        </w:rPr>
        <w:t>urethangruppe</w:t>
      </w:r>
      <w:proofErr w:type="spellEnd"/>
      <w:r w:rsidRPr="007634F0">
        <w:rPr>
          <w:sz w:val="24"/>
          <w:szCs w:val="24"/>
        </w:rPr>
        <w:t xml:space="preserve">. Virkningsmekanismen er fortrinsvis baseret på </w:t>
      </w:r>
      <w:proofErr w:type="spellStart"/>
      <w:r w:rsidRPr="007634F0">
        <w:rPr>
          <w:sz w:val="24"/>
          <w:szCs w:val="24"/>
        </w:rPr>
        <w:t>alkylering</w:t>
      </w:r>
      <w:proofErr w:type="spellEnd"/>
      <w:r w:rsidRPr="007634F0">
        <w:rPr>
          <w:sz w:val="24"/>
          <w:szCs w:val="24"/>
        </w:rPr>
        <w:t xml:space="preserve"> af DNA (i mindre grad RNA) med tilsvarende hæmning af DNA-syntesen. Graden af DNA-beskadigelse korrelerer med den kliniske virkning og er lavere i resistente celler end i sensitive celler. Som med andre </w:t>
      </w:r>
      <w:proofErr w:type="spellStart"/>
      <w:r w:rsidRPr="007634F0">
        <w:rPr>
          <w:sz w:val="24"/>
          <w:szCs w:val="24"/>
        </w:rPr>
        <w:t>alkylerende</w:t>
      </w:r>
      <w:proofErr w:type="spellEnd"/>
      <w:r w:rsidRPr="007634F0">
        <w:rPr>
          <w:sz w:val="24"/>
          <w:szCs w:val="24"/>
        </w:rPr>
        <w:t xml:space="preserve"> midler beskadiges </w:t>
      </w:r>
      <w:proofErr w:type="spellStart"/>
      <w:r w:rsidRPr="007634F0">
        <w:rPr>
          <w:sz w:val="24"/>
          <w:szCs w:val="24"/>
        </w:rPr>
        <w:t>prolifererende</w:t>
      </w:r>
      <w:proofErr w:type="spellEnd"/>
      <w:r w:rsidRPr="007634F0">
        <w:rPr>
          <w:sz w:val="24"/>
          <w:szCs w:val="24"/>
        </w:rPr>
        <w:t xml:space="preserve"> celler i større omfang end celler, der befinder sig i cellecyklussens hvilefase (G0). Endvidere frigives frie peroxid-radikaler, særligt ved højere doser, hvilket resulterer i DNA-brud. Frigivelsen af peroxid-radikaler forbindes med det organspecifikke mønster for bivirkninger.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5.2</w:t>
      </w:r>
      <w:r w:rsidRPr="007634F0">
        <w:rPr>
          <w:b/>
          <w:sz w:val="24"/>
          <w:szCs w:val="24"/>
        </w:rPr>
        <w:tab/>
      </w:r>
      <w:proofErr w:type="spellStart"/>
      <w:r w:rsidRPr="007634F0">
        <w:rPr>
          <w:b/>
          <w:sz w:val="24"/>
          <w:szCs w:val="24"/>
        </w:rPr>
        <w:t>Farmakokinetiske</w:t>
      </w:r>
      <w:proofErr w:type="spellEnd"/>
      <w:r w:rsidRPr="007634F0">
        <w:rPr>
          <w:b/>
          <w:sz w:val="24"/>
          <w:szCs w:val="24"/>
        </w:rPr>
        <w:t xml:space="preserve"> egenskaber</w:t>
      </w:r>
    </w:p>
    <w:p w:rsidR="00015E7D" w:rsidRPr="007634F0" w:rsidRDefault="00015E7D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3409E2" w:rsidRPr="005A7CEE" w:rsidRDefault="003409E2" w:rsidP="003409E2">
      <w:pPr>
        <w:keepNext/>
        <w:keepLines/>
        <w:ind w:left="851"/>
        <w:rPr>
          <w:iCs/>
          <w:noProof/>
          <w:sz w:val="24"/>
          <w:u w:val="single"/>
        </w:rPr>
      </w:pPr>
      <w:r w:rsidRPr="005A7CEE">
        <w:rPr>
          <w:noProof/>
          <w:sz w:val="24"/>
          <w:u w:val="single"/>
        </w:rPr>
        <w:lastRenderedPageBreak/>
        <w:t>Absorption</w:t>
      </w:r>
    </w:p>
    <w:p w:rsidR="003409E2" w:rsidRPr="005A7CEE" w:rsidRDefault="003409E2" w:rsidP="003409E2">
      <w:pPr>
        <w:keepNext/>
        <w:keepLines/>
        <w:ind w:left="851"/>
        <w:rPr>
          <w:sz w:val="24"/>
          <w:szCs w:val="22"/>
        </w:rPr>
      </w:pPr>
      <w:r w:rsidRPr="005A7CEE">
        <w:rPr>
          <w:sz w:val="24"/>
        </w:rPr>
        <w:t xml:space="preserve">Kun en lille andel </w:t>
      </w:r>
      <w:proofErr w:type="spellStart"/>
      <w:r w:rsidRPr="005A7CEE">
        <w:rPr>
          <w:sz w:val="24"/>
        </w:rPr>
        <w:t>mitomycin</w:t>
      </w:r>
      <w:proofErr w:type="spellEnd"/>
      <w:r w:rsidRPr="005A7CEE">
        <w:rPr>
          <w:sz w:val="24"/>
        </w:rPr>
        <w:t xml:space="preserve"> når serummet efter </w:t>
      </w:r>
      <w:proofErr w:type="spellStart"/>
      <w:r w:rsidRPr="005A7CEE">
        <w:rPr>
          <w:sz w:val="24"/>
        </w:rPr>
        <w:t>intravesikal</w:t>
      </w:r>
      <w:proofErr w:type="spellEnd"/>
      <w:r w:rsidRPr="005A7CEE">
        <w:rPr>
          <w:sz w:val="24"/>
        </w:rPr>
        <w:t xml:space="preserve"> administration. Der er målt maksimale plasmaniveauer på 0,05 µg/ml 40 minutter efter </w:t>
      </w:r>
      <w:proofErr w:type="spellStart"/>
      <w:r w:rsidRPr="005A7CEE">
        <w:rPr>
          <w:sz w:val="24"/>
        </w:rPr>
        <w:t>intravesikal</w:t>
      </w:r>
      <w:proofErr w:type="spellEnd"/>
      <w:r w:rsidRPr="005A7CEE">
        <w:rPr>
          <w:sz w:val="24"/>
        </w:rPr>
        <w:t xml:space="preserve"> </w:t>
      </w:r>
      <w:proofErr w:type="spellStart"/>
      <w:r w:rsidRPr="005A7CEE">
        <w:rPr>
          <w:sz w:val="24"/>
        </w:rPr>
        <w:t>instillation</w:t>
      </w:r>
      <w:proofErr w:type="spellEnd"/>
      <w:r w:rsidRPr="005A7CEE">
        <w:rPr>
          <w:sz w:val="24"/>
        </w:rPr>
        <w:t xml:space="preserve"> af 40 mg </w:t>
      </w:r>
      <w:proofErr w:type="spellStart"/>
      <w:r w:rsidRPr="005A7CEE">
        <w:rPr>
          <w:sz w:val="24"/>
        </w:rPr>
        <w:t>mitomycin</w:t>
      </w:r>
      <w:proofErr w:type="spellEnd"/>
      <w:r w:rsidRPr="005A7CEE">
        <w:rPr>
          <w:sz w:val="24"/>
        </w:rPr>
        <w:t xml:space="preserve">. Dette er et godt stykke under niveauet på 0,4 µg/ml </w:t>
      </w:r>
      <w:proofErr w:type="spellStart"/>
      <w:r w:rsidRPr="005A7CEE">
        <w:rPr>
          <w:sz w:val="24"/>
        </w:rPr>
        <w:t>mitomycin</w:t>
      </w:r>
      <w:proofErr w:type="spellEnd"/>
      <w:r w:rsidRPr="005A7CEE">
        <w:rPr>
          <w:sz w:val="24"/>
        </w:rPr>
        <w:t xml:space="preserve"> i serum, der vides at være </w:t>
      </w:r>
      <w:proofErr w:type="spellStart"/>
      <w:r w:rsidRPr="005A7CEE">
        <w:rPr>
          <w:sz w:val="24"/>
        </w:rPr>
        <w:t>myelosuppressivt</w:t>
      </w:r>
      <w:proofErr w:type="spellEnd"/>
      <w:r w:rsidRPr="005A7CEE">
        <w:rPr>
          <w:sz w:val="24"/>
        </w:rPr>
        <w:t>. En systemisk virkning kan dog ikke udelukkes helt.</w:t>
      </w:r>
    </w:p>
    <w:p w:rsidR="003409E2" w:rsidRPr="005A7CEE" w:rsidRDefault="003409E2" w:rsidP="003409E2">
      <w:pPr>
        <w:ind w:left="851"/>
        <w:rPr>
          <w:sz w:val="24"/>
          <w:szCs w:val="22"/>
        </w:rPr>
      </w:pPr>
      <w:r w:rsidRPr="005A7CEE">
        <w:rPr>
          <w:sz w:val="24"/>
        </w:rPr>
        <w:t>Til sammenligning er der efter intravenøs administration af 10</w:t>
      </w:r>
      <w:r w:rsidRPr="005A7CEE">
        <w:rPr>
          <w:sz w:val="24"/>
        </w:rPr>
        <w:noBreakHyphen/>
        <w:t xml:space="preserve">20 mg/m² </w:t>
      </w:r>
      <w:proofErr w:type="spellStart"/>
      <w:r w:rsidRPr="005A7CEE">
        <w:rPr>
          <w:sz w:val="24"/>
        </w:rPr>
        <w:t>mitomycin</w:t>
      </w:r>
      <w:proofErr w:type="spellEnd"/>
      <w:r w:rsidRPr="005A7CEE">
        <w:rPr>
          <w:sz w:val="24"/>
        </w:rPr>
        <w:t xml:space="preserve"> målt maksimale plasmaniveauer på 0,4</w:t>
      </w:r>
      <w:r w:rsidRPr="005A7CEE">
        <w:rPr>
          <w:sz w:val="24"/>
        </w:rPr>
        <w:noBreakHyphen/>
        <w:t>3,2 </w:t>
      </w:r>
      <w:proofErr w:type="spellStart"/>
      <w:r w:rsidRPr="005A7CEE">
        <w:rPr>
          <w:sz w:val="24"/>
        </w:rPr>
        <w:t>μg</w:t>
      </w:r>
      <w:proofErr w:type="spellEnd"/>
      <w:r w:rsidRPr="005A7CEE">
        <w:rPr>
          <w:sz w:val="24"/>
        </w:rPr>
        <w:t>/ml.</w:t>
      </w:r>
    </w:p>
    <w:p w:rsidR="003409E2" w:rsidRPr="005A7CEE" w:rsidRDefault="003409E2" w:rsidP="003409E2">
      <w:pPr>
        <w:ind w:left="851"/>
        <w:rPr>
          <w:iCs/>
          <w:noProof/>
          <w:sz w:val="24"/>
          <w:u w:val="single"/>
        </w:rPr>
      </w:pPr>
    </w:p>
    <w:p w:rsidR="003409E2" w:rsidRPr="005A7CEE" w:rsidRDefault="003409E2" w:rsidP="003409E2">
      <w:pPr>
        <w:keepNext/>
        <w:ind w:left="851"/>
        <w:rPr>
          <w:iCs/>
          <w:noProof/>
          <w:sz w:val="24"/>
          <w:u w:val="single"/>
        </w:rPr>
      </w:pPr>
      <w:r w:rsidRPr="005A7CEE">
        <w:rPr>
          <w:noProof/>
          <w:sz w:val="24"/>
          <w:u w:val="single"/>
        </w:rPr>
        <w:t>Fordeling</w:t>
      </w:r>
    </w:p>
    <w:p w:rsidR="003409E2" w:rsidRPr="005A7CEE" w:rsidRDefault="003409E2" w:rsidP="003409E2">
      <w:pPr>
        <w:ind w:left="851"/>
        <w:rPr>
          <w:iCs/>
          <w:noProof/>
          <w:sz w:val="24"/>
        </w:rPr>
      </w:pPr>
      <w:r w:rsidRPr="005A7CEE">
        <w:rPr>
          <w:sz w:val="24"/>
        </w:rPr>
        <w:t xml:space="preserve">Den biologiske halveringstid er kort, cirka 40-50 minutter. Serumniveauet falder </w:t>
      </w:r>
      <w:proofErr w:type="spellStart"/>
      <w:r w:rsidRPr="005A7CEE">
        <w:rPr>
          <w:sz w:val="24"/>
        </w:rPr>
        <w:t>bieksponentielt</w:t>
      </w:r>
      <w:proofErr w:type="spellEnd"/>
      <w:r w:rsidRPr="005A7CEE">
        <w:rPr>
          <w:sz w:val="24"/>
        </w:rPr>
        <w:t xml:space="preserve"> og stejlt inden for de første 45 minutter og derefter langsommere.</w:t>
      </w:r>
    </w:p>
    <w:p w:rsidR="003409E2" w:rsidRPr="005A7CEE" w:rsidRDefault="003409E2" w:rsidP="003409E2">
      <w:pPr>
        <w:ind w:left="851"/>
        <w:rPr>
          <w:iCs/>
          <w:noProof/>
          <w:sz w:val="24"/>
        </w:rPr>
      </w:pPr>
      <w:r w:rsidRPr="005A7CEE">
        <w:rPr>
          <w:sz w:val="24"/>
        </w:rPr>
        <w:t>Efter cirka 3 timer er serumniveauet normalt under detektionsgrænsen.</w:t>
      </w:r>
    </w:p>
    <w:p w:rsidR="003409E2" w:rsidRPr="005A7CEE" w:rsidRDefault="003409E2" w:rsidP="003409E2">
      <w:pPr>
        <w:ind w:left="851"/>
        <w:rPr>
          <w:iCs/>
          <w:noProof/>
          <w:sz w:val="24"/>
          <w:u w:val="single"/>
        </w:rPr>
      </w:pPr>
    </w:p>
    <w:p w:rsidR="003409E2" w:rsidRPr="005A7CEE" w:rsidRDefault="003409E2" w:rsidP="003409E2">
      <w:pPr>
        <w:keepNext/>
        <w:ind w:left="851"/>
        <w:rPr>
          <w:iCs/>
          <w:noProof/>
          <w:sz w:val="24"/>
          <w:u w:val="single"/>
        </w:rPr>
      </w:pPr>
      <w:r w:rsidRPr="005A7CEE">
        <w:rPr>
          <w:noProof/>
          <w:sz w:val="24"/>
          <w:u w:val="single"/>
        </w:rPr>
        <w:t>Biotransformation og elimination</w:t>
      </w:r>
    </w:p>
    <w:p w:rsidR="003409E2" w:rsidRPr="005A7CEE" w:rsidDel="00CB6302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5A7CEE">
        <w:rPr>
          <w:sz w:val="24"/>
        </w:rPr>
        <w:t xml:space="preserve">Det primære sted for </w:t>
      </w:r>
      <w:proofErr w:type="spellStart"/>
      <w:r w:rsidRPr="005A7CEE">
        <w:rPr>
          <w:sz w:val="24"/>
        </w:rPr>
        <w:t>metabolisering</w:t>
      </w:r>
      <w:proofErr w:type="spellEnd"/>
      <w:r w:rsidRPr="005A7CEE">
        <w:rPr>
          <w:sz w:val="24"/>
        </w:rPr>
        <w:t xml:space="preserve"> og elimination efter systemisk anvendelse er </w:t>
      </w:r>
      <w:r>
        <w:rPr>
          <w:sz w:val="24"/>
        </w:rPr>
        <w:t xml:space="preserve">i </w:t>
      </w:r>
      <w:r w:rsidRPr="005A7CEE">
        <w:rPr>
          <w:sz w:val="24"/>
        </w:rPr>
        <w:t xml:space="preserve">leveren. Der er således fundet høje koncentrationer af </w:t>
      </w:r>
      <w:proofErr w:type="spellStart"/>
      <w:r w:rsidRPr="005A7CEE">
        <w:rPr>
          <w:sz w:val="24"/>
        </w:rPr>
        <w:t>mitomycin</w:t>
      </w:r>
      <w:proofErr w:type="spellEnd"/>
      <w:r w:rsidRPr="005A7CEE">
        <w:rPr>
          <w:sz w:val="24"/>
        </w:rPr>
        <w:t xml:space="preserve"> i galdeblæren. Udskillelse via nyrerne spiller kun en mindre rolle i eliminationen.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5.3</w:t>
      </w:r>
      <w:r w:rsidRPr="007634F0">
        <w:rPr>
          <w:b/>
          <w:sz w:val="24"/>
          <w:szCs w:val="24"/>
        </w:rPr>
        <w:tab/>
      </w:r>
      <w:r w:rsidR="00015E7D">
        <w:rPr>
          <w:b/>
          <w:sz w:val="24"/>
          <w:szCs w:val="24"/>
        </w:rPr>
        <w:t>Non-</w:t>
      </w:r>
      <w:r w:rsidRPr="007634F0">
        <w:rPr>
          <w:b/>
          <w:sz w:val="24"/>
          <w:szCs w:val="24"/>
        </w:rPr>
        <w:t>kliniske sikkerhedsdata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Hos dyr virker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toksisk på alle </w:t>
      </w:r>
      <w:proofErr w:type="spellStart"/>
      <w:r w:rsidRPr="007634F0">
        <w:rPr>
          <w:sz w:val="24"/>
          <w:szCs w:val="24"/>
        </w:rPr>
        <w:t>prolifererende</w:t>
      </w:r>
      <w:proofErr w:type="spellEnd"/>
      <w:r w:rsidRPr="007634F0">
        <w:rPr>
          <w:sz w:val="24"/>
          <w:szCs w:val="24"/>
        </w:rPr>
        <w:t xml:space="preserve"> væv, navnlig knoglemarvens celler og mave-tarm-kanalens slimhinde, og </w:t>
      </w:r>
      <w:proofErr w:type="spellStart"/>
      <w:r w:rsidRPr="007634F0">
        <w:rPr>
          <w:sz w:val="24"/>
          <w:szCs w:val="24"/>
        </w:rPr>
        <w:t>spermatogenesen</w:t>
      </w:r>
      <w:proofErr w:type="spellEnd"/>
      <w:r w:rsidRPr="007634F0">
        <w:rPr>
          <w:sz w:val="24"/>
          <w:szCs w:val="24"/>
        </w:rPr>
        <w:t xml:space="preserve"> hæmmes.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har mutagene, </w:t>
      </w:r>
      <w:proofErr w:type="spellStart"/>
      <w:r w:rsidRPr="007634F0">
        <w:rPr>
          <w:sz w:val="24"/>
          <w:szCs w:val="24"/>
        </w:rPr>
        <w:t>karcinogene</w:t>
      </w:r>
      <w:proofErr w:type="spellEnd"/>
      <w:r w:rsidRPr="007634F0">
        <w:rPr>
          <w:sz w:val="24"/>
          <w:szCs w:val="24"/>
        </w:rPr>
        <w:t xml:space="preserve"> og </w:t>
      </w:r>
      <w:proofErr w:type="spellStart"/>
      <w:r w:rsidRPr="007634F0">
        <w:rPr>
          <w:sz w:val="24"/>
          <w:szCs w:val="24"/>
        </w:rPr>
        <w:t>teratogene</w:t>
      </w:r>
      <w:proofErr w:type="spellEnd"/>
      <w:r w:rsidRPr="007634F0">
        <w:rPr>
          <w:sz w:val="24"/>
          <w:szCs w:val="24"/>
        </w:rPr>
        <w:t xml:space="preserve"> egenskaber, der kan påvises i relevante forsøgsmodeller.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Ved injektion uden for en vene, eller hvis der sker </w:t>
      </w:r>
      <w:proofErr w:type="spellStart"/>
      <w:r w:rsidRPr="007634F0">
        <w:rPr>
          <w:sz w:val="24"/>
          <w:szCs w:val="24"/>
        </w:rPr>
        <w:t>ekstravasation</w:t>
      </w:r>
      <w:proofErr w:type="spellEnd"/>
      <w:r w:rsidRPr="007634F0">
        <w:rPr>
          <w:sz w:val="24"/>
          <w:szCs w:val="24"/>
        </w:rPr>
        <w:t xml:space="preserve"> i det omgivende væv, kan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forårsage svær nekrose.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</w:t>
      </w:r>
      <w:r w:rsidRPr="007634F0">
        <w:rPr>
          <w:b/>
          <w:sz w:val="24"/>
          <w:szCs w:val="24"/>
        </w:rPr>
        <w:tab/>
        <w:t>FARMACEUTISKE OPLYSNINGER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6.1</w:t>
      </w:r>
      <w:r w:rsidRPr="007634F0">
        <w:rPr>
          <w:b/>
          <w:sz w:val="24"/>
          <w:szCs w:val="24"/>
        </w:rPr>
        <w:tab/>
        <w:t>Hjælpestoffer</w:t>
      </w:r>
    </w:p>
    <w:p w:rsidR="00CD5165" w:rsidRPr="007634F0" w:rsidRDefault="00CD5165" w:rsidP="00CD5165">
      <w:pPr>
        <w:tabs>
          <w:tab w:val="left" w:pos="851"/>
        </w:tabs>
        <w:ind w:left="851" w:hanging="851"/>
        <w:rPr>
          <w:sz w:val="24"/>
          <w:szCs w:val="24"/>
        </w:rPr>
      </w:pPr>
      <w:r w:rsidRPr="007634F0">
        <w:rPr>
          <w:sz w:val="24"/>
          <w:szCs w:val="24"/>
        </w:rPr>
        <w:tab/>
        <w:t>Urinstof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6.2</w:t>
      </w:r>
      <w:r w:rsidRPr="007634F0">
        <w:rPr>
          <w:b/>
          <w:sz w:val="24"/>
          <w:szCs w:val="24"/>
        </w:rPr>
        <w:tab/>
        <w:t>Uforligeligheder</w:t>
      </w:r>
    </w:p>
    <w:p w:rsidR="00CD5165" w:rsidRPr="007634F0" w:rsidRDefault="00CD5165" w:rsidP="00CD5165">
      <w:pPr>
        <w:tabs>
          <w:tab w:val="left" w:pos="851"/>
        </w:tabs>
        <w:ind w:left="851" w:hanging="851"/>
        <w:rPr>
          <w:sz w:val="24"/>
          <w:szCs w:val="24"/>
        </w:rPr>
      </w:pPr>
      <w:r w:rsidRPr="007634F0">
        <w:rPr>
          <w:sz w:val="24"/>
          <w:szCs w:val="24"/>
        </w:rPr>
        <w:tab/>
        <w:t>Dette lægemiddel må ikke blandes med andre lægemidler end dem, der er anført under pkt. 6.6.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6.3</w:t>
      </w:r>
      <w:r w:rsidRPr="007634F0">
        <w:rPr>
          <w:b/>
          <w:sz w:val="24"/>
          <w:szCs w:val="24"/>
        </w:rPr>
        <w:tab/>
        <w:t>Opbevaringstid</w:t>
      </w:r>
    </w:p>
    <w:p w:rsidR="00CD5165" w:rsidRPr="004A614F" w:rsidRDefault="00CD5165" w:rsidP="00CD5165">
      <w:pPr>
        <w:ind w:left="851"/>
        <w:rPr>
          <w:i/>
          <w:iCs/>
          <w:szCs w:val="22"/>
        </w:rPr>
      </w:pPr>
      <w:proofErr w:type="spellStart"/>
      <w:r>
        <w:rPr>
          <w:i/>
        </w:rPr>
        <w:t>Mitomycin</w:t>
      </w:r>
      <w:proofErr w:type="spellEnd"/>
      <w:r>
        <w:rPr>
          <w:i/>
        </w:rPr>
        <w:t xml:space="preserve"> ”</w:t>
      </w:r>
      <w:proofErr w:type="spellStart"/>
      <w:r>
        <w:rPr>
          <w:i/>
        </w:rPr>
        <w:t>medac</w:t>
      </w:r>
      <w:proofErr w:type="spellEnd"/>
      <w:r>
        <w:rPr>
          <w:i/>
        </w:rPr>
        <w:t xml:space="preserve">” 1 mg/ml, hætteglas med 2 mg (10 mg, 20 mg, 40 mg) </w:t>
      </w:r>
      <w:proofErr w:type="spellStart"/>
      <w:r>
        <w:rPr>
          <w:i/>
        </w:rPr>
        <w:t>mitomycin</w:t>
      </w:r>
      <w:proofErr w:type="spellEnd"/>
    </w:p>
    <w:p w:rsidR="00CD5165" w:rsidRDefault="00CD5165" w:rsidP="00CD5165">
      <w:pPr>
        <w:ind w:left="851"/>
      </w:pPr>
      <w:r w:rsidRPr="009E40C9">
        <w:t>2</w:t>
      </w:r>
      <w:r>
        <w:t> år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ind w:left="851"/>
        <w:rPr>
          <w:sz w:val="24"/>
          <w:szCs w:val="24"/>
        </w:rPr>
      </w:pPr>
      <w:r>
        <w:rPr>
          <w:lang w:eastAsia="de-DE"/>
        </w:rPr>
        <w:t>L</w:t>
      </w:r>
      <w:r w:rsidRPr="00AD5DD3">
        <w:rPr>
          <w:lang w:eastAsia="de-DE"/>
        </w:rPr>
        <w:t>æ</w:t>
      </w:r>
      <w:r>
        <w:rPr>
          <w:lang w:eastAsia="de-DE"/>
        </w:rPr>
        <w:t xml:space="preserve">gemidlet </w:t>
      </w:r>
      <w:r w:rsidRPr="00E90359">
        <w:t xml:space="preserve">skal anvendes </w:t>
      </w:r>
      <w:r w:rsidRPr="00977A3B">
        <w:rPr>
          <w:lang w:eastAsia="de-DE"/>
        </w:rPr>
        <w:t xml:space="preserve">umiddelbart efter </w:t>
      </w:r>
      <w:proofErr w:type="spellStart"/>
      <w:r w:rsidRPr="00977A3B">
        <w:rPr>
          <w:lang w:eastAsia="de-DE"/>
        </w:rPr>
        <w:t>rekonstitution</w:t>
      </w:r>
      <w:proofErr w:type="spellEnd"/>
      <w:r w:rsidRPr="00E90359">
        <w:t>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6.4</w:t>
      </w:r>
      <w:r w:rsidRPr="007634F0">
        <w:rPr>
          <w:b/>
          <w:sz w:val="24"/>
          <w:szCs w:val="24"/>
        </w:rPr>
        <w:tab/>
        <w:t>Særlige opbevaringsforhold</w:t>
      </w:r>
    </w:p>
    <w:p w:rsidR="00CD5165" w:rsidRDefault="00015E7D" w:rsidP="00CD5165">
      <w:pPr>
        <w:ind w:left="851"/>
        <w:rPr>
          <w:sz w:val="24"/>
          <w:szCs w:val="24"/>
        </w:rPr>
      </w:pPr>
      <w:r w:rsidRPr="007634F0">
        <w:t xml:space="preserve">Opbevar hætteglasset i den ydre </w:t>
      </w:r>
      <w:r>
        <w:t>æske</w:t>
      </w:r>
      <w:r w:rsidRPr="007634F0">
        <w:t xml:space="preserve"> for at beskytte mod lys</w:t>
      </w:r>
      <w:r w:rsidRPr="007634F0">
        <w:rPr>
          <w:sz w:val="24"/>
          <w:szCs w:val="24"/>
        </w:rPr>
        <w:t>.</w:t>
      </w:r>
    </w:p>
    <w:p w:rsidR="00015E7D" w:rsidRPr="007634F0" w:rsidRDefault="00015E7D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Opbevaringsforhold efter </w:t>
      </w:r>
      <w:proofErr w:type="spellStart"/>
      <w:r w:rsidRPr="007634F0">
        <w:rPr>
          <w:sz w:val="24"/>
          <w:szCs w:val="24"/>
        </w:rPr>
        <w:t>rekonstitution</w:t>
      </w:r>
      <w:proofErr w:type="spellEnd"/>
      <w:r w:rsidRPr="007634F0">
        <w:rPr>
          <w:sz w:val="24"/>
          <w:szCs w:val="24"/>
        </w:rPr>
        <w:t xml:space="preserve"> af lægemidlet, se pkt. 6.3.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6.5</w:t>
      </w:r>
      <w:r w:rsidRPr="007634F0">
        <w:rPr>
          <w:b/>
          <w:sz w:val="24"/>
          <w:szCs w:val="24"/>
        </w:rPr>
        <w:tab/>
        <w:t>Emballagetype og pakningsstørrelser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Klart hætteglas (type I) med </w:t>
      </w:r>
      <w:proofErr w:type="spellStart"/>
      <w:r w:rsidRPr="007634F0">
        <w:rPr>
          <w:sz w:val="24"/>
          <w:szCs w:val="24"/>
        </w:rPr>
        <w:t>fluoropolymer</w:t>
      </w:r>
      <w:proofErr w:type="spellEnd"/>
      <w:r w:rsidRPr="007634F0">
        <w:rPr>
          <w:sz w:val="24"/>
          <w:szCs w:val="24"/>
        </w:rPr>
        <w:t xml:space="preserve">-belagt </w:t>
      </w:r>
      <w:proofErr w:type="spellStart"/>
      <w:r w:rsidRPr="007634F0">
        <w:rPr>
          <w:sz w:val="24"/>
          <w:szCs w:val="24"/>
        </w:rPr>
        <w:t>brombutylgummiprop</w:t>
      </w:r>
      <w:proofErr w:type="spellEnd"/>
      <w:r w:rsidRPr="007634F0">
        <w:rPr>
          <w:sz w:val="24"/>
          <w:szCs w:val="24"/>
        </w:rPr>
        <w:t xml:space="preserve"> og afrivelig aluminiumsforsegling.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 xml:space="preserve">6 ml-hætteglas med 2 mg </w:t>
      </w:r>
      <w:proofErr w:type="spellStart"/>
      <w:r w:rsidRPr="007634F0">
        <w:rPr>
          <w:sz w:val="24"/>
          <w:szCs w:val="24"/>
          <w:u w:val="single"/>
        </w:rPr>
        <w:t>mitomycin</w:t>
      </w:r>
      <w:proofErr w:type="spellEnd"/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Pakningsstørrelser: 1, 5 og 10 hætteglas.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 xml:space="preserve">10 ml-hætteglas med 10 mg </w:t>
      </w:r>
      <w:proofErr w:type="spellStart"/>
      <w:r w:rsidRPr="007634F0">
        <w:rPr>
          <w:sz w:val="24"/>
          <w:szCs w:val="24"/>
          <w:u w:val="single"/>
        </w:rPr>
        <w:t>mitomycin</w:t>
      </w:r>
      <w:proofErr w:type="spellEnd"/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Pakningsstørrelser: 1, 5 og 10 hætteglas.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015E7D">
      <w:pPr>
        <w:keepNext/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 xml:space="preserve">20 ml-hætteglas med 20 mg </w:t>
      </w:r>
      <w:proofErr w:type="spellStart"/>
      <w:r w:rsidRPr="007634F0">
        <w:rPr>
          <w:sz w:val="24"/>
          <w:szCs w:val="24"/>
          <w:u w:val="single"/>
        </w:rPr>
        <w:t>mitomycin</w:t>
      </w:r>
      <w:proofErr w:type="spellEnd"/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Pakningsstørrelser: 1, 5 og 10 hætteglas.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ind w:left="851"/>
        <w:rPr>
          <w:sz w:val="24"/>
          <w:szCs w:val="24"/>
          <w:u w:val="single"/>
        </w:rPr>
      </w:pPr>
      <w:r w:rsidRPr="007634F0">
        <w:rPr>
          <w:sz w:val="24"/>
          <w:szCs w:val="24"/>
          <w:u w:val="single"/>
        </w:rPr>
        <w:t xml:space="preserve">50 ml-hætteglas med 40 mg </w:t>
      </w:r>
      <w:proofErr w:type="spellStart"/>
      <w:r w:rsidRPr="007634F0">
        <w:rPr>
          <w:sz w:val="24"/>
          <w:szCs w:val="24"/>
          <w:u w:val="single"/>
        </w:rPr>
        <w:t>mitomycin</w:t>
      </w:r>
      <w:proofErr w:type="spellEnd"/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Pakningsstørrelser: 1, 5 og 10 hætteglas.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Ikke alle pakningsstørrelser er nødvendigvis markedsført.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6.6</w:t>
      </w:r>
      <w:r w:rsidRPr="007634F0">
        <w:rPr>
          <w:b/>
          <w:sz w:val="24"/>
          <w:szCs w:val="24"/>
        </w:rPr>
        <w:tab/>
        <w:t xml:space="preserve">Regler for </w:t>
      </w:r>
      <w:r w:rsidR="00015E7D">
        <w:rPr>
          <w:b/>
          <w:sz w:val="24"/>
          <w:szCs w:val="24"/>
        </w:rPr>
        <w:t>bortskaffelse</w:t>
      </w:r>
      <w:r w:rsidRPr="007634F0">
        <w:rPr>
          <w:b/>
          <w:sz w:val="24"/>
          <w:szCs w:val="24"/>
        </w:rPr>
        <w:t xml:space="preserve"> og anden håndtering</w:t>
      </w:r>
    </w:p>
    <w:p w:rsidR="00CD5165" w:rsidRPr="007634F0" w:rsidRDefault="00CD5165" w:rsidP="00CD5165">
      <w:pPr>
        <w:ind w:left="851"/>
        <w:rPr>
          <w:i/>
          <w:sz w:val="24"/>
          <w:szCs w:val="24"/>
        </w:rPr>
      </w:pPr>
    </w:p>
    <w:p w:rsidR="00F053C4" w:rsidRPr="007634F0" w:rsidRDefault="00F053C4" w:rsidP="00F053C4">
      <w:pPr>
        <w:ind w:left="851"/>
        <w:rPr>
          <w:sz w:val="24"/>
          <w:szCs w:val="24"/>
          <w:u w:val="single"/>
        </w:rPr>
      </w:pPr>
      <w:proofErr w:type="spellStart"/>
      <w:r w:rsidRPr="007634F0">
        <w:rPr>
          <w:sz w:val="24"/>
          <w:szCs w:val="24"/>
          <w:u w:val="single"/>
        </w:rPr>
        <w:t>Rekonstitution</w:t>
      </w:r>
      <w:proofErr w:type="spellEnd"/>
      <w:r w:rsidRPr="007634F0">
        <w:rPr>
          <w:sz w:val="24"/>
          <w:szCs w:val="24"/>
          <w:u w:val="single"/>
        </w:rPr>
        <w:t xml:space="preserve"> af injektions-</w:t>
      </w:r>
      <w:r>
        <w:rPr>
          <w:sz w:val="24"/>
          <w:szCs w:val="24"/>
          <w:u w:val="single"/>
        </w:rPr>
        <w:t>/</w:t>
      </w:r>
      <w:r w:rsidRPr="007634F0">
        <w:rPr>
          <w:sz w:val="24"/>
          <w:szCs w:val="24"/>
          <w:u w:val="single"/>
        </w:rPr>
        <w:t xml:space="preserve"> infusionsvæske</w:t>
      </w:r>
      <w:r>
        <w:rPr>
          <w:sz w:val="24"/>
          <w:szCs w:val="24"/>
          <w:u w:val="single"/>
        </w:rPr>
        <w:t>n</w:t>
      </w:r>
      <w:r w:rsidRPr="007634F0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 xml:space="preserve">opløsningen, </w:t>
      </w:r>
      <w:r w:rsidRPr="007634F0">
        <w:rPr>
          <w:sz w:val="24"/>
          <w:szCs w:val="24"/>
          <w:u w:val="single"/>
        </w:rPr>
        <w:t>så den er klar til brug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</w:p>
    <w:p w:rsidR="00CD5165" w:rsidRPr="007634F0" w:rsidRDefault="00CD5165" w:rsidP="00CD5165">
      <w:pPr>
        <w:ind w:left="851"/>
        <w:rPr>
          <w:i/>
          <w:iCs/>
          <w:sz w:val="24"/>
          <w:szCs w:val="24"/>
        </w:rPr>
      </w:pPr>
      <w:r w:rsidRPr="007634F0">
        <w:rPr>
          <w:i/>
          <w:sz w:val="24"/>
          <w:szCs w:val="24"/>
        </w:rPr>
        <w:t>2 mg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ét 2-mg hætteglas ved at tilsætte 2 ml vand til injektionsvæsker og vende op og ned på hætteglasset.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Hvis pulveret ikke opløses med det samme, skal blandingen stå lidt ved stuetemperatur, indtil det er helt opløst. Blandingen skal blive til en blåviolet, klar opløsning inden for 2 minutter.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</w:p>
    <w:p w:rsidR="00CD5165" w:rsidRPr="007634F0" w:rsidRDefault="00CD5165" w:rsidP="00CD5165">
      <w:pPr>
        <w:ind w:left="851"/>
        <w:rPr>
          <w:i/>
          <w:iCs/>
          <w:sz w:val="24"/>
          <w:szCs w:val="24"/>
        </w:rPr>
      </w:pPr>
      <w:r w:rsidRPr="007634F0">
        <w:rPr>
          <w:i/>
          <w:sz w:val="24"/>
          <w:szCs w:val="24"/>
        </w:rPr>
        <w:t>10 mg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ét 10-mg hætteglas ved at tilsætte 10 ml vand til injektionsvæsker og vende op og ned på hætteglasset.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Hvis pulveret ikke opløses med det samme, skal blandingen stå lidt ved stuetemperatur, indtil det er helt opløst. Blandingen skal blive til en blåviolet, klar opløsning inden for 2 minutter.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</w:p>
    <w:p w:rsidR="00CD5165" w:rsidRPr="007634F0" w:rsidRDefault="00CD5165" w:rsidP="00CD5165">
      <w:pPr>
        <w:ind w:left="851"/>
        <w:rPr>
          <w:i/>
          <w:iCs/>
          <w:sz w:val="24"/>
          <w:szCs w:val="24"/>
        </w:rPr>
      </w:pPr>
      <w:r w:rsidRPr="007634F0">
        <w:rPr>
          <w:i/>
          <w:sz w:val="24"/>
          <w:szCs w:val="24"/>
        </w:rPr>
        <w:t>20 mg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ét 20-mg hætteglas ved at tilsætte 20 ml vand til injektionsvæsker og vende op og ned på hætteglasset.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Hvis pulveret ikke opløses med det samme, skal blandingen stå lidt ved stuetemperatur, indtil det er helt opløst. Blandingen skal blive til en blåviolet, klar opløsning inden for 2 minutter.</w:t>
      </w:r>
    </w:p>
    <w:p w:rsidR="00CD5165" w:rsidRPr="007634F0" w:rsidRDefault="00CD5165" w:rsidP="00CD5165">
      <w:pPr>
        <w:ind w:left="851"/>
        <w:rPr>
          <w:iCs/>
          <w:sz w:val="24"/>
          <w:szCs w:val="24"/>
        </w:rPr>
      </w:pPr>
    </w:p>
    <w:p w:rsidR="00F053C4" w:rsidRPr="007634F0" w:rsidRDefault="00F053C4" w:rsidP="00F053C4">
      <w:pPr>
        <w:ind w:left="851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4</w:t>
      </w:r>
      <w:r w:rsidRPr="007634F0">
        <w:rPr>
          <w:i/>
          <w:sz w:val="24"/>
          <w:szCs w:val="24"/>
        </w:rPr>
        <w:t>0 mg</w:t>
      </w:r>
    </w:p>
    <w:p w:rsidR="00F053C4" w:rsidRPr="007634F0" w:rsidRDefault="00F053C4" w:rsidP="00F053C4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</w:t>
      </w:r>
      <w:r>
        <w:rPr>
          <w:sz w:val="24"/>
          <w:szCs w:val="24"/>
        </w:rPr>
        <w:t>oldet af ét 4</w:t>
      </w:r>
      <w:r w:rsidRPr="007634F0">
        <w:rPr>
          <w:sz w:val="24"/>
          <w:szCs w:val="24"/>
        </w:rPr>
        <w:t xml:space="preserve">0-mg hætteglas </w:t>
      </w:r>
      <w:r>
        <w:rPr>
          <w:sz w:val="24"/>
          <w:szCs w:val="24"/>
        </w:rPr>
        <w:t>ved at tilsætte 4</w:t>
      </w:r>
      <w:r w:rsidRPr="007634F0">
        <w:rPr>
          <w:sz w:val="24"/>
          <w:szCs w:val="24"/>
        </w:rPr>
        <w:t>0 ml vand til injektionsvæsker og vende op og ned på hætteglasset.</w:t>
      </w:r>
    </w:p>
    <w:p w:rsidR="00F053C4" w:rsidRPr="007634F0" w:rsidRDefault="00F053C4" w:rsidP="00F053C4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Hvis pulveret ikke opløses med det samme, skal blandingen stå lidt ved stuetemperatur, indtil det er helt opløst. Blandingen skal blive til en blåviolet, klar opløsning inden for 2 minutter.</w:t>
      </w:r>
    </w:p>
    <w:p w:rsidR="00F053C4" w:rsidRDefault="00F053C4" w:rsidP="00F053C4">
      <w:pPr>
        <w:ind w:left="851"/>
        <w:rPr>
          <w:sz w:val="24"/>
          <w:szCs w:val="24"/>
        </w:rPr>
      </w:pPr>
    </w:p>
    <w:p w:rsidR="00F053C4" w:rsidRPr="007634F0" w:rsidRDefault="00F053C4" w:rsidP="00F053C4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 w:rsidRPr="007634F0">
        <w:rPr>
          <w:sz w:val="24"/>
          <w:szCs w:val="24"/>
        </w:rPr>
        <w:t>medac</w:t>
      </w:r>
      <w:proofErr w:type="spellEnd"/>
      <w:r>
        <w:rPr>
          <w:sz w:val="24"/>
          <w:szCs w:val="24"/>
        </w:rPr>
        <w:t xml:space="preserve">" </w:t>
      </w:r>
      <w:r w:rsidRPr="007634F0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Pr="007634F0">
        <w:rPr>
          <w:sz w:val="24"/>
          <w:szCs w:val="24"/>
        </w:rPr>
        <w:t>mg/ml må ikke indgives sammen med andre injektionsvæsker. Andre injektions-</w:t>
      </w:r>
      <w:r>
        <w:rPr>
          <w:sz w:val="24"/>
          <w:szCs w:val="24"/>
        </w:rPr>
        <w:t>/</w:t>
      </w:r>
      <w:r w:rsidRPr="007634F0">
        <w:rPr>
          <w:sz w:val="24"/>
          <w:szCs w:val="24"/>
        </w:rPr>
        <w:t>infusionsvæsker</w:t>
      </w:r>
      <w:r>
        <w:rPr>
          <w:sz w:val="24"/>
          <w:szCs w:val="24"/>
        </w:rPr>
        <w:t>, opløsninger,</w:t>
      </w:r>
      <w:r w:rsidRPr="007634F0">
        <w:rPr>
          <w:sz w:val="24"/>
          <w:szCs w:val="24"/>
        </w:rPr>
        <w:t xml:space="preserve"> skal indgives separat.</w:t>
      </w:r>
    </w:p>
    <w:p w:rsidR="00F053C4" w:rsidRPr="007634F0" w:rsidRDefault="00F053C4" w:rsidP="00F053C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vigtigt at undgå </w:t>
      </w:r>
      <w:proofErr w:type="spellStart"/>
      <w:r>
        <w:rPr>
          <w:sz w:val="24"/>
          <w:szCs w:val="24"/>
        </w:rPr>
        <w:t>ekstravasation</w:t>
      </w:r>
      <w:proofErr w:type="spellEnd"/>
      <w:r>
        <w:rPr>
          <w:sz w:val="24"/>
          <w:szCs w:val="24"/>
        </w:rPr>
        <w:t xml:space="preserve"> ve</w:t>
      </w:r>
      <w:r w:rsidRPr="007634F0">
        <w:rPr>
          <w:sz w:val="24"/>
          <w:szCs w:val="24"/>
        </w:rPr>
        <w:t>d intrav</w:t>
      </w:r>
      <w:r>
        <w:rPr>
          <w:sz w:val="24"/>
          <w:szCs w:val="24"/>
        </w:rPr>
        <w:t>enøs administration</w:t>
      </w:r>
      <w:r w:rsidRPr="007634F0">
        <w:rPr>
          <w:sz w:val="24"/>
          <w:szCs w:val="24"/>
        </w:rPr>
        <w:t>.</w:t>
      </w:r>
    </w:p>
    <w:p w:rsidR="00F053C4" w:rsidRPr="007634F0" w:rsidRDefault="00F053C4" w:rsidP="00F053C4">
      <w:pPr>
        <w:ind w:left="851"/>
        <w:rPr>
          <w:iCs/>
          <w:sz w:val="24"/>
          <w:szCs w:val="24"/>
        </w:rPr>
      </w:pPr>
    </w:p>
    <w:p w:rsidR="00F053C4" w:rsidRPr="007634F0" w:rsidRDefault="00F053C4" w:rsidP="00F053C4">
      <w:pPr>
        <w:ind w:left="851"/>
        <w:rPr>
          <w:sz w:val="24"/>
          <w:szCs w:val="24"/>
          <w:u w:val="single"/>
        </w:rPr>
      </w:pPr>
      <w:proofErr w:type="spellStart"/>
      <w:r w:rsidRPr="007634F0">
        <w:rPr>
          <w:sz w:val="24"/>
          <w:szCs w:val="24"/>
          <w:u w:val="single"/>
        </w:rPr>
        <w:lastRenderedPageBreak/>
        <w:t>Rekonstitution</w:t>
      </w:r>
      <w:proofErr w:type="spellEnd"/>
      <w:r w:rsidRPr="007634F0">
        <w:rPr>
          <w:sz w:val="24"/>
          <w:szCs w:val="24"/>
          <w:u w:val="single"/>
        </w:rPr>
        <w:t xml:space="preserve"> af </w:t>
      </w:r>
      <w:proofErr w:type="spellStart"/>
      <w:r w:rsidRPr="007634F0">
        <w:rPr>
          <w:sz w:val="24"/>
          <w:szCs w:val="24"/>
          <w:u w:val="single"/>
        </w:rPr>
        <w:t>intravesikal</w:t>
      </w:r>
      <w:proofErr w:type="spellEnd"/>
      <w:r w:rsidRPr="007634F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opløsning</w:t>
      </w:r>
      <w:r w:rsidRPr="007634F0">
        <w:rPr>
          <w:sz w:val="24"/>
          <w:szCs w:val="24"/>
          <w:u w:val="single"/>
        </w:rPr>
        <w:t>, så den er klar til brug</w:t>
      </w: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  <w:bookmarkStart w:id="0" w:name="_GoBack"/>
      <w:bookmarkEnd w:id="0"/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  <w:r w:rsidRPr="007634F0">
        <w:rPr>
          <w:i/>
          <w:sz w:val="24"/>
          <w:szCs w:val="24"/>
        </w:rPr>
        <w:t>2 mg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10-20 hætteglas med 2 mg (svarende til 20</w:t>
      </w:r>
      <w:r w:rsidRPr="007634F0">
        <w:rPr>
          <w:sz w:val="24"/>
          <w:szCs w:val="24"/>
        </w:rPr>
        <w:noBreakHyphen/>
        <w:t xml:space="preserve">40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) ved at blande det med 20-40 ml steril </w:t>
      </w:r>
      <w:proofErr w:type="spellStart"/>
      <w:r w:rsidRPr="007634F0">
        <w:rPr>
          <w:sz w:val="24"/>
          <w:szCs w:val="24"/>
        </w:rPr>
        <w:t>natriumchlorid</w:t>
      </w:r>
      <w:proofErr w:type="spellEnd"/>
      <w:r w:rsidRPr="007634F0">
        <w:rPr>
          <w:sz w:val="24"/>
          <w:szCs w:val="24"/>
        </w:rPr>
        <w:t xml:space="preserve"> </w:t>
      </w:r>
      <w:r w:rsidRPr="005A7CEE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Pr="005A7CEE">
        <w:rPr>
          <w:sz w:val="24"/>
          <w:szCs w:val="24"/>
        </w:rPr>
        <w:t>mg/ml (</w:t>
      </w:r>
      <w:r w:rsidRPr="007634F0">
        <w:rPr>
          <w:sz w:val="24"/>
          <w:szCs w:val="24"/>
        </w:rPr>
        <w:t>0,9 %</w:t>
      </w:r>
      <w:r>
        <w:rPr>
          <w:sz w:val="24"/>
          <w:szCs w:val="24"/>
        </w:rPr>
        <w:t>) injektionsvæske, opløsning</w:t>
      </w:r>
      <w:r w:rsidRPr="007634F0">
        <w:rPr>
          <w:sz w:val="24"/>
          <w:szCs w:val="24"/>
        </w:rPr>
        <w:t>. Blandingen skal blive til en blåviolet, klar opløsning inden for 2 minutter.</w:t>
      </w: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  <w:r w:rsidRPr="007634F0">
        <w:rPr>
          <w:i/>
          <w:sz w:val="24"/>
          <w:szCs w:val="24"/>
        </w:rPr>
        <w:t>10 mg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2</w:t>
      </w:r>
      <w:r w:rsidRPr="007634F0">
        <w:rPr>
          <w:sz w:val="24"/>
          <w:szCs w:val="24"/>
        </w:rPr>
        <w:noBreakHyphen/>
        <w:t xml:space="preserve">4 hætteglas med 10 mg (svarende til 20-40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) ved at blande det med 20-40 ml steril </w:t>
      </w:r>
      <w:proofErr w:type="spellStart"/>
      <w:r w:rsidRPr="007634F0">
        <w:rPr>
          <w:sz w:val="24"/>
          <w:szCs w:val="24"/>
        </w:rPr>
        <w:t>natriumchlorid</w:t>
      </w:r>
      <w:proofErr w:type="spellEnd"/>
      <w:r w:rsidRPr="007634F0">
        <w:rPr>
          <w:sz w:val="24"/>
          <w:szCs w:val="24"/>
        </w:rPr>
        <w:t xml:space="preserve"> </w:t>
      </w:r>
      <w:r w:rsidRPr="005A7CEE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Pr="005A7CEE">
        <w:rPr>
          <w:sz w:val="24"/>
          <w:szCs w:val="24"/>
        </w:rPr>
        <w:t>mg/ml (</w:t>
      </w:r>
      <w:r w:rsidRPr="007634F0">
        <w:rPr>
          <w:sz w:val="24"/>
          <w:szCs w:val="24"/>
        </w:rPr>
        <w:t>0,9 %</w:t>
      </w:r>
      <w:r>
        <w:rPr>
          <w:sz w:val="24"/>
          <w:szCs w:val="24"/>
        </w:rPr>
        <w:t>) injektionsvæske, opløsning</w:t>
      </w:r>
      <w:r w:rsidRPr="007634F0">
        <w:rPr>
          <w:sz w:val="24"/>
          <w:szCs w:val="24"/>
        </w:rPr>
        <w:t>. Blandingen skal blive til en blåviolet, klar opløsning inden for 2 minutter.</w:t>
      </w: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  <w:r w:rsidRPr="007634F0">
        <w:rPr>
          <w:i/>
          <w:sz w:val="24"/>
          <w:szCs w:val="24"/>
        </w:rPr>
        <w:t>20 mg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Opløs indholdet af 1</w:t>
      </w:r>
      <w:r w:rsidRPr="007634F0">
        <w:rPr>
          <w:sz w:val="24"/>
          <w:szCs w:val="24"/>
        </w:rPr>
        <w:noBreakHyphen/>
        <w:t>2 hætteglas med 20 mg (svarende til 20</w:t>
      </w:r>
      <w:r w:rsidRPr="007634F0">
        <w:rPr>
          <w:sz w:val="24"/>
          <w:szCs w:val="24"/>
        </w:rPr>
        <w:noBreakHyphen/>
        <w:t xml:space="preserve">40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>) ved at blande det med 20</w:t>
      </w:r>
      <w:r w:rsidRPr="007634F0">
        <w:rPr>
          <w:sz w:val="24"/>
          <w:szCs w:val="24"/>
        </w:rPr>
        <w:noBreakHyphen/>
        <w:t xml:space="preserve">40 ml steril </w:t>
      </w:r>
      <w:proofErr w:type="spellStart"/>
      <w:r w:rsidRPr="007634F0">
        <w:rPr>
          <w:sz w:val="24"/>
          <w:szCs w:val="24"/>
        </w:rPr>
        <w:t>natriumchlorid</w:t>
      </w:r>
      <w:proofErr w:type="spellEnd"/>
      <w:r w:rsidRPr="007634F0">
        <w:rPr>
          <w:sz w:val="24"/>
          <w:szCs w:val="24"/>
        </w:rPr>
        <w:t xml:space="preserve"> </w:t>
      </w:r>
      <w:r w:rsidRPr="005A7CEE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Pr="005A7CEE">
        <w:rPr>
          <w:sz w:val="24"/>
          <w:szCs w:val="24"/>
        </w:rPr>
        <w:t>mg/ml (</w:t>
      </w:r>
      <w:r w:rsidRPr="007634F0">
        <w:rPr>
          <w:sz w:val="24"/>
          <w:szCs w:val="24"/>
        </w:rPr>
        <w:t>0,9 %</w:t>
      </w:r>
      <w:r>
        <w:rPr>
          <w:sz w:val="24"/>
          <w:szCs w:val="24"/>
        </w:rPr>
        <w:t>) injektionsvæske, opløsning</w:t>
      </w:r>
      <w:r w:rsidRPr="007634F0">
        <w:rPr>
          <w:sz w:val="24"/>
          <w:szCs w:val="24"/>
        </w:rPr>
        <w:t>. Blandingen skal blive til en blåviolet, klar opløsning inden for 2 minutter.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</w:p>
    <w:p w:rsidR="003409E2" w:rsidRPr="007634F0" w:rsidRDefault="003409E2" w:rsidP="003409E2">
      <w:pPr>
        <w:ind w:left="851"/>
        <w:rPr>
          <w:i/>
          <w:sz w:val="24"/>
          <w:szCs w:val="24"/>
        </w:rPr>
      </w:pPr>
      <w:r w:rsidRPr="007634F0">
        <w:rPr>
          <w:i/>
          <w:sz w:val="24"/>
          <w:szCs w:val="24"/>
        </w:rPr>
        <w:t>40 mg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 xml:space="preserve">Opløs indholdet af 1 hætteglas med 40 mg (svarende til 40 mg </w:t>
      </w:r>
      <w:proofErr w:type="spellStart"/>
      <w:r w:rsidRPr="007634F0">
        <w:rPr>
          <w:sz w:val="24"/>
          <w:szCs w:val="24"/>
        </w:rPr>
        <w:t>mitomycin</w:t>
      </w:r>
      <w:proofErr w:type="spellEnd"/>
      <w:r w:rsidRPr="007634F0">
        <w:rPr>
          <w:sz w:val="24"/>
          <w:szCs w:val="24"/>
        </w:rPr>
        <w:t xml:space="preserve">) ved at blande det med 40 ml steril </w:t>
      </w:r>
      <w:proofErr w:type="spellStart"/>
      <w:r w:rsidRPr="007634F0">
        <w:rPr>
          <w:sz w:val="24"/>
          <w:szCs w:val="24"/>
        </w:rPr>
        <w:t>natriumchlorid</w:t>
      </w:r>
      <w:proofErr w:type="spellEnd"/>
      <w:r w:rsidRPr="007634F0">
        <w:rPr>
          <w:sz w:val="24"/>
          <w:szCs w:val="24"/>
        </w:rPr>
        <w:t xml:space="preserve"> </w:t>
      </w:r>
      <w:r w:rsidRPr="005A7CEE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Pr="005A7CEE">
        <w:rPr>
          <w:sz w:val="24"/>
          <w:szCs w:val="24"/>
        </w:rPr>
        <w:t>mg/ml (</w:t>
      </w:r>
      <w:r w:rsidRPr="007634F0">
        <w:rPr>
          <w:sz w:val="24"/>
          <w:szCs w:val="24"/>
        </w:rPr>
        <w:t>0,9 %</w:t>
      </w:r>
      <w:r>
        <w:rPr>
          <w:sz w:val="24"/>
          <w:szCs w:val="24"/>
        </w:rPr>
        <w:t>)</w:t>
      </w:r>
      <w:r w:rsidRPr="007634F0">
        <w:rPr>
          <w:sz w:val="24"/>
          <w:szCs w:val="24"/>
        </w:rPr>
        <w:t>. Blandingen skal blive til en blåviolet, klar opløsning inden for 2 minutter.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>Kun klare opløsninger må anvendes.</w:t>
      </w:r>
    </w:p>
    <w:p w:rsidR="003409E2" w:rsidRDefault="003409E2" w:rsidP="003409E2">
      <w:pPr>
        <w:ind w:left="851"/>
        <w:rPr>
          <w:sz w:val="24"/>
          <w:szCs w:val="24"/>
        </w:rPr>
      </w:pPr>
    </w:p>
    <w:p w:rsidR="003409E2" w:rsidRDefault="003409E2" w:rsidP="003409E2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 xml:space="preserve">Indholdet af hætteglassene er udelukkende beregnet til engangsbrug: Hvert hætteglas må kun </w:t>
      </w:r>
      <w:proofErr w:type="spellStart"/>
      <w:r w:rsidRPr="007634F0">
        <w:rPr>
          <w:sz w:val="24"/>
          <w:szCs w:val="24"/>
        </w:rPr>
        <w:t>anbrydes</w:t>
      </w:r>
      <w:proofErr w:type="spellEnd"/>
      <w:r w:rsidRPr="007634F0">
        <w:rPr>
          <w:sz w:val="24"/>
          <w:szCs w:val="24"/>
        </w:rPr>
        <w:t xml:space="preserve"> én gang.</w:t>
      </w:r>
      <w:r>
        <w:rPr>
          <w:sz w:val="24"/>
          <w:szCs w:val="24"/>
        </w:rPr>
        <w:t xml:space="preserve"> </w:t>
      </w:r>
      <w:r w:rsidRPr="007634F0">
        <w:rPr>
          <w:sz w:val="24"/>
          <w:szCs w:val="24"/>
        </w:rPr>
        <w:t>Ikke anvendt opløsning skal kasseres.</w:t>
      </w: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</w:p>
    <w:p w:rsidR="003409E2" w:rsidRPr="007634F0" w:rsidRDefault="003409E2" w:rsidP="003409E2">
      <w:pPr>
        <w:ind w:left="851"/>
        <w:rPr>
          <w:iCs/>
          <w:sz w:val="24"/>
          <w:szCs w:val="24"/>
        </w:rPr>
      </w:pPr>
      <w:r w:rsidRPr="007634F0">
        <w:rPr>
          <w:sz w:val="24"/>
          <w:szCs w:val="24"/>
        </w:rPr>
        <w:t xml:space="preserve">Beskyt den </w:t>
      </w:r>
      <w:proofErr w:type="spellStart"/>
      <w:r w:rsidRPr="007634F0">
        <w:rPr>
          <w:sz w:val="24"/>
          <w:szCs w:val="24"/>
        </w:rPr>
        <w:t>rekonstituerede</w:t>
      </w:r>
      <w:proofErr w:type="spellEnd"/>
      <w:r w:rsidRPr="007634F0">
        <w:rPr>
          <w:sz w:val="24"/>
          <w:szCs w:val="24"/>
        </w:rPr>
        <w:t xml:space="preserve"> opløsning mod lys.</w:t>
      </w:r>
    </w:p>
    <w:p w:rsidR="003409E2" w:rsidRPr="007634F0" w:rsidRDefault="003409E2" w:rsidP="003409E2">
      <w:pPr>
        <w:ind w:left="851"/>
        <w:rPr>
          <w:sz w:val="24"/>
          <w:szCs w:val="24"/>
        </w:rPr>
      </w:pPr>
    </w:p>
    <w:p w:rsidR="003409E2" w:rsidRPr="007634F0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Ikke anvendt lægemiddel samt affald heraf skal bortskaffes i henhold til lokale retningslinjer.</w:t>
      </w:r>
    </w:p>
    <w:p w:rsidR="00CD5165" w:rsidRPr="007634F0" w:rsidRDefault="00CD5165" w:rsidP="00CD516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7.</w:t>
      </w:r>
      <w:r w:rsidRPr="007634F0">
        <w:rPr>
          <w:b/>
          <w:sz w:val="24"/>
          <w:szCs w:val="24"/>
        </w:rPr>
        <w:tab/>
        <w:t>INDEHAVER AF MARKEDSFØRINGSTILLADELSEN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medac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Gesellschaft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für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klinische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Spezialpräparate</w:t>
      </w:r>
      <w:proofErr w:type="spellEnd"/>
      <w:r w:rsidRPr="007634F0">
        <w:rPr>
          <w:sz w:val="24"/>
          <w:szCs w:val="24"/>
        </w:rPr>
        <w:t xml:space="preserve"> </w:t>
      </w:r>
      <w:proofErr w:type="spellStart"/>
      <w:r w:rsidRPr="007634F0">
        <w:rPr>
          <w:sz w:val="24"/>
          <w:szCs w:val="24"/>
        </w:rPr>
        <w:t>mbH</w:t>
      </w:r>
      <w:proofErr w:type="spellEnd"/>
    </w:p>
    <w:p w:rsidR="00CD5165" w:rsidRPr="007634F0" w:rsidRDefault="00CD5165" w:rsidP="00CD5165">
      <w:pPr>
        <w:ind w:left="851"/>
        <w:rPr>
          <w:sz w:val="24"/>
          <w:szCs w:val="24"/>
        </w:rPr>
      </w:pPr>
      <w:proofErr w:type="spellStart"/>
      <w:r w:rsidRPr="007634F0">
        <w:rPr>
          <w:sz w:val="24"/>
          <w:szCs w:val="24"/>
        </w:rPr>
        <w:t>Theaterstr</w:t>
      </w:r>
      <w:proofErr w:type="spellEnd"/>
      <w:r w:rsidRPr="007634F0">
        <w:rPr>
          <w:sz w:val="24"/>
          <w:szCs w:val="24"/>
        </w:rPr>
        <w:t>. 6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22880 Wedel</w:t>
      </w:r>
    </w:p>
    <w:p w:rsidR="00CD5165" w:rsidRPr="007634F0" w:rsidRDefault="00CD5165" w:rsidP="00CD5165">
      <w:pPr>
        <w:ind w:left="851"/>
        <w:rPr>
          <w:sz w:val="24"/>
          <w:szCs w:val="24"/>
        </w:rPr>
      </w:pPr>
      <w:r w:rsidRPr="007634F0">
        <w:rPr>
          <w:sz w:val="24"/>
          <w:szCs w:val="24"/>
        </w:rPr>
        <w:t>Tyskland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8.</w:t>
      </w:r>
      <w:r w:rsidRPr="007634F0">
        <w:rPr>
          <w:b/>
          <w:sz w:val="24"/>
          <w:szCs w:val="24"/>
        </w:rPr>
        <w:tab/>
        <w:t>MARKEDSFØRINGSTILLADELSESNUMMER (</w:t>
      </w:r>
      <w:r w:rsidR="00015E7D">
        <w:rPr>
          <w:b/>
          <w:sz w:val="24"/>
          <w:szCs w:val="24"/>
        </w:rPr>
        <w:t>-</w:t>
      </w:r>
      <w:r w:rsidRPr="007634F0">
        <w:rPr>
          <w:b/>
          <w:sz w:val="24"/>
          <w:szCs w:val="24"/>
        </w:rPr>
        <w:t>NUMRE)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  <w:r w:rsidRPr="007634F0">
        <w:rPr>
          <w:sz w:val="24"/>
          <w:szCs w:val="24"/>
        </w:rPr>
        <w:t>53381</w:t>
      </w:r>
    </w:p>
    <w:p w:rsidR="00CD5165" w:rsidRPr="007634F0" w:rsidRDefault="00CD5165" w:rsidP="00CD516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9.</w:t>
      </w:r>
      <w:r w:rsidRPr="007634F0">
        <w:rPr>
          <w:b/>
          <w:sz w:val="24"/>
          <w:szCs w:val="24"/>
        </w:rPr>
        <w:tab/>
        <w:t>DATO FOR FØRSTE MARKEDSFØRINGSTILLADELSE</w:t>
      </w:r>
      <w:r w:rsidR="003409E2">
        <w:t>/</w:t>
      </w:r>
      <w:r w:rsidR="003409E2" w:rsidRPr="00A44799">
        <w:rPr>
          <w:b/>
          <w:sz w:val="24"/>
          <w:szCs w:val="24"/>
        </w:rPr>
        <w:t>FORNYELSE AF TILLADELSEN</w:t>
      </w:r>
    </w:p>
    <w:p w:rsidR="003409E2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A44799">
        <w:rPr>
          <w:sz w:val="24"/>
          <w:szCs w:val="24"/>
        </w:rPr>
        <w:t>Dato for første markedsføringstilladelse:</w:t>
      </w:r>
      <w:r>
        <w:rPr>
          <w:sz w:val="24"/>
          <w:szCs w:val="24"/>
        </w:rPr>
        <w:t xml:space="preserve"> </w:t>
      </w:r>
      <w:r w:rsidRPr="007634F0">
        <w:rPr>
          <w:sz w:val="24"/>
          <w:szCs w:val="24"/>
        </w:rPr>
        <w:t xml:space="preserve">28. juni 1985 </w:t>
      </w:r>
    </w:p>
    <w:p w:rsidR="003409E2" w:rsidRDefault="003409E2" w:rsidP="003409E2">
      <w:pPr>
        <w:tabs>
          <w:tab w:val="left" w:pos="851"/>
        </w:tabs>
        <w:ind w:left="851"/>
        <w:rPr>
          <w:sz w:val="24"/>
          <w:szCs w:val="24"/>
        </w:rPr>
      </w:pPr>
      <w:r w:rsidRPr="00A44799">
        <w:rPr>
          <w:sz w:val="24"/>
          <w:szCs w:val="24"/>
        </w:rPr>
        <w:t>Dato for seneste fornyelse: 29. april 2020</w:t>
      </w:r>
    </w:p>
    <w:p w:rsidR="00CD5165" w:rsidRPr="007634F0" w:rsidRDefault="00CD5165" w:rsidP="00CD5165">
      <w:pPr>
        <w:tabs>
          <w:tab w:val="left" w:pos="851"/>
        </w:tabs>
        <w:ind w:left="851"/>
        <w:rPr>
          <w:sz w:val="24"/>
          <w:szCs w:val="24"/>
        </w:rPr>
      </w:pPr>
    </w:p>
    <w:p w:rsidR="00CD5165" w:rsidRPr="007634F0" w:rsidRDefault="00CD5165" w:rsidP="00CD51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34F0">
        <w:rPr>
          <w:b/>
          <w:sz w:val="24"/>
          <w:szCs w:val="24"/>
        </w:rPr>
        <w:t>10.</w:t>
      </w:r>
      <w:r w:rsidRPr="007634F0">
        <w:rPr>
          <w:b/>
          <w:sz w:val="24"/>
          <w:szCs w:val="24"/>
        </w:rPr>
        <w:tab/>
        <w:t>DATO FOR ÆNDRING AF TEKSTEN</w:t>
      </w:r>
    </w:p>
    <w:p w:rsidR="00CD5165" w:rsidRPr="007634F0" w:rsidRDefault="00F95FA7" w:rsidP="00CD516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3409E2">
        <w:rPr>
          <w:sz w:val="24"/>
          <w:szCs w:val="24"/>
        </w:rPr>
        <w:t xml:space="preserve">8. </w:t>
      </w:r>
      <w:r>
        <w:rPr>
          <w:sz w:val="24"/>
          <w:szCs w:val="24"/>
        </w:rPr>
        <w:t>september 2024</w:t>
      </w:r>
    </w:p>
    <w:p w:rsidR="00CD5165" w:rsidRPr="006F591D" w:rsidRDefault="00CD5165" w:rsidP="00CD5165"/>
    <w:p w:rsidR="00CD5165" w:rsidRPr="00A73609" w:rsidRDefault="00CD5165" w:rsidP="00CD5165"/>
    <w:p w:rsidR="009260DE" w:rsidRPr="00CD5165" w:rsidRDefault="009260DE" w:rsidP="00CD5165"/>
    <w:sectPr w:rsidR="009260DE" w:rsidRPr="00CD516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65" w:rsidRDefault="00CD5165">
      <w:r>
        <w:separator/>
      </w:r>
    </w:p>
  </w:endnote>
  <w:endnote w:type="continuationSeparator" w:id="0">
    <w:p w:rsidR="00CD5165" w:rsidRDefault="00CD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F053C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 xml:space="preserve">Mitomycin medac, </w:t>
    </w:r>
    <w:r w:rsidRPr="00FB1330">
      <w:rPr>
        <w:i/>
        <w:noProof/>
        <w:sz w:val="18"/>
        <w:szCs w:val="18"/>
      </w:rPr>
      <w:t>pulver til injektions-/infusionsvæske, opløsning</w:t>
    </w:r>
    <w:r>
      <w:rPr>
        <w:i/>
        <w:noProof/>
        <w:sz w:val="18"/>
        <w:szCs w:val="18"/>
      </w:rPr>
      <w:t xml:space="preserve">, eller til </w:t>
    </w:r>
    <w:r w:rsidRPr="00FB1330">
      <w:rPr>
        <w:i/>
        <w:noProof/>
        <w:sz w:val="18"/>
        <w:szCs w:val="18"/>
      </w:rPr>
      <w:t>intravesikal opløsning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65" w:rsidRDefault="00CD5165">
      <w:r>
        <w:separator/>
      </w:r>
    </w:p>
  </w:footnote>
  <w:footnote w:type="continuationSeparator" w:id="0">
    <w:p w:rsidR="00CD5165" w:rsidRDefault="00CD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340"/>
    <w:multiLevelType w:val="hybridMultilevel"/>
    <w:tmpl w:val="9D1CEB8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812"/>
    <w:multiLevelType w:val="hybridMultilevel"/>
    <w:tmpl w:val="77242BB4"/>
    <w:lvl w:ilvl="0" w:tplc="727C8890">
      <w:start w:val="1"/>
      <w:numFmt w:val="decimal"/>
      <w:lvlText w:val="%1."/>
      <w:lvlJc w:val="left"/>
      <w:pPr>
        <w:ind w:left="8265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8985" w:hanging="360"/>
      </w:pPr>
    </w:lvl>
    <w:lvl w:ilvl="2" w:tplc="0406001B" w:tentative="1">
      <w:start w:val="1"/>
      <w:numFmt w:val="lowerRoman"/>
      <w:lvlText w:val="%3."/>
      <w:lvlJc w:val="right"/>
      <w:pPr>
        <w:ind w:left="9705" w:hanging="180"/>
      </w:pPr>
    </w:lvl>
    <w:lvl w:ilvl="3" w:tplc="0406000F" w:tentative="1">
      <w:start w:val="1"/>
      <w:numFmt w:val="decimal"/>
      <w:lvlText w:val="%4."/>
      <w:lvlJc w:val="left"/>
      <w:pPr>
        <w:ind w:left="10425" w:hanging="360"/>
      </w:pPr>
    </w:lvl>
    <w:lvl w:ilvl="4" w:tplc="04060019" w:tentative="1">
      <w:start w:val="1"/>
      <w:numFmt w:val="lowerLetter"/>
      <w:lvlText w:val="%5."/>
      <w:lvlJc w:val="left"/>
      <w:pPr>
        <w:ind w:left="11145" w:hanging="360"/>
      </w:pPr>
    </w:lvl>
    <w:lvl w:ilvl="5" w:tplc="0406001B" w:tentative="1">
      <w:start w:val="1"/>
      <w:numFmt w:val="lowerRoman"/>
      <w:lvlText w:val="%6."/>
      <w:lvlJc w:val="right"/>
      <w:pPr>
        <w:ind w:left="11865" w:hanging="180"/>
      </w:pPr>
    </w:lvl>
    <w:lvl w:ilvl="6" w:tplc="0406000F" w:tentative="1">
      <w:start w:val="1"/>
      <w:numFmt w:val="decimal"/>
      <w:lvlText w:val="%7."/>
      <w:lvlJc w:val="left"/>
      <w:pPr>
        <w:ind w:left="12585" w:hanging="360"/>
      </w:pPr>
    </w:lvl>
    <w:lvl w:ilvl="7" w:tplc="04060019" w:tentative="1">
      <w:start w:val="1"/>
      <w:numFmt w:val="lowerLetter"/>
      <w:lvlText w:val="%8."/>
      <w:lvlJc w:val="left"/>
      <w:pPr>
        <w:ind w:left="13305" w:hanging="360"/>
      </w:pPr>
    </w:lvl>
    <w:lvl w:ilvl="8" w:tplc="0406001B" w:tentative="1">
      <w:start w:val="1"/>
      <w:numFmt w:val="lowerRoman"/>
      <w:lvlText w:val="%9."/>
      <w:lvlJc w:val="right"/>
      <w:pPr>
        <w:ind w:left="14025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4B754F"/>
    <w:multiLevelType w:val="hybridMultilevel"/>
    <w:tmpl w:val="574C86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48609C7"/>
    <w:multiLevelType w:val="hybridMultilevel"/>
    <w:tmpl w:val="4E5A48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0EC"/>
    <w:multiLevelType w:val="hybridMultilevel"/>
    <w:tmpl w:val="4C04BB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1132"/>
    <w:multiLevelType w:val="hybridMultilevel"/>
    <w:tmpl w:val="A01261C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65"/>
    <w:rsid w:val="00015E7D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409E2"/>
    <w:rsid w:val="003A29AE"/>
    <w:rsid w:val="003A32D7"/>
    <w:rsid w:val="003A7D81"/>
    <w:rsid w:val="003B4074"/>
    <w:rsid w:val="003C769A"/>
    <w:rsid w:val="003F1838"/>
    <w:rsid w:val="00407665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572C"/>
    <w:rsid w:val="00737275"/>
    <w:rsid w:val="00740EEC"/>
    <w:rsid w:val="0078011A"/>
    <w:rsid w:val="00782AF4"/>
    <w:rsid w:val="00790EE7"/>
    <w:rsid w:val="007B6649"/>
    <w:rsid w:val="0081546F"/>
    <w:rsid w:val="0082576E"/>
    <w:rsid w:val="008C2BF0"/>
    <w:rsid w:val="00907F75"/>
    <w:rsid w:val="009260DE"/>
    <w:rsid w:val="0093258A"/>
    <w:rsid w:val="009C7BA3"/>
    <w:rsid w:val="009D1F5A"/>
    <w:rsid w:val="00B003BF"/>
    <w:rsid w:val="00B373D7"/>
    <w:rsid w:val="00B912EA"/>
    <w:rsid w:val="00B9776A"/>
    <w:rsid w:val="00C36276"/>
    <w:rsid w:val="00C42586"/>
    <w:rsid w:val="00C60CCD"/>
    <w:rsid w:val="00C84483"/>
    <w:rsid w:val="00C95551"/>
    <w:rsid w:val="00CB20D7"/>
    <w:rsid w:val="00CD5165"/>
    <w:rsid w:val="00D020B0"/>
    <w:rsid w:val="00D11748"/>
    <w:rsid w:val="00D366CF"/>
    <w:rsid w:val="00E108AA"/>
    <w:rsid w:val="00E31812"/>
    <w:rsid w:val="00E3749A"/>
    <w:rsid w:val="00E4331B"/>
    <w:rsid w:val="00E7437F"/>
    <w:rsid w:val="00E865B8"/>
    <w:rsid w:val="00EC0B9B"/>
    <w:rsid w:val="00ED5E9F"/>
    <w:rsid w:val="00F053C4"/>
    <w:rsid w:val="00F66D4F"/>
    <w:rsid w:val="00F95FA7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40DEE"/>
  <w15:chartTrackingRefBased/>
  <w15:docId w15:val="{878EE675-E064-4BA8-8EBC-B139995B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2">
    <w:name w:val="Body Text 2"/>
    <w:basedOn w:val="Normal"/>
    <w:link w:val="Brdtekst2Tegn"/>
    <w:uiPriority w:val="99"/>
    <w:rsid w:val="00CD5165"/>
    <w:pPr>
      <w:jc w:val="both"/>
    </w:pPr>
    <w:rPr>
      <w:color w:val="000000"/>
      <w:sz w:val="22"/>
      <w:lang w:eastAsia="da-DK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CD5165"/>
    <w:rPr>
      <w:color w:val="000000"/>
      <w:sz w:val="22"/>
    </w:rPr>
  </w:style>
  <w:style w:type="paragraph" w:styleId="Brdtekst">
    <w:name w:val="Body Text"/>
    <w:basedOn w:val="Normal"/>
    <w:link w:val="BrdtekstTegn"/>
    <w:uiPriority w:val="99"/>
    <w:semiHidden/>
    <w:unhideWhenUsed/>
    <w:rsid w:val="00CD5165"/>
    <w:pPr>
      <w:tabs>
        <w:tab w:val="left" w:pos="567"/>
      </w:tabs>
      <w:spacing w:after="120" w:line="260" w:lineRule="exact"/>
    </w:pPr>
    <w:rPr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D5165"/>
    <w:rPr>
      <w:sz w:val="22"/>
    </w:rPr>
  </w:style>
  <w:style w:type="paragraph" w:styleId="NormalWeb">
    <w:name w:val="Normal (Web)"/>
    <w:basedOn w:val="Normal"/>
    <w:uiPriority w:val="99"/>
    <w:rsid w:val="00CD5165"/>
    <w:pPr>
      <w:spacing w:before="100" w:beforeAutospacing="1" w:after="58"/>
    </w:pPr>
    <w:rPr>
      <w:color w:val="000000"/>
      <w:sz w:val="24"/>
      <w:szCs w:val="24"/>
      <w:lang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51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5165"/>
    <w:rPr>
      <w:sz w:val="23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unhideWhenUsed/>
    <w:rsid w:val="00CD51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CD5165"/>
    <w:rPr>
      <w:sz w:val="16"/>
      <w:szCs w:val="16"/>
      <w:lang w:eastAsia="en-US"/>
    </w:rPr>
  </w:style>
  <w:style w:type="character" w:styleId="Hyperlink">
    <w:name w:val="Hyperlink"/>
    <w:rsid w:val="00CD5165"/>
    <w:rPr>
      <w:color w:val="0000FF"/>
      <w:u w:val="single"/>
      <w:lang w:val="da-DK" w:eastAsia="da-DK"/>
    </w:rPr>
  </w:style>
  <w:style w:type="paragraph" w:styleId="Listeafsnit">
    <w:name w:val="List Paragraph"/>
    <w:basedOn w:val="Normal"/>
    <w:uiPriority w:val="34"/>
    <w:qFormat/>
    <w:rsid w:val="0001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3260</Words>
  <Characters>21568</Characters>
  <Application>Microsoft Office Word</Application>
  <DocSecurity>0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2023120858+2024021766 pkt. overskrift, 3., 4.8, 6.6</dc:description>
  <cp:lastModifiedBy>Gitte Ronnovius</cp:lastModifiedBy>
  <cp:revision>3</cp:revision>
  <cp:lastPrinted>2012-08-22T08:53:00Z</cp:lastPrinted>
  <dcterms:created xsi:type="dcterms:W3CDTF">2024-09-16T08:39:00Z</dcterms:created>
  <dcterms:modified xsi:type="dcterms:W3CDTF">2024-09-16T08:45:00Z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