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BF" w:rsidRPr="00C03E2F" w:rsidRDefault="009F0753" w:rsidP="00B003BF">
      <w:r w:rsidRPr="00C03E2F">
        <w:rPr>
          <w:noProof/>
          <w:lang w:eastAsia="da-DK"/>
        </w:rPr>
        <w:drawing>
          <wp:inline distT="0" distB="0" distL="0" distR="0">
            <wp:extent cx="2819400" cy="542925"/>
            <wp:effectExtent l="19050" t="0" r="0" b="0"/>
            <wp:docPr id="1" name="Billede 1" descr="C:\Documents and Settings\jbo\Skrivebord\SST_UK_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Documents and Settings\jbo\Skrivebord\SST_UK_logo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3BF" w:rsidRPr="00C03E2F" w:rsidRDefault="00B003BF" w:rsidP="00B003BF">
      <w:pPr>
        <w:pStyle w:val="Titel"/>
        <w:tabs>
          <w:tab w:val="right" w:pos="9356"/>
        </w:tabs>
        <w:jc w:val="left"/>
        <w:rPr>
          <w:b w:val="0"/>
          <w:sz w:val="23"/>
          <w:lang w:eastAsia="en-US"/>
        </w:rPr>
      </w:pPr>
    </w:p>
    <w:p w:rsidR="00B003BF" w:rsidRPr="00620A59" w:rsidRDefault="00B003BF" w:rsidP="00B003BF">
      <w:pPr>
        <w:pStyle w:val="Titel"/>
        <w:tabs>
          <w:tab w:val="right" w:pos="9356"/>
        </w:tabs>
        <w:jc w:val="left"/>
        <w:rPr>
          <w:b w:val="0"/>
          <w:sz w:val="23"/>
          <w:lang w:val="en-US" w:eastAsia="en-US"/>
        </w:rPr>
      </w:pPr>
      <w:r w:rsidRPr="00C03E2F">
        <w:rPr>
          <w:b w:val="0"/>
          <w:sz w:val="23"/>
          <w:lang w:eastAsia="en-US"/>
        </w:rPr>
        <w:tab/>
      </w:r>
      <w:r w:rsidR="00DA35AD" w:rsidRPr="00620A59">
        <w:rPr>
          <w:szCs w:val="24"/>
          <w:lang w:val="en-US"/>
        </w:rPr>
        <w:t>5. marts 2013</w:t>
      </w:r>
    </w:p>
    <w:p w:rsidR="00B003BF" w:rsidRPr="00620A59" w:rsidRDefault="00B003BF" w:rsidP="00B003BF">
      <w:pPr>
        <w:pStyle w:val="Titel"/>
        <w:tabs>
          <w:tab w:val="left" w:pos="8222"/>
        </w:tabs>
        <w:jc w:val="left"/>
        <w:rPr>
          <w:b w:val="0"/>
          <w:lang w:val="en-US"/>
        </w:rPr>
      </w:pPr>
    </w:p>
    <w:p w:rsidR="00B003BF" w:rsidRPr="00620A59" w:rsidRDefault="00B003BF" w:rsidP="00B003BF">
      <w:pPr>
        <w:pStyle w:val="Titel"/>
        <w:jc w:val="left"/>
        <w:rPr>
          <w:b w:val="0"/>
          <w:lang w:val="en-US"/>
        </w:rPr>
      </w:pPr>
    </w:p>
    <w:p w:rsidR="00B003BF" w:rsidRPr="00620A59" w:rsidRDefault="00B003BF" w:rsidP="00B003BF">
      <w:pPr>
        <w:pStyle w:val="Titel"/>
        <w:jc w:val="left"/>
        <w:rPr>
          <w:b w:val="0"/>
          <w:lang w:val="en-US"/>
        </w:rPr>
      </w:pPr>
    </w:p>
    <w:p w:rsidR="00B003BF" w:rsidRPr="00620A59" w:rsidRDefault="00B003BF" w:rsidP="00B003BF">
      <w:pPr>
        <w:jc w:val="center"/>
        <w:rPr>
          <w:b/>
          <w:sz w:val="24"/>
          <w:szCs w:val="24"/>
          <w:lang w:val="en-US"/>
        </w:rPr>
      </w:pPr>
      <w:r w:rsidRPr="00620A59">
        <w:rPr>
          <w:b/>
          <w:sz w:val="24"/>
          <w:szCs w:val="24"/>
          <w:lang w:val="en-US"/>
        </w:rPr>
        <w:t>PRODUKTRESUMÉ</w:t>
      </w:r>
    </w:p>
    <w:p w:rsidR="00B003BF" w:rsidRPr="00620A59" w:rsidRDefault="00B003BF" w:rsidP="00B003BF">
      <w:pPr>
        <w:jc w:val="center"/>
        <w:rPr>
          <w:b/>
          <w:sz w:val="24"/>
          <w:szCs w:val="24"/>
          <w:lang w:val="en-US"/>
        </w:rPr>
      </w:pPr>
    </w:p>
    <w:p w:rsidR="00B003BF" w:rsidRPr="00620A59" w:rsidRDefault="00B003BF" w:rsidP="00B003BF">
      <w:pPr>
        <w:jc w:val="center"/>
        <w:rPr>
          <w:b/>
          <w:sz w:val="24"/>
          <w:szCs w:val="24"/>
          <w:lang w:val="en-US"/>
        </w:rPr>
      </w:pPr>
      <w:r w:rsidRPr="00620A59">
        <w:rPr>
          <w:b/>
          <w:sz w:val="24"/>
          <w:szCs w:val="24"/>
          <w:lang w:val="en-US"/>
        </w:rPr>
        <w:t>for</w:t>
      </w:r>
    </w:p>
    <w:p w:rsidR="00B003BF" w:rsidRPr="00620A59" w:rsidRDefault="00B003BF" w:rsidP="00B003BF">
      <w:pPr>
        <w:jc w:val="center"/>
        <w:rPr>
          <w:b/>
          <w:sz w:val="24"/>
          <w:szCs w:val="24"/>
          <w:lang w:val="en-US"/>
        </w:rPr>
      </w:pPr>
    </w:p>
    <w:p w:rsidR="00B003BF" w:rsidRPr="00620A59" w:rsidRDefault="00DA35AD" w:rsidP="00B003BF">
      <w:pPr>
        <w:jc w:val="center"/>
        <w:rPr>
          <w:b/>
          <w:sz w:val="24"/>
          <w:szCs w:val="24"/>
          <w:lang w:val="en-US"/>
        </w:rPr>
      </w:pPr>
      <w:r w:rsidRPr="00620A59">
        <w:rPr>
          <w:b/>
          <w:sz w:val="24"/>
          <w:szCs w:val="24"/>
          <w:lang w:val="en-US"/>
        </w:rPr>
        <w:t>Mometasonfuroat ”Galen”, creme</w:t>
      </w:r>
    </w:p>
    <w:p w:rsidR="00B003BF" w:rsidRPr="00620A59" w:rsidRDefault="00B003BF" w:rsidP="00B003BF">
      <w:pPr>
        <w:jc w:val="both"/>
        <w:rPr>
          <w:sz w:val="24"/>
          <w:szCs w:val="24"/>
          <w:lang w:val="en-US"/>
        </w:rPr>
      </w:pPr>
    </w:p>
    <w:p w:rsidR="00B003BF" w:rsidRPr="00620A59" w:rsidRDefault="00B003BF" w:rsidP="00714DF7">
      <w:pPr>
        <w:ind w:left="851" w:hanging="851"/>
        <w:jc w:val="both"/>
        <w:rPr>
          <w:sz w:val="24"/>
          <w:szCs w:val="24"/>
          <w:lang w:val="en-US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0.</w:t>
      </w:r>
      <w:r w:rsidRPr="00C03E2F">
        <w:rPr>
          <w:b/>
          <w:sz w:val="24"/>
          <w:szCs w:val="24"/>
        </w:rPr>
        <w:tab/>
        <w:t>D</w:t>
      </w:r>
      <w:proofErr w:type="gramStart"/>
      <w:r w:rsidRPr="00C03E2F">
        <w:rPr>
          <w:b/>
          <w:sz w:val="24"/>
          <w:szCs w:val="24"/>
        </w:rPr>
        <w:t>.SP</w:t>
      </w:r>
      <w:proofErr w:type="gramEnd"/>
      <w:r w:rsidRPr="00C03E2F">
        <w:rPr>
          <w:b/>
          <w:sz w:val="24"/>
          <w:szCs w:val="24"/>
        </w:rPr>
        <w:t>.NR.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  <w:r w:rsidRPr="00C03E2F">
        <w:rPr>
          <w:sz w:val="24"/>
          <w:szCs w:val="24"/>
        </w:rPr>
        <w:tab/>
      </w:r>
      <w:proofErr w:type="gramStart"/>
      <w:r w:rsidR="00DA35AD" w:rsidRPr="00C03E2F">
        <w:rPr>
          <w:sz w:val="24"/>
          <w:szCs w:val="24"/>
        </w:rPr>
        <w:t>26791</w:t>
      </w:r>
      <w:proofErr w:type="gramEnd"/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1.</w:t>
      </w:r>
      <w:r w:rsidRPr="00C03E2F">
        <w:rPr>
          <w:b/>
          <w:sz w:val="24"/>
          <w:szCs w:val="24"/>
        </w:rPr>
        <w:tab/>
        <w:t>LÆGEMIDLETS NAVN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  <w:r w:rsidRPr="00C03E2F">
        <w:rPr>
          <w:sz w:val="24"/>
          <w:szCs w:val="24"/>
        </w:rPr>
        <w:tab/>
      </w:r>
      <w:proofErr w:type="spellStart"/>
      <w:r w:rsidR="00DA35AD" w:rsidRPr="00C03E2F">
        <w:rPr>
          <w:sz w:val="24"/>
          <w:szCs w:val="24"/>
        </w:rPr>
        <w:t>Mometasonfuroat</w:t>
      </w:r>
      <w:proofErr w:type="spellEnd"/>
      <w:r w:rsidR="00DA35AD" w:rsidRPr="00C03E2F">
        <w:rPr>
          <w:sz w:val="24"/>
          <w:szCs w:val="24"/>
        </w:rPr>
        <w:t xml:space="preserve"> ”Galen”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  <w:r w:rsidRPr="00C03E2F">
        <w:rPr>
          <w:sz w:val="24"/>
          <w:szCs w:val="24"/>
        </w:rPr>
        <w:tab/>
      </w: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2.</w:t>
      </w:r>
      <w:r w:rsidRPr="00C03E2F">
        <w:rPr>
          <w:b/>
          <w:sz w:val="24"/>
          <w:szCs w:val="24"/>
        </w:rPr>
        <w:tab/>
        <w:t>KVALITATIV OG KVANTITATIV SAMMENSÆTNING</w:t>
      </w:r>
    </w:p>
    <w:p w:rsidR="00D61569" w:rsidRPr="00C03E2F" w:rsidRDefault="00B003BF" w:rsidP="00714DF7">
      <w:pPr>
        <w:ind w:left="851" w:hanging="851"/>
        <w:rPr>
          <w:bCs/>
          <w:sz w:val="24"/>
          <w:szCs w:val="24"/>
        </w:rPr>
      </w:pPr>
      <w:r w:rsidRPr="00C03E2F">
        <w:rPr>
          <w:sz w:val="24"/>
          <w:szCs w:val="24"/>
        </w:rPr>
        <w:tab/>
      </w:r>
      <w:r w:rsidR="00D61569" w:rsidRPr="00C03E2F">
        <w:rPr>
          <w:sz w:val="24"/>
          <w:szCs w:val="24"/>
        </w:rPr>
        <w:t xml:space="preserve">Et gram creme indeholder 1 mg </w:t>
      </w:r>
      <w:proofErr w:type="spellStart"/>
      <w:r w:rsidR="00D61569" w:rsidRPr="00C03E2F">
        <w:rPr>
          <w:sz w:val="24"/>
          <w:szCs w:val="24"/>
        </w:rPr>
        <w:t>mometasonfuroat</w:t>
      </w:r>
      <w:proofErr w:type="spellEnd"/>
      <w:r w:rsidR="00D61569" w:rsidRPr="00C03E2F">
        <w:rPr>
          <w:sz w:val="24"/>
          <w:szCs w:val="24"/>
        </w:rPr>
        <w:t xml:space="preserve"> (0,1 % </w:t>
      </w:r>
      <w:proofErr w:type="spellStart"/>
      <w:r w:rsidR="00D61569" w:rsidRPr="00C03E2F">
        <w:rPr>
          <w:sz w:val="24"/>
          <w:szCs w:val="24"/>
        </w:rPr>
        <w:t>mometasonfuroat</w:t>
      </w:r>
      <w:proofErr w:type="spellEnd"/>
      <w:r w:rsidR="00D61569" w:rsidRPr="00C03E2F">
        <w:rPr>
          <w:sz w:val="24"/>
          <w:szCs w:val="24"/>
        </w:rPr>
        <w:t>).</w:t>
      </w:r>
    </w:p>
    <w:p w:rsidR="00D61569" w:rsidRPr="00C03E2F" w:rsidRDefault="00D61569" w:rsidP="00714DF7">
      <w:pPr>
        <w:ind w:left="851" w:hanging="851"/>
        <w:rPr>
          <w:bCs/>
          <w:sz w:val="24"/>
          <w:szCs w:val="24"/>
        </w:rPr>
      </w:pPr>
    </w:p>
    <w:p w:rsidR="00D61569" w:rsidRPr="00C03E2F" w:rsidRDefault="00D61569" w:rsidP="00714DF7">
      <w:pPr>
        <w:ind w:left="851"/>
        <w:rPr>
          <w:bCs/>
          <w:sz w:val="24"/>
          <w:szCs w:val="24"/>
        </w:rPr>
      </w:pPr>
      <w:r w:rsidRPr="00C03E2F">
        <w:rPr>
          <w:sz w:val="24"/>
          <w:szCs w:val="24"/>
        </w:rPr>
        <w:t>Hjælpestoffer, som behandleren skal være opmærksom på:</w:t>
      </w:r>
    </w:p>
    <w:p w:rsidR="00D61569" w:rsidRPr="00C03E2F" w:rsidRDefault="00D61569" w:rsidP="00714DF7">
      <w:pPr>
        <w:ind w:left="851" w:hanging="851"/>
        <w:rPr>
          <w:iCs/>
          <w:sz w:val="24"/>
          <w:szCs w:val="24"/>
        </w:rPr>
      </w:pPr>
      <w:bookmarkStart w:id="0" w:name="_GoBack"/>
      <w:bookmarkEnd w:id="0"/>
    </w:p>
    <w:p w:rsidR="00D61569" w:rsidRPr="00C03E2F" w:rsidRDefault="00D61569" w:rsidP="00714DF7">
      <w:pPr>
        <w:ind w:left="851"/>
        <w:rPr>
          <w:iCs/>
          <w:sz w:val="24"/>
          <w:szCs w:val="24"/>
        </w:rPr>
      </w:pPr>
      <w:r w:rsidRPr="00C03E2F">
        <w:rPr>
          <w:iCs/>
          <w:sz w:val="24"/>
          <w:szCs w:val="24"/>
        </w:rPr>
        <w:t xml:space="preserve">80 mg </w:t>
      </w:r>
      <w:proofErr w:type="spellStart"/>
      <w:r w:rsidRPr="00C03E2F">
        <w:rPr>
          <w:iCs/>
          <w:sz w:val="24"/>
          <w:szCs w:val="24"/>
        </w:rPr>
        <w:t>propylenglycolmonopalmitostearat</w:t>
      </w:r>
      <w:proofErr w:type="spellEnd"/>
      <w:r w:rsidRPr="00C03E2F">
        <w:rPr>
          <w:i/>
          <w:sz w:val="24"/>
          <w:szCs w:val="24"/>
        </w:rPr>
        <w:t xml:space="preserve"> </w:t>
      </w:r>
      <w:r w:rsidRPr="00C03E2F">
        <w:rPr>
          <w:iCs/>
          <w:sz w:val="24"/>
          <w:szCs w:val="24"/>
        </w:rPr>
        <w:t>og 47,95 - 52,15 mg stearylalkohol/1 gram creme</w:t>
      </w:r>
      <w:r w:rsidR="00714DF7" w:rsidRPr="00C03E2F">
        <w:rPr>
          <w:iCs/>
          <w:sz w:val="24"/>
          <w:szCs w:val="24"/>
        </w:rPr>
        <w:t>.</w:t>
      </w:r>
    </w:p>
    <w:p w:rsidR="00D61569" w:rsidRPr="00C03E2F" w:rsidRDefault="00D61569" w:rsidP="00714DF7">
      <w:pPr>
        <w:ind w:left="851" w:hanging="851"/>
        <w:rPr>
          <w:iCs/>
          <w:sz w:val="24"/>
          <w:szCs w:val="24"/>
        </w:rPr>
      </w:pPr>
    </w:p>
    <w:p w:rsidR="00D61569" w:rsidRPr="00C03E2F" w:rsidRDefault="00D61569" w:rsidP="00714DF7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>Alle hjælpestoffer er anført under pkt. 6.1</w:t>
      </w:r>
      <w:r w:rsidR="00714DF7" w:rsidRPr="00C03E2F">
        <w:rPr>
          <w:sz w:val="24"/>
          <w:szCs w:val="24"/>
        </w:rPr>
        <w:t>.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3.</w:t>
      </w:r>
      <w:r w:rsidRPr="00C03E2F">
        <w:rPr>
          <w:b/>
          <w:sz w:val="24"/>
          <w:szCs w:val="24"/>
        </w:rPr>
        <w:tab/>
        <w:t>LÆGEMIDDELFORM</w:t>
      </w:r>
    </w:p>
    <w:p w:rsidR="00D61569" w:rsidRPr="00C03E2F" w:rsidRDefault="00B003BF" w:rsidP="00714DF7">
      <w:pPr>
        <w:ind w:left="851" w:hanging="851"/>
        <w:rPr>
          <w:sz w:val="24"/>
          <w:szCs w:val="24"/>
        </w:rPr>
      </w:pPr>
      <w:r w:rsidRPr="00C03E2F">
        <w:rPr>
          <w:sz w:val="24"/>
          <w:szCs w:val="24"/>
        </w:rPr>
        <w:tab/>
      </w:r>
      <w:r w:rsidR="00D61569" w:rsidRPr="00C03E2F">
        <w:rPr>
          <w:sz w:val="24"/>
          <w:szCs w:val="24"/>
        </w:rPr>
        <w:t>Creme.</w:t>
      </w:r>
    </w:p>
    <w:p w:rsidR="00D61569" w:rsidRPr="00C03E2F" w:rsidRDefault="00D61569" w:rsidP="00714DF7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>Hvid creme.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4.</w:t>
      </w:r>
      <w:r w:rsidRPr="00C03E2F">
        <w:rPr>
          <w:b/>
          <w:sz w:val="24"/>
          <w:szCs w:val="24"/>
        </w:rPr>
        <w:tab/>
        <w:t>KLINISKE OPLYSNINGER</w:t>
      </w: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  <w:u w:val="single"/>
        </w:rPr>
      </w:pPr>
      <w:r w:rsidRPr="00C03E2F">
        <w:rPr>
          <w:b/>
          <w:sz w:val="24"/>
          <w:szCs w:val="24"/>
        </w:rPr>
        <w:t>4.1</w:t>
      </w:r>
      <w:r w:rsidRPr="00C03E2F">
        <w:rPr>
          <w:b/>
          <w:sz w:val="24"/>
          <w:szCs w:val="24"/>
        </w:rPr>
        <w:tab/>
        <w:t>Terapeutiske indikationer</w:t>
      </w:r>
    </w:p>
    <w:p w:rsidR="00D61569" w:rsidRPr="00C03E2F" w:rsidRDefault="00B003BF" w:rsidP="00714DF7">
      <w:pPr>
        <w:ind w:left="851" w:hanging="851"/>
        <w:rPr>
          <w:sz w:val="24"/>
          <w:szCs w:val="24"/>
        </w:rPr>
      </w:pPr>
      <w:r w:rsidRPr="00C03E2F">
        <w:rPr>
          <w:sz w:val="24"/>
          <w:szCs w:val="24"/>
        </w:rPr>
        <w:tab/>
      </w:r>
      <w:proofErr w:type="spellStart"/>
      <w:r w:rsidR="00D61569" w:rsidRPr="00C03E2F">
        <w:rPr>
          <w:sz w:val="24"/>
          <w:szCs w:val="24"/>
        </w:rPr>
        <w:t>Mometasonfuroat</w:t>
      </w:r>
      <w:proofErr w:type="spellEnd"/>
      <w:r w:rsidR="00D61569" w:rsidRPr="00C03E2F">
        <w:rPr>
          <w:sz w:val="24"/>
          <w:szCs w:val="24"/>
        </w:rPr>
        <w:t xml:space="preserve"> ”Galen” creme er indikeret til symptomatisk behandling af inflammatoriske og </w:t>
      </w:r>
      <w:proofErr w:type="spellStart"/>
      <w:r w:rsidR="00D61569" w:rsidRPr="00C03E2F">
        <w:rPr>
          <w:sz w:val="24"/>
          <w:szCs w:val="24"/>
        </w:rPr>
        <w:t>pruritiske</w:t>
      </w:r>
      <w:proofErr w:type="spellEnd"/>
      <w:r w:rsidR="00D61569" w:rsidRPr="00C03E2F">
        <w:rPr>
          <w:sz w:val="24"/>
          <w:szCs w:val="24"/>
        </w:rPr>
        <w:t xml:space="preserve"> manifestationer af </w:t>
      </w:r>
      <w:proofErr w:type="spellStart"/>
      <w:r w:rsidR="00D61569" w:rsidRPr="00C03E2F">
        <w:rPr>
          <w:sz w:val="24"/>
          <w:szCs w:val="24"/>
        </w:rPr>
        <w:t>kortikosteroid-responsive</w:t>
      </w:r>
      <w:proofErr w:type="spellEnd"/>
      <w:r w:rsidR="00D61569" w:rsidRPr="00C03E2F">
        <w:rPr>
          <w:sz w:val="24"/>
          <w:szCs w:val="24"/>
        </w:rPr>
        <w:t xml:space="preserve"> </w:t>
      </w:r>
      <w:proofErr w:type="spellStart"/>
      <w:r w:rsidR="00D61569" w:rsidRPr="00C03E2F">
        <w:rPr>
          <w:sz w:val="24"/>
          <w:szCs w:val="24"/>
        </w:rPr>
        <w:t>dermatoser</w:t>
      </w:r>
      <w:proofErr w:type="spellEnd"/>
      <w:r w:rsidR="00D61569" w:rsidRPr="00C03E2F">
        <w:rPr>
          <w:sz w:val="24"/>
          <w:szCs w:val="24"/>
        </w:rPr>
        <w:t xml:space="preserve">, såsom psoriasis (undtagen udbredt </w:t>
      </w:r>
      <w:proofErr w:type="spellStart"/>
      <w:r w:rsidR="00D61569" w:rsidRPr="00C03E2F">
        <w:rPr>
          <w:sz w:val="24"/>
          <w:szCs w:val="24"/>
        </w:rPr>
        <w:t>plaque</w:t>
      </w:r>
      <w:proofErr w:type="spellEnd"/>
      <w:r w:rsidR="00D61569" w:rsidRPr="00C03E2F">
        <w:rPr>
          <w:sz w:val="24"/>
          <w:szCs w:val="24"/>
        </w:rPr>
        <w:t xml:space="preserve"> psoriasis), </w:t>
      </w:r>
      <w:proofErr w:type="spellStart"/>
      <w:r w:rsidR="00D61569" w:rsidRPr="00C03E2F">
        <w:rPr>
          <w:sz w:val="24"/>
          <w:szCs w:val="24"/>
        </w:rPr>
        <w:t>atopisk</w:t>
      </w:r>
      <w:proofErr w:type="spellEnd"/>
      <w:r w:rsidR="00D61569" w:rsidRPr="00C03E2F">
        <w:rPr>
          <w:sz w:val="24"/>
          <w:szCs w:val="24"/>
        </w:rPr>
        <w:t xml:space="preserve"> </w:t>
      </w:r>
      <w:proofErr w:type="spellStart"/>
      <w:r w:rsidR="00D61569" w:rsidRPr="00C03E2F">
        <w:rPr>
          <w:sz w:val="24"/>
          <w:szCs w:val="24"/>
        </w:rPr>
        <w:t>dermatitis</w:t>
      </w:r>
      <w:proofErr w:type="spellEnd"/>
      <w:r w:rsidR="00D61569" w:rsidRPr="00C03E2F">
        <w:rPr>
          <w:sz w:val="24"/>
          <w:szCs w:val="24"/>
        </w:rPr>
        <w:t xml:space="preserve">, </w:t>
      </w:r>
      <w:proofErr w:type="spellStart"/>
      <w:r w:rsidR="00D61569" w:rsidRPr="00C03E2F">
        <w:rPr>
          <w:sz w:val="24"/>
          <w:szCs w:val="24"/>
        </w:rPr>
        <w:t>irritationsdermatitis</w:t>
      </w:r>
      <w:proofErr w:type="spellEnd"/>
      <w:r w:rsidR="00D61569" w:rsidRPr="00C03E2F">
        <w:rPr>
          <w:sz w:val="24"/>
          <w:szCs w:val="24"/>
        </w:rPr>
        <w:t xml:space="preserve"> og/eller allergisk </w:t>
      </w:r>
      <w:proofErr w:type="spellStart"/>
      <w:r w:rsidR="00D61569" w:rsidRPr="00C03E2F">
        <w:rPr>
          <w:sz w:val="24"/>
          <w:szCs w:val="24"/>
        </w:rPr>
        <w:t>kontaktdermatitis</w:t>
      </w:r>
      <w:proofErr w:type="spellEnd"/>
      <w:r w:rsidR="00D61569" w:rsidRPr="00C03E2F">
        <w:rPr>
          <w:sz w:val="24"/>
          <w:szCs w:val="24"/>
        </w:rPr>
        <w:t>.</w:t>
      </w:r>
    </w:p>
    <w:p w:rsidR="00D61569" w:rsidRPr="00C03E2F" w:rsidRDefault="00D61569" w:rsidP="00714DF7">
      <w:pPr>
        <w:ind w:left="851" w:hanging="851"/>
        <w:rPr>
          <w:sz w:val="24"/>
          <w:szCs w:val="24"/>
        </w:rPr>
      </w:pPr>
    </w:p>
    <w:p w:rsidR="00D61569" w:rsidRPr="00C03E2F" w:rsidRDefault="00D61569" w:rsidP="00714DF7">
      <w:pPr>
        <w:ind w:left="851"/>
        <w:rPr>
          <w:bCs/>
          <w:sz w:val="24"/>
          <w:szCs w:val="24"/>
        </w:rPr>
      </w:pP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”Galen” creme skal anvendes til behandling af hudproblemer, hvor et </w:t>
      </w:r>
      <w:proofErr w:type="spellStart"/>
      <w:r w:rsidRPr="00C03E2F">
        <w:rPr>
          <w:sz w:val="24"/>
          <w:szCs w:val="24"/>
        </w:rPr>
        <w:t>topikalt</w:t>
      </w:r>
      <w:proofErr w:type="spellEnd"/>
      <w:r w:rsidRPr="00C03E2F">
        <w:rPr>
          <w:sz w:val="24"/>
          <w:szCs w:val="24"/>
        </w:rPr>
        <w:t xml:space="preserve"> </w:t>
      </w:r>
      <w:proofErr w:type="spellStart"/>
      <w:r w:rsidRPr="00C03E2F">
        <w:rPr>
          <w:sz w:val="24"/>
          <w:szCs w:val="24"/>
        </w:rPr>
        <w:t>mometasonpræparat</w:t>
      </w:r>
      <w:proofErr w:type="spellEnd"/>
      <w:r w:rsidRPr="00C03E2F">
        <w:rPr>
          <w:sz w:val="24"/>
          <w:szCs w:val="24"/>
        </w:rPr>
        <w:t xml:space="preserve"> er indiceret.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4.2</w:t>
      </w:r>
      <w:r w:rsidRPr="00C03E2F">
        <w:rPr>
          <w:b/>
          <w:sz w:val="24"/>
          <w:szCs w:val="24"/>
        </w:rPr>
        <w:tab/>
        <w:t>Dosering og indgivelsesmåde</w:t>
      </w:r>
    </w:p>
    <w:p w:rsidR="00D61569" w:rsidRPr="00C03E2F" w:rsidRDefault="00B003BF" w:rsidP="00714DF7">
      <w:pPr>
        <w:ind w:left="851" w:hanging="851"/>
        <w:rPr>
          <w:sz w:val="24"/>
          <w:szCs w:val="24"/>
        </w:rPr>
      </w:pPr>
      <w:r w:rsidRPr="00C03E2F">
        <w:rPr>
          <w:sz w:val="24"/>
          <w:szCs w:val="24"/>
        </w:rPr>
        <w:tab/>
      </w:r>
      <w:r w:rsidR="00D61569" w:rsidRPr="00C03E2F">
        <w:rPr>
          <w:sz w:val="24"/>
          <w:szCs w:val="24"/>
        </w:rPr>
        <w:t>Til applikation på huden (</w:t>
      </w:r>
      <w:proofErr w:type="spellStart"/>
      <w:r w:rsidR="00D61569" w:rsidRPr="00C03E2F">
        <w:rPr>
          <w:sz w:val="24"/>
          <w:szCs w:val="24"/>
        </w:rPr>
        <w:t>kutan</w:t>
      </w:r>
      <w:proofErr w:type="spellEnd"/>
      <w:r w:rsidR="00D61569" w:rsidRPr="00C03E2F">
        <w:rPr>
          <w:sz w:val="24"/>
          <w:szCs w:val="24"/>
        </w:rPr>
        <w:t xml:space="preserve"> anvendelse).</w:t>
      </w:r>
    </w:p>
    <w:p w:rsidR="00D61569" w:rsidRPr="00C03E2F" w:rsidRDefault="00D61569" w:rsidP="00714DF7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 xml:space="preserve">Voksne, herunder ældre patienter og børn i alderen 2 år og derover: </w:t>
      </w:r>
    </w:p>
    <w:p w:rsidR="00D61569" w:rsidRPr="00C03E2F" w:rsidRDefault="00D61569" w:rsidP="00714DF7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 xml:space="preserve">Et tyndt lag </w:t>
      </w: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”Galen” på det påvirkede </w:t>
      </w:r>
      <w:proofErr w:type="spellStart"/>
      <w:r w:rsidRPr="00C03E2F">
        <w:rPr>
          <w:sz w:val="24"/>
          <w:szCs w:val="24"/>
        </w:rPr>
        <w:t>hudområde</w:t>
      </w:r>
      <w:proofErr w:type="spellEnd"/>
      <w:r w:rsidRPr="00C03E2F">
        <w:rPr>
          <w:sz w:val="24"/>
          <w:szCs w:val="24"/>
        </w:rPr>
        <w:t xml:space="preserve"> én gang dagligt.</w:t>
      </w:r>
    </w:p>
    <w:p w:rsidR="00D61569" w:rsidRPr="00C03E2F" w:rsidRDefault="00D61569" w:rsidP="00714DF7">
      <w:pPr>
        <w:ind w:left="851" w:hanging="851"/>
        <w:rPr>
          <w:sz w:val="24"/>
          <w:szCs w:val="24"/>
        </w:rPr>
      </w:pPr>
    </w:p>
    <w:p w:rsidR="00D61569" w:rsidRPr="00C03E2F" w:rsidRDefault="00D61569" w:rsidP="00714DF7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 xml:space="preserve">Stærke </w:t>
      </w:r>
      <w:proofErr w:type="spellStart"/>
      <w:r w:rsidRPr="00C03E2F">
        <w:rPr>
          <w:sz w:val="24"/>
          <w:szCs w:val="24"/>
        </w:rPr>
        <w:t>topikale</w:t>
      </w:r>
      <w:proofErr w:type="spellEnd"/>
      <w:r w:rsidRPr="00C03E2F">
        <w:rPr>
          <w:sz w:val="24"/>
          <w:szCs w:val="24"/>
        </w:rPr>
        <w:t xml:space="preserve"> </w:t>
      </w:r>
      <w:proofErr w:type="spellStart"/>
      <w:r w:rsidRPr="00C03E2F">
        <w:rPr>
          <w:sz w:val="24"/>
          <w:szCs w:val="24"/>
        </w:rPr>
        <w:t>kortikosteroider</w:t>
      </w:r>
      <w:proofErr w:type="spellEnd"/>
      <w:r w:rsidRPr="00C03E2F">
        <w:rPr>
          <w:sz w:val="24"/>
          <w:szCs w:val="24"/>
        </w:rPr>
        <w:t xml:space="preserve"> må ikke applikeres i ansigtet uden nøje overvågning fra lægen.</w:t>
      </w:r>
    </w:p>
    <w:p w:rsidR="00D61569" w:rsidRPr="00C03E2F" w:rsidRDefault="00D61569" w:rsidP="00714DF7">
      <w:pPr>
        <w:ind w:left="851" w:hanging="851"/>
        <w:rPr>
          <w:sz w:val="24"/>
          <w:szCs w:val="24"/>
        </w:rPr>
      </w:pPr>
    </w:p>
    <w:p w:rsidR="00D61569" w:rsidRPr="00C03E2F" w:rsidRDefault="00D61569" w:rsidP="00714DF7">
      <w:pPr>
        <w:ind w:left="851"/>
        <w:rPr>
          <w:sz w:val="24"/>
          <w:szCs w:val="24"/>
        </w:rPr>
      </w:pP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”Galen” creme må ikke anvendes i lange perioder (over 3 uger) eller på store områder (over 20 % af kropsoverfladearealet). </w:t>
      </w:r>
    </w:p>
    <w:p w:rsidR="00D61569" w:rsidRPr="00C03E2F" w:rsidRDefault="00D61569" w:rsidP="00714DF7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 xml:space="preserve">Hos børn må maksimalt 10 % af kropsoverfladearealet behandles. Cremen må ikke anvendes </w:t>
      </w:r>
      <w:proofErr w:type="spellStart"/>
      <w:r w:rsidRPr="00C03E2F">
        <w:rPr>
          <w:sz w:val="24"/>
          <w:szCs w:val="24"/>
        </w:rPr>
        <w:t>okklusivt</w:t>
      </w:r>
      <w:proofErr w:type="spellEnd"/>
      <w:r w:rsidRPr="00C03E2F">
        <w:rPr>
          <w:sz w:val="24"/>
          <w:szCs w:val="24"/>
        </w:rPr>
        <w:t xml:space="preserve"> eller på </w:t>
      </w:r>
      <w:proofErr w:type="spellStart"/>
      <w:r w:rsidRPr="00C03E2F">
        <w:rPr>
          <w:sz w:val="24"/>
          <w:szCs w:val="24"/>
        </w:rPr>
        <w:t>intertriginøse</w:t>
      </w:r>
      <w:proofErr w:type="spellEnd"/>
      <w:r w:rsidRPr="00C03E2F">
        <w:rPr>
          <w:sz w:val="24"/>
          <w:szCs w:val="24"/>
        </w:rPr>
        <w:t xml:space="preserve"> områder. Det er ofte tilrådeligt at anvende et svagere </w:t>
      </w:r>
      <w:proofErr w:type="spellStart"/>
      <w:r w:rsidRPr="00C03E2F">
        <w:rPr>
          <w:sz w:val="24"/>
          <w:szCs w:val="24"/>
        </w:rPr>
        <w:t>kortikosteroid-præparat</w:t>
      </w:r>
      <w:proofErr w:type="spellEnd"/>
      <w:r w:rsidRPr="00C03E2F">
        <w:rPr>
          <w:sz w:val="24"/>
          <w:szCs w:val="24"/>
        </w:rPr>
        <w:t>, når der er klinisk bedring.</w:t>
      </w:r>
    </w:p>
    <w:p w:rsidR="00D61569" w:rsidRPr="00C03E2F" w:rsidRDefault="00D61569" w:rsidP="00714DF7">
      <w:pPr>
        <w:ind w:left="851" w:hanging="851"/>
        <w:rPr>
          <w:sz w:val="24"/>
          <w:szCs w:val="24"/>
        </w:rPr>
      </w:pPr>
    </w:p>
    <w:p w:rsidR="00D61569" w:rsidRPr="00C03E2F" w:rsidRDefault="00D61569" w:rsidP="00714DF7">
      <w:pPr>
        <w:ind w:left="851"/>
        <w:rPr>
          <w:sz w:val="24"/>
          <w:szCs w:val="24"/>
          <w:u w:val="single"/>
        </w:rPr>
      </w:pPr>
      <w:r w:rsidRPr="00C03E2F">
        <w:rPr>
          <w:sz w:val="24"/>
          <w:szCs w:val="24"/>
          <w:u w:val="single"/>
        </w:rPr>
        <w:t>Pædiatrisk population</w:t>
      </w:r>
    </w:p>
    <w:p w:rsidR="00D61569" w:rsidRPr="00C03E2F" w:rsidRDefault="00D61569" w:rsidP="00714DF7">
      <w:pPr>
        <w:ind w:left="851"/>
        <w:rPr>
          <w:i/>
          <w:sz w:val="24"/>
          <w:szCs w:val="24"/>
        </w:rPr>
      </w:pPr>
      <w:r w:rsidRPr="00C03E2F">
        <w:rPr>
          <w:i/>
          <w:sz w:val="24"/>
          <w:szCs w:val="24"/>
        </w:rPr>
        <w:t>Pædiatriske patienter (&lt; 2 år):</w:t>
      </w:r>
    </w:p>
    <w:p w:rsidR="00D61569" w:rsidRPr="00C03E2F" w:rsidRDefault="00D61569" w:rsidP="00714DF7">
      <w:pPr>
        <w:ind w:left="851"/>
        <w:rPr>
          <w:sz w:val="24"/>
          <w:szCs w:val="24"/>
        </w:rPr>
      </w:pP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”Galen” creme er kontraindiceret til børn under 2 år</w:t>
      </w:r>
      <w:proofErr w:type="gramStart"/>
      <w:r w:rsidRPr="00C03E2F">
        <w:rPr>
          <w:sz w:val="24"/>
          <w:szCs w:val="24"/>
        </w:rPr>
        <w:t xml:space="preserve"> (se pkt.</w:t>
      </w:r>
      <w:proofErr w:type="gramEnd"/>
      <w:r w:rsidRPr="00C03E2F">
        <w:rPr>
          <w:sz w:val="24"/>
          <w:szCs w:val="24"/>
        </w:rPr>
        <w:t xml:space="preserve"> 4.3).</w:t>
      </w:r>
    </w:p>
    <w:p w:rsidR="00D61569" w:rsidRPr="00C03E2F" w:rsidRDefault="00D61569" w:rsidP="00714DF7">
      <w:pPr>
        <w:ind w:left="851" w:hanging="851"/>
        <w:rPr>
          <w:sz w:val="24"/>
          <w:szCs w:val="24"/>
        </w:rPr>
      </w:pPr>
    </w:p>
    <w:p w:rsidR="00D61569" w:rsidRPr="00C03E2F" w:rsidRDefault="00D61569" w:rsidP="00714DF7">
      <w:pPr>
        <w:ind w:left="851"/>
        <w:rPr>
          <w:i/>
          <w:sz w:val="24"/>
          <w:szCs w:val="24"/>
        </w:rPr>
      </w:pPr>
      <w:r w:rsidRPr="00C03E2F">
        <w:rPr>
          <w:i/>
          <w:sz w:val="24"/>
          <w:szCs w:val="24"/>
        </w:rPr>
        <w:t xml:space="preserve">Pædiatriske patienter (&gt; 2 år): </w:t>
      </w:r>
    </w:p>
    <w:p w:rsidR="00D61569" w:rsidRPr="00C03E2F" w:rsidRDefault="00D61569" w:rsidP="00714DF7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 xml:space="preserve">Pædiatriske patienter (&gt; 2 år) skal behandles med applikation af den laveste effektive dosis af </w:t>
      </w: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”Galen” creme i den kortest mulige periode, og ikke på mere end 10 % af kropsoverfladen. For børn over 2 år er den maksimale periode for applikation af </w:t>
      </w: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”Galen” creme 5 dage.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4.3</w:t>
      </w:r>
      <w:r w:rsidRPr="00C03E2F">
        <w:rPr>
          <w:b/>
          <w:sz w:val="24"/>
          <w:szCs w:val="24"/>
        </w:rPr>
        <w:tab/>
        <w:t>Kontraindikationer</w:t>
      </w:r>
    </w:p>
    <w:p w:rsidR="00D61569" w:rsidRPr="00C03E2F" w:rsidRDefault="00D61569" w:rsidP="00714DF7">
      <w:pPr>
        <w:numPr>
          <w:ilvl w:val="0"/>
          <w:numId w:val="10"/>
        </w:numPr>
        <w:tabs>
          <w:tab w:val="clear" w:pos="720"/>
        </w:tabs>
        <w:ind w:left="1276" w:hanging="425"/>
        <w:rPr>
          <w:sz w:val="24"/>
          <w:szCs w:val="24"/>
        </w:rPr>
      </w:pPr>
      <w:r w:rsidRPr="00C03E2F">
        <w:rPr>
          <w:sz w:val="24"/>
          <w:szCs w:val="24"/>
        </w:rPr>
        <w:t xml:space="preserve">Overfølsomhed over for det aktive stof, over for andre </w:t>
      </w:r>
      <w:proofErr w:type="spellStart"/>
      <w:r w:rsidRPr="00C03E2F">
        <w:rPr>
          <w:sz w:val="24"/>
          <w:szCs w:val="24"/>
        </w:rPr>
        <w:t>kortikosteroider</w:t>
      </w:r>
      <w:proofErr w:type="spellEnd"/>
      <w:r w:rsidRPr="00C03E2F">
        <w:rPr>
          <w:sz w:val="24"/>
          <w:szCs w:val="24"/>
        </w:rPr>
        <w:t xml:space="preserve"> eller over for et eller flere af hjælpestofferne anført i pkt. 6.1.</w:t>
      </w:r>
    </w:p>
    <w:p w:rsidR="00D61569" w:rsidRPr="00C03E2F" w:rsidRDefault="00D61569" w:rsidP="00714DF7">
      <w:pPr>
        <w:numPr>
          <w:ilvl w:val="0"/>
          <w:numId w:val="10"/>
        </w:numPr>
        <w:tabs>
          <w:tab w:val="clear" w:pos="720"/>
        </w:tabs>
        <w:ind w:left="1276" w:hanging="425"/>
        <w:rPr>
          <w:sz w:val="24"/>
          <w:szCs w:val="24"/>
        </w:rPr>
      </w:pPr>
      <w:proofErr w:type="spellStart"/>
      <w:r w:rsidRPr="00C03E2F">
        <w:rPr>
          <w:sz w:val="24"/>
          <w:szCs w:val="24"/>
        </w:rPr>
        <w:t>Rosacea</w:t>
      </w:r>
      <w:proofErr w:type="spellEnd"/>
      <w:r w:rsidRPr="00C03E2F">
        <w:rPr>
          <w:sz w:val="24"/>
          <w:szCs w:val="24"/>
        </w:rPr>
        <w:t xml:space="preserve"> i ansigt</w:t>
      </w:r>
    </w:p>
    <w:p w:rsidR="00D61569" w:rsidRPr="00C03E2F" w:rsidRDefault="00D61569" w:rsidP="00714DF7">
      <w:pPr>
        <w:numPr>
          <w:ilvl w:val="0"/>
          <w:numId w:val="10"/>
        </w:numPr>
        <w:tabs>
          <w:tab w:val="clear" w:pos="720"/>
        </w:tabs>
        <w:ind w:left="1276" w:hanging="425"/>
        <w:rPr>
          <w:sz w:val="24"/>
          <w:szCs w:val="24"/>
        </w:rPr>
      </w:pPr>
      <w:proofErr w:type="spellStart"/>
      <w:r w:rsidRPr="00C03E2F">
        <w:rPr>
          <w:sz w:val="24"/>
          <w:szCs w:val="24"/>
        </w:rPr>
        <w:t>Acne</w:t>
      </w:r>
      <w:proofErr w:type="spellEnd"/>
      <w:r w:rsidRPr="00C03E2F">
        <w:rPr>
          <w:sz w:val="24"/>
          <w:szCs w:val="24"/>
        </w:rPr>
        <w:t xml:space="preserve"> </w:t>
      </w:r>
      <w:proofErr w:type="spellStart"/>
      <w:r w:rsidRPr="00C03E2F">
        <w:rPr>
          <w:sz w:val="24"/>
          <w:szCs w:val="24"/>
        </w:rPr>
        <w:t>vulgaris</w:t>
      </w:r>
      <w:proofErr w:type="spellEnd"/>
      <w:r w:rsidRPr="00C03E2F">
        <w:rPr>
          <w:sz w:val="24"/>
          <w:szCs w:val="24"/>
        </w:rPr>
        <w:t xml:space="preserve">, </w:t>
      </w:r>
    </w:p>
    <w:p w:rsidR="00D61569" w:rsidRPr="00C03E2F" w:rsidRDefault="00D61569" w:rsidP="00714DF7">
      <w:pPr>
        <w:numPr>
          <w:ilvl w:val="0"/>
          <w:numId w:val="10"/>
        </w:numPr>
        <w:tabs>
          <w:tab w:val="clear" w:pos="720"/>
        </w:tabs>
        <w:ind w:left="1276" w:hanging="425"/>
        <w:rPr>
          <w:sz w:val="24"/>
          <w:szCs w:val="24"/>
        </w:rPr>
      </w:pPr>
      <w:proofErr w:type="spellStart"/>
      <w:r w:rsidRPr="00C03E2F">
        <w:rPr>
          <w:sz w:val="24"/>
          <w:szCs w:val="24"/>
        </w:rPr>
        <w:t>Hudatrofi</w:t>
      </w:r>
      <w:proofErr w:type="spellEnd"/>
      <w:r w:rsidRPr="00C03E2F">
        <w:rPr>
          <w:sz w:val="24"/>
          <w:szCs w:val="24"/>
        </w:rPr>
        <w:t>,</w:t>
      </w:r>
    </w:p>
    <w:p w:rsidR="00D61569" w:rsidRPr="00C03E2F" w:rsidRDefault="00D61569" w:rsidP="00714DF7">
      <w:pPr>
        <w:numPr>
          <w:ilvl w:val="0"/>
          <w:numId w:val="10"/>
        </w:numPr>
        <w:tabs>
          <w:tab w:val="clear" w:pos="720"/>
        </w:tabs>
        <w:ind w:left="1276" w:hanging="425"/>
        <w:rPr>
          <w:sz w:val="24"/>
          <w:szCs w:val="24"/>
        </w:rPr>
      </w:pPr>
      <w:proofErr w:type="spellStart"/>
      <w:r w:rsidRPr="00C03E2F">
        <w:rPr>
          <w:sz w:val="24"/>
          <w:szCs w:val="24"/>
        </w:rPr>
        <w:t>Perioral</w:t>
      </w:r>
      <w:proofErr w:type="spellEnd"/>
      <w:r w:rsidRPr="00C03E2F">
        <w:rPr>
          <w:sz w:val="24"/>
          <w:szCs w:val="24"/>
        </w:rPr>
        <w:t xml:space="preserve"> </w:t>
      </w:r>
      <w:proofErr w:type="spellStart"/>
      <w:r w:rsidRPr="00C03E2F">
        <w:rPr>
          <w:sz w:val="24"/>
          <w:szCs w:val="24"/>
        </w:rPr>
        <w:t>dermatitis</w:t>
      </w:r>
      <w:proofErr w:type="spellEnd"/>
      <w:r w:rsidRPr="00C03E2F">
        <w:rPr>
          <w:sz w:val="24"/>
          <w:szCs w:val="24"/>
        </w:rPr>
        <w:t xml:space="preserve">, </w:t>
      </w:r>
    </w:p>
    <w:p w:rsidR="00D61569" w:rsidRPr="00C03E2F" w:rsidRDefault="00D61569" w:rsidP="00714DF7">
      <w:pPr>
        <w:numPr>
          <w:ilvl w:val="0"/>
          <w:numId w:val="10"/>
        </w:numPr>
        <w:tabs>
          <w:tab w:val="clear" w:pos="720"/>
        </w:tabs>
        <w:ind w:left="1276" w:hanging="425"/>
        <w:rPr>
          <w:sz w:val="24"/>
          <w:szCs w:val="24"/>
        </w:rPr>
      </w:pPr>
      <w:proofErr w:type="spellStart"/>
      <w:r w:rsidRPr="00C03E2F">
        <w:rPr>
          <w:sz w:val="24"/>
          <w:szCs w:val="24"/>
        </w:rPr>
        <w:t>Perianal</w:t>
      </w:r>
      <w:proofErr w:type="spellEnd"/>
      <w:r w:rsidRPr="00C03E2F">
        <w:rPr>
          <w:sz w:val="24"/>
          <w:szCs w:val="24"/>
        </w:rPr>
        <w:t xml:space="preserve"> og genital </w:t>
      </w:r>
      <w:proofErr w:type="spellStart"/>
      <w:r w:rsidRPr="00C03E2F">
        <w:rPr>
          <w:sz w:val="24"/>
          <w:szCs w:val="24"/>
        </w:rPr>
        <w:t>pruritus</w:t>
      </w:r>
      <w:proofErr w:type="spellEnd"/>
      <w:r w:rsidRPr="00C03E2F">
        <w:rPr>
          <w:sz w:val="24"/>
          <w:szCs w:val="24"/>
        </w:rPr>
        <w:t xml:space="preserve">, </w:t>
      </w:r>
    </w:p>
    <w:p w:rsidR="00D61569" w:rsidRPr="00C03E2F" w:rsidRDefault="00D61569" w:rsidP="00714DF7">
      <w:pPr>
        <w:numPr>
          <w:ilvl w:val="0"/>
          <w:numId w:val="10"/>
        </w:numPr>
        <w:tabs>
          <w:tab w:val="clear" w:pos="720"/>
        </w:tabs>
        <w:ind w:left="1276" w:hanging="425"/>
        <w:rPr>
          <w:sz w:val="24"/>
          <w:szCs w:val="24"/>
        </w:rPr>
      </w:pPr>
      <w:r w:rsidRPr="00C03E2F">
        <w:rPr>
          <w:sz w:val="24"/>
          <w:szCs w:val="24"/>
        </w:rPr>
        <w:t>Rød numse,</w:t>
      </w:r>
    </w:p>
    <w:p w:rsidR="00D61569" w:rsidRPr="00C03E2F" w:rsidRDefault="00D61569" w:rsidP="00714DF7">
      <w:pPr>
        <w:numPr>
          <w:ilvl w:val="0"/>
          <w:numId w:val="10"/>
        </w:numPr>
        <w:tabs>
          <w:tab w:val="clear" w:pos="720"/>
        </w:tabs>
        <w:ind w:left="1276" w:hanging="425"/>
        <w:rPr>
          <w:sz w:val="24"/>
          <w:szCs w:val="24"/>
        </w:rPr>
      </w:pPr>
      <w:r w:rsidRPr="00C03E2F">
        <w:rPr>
          <w:sz w:val="24"/>
          <w:szCs w:val="24"/>
        </w:rPr>
        <w:t xml:space="preserve">Bakteriel (f.eks. </w:t>
      </w:r>
      <w:proofErr w:type="spellStart"/>
      <w:r w:rsidRPr="00C03E2F">
        <w:rPr>
          <w:sz w:val="24"/>
          <w:szCs w:val="24"/>
        </w:rPr>
        <w:t>impetigo</w:t>
      </w:r>
      <w:proofErr w:type="spellEnd"/>
      <w:r w:rsidRPr="00C03E2F">
        <w:rPr>
          <w:sz w:val="24"/>
          <w:szCs w:val="24"/>
        </w:rPr>
        <w:t xml:space="preserve">, </w:t>
      </w:r>
      <w:proofErr w:type="spellStart"/>
      <w:r w:rsidRPr="00C03E2F">
        <w:rPr>
          <w:sz w:val="24"/>
          <w:szCs w:val="24"/>
        </w:rPr>
        <w:t>pyoderma</w:t>
      </w:r>
      <w:proofErr w:type="spellEnd"/>
      <w:r w:rsidRPr="00C03E2F">
        <w:rPr>
          <w:sz w:val="24"/>
          <w:szCs w:val="24"/>
        </w:rPr>
        <w:t xml:space="preserve">), </w:t>
      </w:r>
    </w:p>
    <w:p w:rsidR="00D61569" w:rsidRPr="00C03E2F" w:rsidRDefault="00D61569" w:rsidP="00714DF7">
      <w:pPr>
        <w:numPr>
          <w:ilvl w:val="0"/>
          <w:numId w:val="10"/>
        </w:numPr>
        <w:tabs>
          <w:tab w:val="clear" w:pos="720"/>
        </w:tabs>
        <w:ind w:left="1276" w:hanging="425"/>
        <w:rPr>
          <w:sz w:val="24"/>
          <w:szCs w:val="24"/>
        </w:rPr>
      </w:pPr>
      <w:proofErr w:type="spellStart"/>
      <w:r w:rsidRPr="00C03E2F">
        <w:rPr>
          <w:sz w:val="24"/>
          <w:szCs w:val="24"/>
        </w:rPr>
        <w:t>Virale</w:t>
      </w:r>
      <w:proofErr w:type="spellEnd"/>
      <w:r w:rsidRPr="00C03E2F">
        <w:rPr>
          <w:sz w:val="24"/>
          <w:szCs w:val="24"/>
        </w:rPr>
        <w:t xml:space="preserve"> (f.eks. herpes </w:t>
      </w:r>
      <w:proofErr w:type="spellStart"/>
      <w:r w:rsidRPr="00C03E2F">
        <w:rPr>
          <w:sz w:val="24"/>
          <w:szCs w:val="24"/>
        </w:rPr>
        <w:t>simplex</w:t>
      </w:r>
      <w:proofErr w:type="spellEnd"/>
      <w:r w:rsidRPr="00C03E2F">
        <w:rPr>
          <w:sz w:val="24"/>
          <w:szCs w:val="24"/>
        </w:rPr>
        <w:t xml:space="preserve">, herpes </w:t>
      </w:r>
      <w:proofErr w:type="spellStart"/>
      <w:r w:rsidRPr="00C03E2F">
        <w:rPr>
          <w:sz w:val="24"/>
          <w:szCs w:val="24"/>
        </w:rPr>
        <w:t>zoster</w:t>
      </w:r>
      <w:proofErr w:type="spellEnd"/>
      <w:r w:rsidRPr="00C03E2F">
        <w:rPr>
          <w:sz w:val="24"/>
          <w:szCs w:val="24"/>
        </w:rPr>
        <w:t xml:space="preserve"> og skoldkopper, </w:t>
      </w:r>
      <w:proofErr w:type="spellStart"/>
      <w:r w:rsidRPr="00C03E2F">
        <w:rPr>
          <w:sz w:val="24"/>
          <w:szCs w:val="24"/>
        </w:rPr>
        <w:t>verrucae</w:t>
      </w:r>
      <w:proofErr w:type="spellEnd"/>
      <w:r w:rsidRPr="00C03E2F">
        <w:rPr>
          <w:sz w:val="24"/>
          <w:szCs w:val="24"/>
        </w:rPr>
        <w:t xml:space="preserve"> </w:t>
      </w:r>
      <w:proofErr w:type="spellStart"/>
      <w:r w:rsidRPr="00C03E2F">
        <w:rPr>
          <w:sz w:val="24"/>
          <w:szCs w:val="24"/>
        </w:rPr>
        <w:t>vulgares</w:t>
      </w:r>
      <w:proofErr w:type="spellEnd"/>
      <w:r w:rsidRPr="00C03E2F">
        <w:rPr>
          <w:sz w:val="24"/>
          <w:szCs w:val="24"/>
        </w:rPr>
        <w:t xml:space="preserve">, </w:t>
      </w:r>
      <w:proofErr w:type="spellStart"/>
      <w:r w:rsidRPr="00C03E2F">
        <w:rPr>
          <w:sz w:val="24"/>
          <w:szCs w:val="24"/>
        </w:rPr>
        <w:t>condylomata</w:t>
      </w:r>
      <w:proofErr w:type="spellEnd"/>
      <w:r w:rsidRPr="00C03E2F">
        <w:rPr>
          <w:sz w:val="24"/>
          <w:szCs w:val="24"/>
        </w:rPr>
        <w:t xml:space="preserve"> </w:t>
      </w:r>
      <w:proofErr w:type="spellStart"/>
      <w:r w:rsidRPr="00C03E2F">
        <w:rPr>
          <w:sz w:val="24"/>
          <w:szCs w:val="24"/>
        </w:rPr>
        <w:t>acuminata</w:t>
      </w:r>
      <w:proofErr w:type="spellEnd"/>
      <w:r w:rsidRPr="00C03E2F">
        <w:rPr>
          <w:sz w:val="24"/>
          <w:szCs w:val="24"/>
        </w:rPr>
        <w:t xml:space="preserve">, </w:t>
      </w:r>
      <w:proofErr w:type="spellStart"/>
      <w:r w:rsidRPr="00C03E2F">
        <w:rPr>
          <w:sz w:val="24"/>
          <w:szCs w:val="24"/>
        </w:rPr>
        <w:t>molluscum</w:t>
      </w:r>
      <w:proofErr w:type="spellEnd"/>
      <w:r w:rsidRPr="00C03E2F">
        <w:rPr>
          <w:sz w:val="24"/>
          <w:szCs w:val="24"/>
        </w:rPr>
        <w:t xml:space="preserve"> </w:t>
      </w:r>
      <w:proofErr w:type="spellStart"/>
      <w:r w:rsidRPr="00C03E2F">
        <w:rPr>
          <w:sz w:val="24"/>
          <w:szCs w:val="24"/>
        </w:rPr>
        <w:t>contagiosum</w:t>
      </w:r>
      <w:proofErr w:type="spellEnd"/>
      <w:r w:rsidRPr="00C03E2F">
        <w:rPr>
          <w:sz w:val="24"/>
          <w:szCs w:val="24"/>
        </w:rPr>
        <w:t xml:space="preserve">), parasit- og svampe (f.eks. </w:t>
      </w:r>
      <w:proofErr w:type="spellStart"/>
      <w:r w:rsidRPr="00C03E2F">
        <w:rPr>
          <w:sz w:val="24"/>
          <w:szCs w:val="24"/>
        </w:rPr>
        <w:t>candida</w:t>
      </w:r>
      <w:proofErr w:type="spellEnd"/>
      <w:r w:rsidRPr="00C03E2F">
        <w:rPr>
          <w:sz w:val="24"/>
          <w:szCs w:val="24"/>
        </w:rPr>
        <w:t xml:space="preserve"> eller </w:t>
      </w:r>
      <w:proofErr w:type="spellStart"/>
      <w:r w:rsidRPr="00C03E2F">
        <w:rPr>
          <w:sz w:val="24"/>
          <w:szCs w:val="24"/>
        </w:rPr>
        <w:t>dermatofyt</w:t>
      </w:r>
      <w:proofErr w:type="spellEnd"/>
      <w:r w:rsidRPr="00C03E2F">
        <w:rPr>
          <w:sz w:val="24"/>
          <w:szCs w:val="24"/>
        </w:rPr>
        <w:t>) infektioner,</w:t>
      </w:r>
    </w:p>
    <w:p w:rsidR="00D61569" w:rsidRPr="00C03E2F" w:rsidRDefault="00D61569" w:rsidP="00714DF7">
      <w:pPr>
        <w:numPr>
          <w:ilvl w:val="0"/>
          <w:numId w:val="10"/>
        </w:numPr>
        <w:tabs>
          <w:tab w:val="clear" w:pos="720"/>
        </w:tabs>
        <w:ind w:left="1276" w:hanging="425"/>
        <w:rPr>
          <w:sz w:val="24"/>
          <w:szCs w:val="24"/>
        </w:rPr>
      </w:pPr>
      <w:r w:rsidRPr="00C03E2F">
        <w:rPr>
          <w:sz w:val="24"/>
          <w:szCs w:val="24"/>
        </w:rPr>
        <w:t xml:space="preserve">Tuberkulose, </w:t>
      </w:r>
    </w:p>
    <w:p w:rsidR="00D61569" w:rsidRPr="00C03E2F" w:rsidRDefault="00D61569" w:rsidP="00714DF7">
      <w:pPr>
        <w:numPr>
          <w:ilvl w:val="0"/>
          <w:numId w:val="10"/>
        </w:numPr>
        <w:tabs>
          <w:tab w:val="clear" w:pos="720"/>
        </w:tabs>
        <w:ind w:left="1276" w:hanging="425"/>
        <w:rPr>
          <w:sz w:val="24"/>
          <w:szCs w:val="24"/>
        </w:rPr>
      </w:pPr>
      <w:r w:rsidRPr="00C03E2F">
        <w:rPr>
          <w:sz w:val="24"/>
          <w:szCs w:val="24"/>
        </w:rPr>
        <w:t>Syfilis eller reaktioner efter vaccine,</w:t>
      </w:r>
    </w:p>
    <w:p w:rsidR="00D61569" w:rsidRPr="00C03E2F" w:rsidRDefault="00D61569" w:rsidP="00714DF7">
      <w:pPr>
        <w:numPr>
          <w:ilvl w:val="0"/>
          <w:numId w:val="10"/>
        </w:numPr>
        <w:tabs>
          <w:tab w:val="clear" w:pos="720"/>
        </w:tabs>
        <w:ind w:left="1276" w:hanging="425"/>
        <w:rPr>
          <w:sz w:val="24"/>
          <w:szCs w:val="24"/>
        </w:rPr>
      </w:pP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”Galen” creme må ikke anvendes til børn under 2 år. </w:t>
      </w:r>
    </w:p>
    <w:p w:rsidR="00D61569" w:rsidRPr="00C03E2F" w:rsidRDefault="00D61569" w:rsidP="00714DF7">
      <w:pPr>
        <w:numPr>
          <w:ilvl w:val="0"/>
          <w:numId w:val="10"/>
        </w:numPr>
        <w:tabs>
          <w:tab w:val="clear" w:pos="720"/>
        </w:tabs>
        <w:ind w:left="1276" w:hanging="425"/>
        <w:rPr>
          <w:sz w:val="24"/>
          <w:szCs w:val="24"/>
        </w:rPr>
      </w:pP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”Galen” creme må ikke anvendes under en </w:t>
      </w:r>
      <w:proofErr w:type="spellStart"/>
      <w:r w:rsidRPr="00C03E2F">
        <w:rPr>
          <w:sz w:val="24"/>
          <w:szCs w:val="24"/>
        </w:rPr>
        <w:t>okkluderende</w:t>
      </w:r>
      <w:proofErr w:type="spellEnd"/>
      <w:r w:rsidRPr="00C03E2F">
        <w:rPr>
          <w:sz w:val="24"/>
          <w:szCs w:val="24"/>
        </w:rPr>
        <w:t xml:space="preserve"> forbinding.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4.4</w:t>
      </w:r>
      <w:r w:rsidRPr="00C03E2F">
        <w:rPr>
          <w:b/>
          <w:sz w:val="24"/>
          <w:szCs w:val="24"/>
        </w:rPr>
        <w:tab/>
        <w:t>Særlige advarsler og forsigtighedsregler vedrørende brugen</w:t>
      </w:r>
    </w:p>
    <w:p w:rsidR="00D61569" w:rsidRPr="00C03E2F" w:rsidRDefault="00B003BF" w:rsidP="00714DF7">
      <w:pPr>
        <w:ind w:left="851" w:hanging="851"/>
        <w:rPr>
          <w:sz w:val="24"/>
          <w:szCs w:val="24"/>
        </w:rPr>
      </w:pPr>
      <w:r w:rsidRPr="00C03E2F">
        <w:rPr>
          <w:sz w:val="24"/>
          <w:szCs w:val="24"/>
        </w:rPr>
        <w:tab/>
      </w:r>
      <w:r w:rsidR="00D61569" w:rsidRPr="00C03E2F">
        <w:rPr>
          <w:sz w:val="24"/>
          <w:szCs w:val="24"/>
        </w:rPr>
        <w:t xml:space="preserve">Al kontakt med øjnene og anvendelse på øjenlågene skal undgås. </w:t>
      </w:r>
    </w:p>
    <w:p w:rsidR="00D61569" w:rsidRPr="00C03E2F" w:rsidRDefault="00D61569" w:rsidP="00714DF7">
      <w:pPr>
        <w:ind w:left="851"/>
        <w:rPr>
          <w:sz w:val="24"/>
          <w:szCs w:val="24"/>
        </w:rPr>
      </w:pP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”Galen” 1 mg/g </w:t>
      </w:r>
      <w:r w:rsidR="00C03E2F">
        <w:rPr>
          <w:sz w:val="24"/>
          <w:szCs w:val="24"/>
        </w:rPr>
        <w:t>c</w:t>
      </w:r>
      <w:r w:rsidRPr="00C03E2F">
        <w:rPr>
          <w:sz w:val="24"/>
          <w:szCs w:val="24"/>
        </w:rPr>
        <w:t>reme må ikke påføres på beskadiget hud og slimhinder.</w:t>
      </w:r>
    </w:p>
    <w:p w:rsidR="00D61569" w:rsidRPr="00C03E2F" w:rsidRDefault="00D61569" w:rsidP="00714DF7">
      <w:pPr>
        <w:ind w:left="851"/>
        <w:rPr>
          <w:bCs/>
          <w:sz w:val="24"/>
          <w:szCs w:val="24"/>
        </w:rPr>
      </w:pPr>
      <w:r w:rsidRPr="00C03E2F">
        <w:rPr>
          <w:sz w:val="24"/>
          <w:szCs w:val="24"/>
        </w:rPr>
        <w:t xml:space="preserve">Der bør udvises forsigtighed hos patienter, der er overfølsomme over for andre </w:t>
      </w:r>
      <w:proofErr w:type="spellStart"/>
      <w:r w:rsidRPr="00C03E2F">
        <w:rPr>
          <w:sz w:val="24"/>
          <w:szCs w:val="24"/>
        </w:rPr>
        <w:t>kortikosteroider</w:t>
      </w:r>
      <w:proofErr w:type="spellEnd"/>
      <w:r w:rsidRPr="00C03E2F">
        <w:rPr>
          <w:sz w:val="24"/>
          <w:szCs w:val="24"/>
        </w:rPr>
        <w:t xml:space="preserve">. </w:t>
      </w:r>
    </w:p>
    <w:p w:rsidR="00D61569" w:rsidRPr="00C03E2F" w:rsidRDefault="00D61569" w:rsidP="00714DF7">
      <w:pPr>
        <w:ind w:left="851"/>
        <w:rPr>
          <w:bCs/>
          <w:sz w:val="24"/>
          <w:szCs w:val="24"/>
        </w:rPr>
      </w:pPr>
      <w:r w:rsidRPr="00C03E2F">
        <w:rPr>
          <w:sz w:val="24"/>
          <w:szCs w:val="24"/>
        </w:rPr>
        <w:t xml:space="preserve">Hvis der udvikles irritation eller sensibilisering ved anvendelse af </w:t>
      </w: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”Galen” 1 mg/g </w:t>
      </w:r>
      <w:r w:rsidR="00C03E2F">
        <w:rPr>
          <w:sz w:val="24"/>
          <w:szCs w:val="24"/>
        </w:rPr>
        <w:t>c</w:t>
      </w:r>
      <w:r w:rsidRPr="00C03E2F">
        <w:rPr>
          <w:sz w:val="24"/>
          <w:szCs w:val="24"/>
        </w:rPr>
        <w:t>reme, skal behandlingen seponeres, og hensigtsmæssig behandling skal iværksættes.</w:t>
      </w:r>
    </w:p>
    <w:p w:rsidR="00D61569" w:rsidRPr="00C03E2F" w:rsidRDefault="00D61569" w:rsidP="00714DF7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 xml:space="preserve">Hvis der opstår en infektion, skal anvendelse af et hensigtsmæssig </w:t>
      </w:r>
      <w:proofErr w:type="spellStart"/>
      <w:r w:rsidRPr="00C03E2F">
        <w:rPr>
          <w:sz w:val="24"/>
          <w:szCs w:val="24"/>
        </w:rPr>
        <w:t>antimykotikum</w:t>
      </w:r>
      <w:proofErr w:type="spellEnd"/>
      <w:r w:rsidRPr="00C03E2F">
        <w:rPr>
          <w:sz w:val="24"/>
          <w:szCs w:val="24"/>
        </w:rPr>
        <w:t xml:space="preserve"> eller antibakterielt lægemiddel iværksættes. Hvis der ikke umiddelbart opstår et favorabelt respons, skal </w:t>
      </w:r>
      <w:proofErr w:type="spellStart"/>
      <w:r w:rsidRPr="00C03E2F">
        <w:rPr>
          <w:sz w:val="24"/>
          <w:szCs w:val="24"/>
        </w:rPr>
        <w:t>kortikosteroidbehandlingen</w:t>
      </w:r>
      <w:proofErr w:type="spellEnd"/>
      <w:r w:rsidRPr="00C03E2F">
        <w:rPr>
          <w:sz w:val="24"/>
          <w:szCs w:val="24"/>
        </w:rPr>
        <w:t xml:space="preserve"> seponeres, indtil infektionen er tilstrækkeligt kontrolleret.</w:t>
      </w:r>
    </w:p>
    <w:p w:rsidR="00D61569" w:rsidRPr="00C03E2F" w:rsidRDefault="00D61569" w:rsidP="00714DF7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lastRenderedPageBreak/>
        <w:t xml:space="preserve">Lokal eller systemisk toksicitet er almindelig, især efter lang vedvarende anvendelse på store områder af beskadiget hud, i </w:t>
      </w:r>
      <w:proofErr w:type="spellStart"/>
      <w:r w:rsidRPr="00C03E2F">
        <w:rPr>
          <w:sz w:val="24"/>
          <w:szCs w:val="24"/>
        </w:rPr>
        <w:t>fleksurer</w:t>
      </w:r>
      <w:proofErr w:type="spellEnd"/>
      <w:r w:rsidRPr="00C03E2F">
        <w:rPr>
          <w:sz w:val="24"/>
          <w:szCs w:val="24"/>
        </w:rPr>
        <w:t xml:space="preserve"> eller med </w:t>
      </w:r>
      <w:proofErr w:type="spellStart"/>
      <w:r w:rsidRPr="00C03E2F">
        <w:rPr>
          <w:sz w:val="24"/>
          <w:szCs w:val="24"/>
        </w:rPr>
        <w:t>okklusion</w:t>
      </w:r>
      <w:proofErr w:type="spellEnd"/>
      <w:r w:rsidRPr="00C03E2F">
        <w:rPr>
          <w:sz w:val="24"/>
          <w:szCs w:val="24"/>
        </w:rPr>
        <w:t>. Der bør udvises forsigtighed, når store områder af kroppen behandles, og lang vedvarende behandling skal undgås hos alle patienter, uanset alder.</w:t>
      </w:r>
    </w:p>
    <w:p w:rsidR="00D61569" w:rsidRPr="00C03E2F" w:rsidRDefault="00D61569" w:rsidP="00714DF7">
      <w:pPr>
        <w:ind w:left="851"/>
        <w:rPr>
          <w:sz w:val="24"/>
          <w:szCs w:val="24"/>
        </w:rPr>
      </w:pPr>
      <w:proofErr w:type="spellStart"/>
      <w:r w:rsidRPr="00C03E2F">
        <w:rPr>
          <w:sz w:val="24"/>
          <w:szCs w:val="24"/>
        </w:rPr>
        <w:t>Topikale</w:t>
      </w:r>
      <w:proofErr w:type="spellEnd"/>
      <w:r w:rsidRPr="00C03E2F">
        <w:rPr>
          <w:sz w:val="24"/>
          <w:szCs w:val="24"/>
        </w:rPr>
        <w:t xml:space="preserve"> steroider kan være farlige ved psoriasis af forskellige årsager, herunder </w:t>
      </w:r>
      <w:proofErr w:type="spellStart"/>
      <w:r w:rsidRPr="00C03E2F">
        <w:rPr>
          <w:sz w:val="24"/>
          <w:szCs w:val="24"/>
        </w:rPr>
        <w:t>rebound-recidiver</w:t>
      </w:r>
      <w:proofErr w:type="spellEnd"/>
      <w:r w:rsidRPr="00C03E2F">
        <w:rPr>
          <w:sz w:val="24"/>
          <w:szCs w:val="24"/>
        </w:rPr>
        <w:t xml:space="preserve"> efter udvikling af tolerance, risiko for generaliseret </w:t>
      </w:r>
      <w:proofErr w:type="spellStart"/>
      <w:r w:rsidRPr="00C03E2F">
        <w:rPr>
          <w:sz w:val="24"/>
          <w:szCs w:val="24"/>
        </w:rPr>
        <w:t>pustuløs</w:t>
      </w:r>
      <w:proofErr w:type="spellEnd"/>
      <w:r w:rsidRPr="00C03E2F">
        <w:rPr>
          <w:sz w:val="24"/>
          <w:szCs w:val="24"/>
        </w:rPr>
        <w:t xml:space="preserve"> psoriasis og udvikling af lokal eller systemisk toksicitet på grund af hudens nedsatte barrierefunktion. Hvis det anvendes til patienter med psoriasis, er det nødvendigt nøje at overvåge patienten.</w:t>
      </w:r>
    </w:p>
    <w:p w:rsidR="00D61569" w:rsidRPr="00C03E2F" w:rsidRDefault="00D61569" w:rsidP="00714DF7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 xml:space="preserve">Som for alle potente </w:t>
      </w:r>
      <w:proofErr w:type="spellStart"/>
      <w:r w:rsidRPr="00C03E2F">
        <w:rPr>
          <w:sz w:val="24"/>
          <w:szCs w:val="24"/>
        </w:rPr>
        <w:t>topikale</w:t>
      </w:r>
      <w:proofErr w:type="spellEnd"/>
      <w:r w:rsidRPr="00C03E2F">
        <w:rPr>
          <w:sz w:val="24"/>
          <w:szCs w:val="24"/>
        </w:rPr>
        <w:t xml:space="preserve"> </w:t>
      </w:r>
      <w:proofErr w:type="spellStart"/>
      <w:r w:rsidRPr="00C03E2F">
        <w:rPr>
          <w:sz w:val="24"/>
          <w:szCs w:val="24"/>
        </w:rPr>
        <w:t>kortikosteroider</w:t>
      </w:r>
      <w:proofErr w:type="spellEnd"/>
      <w:r w:rsidRPr="00C03E2F">
        <w:rPr>
          <w:sz w:val="24"/>
          <w:szCs w:val="24"/>
        </w:rPr>
        <w:t xml:space="preserve"> skal en pludselig </w:t>
      </w:r>
      <w:proofErr w:type="spellStart"/>
      <w:r w:rsidRPr="00C03E2F">
        <w:rPr>
          <w:sz w:val="24"/>
          <w:szCs w:val="24"/>
        </w:rPr>
        <w:t>seponering</w:t>
      </w:r>
      <w:proofErr w:type="spellEnd"/>
      <w:r w:rsidRPr="00C03E2F">
        <w:rPr>
          <w:sz w:val="24"/>
          <w:szCs w:val="24"/>
        </w:rPr>
        <w:t xml:space="preserve"> af behandlingen undgås. Når langvarig </w:t>
      </w:r>
      <w:proofErr w:type="spellStart"/>
      <w:r w:rsidRPr="00C03E2F">
        <w:rPr>
          <w:sz w:val="24"/>
          <w:szCs w:val="24"/>
        </w:rPr>
        <w:t>topikal</w:t>
      </w:r>
      <w:proofErr w:type="spellEnd"/>
      <w:r w:rsidRPr="00C03E2F">
        <w:rPr>
          <w:sz w:val="24"/>
          <w:szCs w:val="24"/>
        </w:rPr>
        <w:t xml:space="preserve"> behandling med potente </w:t>
      </w:r>
      <w:proofErr w:type="spellStart"/>
      <w:r w:rsidRPr="00C03E2F">
        <w:rPr>
          <w:sz w:val="24"/>
          <w:szCs w:val="24"/>
        </w:rPr>
        <w:t>glukokortikoider</w:t>
      </w:r>
      <w:proofErr w:type="spellEnd"/>
      <w:r w:rsidRPr="00C03E2F">
        <w:rPr>
          <w:sz w:val="24"/>
          <w:szCs w:val="24"/>
        </w:rPr>
        <w:t xml:space="preserve"> stoppes, kan der udvikles et </w:t>
      </w:r>
      <w:proofErr w:type="spellStart"/>
      <w:r w:rsidRPr="00C03E2F">
        <w:rPr>
          <w:sz w:val="24"/>
          <w:szCs w:val="24"/>
        </w:rPr>
        <w:t>rebound-fænomen</w:t>
      </w:r>
      <w:proofErr w:type="spellEnd"/>
      <w:r w:rsidRPr="00C03E2F">
        <w:rPr>
          <w:sz w:val="24"/>
          <w:szCs w:val="24"/>
        </w:rPr>
        <w:t xml:space="preserve">, som kommer til udtryk ved udvikling af </w:t>
      </w:r>
      <w:proofErr w:type="spellStart"/>
      <w:r w:rsidRPr="00C03E2F">
        <w:rPr>
          <w:sz w:val="24"/>
          <w:szCs w:val="24"/>
        </w:rPr>
        <w:t>dermatitis</w:t>
      </w:r>
      <w:proofErr w:type="spellEnd"/>
      <w:r w:rsidRPr="00C03E2F">
        <w:rPr>
          <w:sz w:val="24"/>
          <w:szCs w:val="24"/>
        </w:rPr>
        <w:t xml:space="preserve"> med intens rødmen, svien og </w:t>
      </w:r>
      <w:proofErr w:type="spellStart"/>
      <w:r w:rsidRPr="00C03E2F">
        <w:rPr>
          <w:sz w:val="24"/>
          <w:szCs w:val="24"/>
        </w:rPr>
        <w:t>brænden</w:t>
      </w:r>
      <w:proofErr w:type="spellEnd"/>
      <w:r w:rsidRPr="00C03E2F">
        <w:rPr>
          <w:sz w:val="24"/>
          <w:szCs w:val="24"/>
        </w:rPr>
        <w:t xml:space="preserve">. Dette kan forebygges ved langsom </w:t>
      </w:r>
      <w:proofErr w:type="spellStart"/>
      <w:r w:rsidRPr="00C03E2F">
        <w:rPr>
          <w:sz w:val="24"/>
          <w:szCs w:val="24"/>
        </w:rPr>
        <w:t>udtrapning</w:t>
      </w:r>
      <w:proofErr w:type="spellEnd"/>
      <w:r w:rsidRPr="00C03E2F">
        <w:rPr>
          <w:sz w:val="24"/>
          <w:szCs w:val="24"/>
        </w:rPr>
        <w:t xml:space="preserve"> af behandlingen, for eksempel ved at fortsætte behandlingen i perioder, før den seponeres.</w:t>
      </w:r>
    </w:p>
    <w:p w:rsidR="00D61569" w:rsidRPr="00C03E2F" w:rsidRDefault="00D61569" w:rsidP="00714DF7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 xml:space="preserve">Der kan forekomme </w:t>
      </w:r>
      <w:proofErr w:type="spellStart"/>
      <w:r w:rsidRPr="00C03E2F">
        <w:rPr>
          <w:sz w:val="24"/>
          <w:szCs w:val="24"/>
        </w:rPr>
        <w:t>hyperglykæmi</w:t>
      </w:r>
      <w:proofErr w:type="spellEnd"/>
      <w:r w:rsidRPr="00C03E2F">
        <w:rPr>
          <w:sz w:val="24"/>
          <w:szCs w:val="24"/>
        </w:rPr>
        <w:t xml:space="preserve"> og </w:t>
      </w:r>
      <w:proofErr w:type="spellStart"/>
      <w:r w:rsidRPr="00C03E2F">
        <w:rPr>
          <w:sz w:val="24"/>
          <w:szCs w:val="24"/>
        </w:rPr>
        <w:t>glukosuri</w:t>
      </w:r>
      <w:proofErr w:type="spellEnd"/>
      <w:r w:rsidRPr="00C03E2F">
        <w:rPr>
          <w:sz w:val="24"/>
          <w:szCs w:val="24"/>
        </w:rPr>
        <w:t xml:space="preserve"> hos nogle patienter efter </w:t>
      </w:r>
      <w:proofErr w:type="spellStart"/>
      <w:r w:rsidRPr="00C03E2F">
        <w:rPr>
          <w:sz w:val="24"/>
          <w:szCs w:val="24"/>
        </w:rPr>
        <w:t>topikal</w:t>
      </w:r>
      <w:proofErr w:type="spellEnd"/>
      <w:r w:rsidRPr="00C03E2F">
        <w:rPr>
          <w:sz w:val="24"/>
          <w:szCs w:val="24"/>
        </w:rPr>
        <w:t xml:space="preserve"> applikation på grund af systemisk absorption.</w:t>
      </w:r>
    </w:p>
    <w:p w:rsidR="00D61569" w:rsidRPr="00C03E2F" w:rsidRDefault="00D61569" w:rsidP="00714DF7">
      <w:pPr>
        <w:ind w:left="851"/>
        <w:rPr>
          <w:sz w:val="24"/>
          <w:szCs w:val="24"/>
        </w:rPr>
      </w:pPr>
      <w:proofErr w:type="spellStart"/>
      <w:r w:rsidRPr="00C03E2F">
        <w:rPr>
          <w:sz w:val="24"/>
          <w:szCs w:val="24"/>
        </w:rPr>
        <w:t>Glukokortikoider</w:t>
      </w:r>
      <w:proofErr w:type="spellEnd"/>
      <w:r w:rsidRPr="00C03E2F">
        <w:rPr>
          <w:sz w:val="24"/>
          <w:szCs w:val="24"/>
        </w:rPr>
        <w:t xml:space="preserve"> kan ændre udseendet af nogle læsioner og gøre det vanskeligt at fastslå en dækkende diagnose samt forsinke ophelingen.</w:t>
      </w:r>
    </w:p>
    <w:p w:rsidR="00D61569" w:rsidRPr="00C03E2F" w:rsidRDefault="00D61569" w:rsidP="00714DF7">
      <w:pPr>
        <w:ind w:left="851" w:hanging="851"/>
        <w:rPr>
          <w:sz w:val="24"/>
          <w:szCs w:val="24"/>
        </w:rPr>
      </w:pPr>
    </w:p>
    <w:p w:rsidR="00D61569" w:rsidRPr="00C03E2F" w:rsidRDefault="00D61569" w:rsidP="00714DF7">
      <w:pPr>
        <w:ind w:left="851"/>
        <w:rPr>
          <w:sz w:val="24"/>
          <w:szCs w:val="24"/>
        </w:rPr>
      </w:pPr>
      <w:proofErr w:type="spellStart"/>
      <w:r w:rsidRPr="00C03E2F">
        <w:rPr>
          <w:sz w:val="24"/>
          <w:szCs w:val="24"/>
        </w:rPr>
        <w:t>Propylenglycolmonopalmitostearat</w:t>
      </w:r>
      <w:proofErr w:type="spellEnd"/>
      <w:r w:rsidRPr="00C03E2F">
        <w:rPr>
          <w:sz w:val="24"/>
          <w:szCs w:val="24"/>
        </w:rPr>
        <w:t xml:space="preserve"> kan give irritation af huden.</w:t>
      </w:r>
    </w:p>
    <w:p w:rsidR="00D61569" w:rsidRPr="00C03E2F" w:rsidRDefault="00D61569" w:rsidP="00714DF7">
      <w:pPr>
        <w:ind w:left="851" w:hanging="851"/>
        <w:rPr>
          <w:sz w:val="24"/>
          <w:szCs w:val="24"/>
        </w:rPr>
      </w:pPr>
    </w:p>
    <w:p w:rsidR="00D61569" w:rsidRPr="00C03E2F" w:rsidRDefault="00D61569" w:rsidP="00714DF7">
      <w:pPr>
        <w:ind w:left="851"/>
        <w:rPr>
          <w:sz w:val="24"/>
          <w:szCs w:val="24"/>
        </w:rPr>
      </w:pPr>
      <w:proofErr w:type="spellStart"/>
      <w:r w:rsidRPr="00C03E2F">
        <w:rPr>
          <w:sz w:val="24"/>
          <w:szCs w:val="24"/>
        </w:rPr>
        <w:t>Stearylalkohol</w:t>
      </w:r>
      <w:proofErr w:type="spellEnd"/>
      <w:r w:rsidRPr="00C03E2F">
        <w:rPr>
          <w:sz w:val="24"/>
          <w:szCs w:val="24"/>
        </w:rPr>
        <w:t xml:space="preserve"> kan give lokalt </w:t>
      </w:r>
      <w:proofErr w:type="spellStart"/>
      <w:r w:rsidRPr="00C03E2F">
        <w:rPr>
          <w:sz w:val="24"/>
          <w:szCs w:val="24"/>
        </w:rPr>
        <w:t>hududslæt</w:t>
      </w:r>
      <w:proofErr w:type="spellEnd"/>
      <w:r w:rsidRPr="00C03E2F">
        <w:rPr>
          <w:sz w:val="24"/>
          <w:szCs w:val="24"/>
        </w:rPr>
        <w:t xml:space="preserve"> (f.eks. kontakteksem).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4.5</w:t>
      </w:r>
      <w:r w:rsidRPr="00C03E2F">
        <w:rPr>
          <w:b/>
          <w:sz w:val="24"/>
          <w:szCs w:val="24"/>
        </w:rPr>
        <w:tab/>
        <w:t>Interaktion med andre lægemidler og andre former for interaktion</w:t>
      </w:r>
    </w:p>
    <w:p w:rsidR="00D61569" w:rsidRPr="00C03E2F" w:rsidRDefault="00B003BF" w:rsidP="00714DF7">
      <w:pPr>
        <w:ind w:left="851" w:hanging="851"/>
        <w:rPr>
          <w:sz w:val="24"/>
          <w:szCs w:val="24"/>
        </w:rPr>
      </w:pPr>
      <w:r w:rsidRPr="00C03E2F">
        <w:rPr>
          <w:sz w:val="24"/>
          <w:szCs w:val="24"/>
        </w:rPr>
        <w:tab/>
      </w:r>
      <w:r w:rsidR="00D61569" w:rsidRPr="00C03E2F">
        <w:rPr>
          <w:sz w:val="24"/>
          <w:szCs w:val="24"/>
        </w:rPr>
        <w:t xml:space="preserve">På grund af indholdet af hvid, blødt paraffin i </w:t>
      </w:r>
      <w:proofErr w:type="spellStart"/>
      <w:r w:rsidR="00D61569" w:rsidRPr="00C03E2F">
        <w:rPr>
          <w:sz w:val="24"/>
          <w:szCs w:val="24"/>
        </w:rPr>
        <w:t>Mometasonfuroat</w:t>
      </w:r>
      <w:proofErr w:type="spellEnd"/>
      <w:r w:rsidR="00D61569" w:rsidRPr="00C03E2F">
        <w:rPr>
          <w:sz w:val="24"/>
          <w:szCs w:val="24"/>
        </w:rPr>
        <w:t xml:space="preserve"> ”Galen” creme kan rivestyrken og sikkerheden ved kondomer være kompromitteret.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4.6</w:t>
      </w:r>
      <w:r w:rsidRPr="00C03E2F">
        <w:rPr>
          <w:b/>
          <w:sz w:val="24"/>
          <w:szCs w:val="24"/>
        </w:rPr>
        <w:tab/>
        <w:t>Graviditet og amning</w:t>
      </w:r>
    </w:p>
    <w:p w:rsidR="00714DF7" w:rsidRPr="00C03E2F" w:rsidRDefault="00714DF7" w:rsidP="00714DF7">
      <w:pPr>
        <w:ind w:left="851" w:hanging="851"/>
        <w:rPr>
          <w:sz w:val="24"/>
          <w:szCs w:val="24"/>
        </w:rPr>
      </w:pPr>
    </w:p>
    <w:p w:rsidR="00D61569" w:rsidRPr="00C03E2F" w:rsidRDefault="00B003BF" w:rsidP="00714DF7">
      <w:pPr>
        <w:ind w:left="851" w:hanging="851"/>
        <w:rPr>
          <w:sz w:val="24"/>
          <w:szCs w:val="24"/>
          <w:u w:val="single"/>
        </w:rPr>
      </w:pPr>
      <w:r w:rsidRPr="00C03E2F">
        <w:rPr>
          <w:sz w:val="24"/>
          <w:szCs w:val="24"/>
        </w:rPr>
        <w:tab/>
      </w:r>
      <w:r w:rsidR="00D61569" w:rsidRPr="00C03E2F">
        <w:rPr>
          <w:sz w:val="24"/>
          <w:szCs w:val="24"/>
          <w:u w:val="single"/>
        </w:rPr>
        <w:t>Fertilitet</w:t>
      </w:r>
    </w:p>
    <w:p w:rsidR="00D61569" w:rsidRPr="00C03E2F" w:rsidRDefault="00D61569" w:rsidP="00714DF7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 xml:space="preserve">Der foreligger ingen data angående virkningen på </w:t>
      </w:r>
      <w:proofErr w:type="spellStart"/>
      <w:r w:rsidRPr="00C03E2F">
        <w:rPr>
          <w:sz w:val="24"/>
          <w:szCs w:val="24"/>
        </w:rPr>
        <w:t>mometason</w:t>
      </w:r>
      <w:proofErr w:type="spellEnd"/>
      <w:r w:rsidRPr="00C03E2F">
        <w:rPr>
          <w:sz w:val="24"/>
          <w:szCs w:val="24"/>
        </w:rPr>
        <w:t xml:space="preserve"> på fertiliteten. </w:t>
      </w:r>
    </w:p>
    <w:p w:rsidR="00D61569" w:rsidRPr="00C03E2F" w:rsidRDefault="00D61569" w:rsidP="00714DF7">
      <w:pPr>
        <w:ind w:left="851" w:hanging="851"/>
        <w:rPr>
          <w:sz w:val="24"/>
          <w:szCs w:val="24"/>
        </w:rPr>
      </w:pPr>
    </w:p>
    <w:p w:rsidR="00D61569" w:rsidRPr="00C03E2F" w:rsidRDefault="00D61569" w:rsidP="00714DF7">
      <w:pPr>
        <w:ind w:left="851"/>
        <w:rPr>
          <w:sz w:val="24"/>
          <w:szCs w:val="24"/>
          <w:u w:val="single"/>
        </w:rPr>
      </w:pPr>
      <w:r w:rsidRPr="00C03E2F">
        <w:rPr>
          <w:sz w:val="24"/>
          <w:szCs w:val="24"/>
          <w:u w:val="single"/>
        </w:rPr>
        <w:t>Graviditet</w:t>
      </w:r>
    </w:p>
    <w:p w:rsidR="00D61569" w:rsidRPr="00C03E2F" w:rsidRDefault="00D61569" w:rsidP="00714DF7">
      <w:pPr>
        <w:ind w:left="851"/>
        <w:rPr>
          <w:sz w:val="24"/>
          <w:szCs w:val="24"/>
        </w:rPr>
      </w:pPr>
      <w:proofErr w:type="spellStart"/>
      <w:r w:rsidRPr="00C03E2F">
        <w:rPr>
          <w:sz w:val="24"/>
          <w:szCs w:val="24"/>
        </w:rPr>
        <w:t>Kortikosteroider</w:t>
      </w:r>
      <w:proofErr w:type="spellEnd"/>
      <w:r w:rsidRPr="00C03E2F">
        <w:rPr>
          <w:sz w:val="24"/>
          <w:szCs w:val="24"/>
        </w:rPr>
        <w:t xml:space="preserve"> passerer placenta. Der er meget begrænsede data fra anvendelse af </w:t>
      </w:r>
      <w:proofErr w:type="spellStart"/>
      <w:r w:rsidRPr="00C03E2F">
        <w:rPr>
          <w:sz w:val="24"/>
          <w:szCs w:val="24"/>
        </w:rPr>
        <w:t>mometason</w:t>
      </w:r>
      <w:proofErr w:type="spellEnd"/>
      <w:r w:rsidRPr="00C03E2F">
        <w:rPr>
          <w:sz w:val="24"/>
          <w:szCs w:val="24"/>
        </w:rPr>
        <w:t xml:space="preserve"> under graviditet. Efter systemisk anvendelse af </w:t>
      </w:r>
      <w:proofErr w:type="spellStart"/>
      <w:r w:rsidRPr="00C03E2F">
        <w:rPr>
          <w:sz w:val="24"/>
          <w:szCs w:val="24"/>
        </w:rPr>
        <w:t>højdosis-kortikosteroider</w:t>
      </w:r>
      <w:proofErr w:type="spellEnd"/>
      <w:r w:rsidRPr="00C03E2F">
        <w:rPr>
          <w:sz w:val="24"/>
          <w:szCs w:val="24"/>
        </w:rPr>
        <w:t xml:space="preserve"> er der blevet beskrevet virkninger på fostret/spædbarnet (intrauterin væksthæmning, </w:t>
      </w:r>
      <w:proofErr w:type="spellStart"/>
      <w:r w:rsidRPr="00C03E2F">
        <w:rPr>
          <w:sz w:val="24"/>
          <w:szCs w:val="24"/>
        </w:rPr>
        <w:t>adrenokortikal</w:t>
      </w:r>
      <w:proofErr w:type="spellEnd"/>
      <w:r w:rsidRPr="00C03E2F">
        <w:rPr>
          <w:sz w:val="24"/>
          <w:szCs w:val="24"/>
        </w:rPr>
        <w:t xml:space="preserve"> hæmning, ganespalte). Dyreforsøg har påvist reproduktionstoksicitet og </w:t>
      </w:r>
      <w:proofErr w:type="spellStart"/>
      <w:r w:rsidRPr="00C03E2F">
        <w:rPr>
          <w:sz w:val="24"/>
          <w:szCs w:val="24"/>
        </w:rPr>
        <w:t>teratogenicitet</w:t>
      </w:r>
      <w:proofErr w:type="spellEnd"/>
      <w:proofErr w:type="gramStart"/>
      <w:r w:rsidRPr="00C03E2F">
        <w:rPr>
          <w:sz w:val="24"/>
          <w:szCs w:val="24"/>
        </w:rPr>
        <w:t xml:space="preserve"> (se pkt.</w:t>
      </w:r>
      <w:proofErr w:type="gramEnd"/>
      <w:r w:rsidRPr="00C03E2F">
        <w:rPr>
          <w:sz w:val="24"/>
          <w:szCs w:val="24"/>
        </w:rPr>
        <w:t xml:space="preserve"> 5.3). Den potentielle risiko for mennesker er ukendt. </w:t>
      </w:r>
    </w:p>
    <w:p w:rsidR="00D61569" w:rsidRPr="00C03E2F" w:rsidRDefault="00D61569" w:rsidP="00714DF7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 xml:space="preserve">Selvom systemisk eksponering er begrænset, må </w:t>
      </w: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”Galen” 1 mg/g kun anvendes i løbet af graviditeten efter nøje overvejelse af </w:t>
      </w:r>
      <w:proofErr w:type="spellStart"/>
      <w:r w:rsidRPr="00C03E2F">
        <w:rPr>
          <w:sz w:val="24"/>
          <w:szCs w:val="24"/>
        </w:rPr>
        <w:t>risk/benefit-forholdet</w:t>
      </w:r>
      <w:proofErr w:type="spellEnd"/>
      <w:r w:rsidRPr="00C03E2F">
        <w:rPr>
          <w:sz w:val="24"/>
          <w:szCs w:val="24"/>
        </w:rPr>
        <w:t xml:space="preserve">. </w:t>
      </w:r>
    </w:p>
    <w:p w:rsidR="00D61569" w:rsidRPr="00C03E2F" w:rsidRDefault="00D61569" w:rsidP="00714DF7">
      <w:pPr>
        <w:ind w:left="851" w:hanging="851"/>
        <w:rPr>
          <w:sz w:val="24"/>
          <w:szCs w:val="24"/>
        </w:rPr>
      </w:pPr>
    </w:p>
    <w:p w:rsidR="00D61569" w:rsidRPr="00C03E2F" w:rsidRDefault="00D61569" w:rsidP="00714DF7">
      <w:pPr>
        <w:ind w:left="851"/>
        <w:rPr>
          <w:sz w:val="24"/>
          <w:szCs w:val="24"/>
          <w:u w:val="single"/>
        </w:rPr>
      </w:pPr>
      <w:r w:rsidRPr="00C03E2F">
        <w:rPr>
          <w:sz w:val="24"/>
          <w:szCs w:val="24"/>
          <w:u w:val="single"/>
        </w:rPr>
        <w:t>Amning</w:t>
      </w:r>
    </w:p>
    <w:p w:rsidR="00D61569" w:rsidRPr="00C03E2F" w:rsidRDefault="00D61569" w:rsidP="00714DF7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 xml:space="preserve">Det er ukendt, om </w:t>
      </w:r>
      <w:proofErr w:type="spellStart"/>
      <w:r w:rsidRPr="00C03E2F">
        <w:rPr>
          <w:sz w:val="24"/>
          <w:szCs w:val="24"/>
        </w:rPr>
        <w:t>mometason</w:t>
      </w:r>
      <w:proofErr w:type="spellEnd"/>
      <w:r w:rsidRPr="00C03E2F">
        <w:rPr>
          <w:sz w:val="24"/>
          <w:szCs w:val="24"/>
        </w:rPr>
        <w:t xml:space="preserve"> udskilles i human mælk. </w:t>
      </w: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”Galen” creme må kun administreres til ammende kvinder efter nøje overvejelse af </w:t>
      </w:r>
      <w:proofErr w:type="spellStart"/>
      <w:r w:rsidRPr="00C03E2F">
        <w:rPr>
          <w:sz w:val="24"/>
          <w:szCs w:val="24"/>
        </w:rPr>
        <w:t>risk/benefit-forholdet</w:t>
      </w:r>
      <w:proofErr w:type="spellEnd"/>
      <w:r w:rsidRPr="00C03E2F">
        <w:rPr>
          <w:sz w:val="24"/>
          <w:szCs w:val="24"/>
        </w:rPr>
        <w:t xml:space="preserve">. I løbet af </w:t>
      </w:r>
      <w:proofErr w:type="spellStart"/>
      <w:r w:rsidRPr="00C03E2F">
        <w:rPr>
          <w:sz w:val="24"/>
          <w:szCs w:val="24"/>
        </w:rPr>
        <w:t>ammeperioden</w:t>
      </w:r>
      <w:proofErr w:type="spellEnd"/>
      <w:r w:rsidRPr="00C03E2F">
        <w:rPr>
          <w:sz w:val="24"/>
          <w:szCs w:val="24"/>
        </w:rPr>
        <w:t xml:space="preserve"> må </w:t>
      </w: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”Galen” creme ikke applikeres på brystområdet.</w:t>
      </w:r>
    </w:p>
    <w:p w:rsidR="00B46E4A" w:rsidRPr="00C03E2F" w:rsidRDefault="00B46E4A">
      <w:pPr>
        <w:rPr>
          <w:sz w:val="24"/>
          <w:szCs w:val="24"/>
        </w:rPr>
      </w:pPr>
      <w:r w:rsidRPr="00C03E2F">
        <w:rPr>
          <w:sz w:val="24"/>
          <w:szCs w:val="24"/>
        </w:rPr>
        <w:br w:type="page"/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4.7</w:t>
      </w:r>
      <w:r w:rsidRPr="00C03E2F">
        <w:rPr>
          <w:b/>
          <w:sz w:val="24"/>
          <w:szCs w:val="24"/>
        </w:rPr>
        <w:tab/>
        <w:t>Virkninger på evnen til at føre motorkøretøj eller betjene maskiner</w:t>
      </w:r>
    </w:p>
    <w:p w:rsidR="00714DF7" w:rsidRPr="00C03E2F" w:rsidRDefault="00B003BF" w:rsidP="00714DF7">
      <w:pPr>
        <w:ind w:left="851" w:hanging="851"/>
        <w:rPr>
          <w:sz w:val="24"/>
          <w:szCs w:val="24"/>
        </w:rPr>
      </w:pPr>
      <w:r w:rsidRPr="00C03E2F">
        <w:rPr>
          <w:sz w:val="24"/>
          <w:szCs w:val="24"/>
        </w:rPr>
        <w:tab/>
      </w:r>
      <w:r w:rsidR="00714DF7" w:rsidRPr="00C03E2F">
        <w:rPr>
          <w:sz w:val="24"/>
          <w:szCs w:val="24"/>
        </w:rPr>
        <w:t>Ikke mærkning.</w:t>
      </w:r>
    </w:p>
    <w:p w:rsidR="00D61569" w:rsidRPr="00C03E2F" w:rsidRDefault="00D61569" w:rsidP="00714DF7">
      <w:pPr>
        <w:ind w:left="851"/>
        <w:rPr>
          <w:sz w:val="24"/>
          <w:szCs w:val="24"/>
        </w:rPr>
      </w:pP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”Galen” creme påvirker ikke eller kun i ubetydelig grad evnen til at føre motorkøretøj eller betjene maskiner.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4.8</w:t>
      </w:r>
      <w:r w:rsidRPr="00C03E2F">
        <w:rPr>
          <w:b/>
          <w:sz w:val="24"/>
          <w:szCs w:val="24"/>
        </w:rPr>
        <w:tab/>
        <w:t>Bivirkninger</w:t>
      </w:r>
    </w:p>
    <w:p w:rsidR="00D61569" w:rsidRPr="00C03E2F" w:rsidRDefault="00B003BF" w:rsidP="00714DF7">
      <w:pPr>
        <w:ind w:left="851" w:hanging="851"/>
        <w:rPr>
          <w:sz w:val="24"/>
          <w:szCs w:val="24"/>
        </w:rPr>
      </w:pPr>
      <w:r w:rsidRPr="00C03E2F">
        <w:rPr>
          <w:sz w:val="24"/>
          <w:szCs w:val="24"/>
        </w:rPr>
        <w:tab/>
      </w:r>
      <w:r w:rsidR="00D61569" w:rsidRPr="00C03E2F">
        <w:rPr>
          <w:sz w:val="24"/>
          <w:szCs w:val="24"/>
        </w:rPr>
        <w:t xml:space="preserve">Bivirkningerne er opført i Tabel 1 efter organklassificering i indhold til </w:t>
      </w:r>
      <w:proofErr w:type="spellStart"/>
      <w:r w:rsidR="00D61569" w:rsidRPr="00C03E2F">
        <w:rPr>
          <w:sz w:val="24"/>
          <w:szCs w:val="24"/>
        </w:rPr>
        <w:t>MedDRA</w:t>
      </w:r>
      <w:proofErr w:type="spellEnd"/>
      <w:r w:rsidR="00D61569" w:rsidRPr="00C03E2F">
        <w:rPr>
          <w:sz w:val="24"/>
          <w:szCs w:val="24"/>
        </w:rPr>
        <w:t xml:space="preserve"> og efter faldende hyppighed, som defineret nedenfor:</w:t>
      </w:r>
    </w:p>
    <w:p w:rsidR="00D61569" w:rsidRPr="00C03E2F" w:rsidRDefault="00D61569" w:rsidP="00714DF7">
      <w:pPr>
        <w:ind w:left="851" w:hanging="851"/>
        <w:rPr>
          <w:sz w:val="24"/>
          <w:szCs w:val="24"/>
        </w:rPr>
      </w:pPr>
    </w:p>
    <w:tbl>
      <w:tblPr>
        <w:tblW w:w="4529" w:type="pct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3685"/>
        <w:gridCol w:w="5174"/>
      </w:tblGrid>
      <w:tr w:rsidR="00D61569" w:rsidRPr="00C03E2F" w:rsidTr="00714DF7">
        <w:trPr>
          <w:trHeight w:val="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569" w:rsidRPr="00C03E2F" w:rsidRDefault="00D61569" w:rsidP="00714DF7">
            <w:pPr>
              <w:rPr>
                <w:b/>
                <w:sz w:val="24"/>
                <w:szCs w:val="24"/>
              </w:rPr>
            </w:pPr>
            <w:r w:rsidRPr="00C03E2F">
              <w:rPr>
                <w:b/>
                <w:sz w:val="24"/>
                <w:szCs w:val="24"/>
              </w:rPr>
              <w:t xml:space="preserve">Tabel 1: Behandlingsrelaterede bivirkninger </w:t>
            </w:r>
          </w:p>
          <w:p w:rsidR="00D61569" w:rsidRPr="00C03E2F" w:rsidRDefault="00D61569" w:rsidP="00714DF7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Meget almindelig: ≥1/10, almindelig: ≥1/100 til &lt;1/10, ikke almindelig: ≥1/1.000 til &lt;1/100, sjælden: ≥1/10.000 til &lt;1/1.000, meget sjælden: &lt;1/10.000, ikke kendt: kan ikke estimeres ud fra forhåndenværende data.</w:t>
            </w:r>
          </w:p>
          <w:p w:rsidR="00D61569" w:rsidRPr="00C03E2F" w:rsidRDefault="00D61569" w:rsidP="00714DF7">
            <w:pPr>
              <w:rPr>
                <w:i/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 xml:space="preserve">Bivirkninger, der er blevet rapporteret i forbindelse med ekstern </w:t>
            </w:r>
            <w:proofErr w:type="spellStart"/>
            <w:r w:rsidRPr="00C03E2F">
              <w:rPr>
                <w:sz w:val="24"/>
                <w:szCs w:val="24"/>
              </w:rPr>
              <w:t>kortikosteroidbehandling</w:t>
            </w:r>
            <w:proofErr w:type="spellEnd"/>
            <w:r w:rsidRPr="00C03E2F">
              <w:rPr>
                <w:sz w:val="24"/>
                <w:szCs w:val="24"/>
              </w:rPr>
              <w:t>, omfatter:</w:t>
            </w:r>
          </w:p>
        </w:tc>
      </w:tr>
      <w:tr w:rsidR="00D61569" w:rsidRPr="00C03E2F" w:rsidTr="00714DF7">
        <w:trPr>
          <w:trHeight w:val="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69" w:rsidRPr="00C03E2F" w:rsidRDefault="00D61569" w:rsidP="00714DF7">
            <w:pPr>
              <w:rPr>
                <w:i/>
                <w:sz w:val="24"/>
                <w:szCs w:val="24"/>
              </w:rPr>
            </w:pPr>
            <w:r w:rsidRPr="00C03E2F">
              <w:rPr>
                <w:i/>
                <w:sz w:val="24"/>
                <w:szCs w:val="24"/>
              </w:rPr>
              <w:t>Infektioner og parasitære sygdomme</w:t>
            </w:r>
          </w:p>
        </w:tc>
      </w:tr>
      <w:tr w:rsidR="00D61569" w:rsidRPr="00C03E2F" w:rsidTr="00714DF7">
        <w:trPr>
          <w:trHeight w:val="38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69" w:rsidRPr="00C03E2F" w:rsidRDefault="00D61569" w:rsidP="00714DF7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Ikke almindelig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69" w:rsidRPr="00C03E2F" w:rsidRDefault="00D61569" w:rsidP="00714DF7">
            <w:pPr>
              <w:rPr>
                <w:b/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Sekundære infektioner</w:t>
            </w:r>
          </w:p>
        </w:tc>
      </w:tr>
      <w:tr w:rsidR="00D61569" w:rsidRPr="00C03E2F" w:rsidTr="00714DF7">
        <w:trPr>
          <w:trHeight w:val="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69" w:rsidRPr="00C03E2F" w:rsidRDefault="00D61569" w:rsidP="00714DF7">
            <w:pPr>
              <w:rPr>
                <w:sz w:val="24"/>
                <w:szCs w:val="24"/>
              </w:rPr>
            </w:pPr>
            <w:proofErr w:type="spellStart"/>
            <w:r w:rsidRPr="00C03E2F">
              <w:rPr>
                <w:i/>
                <w:sz w:val="24"/>
                <w:szCs w:val="24"/>
              </w:rPr>
              <w:t>Vaskulære</w:t>
            </w:r>
            <w:proofErr w:type="spellEnd"/>
            <w:r w:rsidRPr="00C03E2F">
              <w:rPr>
                <w:i/>
                <w:sz w:val="24"/>
                <w:szCs w:val="24"/>
              </w:rPr>
              <w:t xml:space="preserve"> sygdomme</w:t>
            </w:r>
          </w:p>
        </w:tc>
      </w:tr>
      <w:tr w:rsidR="00D61569" w:rsidRPr="00C03E2F" w:rsidTr="00714DF7">
        <w:trPr>
          <w:trHeight w:val="38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69" w:rsidRPr="00C03E2F" w:rsidRDefault="00D61569" w:rsidP="00714DF7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Meget sjælden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69" w:rsidRPr="00C03E2F" w:rsidRDefault="00D61569" w:rsidP="00714DF7">
            <w:pPr>
              <w:rPr>
                <w:sz w:val="24"/>
                <w:szCs w:val="24"/>
              </w:rPr>
            </w:pPr>
            <w:proofErr w:type="spellStart"/>
            <w:r w:rsidRPr="00C03E2F">
              <w:rPr>
                <w:sz w:val="24"/>
                <w:szCs w:val="24"/>
              </w:rPr>
              <w:t>Teleangiektasi</w:t>
            </w:r>
            <w:proofErr w:type="spellEnd"/>
          </w:p>
        </w:tc>
      </w:tr>
      <w:tr w:rsidR="00D61569" w:rsidRPr="00C03E2F" w:rsidTr="00714DF7">
        <w:trPr>
          <w:trHeight w:val="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69" w:rsidRPr="00C03E2F" w:rsidRDefault="00D61569" w:rsidP="00714DF7">
            <w:pPr>
              <w:rPr>
                <w:i/>
                <w:sz w:val="24"/>
                <w:szCs w:val="24"/>
              </w:rPr>
            </w:pPr>
            <w:r w:rsidRPr="00C03E2F">
              <w:rPr>
                <w:i/>
                <w:sz w:val="24"/>
                <w:szCs w:val="24"/>
              </w:rPr>
              <w:t>Hud og subkutane væv</w:t>
            </w:r>
          </w:p>
        </w:tc>
      </w:tr>
      <w:tr w:rsidR="00D61569" w:rsidRPr="00C03E2F" w:rsidTr="00714DF7">
        <w:trPr>
          <w:trHeight w:val="31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69" w:rsidRPr="00C03E2F" w:rsidRDefault="00D61569" w:rsidP="00714DF7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Almindelig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69" w:rsidRPr="00C03E2F" w:rsidRDefault="00D61569" w:rsidP="00714DF7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 xml:space="preserve">Brændende fornemmelse, </w:t>
            </w:r>
            <w:proofErr w:type="spellStart"/>
            <w:r w:rsidRPr="00C03E2F">
              <w:rPr>
                <w:sz w:val="24"/>
                <w:szCs w:val="24"/>
              </w:rPr>
              <w:t>paræstesi</w:t>
            </w:r>
            <w:proofErr w:type="spellEnd"/>
            <w:r w:rsidRPr="00C03E2F">
              <w:rPr>
                <w:sz w:val="24"/>
                <w:szCs w:val="24"/>
              </w:rPr>
              <w:t xml:space="preserve">, </w:t>
            </w:r>
            <w:proofErr w:type="spellStart"/>
            <w:r w:rsidRPr="00C03E2F">
              <w:rPr>
                <w:sz w:val="24"/>
                <w:szCs w:val="24"/>
              </w:rPr>
              <w:t>pruritus</w:t>
            </w:r>
            <w:proofErr w:type="spellEnd"/>
            <w:r w:rsidRPr="00C03E2F">
              <w:rPr>
                <w:sz w:val="24"/>
                <w:szCs w:val="24"/>
              </w:rPr>
              <w:t xml:space="preserve">, </w:t>
            </w:r>
            <w:proofErr w:type="spellStart"/>
            <w:r w:rsidRPr="00C03E2F">
              <w:rPr>
                <w:sz w:val="24"/>
                <w:szCs w:val="24"/>
              </w:rPr>
              <w:t>hudatrofi</w:t>
            </w:r>
            <w:proofErr w:type="spellEnd"/>
            <w:r w:rsidRPr="00C03E2F">
              <w:rPr>
                <w:sz w:val="24"/>
                <w:szCs w:val="24"/>
              </w:rPr>
              <w:t xml:space="preserve">, reaktioner på applikationsstedet, bakteriel infektion, </w:t>
            </w:r>
            <w:proofErr w:type="spellStart"/>
            <w:r w:rsidRPr="00C03E2F">
              <w:rPr>
                <w:sz w:val="24"/>
                <w:szCs w:val="24"/>
              </w:rPr>
              <w:t>follikulitis</w:t>
            </w:r>
            <w:proofErr w:type="spellEnd"/>
            <w:r w:rsidRPr="00C03E2F">
              <w:rPr>
                <w:sz w:val="24"/>
                <w:szCs w:val="24"/>
              </w:rPr>
              <w:t xml:space="preserve"> </w:t>
            </w:r>
          </w:p>
        </w:tc>
      </w:tr>
      <w:tr w:rsidR="00D61569" w:rsidRPr="00C03E2F" w:rsidTr="00714DF7">
        <w:trPr>
          <w:trHeight w:val="31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69" w:rsidRPr="00C03E2F" w:rsidRDefault="00D61569" w:rsidP="00714DF7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Ikke almindelig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569" w:rsidRPr="00C03E2F" w:rsidRDefault="00D61569" w:rsidP="00714DF7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 xml:space="preserve">Irritation, </w:t>
            </w:r>
            <w:proofErr w:type="spellStart"/>
            <w:r w:rsidRPr="00C03E2F">
              <w:rPr>
                <w:sz w:val="24"/>
                <w:szCs w:val="24"/>
              </w:rPr>
              <w:t>hypertrikose</w:t>
            </w:r>
            <w:proofErr w:type="spellEnd"/>
            <w:r w:rsidRPr="00C03E2F">
              <w:rPr>
                <w:sz w:val="24"/>
                <w:szCs w:val="24"/>
              </w:rPr>
              <w:t xml:space="preserve">, </w:t>
            </w:r>
            <w:proofErr w:type="spellStart"/>
            <w:r w:rsidRPr="00C03E2F">
              <w:rPr>
                <w:sz w:val="24"/>
                <w:szCs w:val="24"/>
              </w:rPr>
              <w:t>hypopigmentering</w:t>
            </w:r>
            <w:proofErr w:type="spellEnd"/>
            <w:r w:rsidRPr="00C03E2F">
              <w:rPr>
                <w:sz w:val="24"/>
                <w:szCs w:val="24"/>
              </w:rPr>
              <w:t xml:space="preserve">, </w:t>
            </w:r>
            <w:proofErr w:type="spellStart"/>
            <w:r w:rsidRPr="00C03E2F">
              <w:rPr>
                <w:sz w:val="24"/>
                <w:szCs w:val="24"/>
              </w:rPr>
              <w:t>perioral</w:t>
            </w:r>
            <w:proofErr w:type="spellEnd"/>
            <w:r w:rsidRPr="00C03E2F">
              <w:rPr>
                <w:sz w:val="24"/>
                <w:szCs w:val="24"/>
              </w:rPr>
              <w:t xml:space="preserve"> </w:t>
            </w:r>
            <w:proofErr w:type="spellStart"/>
            <w:r w:rsidRPr="00C03E2F">
              <w:rPr>
                <w:sz w:val="24"/>
                <w:szCs w:val="24"/>
              </w:rPr>
              <w:t>dermatitis</w:t>
            </w:r>
            <w:proofErr w:type="spellEnd"/>
            <w:r w:rsidRPr="00C03E2F">
              <w:rPr>
                <w:sz w:val="24"/>
                <w:szCs w:val="24"/>
              </w:rPr>
              <w:t xml:space="preserve">, allergisk </w:t>
            </w:r>
            <w:proofErr w:type="spellStart"/>
            <w:r w:rsidRPr="00C03E2F">
              <w:rPr>
                <w:sz w:val="24"/>
                <w:szCs w:val="24"/>
              </w:rPr>
              <w:t>kontaktdermatitis</w:t>
            </w:r>
            <w:proofErr w:type="spellEnd"/>
            <w:r w:rsidRPr="00C03E2F">
              <w:rPr>
                <w:sz w:val="24"/>
                <w:szCs w:val="24"/>
              </w:rPr>
              <w:t xml:space="preserve">, </w:t>
            </w:r>
            <w:proofErr w:type="spellStart"/>
            <w:r w:rsidRPr="00C03E2F">
              <w:rPr>
                <w:sz w:val="24"/>
                <w:szCs w:val="24"/>
              </w:rPr>
              <w:t>hudmaceration</w:t>
            </w:r>
            <w:proofErr w:type="spellEnd"/>
            <w:r w:rsidRPr="00C03E2F">
              <w:rPr>
                <w:sz w:val="24"/>
                <w:szCs w:val="24"/>
              </w:rPr>
              <w:t xml:space="preserve">, </w:t>
            </w:r>
            <w:proofErr w:type="spellStart"/>
            <w:r w:rsidRPr="00C03E2F">
              <w:rPr>
                <w:sz w:val="24"/>
                <w:szCs w:val="24"/>
              </w:rPr>
              <w:t>striae</w:t>
            </w:r>
            <w:proofErr w:type="spellEnd"/>
            <w:r w:rsidRPr="00C03E2F">
              <w:rPr>
                <w:sz w:val="24"/>
                <w:szCs w:val="24"/>
              </w:rPr>
              <w:t xml:space="preserve">, </w:t>
            </w:r>
            <w:proofErr w:type="spellStart"/>
            <w:r w:rsidRPr="00C03E2F">
              <w:rPr>
                <w:sz w:val="24"/>
                <w:szCs w:val="24"/>
              </w:rPr>
              <w:t>milia</w:t>
            </w:r>
            <w:proofErr w:type="spellEnd"/>
            <w:r w:rsidRPr="00C03E2F">
              <w:rPr>
                <w:sz w:val="24"/>
                <w:szCs w:val="24"/>
              </w:rPr>
              <w:t xml:space="preserve">, </w:t>
            </w:r>
            <w:proofErr w:type="spellStart"/>
            <w:r w:rsidRPr="00C03E2F">
              <w:rPr>
                <w:sz w:val="24"/>
                <w:szCs w:val="24"/>
              </w:rPr>
              <w:t>xerodermi</w:t>
            </w:r>
            <w:proofErr w:type="spellEnd"/>
            <w:r w:rsidRPr="00C03E2F">
              <w:rPr>
                <w:sz w:val="24"/>
                <w:szCs w:val="24"/>
              </w:rPr>
              <w:t xml:space="preserve"> </w:t>
            </w:r>
          </w:p>
        </w:tc>
      </w:tr>
    </w:tbl>
    <w:p w:rsidR="00D61569" w:rsidRPr="00C03E2F" w:rsidRDefault="00D61569" w:rsidP="00714DF7">
      <w:pPr>
        <w:ind w:left="851" w:hanging="851"/>
        <w:rPr>
          <w:sz w:val="24"/>
          <w:szCs w:val="24"/>
        </w:rPr>
      </w:pPr>
    </w:p>
    <w:p w:rsidR="00D61569" w:rsidRPr="00C03E2F" w:rsidRDefault="00D61569" w:rsidP="00714DF7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 xml:space="preserve">En forhøjet risiko for systemiske virkninger og lokale bivirkninger er til stede ved hyppig dosering, behandling af store områder eller i lang tid, samt behandling af </w:t>
      </w:r>
      <w:proofErr w:type="spellStart"/>
      <w:r w:rsidRPr="00C03E2F">
        <w:rPr>
          <w:sz w:val="24"/>
          <w:szCs w:val="24"/>
        </w:rPr>
        <w:t>intertriginøse</w:t>
      </w:r>
      <w:proofErr w:type="spellEnd"/>
      <w:r w:rsidRPr="00C03E2F">
        <w:rPr>
          <w:sz w:val="24"/>
          <w:szCs w:val="24"/>
        </w:rPr>
        <w:t xml:space="preserve"> områder eller med </w:t>
      </w:r>
      <w:proofErr w:type="spellStart"/>
      <w:r w:rsidRPr="00C03E2F">
        <w:rPr>
          <w:sz w:val="24"/>
          <w:szCs w:val="24"/>
        </w:rPr>
        <w:t>okkluderende</w:t>
      </w:r>
      <w:proofErr w:type="spellEnd"/>
      <w:r w:rsidRPr="00C03E2F">
        <w:rPr>
          <w:sz w:val="24"/>
          <w:szCs w:val="24"/>
        </w:rPr>
        <w:t xml:space="preserve"> forbindinger. </w:t>
      </w:r>
    </w:p>
    <w:p w:rsidR="00D61569" w:rsidRPr="00C03E2F" w:rsidRDefault="00D61569" w:rsidP="00714DF7">
      <w:pPr>
        <w:ind w:left="851"/>
        <w:rPr>
          <w:sz w:val="24"/>
          <w:szCs w:val="24"/>
        </w:rPr>
      </w:pPr>
      <w:proofErr w:type="spellStart"/>
      <w:r w:rsidRPr="00C03E2F">
        <w:rPr>
          <w:sz w:val="24"/>
          <w:szCs w:val="24"/>
        </w:rPr>
        <w:t>Hypopigmentering</w:t>
      </w:r>
      <w:proofErr w:type="spellEnd"/>
      <w:r w:rsidRPr="00C03E2F">
        <w:rPr>
          <w:sz w:val="24"/>
          <w:szCs w:val="24"/>
        </w:rPr>
        <w:t xml:space="preserve"> eller </w:t>
      </w:r>
      <w:proofErr w:type="spellStart"/>
      <w:r w:rsidRPr="00C03E2F">
        <w:rPr>
          <w:sz w:val="24"/>
          <w:szCs w:val="24"/>
        </w:rPr>
        <w:t>hyperpigmentering</w:t>
      </w:r>
      <w:proofErr w:type="spellEnd"/>
      <w:r w:rsidRPr="00C03E2F">
        <w:rPr>
          <w:sz w:val="24"/>
          <w:szCs w:val="24"/>
        </w:rPr>
        <w:t xml:space="preserve"> er blevet rapporteret i isolerede tilfælde (sjældne) eller i forbindelse med andre steroider og kan derfor forekomme med </w:t>
      </w: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”Galen” 1 mg/g </w:t>
      </w:r>
      <w:r w:rsidR="00B46E4A" w:rsidRPr="00C03E2F">
        <w:rPr>
          <w:sz w:val="24"/>
          <w:szCs w:val="24"/>
        </w:rPr>
        <w:t>c</w:t>
      </w:r>
      <w:r w:rsidRPr="00C03E2F">
        <w:rPr>
          <w:sz w:val="24"/>
          <w:szCs w:val="24"/>
        </w:rPr>
        <w:t>reme.</w:t>
      </w:r>
    </w:p>
    <w:p w:rsidR="00D61569" w:rsidRPr="00C03E2F" w:rsidRDefault="00D61569" w:rsidP="00714DF7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 xml:space="preserve">Bivirkninger, som er blevet rapporteret med systemiske </w:t>
      </w:r>
      <w:proofErr w:type="spellStart"/>
      <w:r w:rsidRPr="00C03E2F">
        <w:rPr>
          <w:sz w:val="24"/>
          <w:szCs w:val="24"/>
        </w:rPr>
        <w:t>glukokortikoider</w:t>
      </w:r>
      <w:proofErr w:type="spellEnd"/>
      <w:r w:rsidRPr="00C03E2F">
        <w:rPr>
          <w:sz w:val="24"/>
          <w:szCs w:val="24"/>
        </w:rPr>
        <w:t xml:space="preserve"> (herunder binyrebarkhæmning), kan også forekomme med </w:t>
      </w:r>
      <w:proofErr w:type="spellStart"/>
      <w:r w:rsidRPr="00C03E2F">
        <w:rPr>
          <w:sz w:val="24"/>
          <w:szCs w:val="24"/>
        </w:rPr>
        <w:t>topikalt</w:t>
      </w:r>
      <w:proofErr w:type="spellEnd"/>
      <w:r w:rsidRPr="00C03E2F">
        <w:rPr>
          <w:sz w:val="24"/>
          <w:szCs w:val="24"/>
        </w:rPr>
        <w:t xml:space="preserve"> applikerede </w:t>
      </w:r>
      <w:proofErr w:type="spellStart"/>
      <w:r w:rsidRPr="00C03E2F">
        <w:rPr>
          <w:sz w:val="24"/>
          <w:szCs w:val="24"/>
        </w:rPr>
        <w:t>glukokortikoider</w:t>
      </w:r>
      <w:proofErr w:type="spellEnd"/>
      <w:r w:rsidRPr="00C03E2F">
        <w:rPr>
          <w:sz w:val="24"/>
          <w:szCs w:val="24"/>
        </w:rPr>
        <w:t>.</w:t>
      </w:r>
    </w:p>
    <w:p w:rsidR="00D61569" w:rsidRPr="00C03E2F" w:rsidRDefault="00D61569" w:rsidP="00714DF7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 xml:space="preserve">Pædiatriske patienter kan udvise større følsomhed over for </w:t>
      </w:r>
      <w:proofErr w:type="spellStart"/>
      <w:r w:rsidRPr="00C03E2F">
        <w:rPr>
          <w:sz w:val="24"/>
          <w:szCs w:val="24"/>
        </w:rPr>
        <w:t>topikal</w:t>
      </w:r>
      <w:proofErr w:type="spellEnd"/>
      <w:r w:rsidRPr="00C03E2F">
        <w:rPr>
          <w:sz w:val="24"/>
          <w:szCs w:val="24"/>
        </w:rPr>
        <w:t xml:space="preserve"> </w:t>
      </w:r>
      <w:proofErr w:type="spellStart"/>
      <w:r w:rsidRPr="00C03E2F">
        <w:rPr>
          <w:sz w:val="24"/>
          <w:szCs w:val="24"/>
        </w:rPr>
        <w:t>kortikosteroidinduceret</w:t>
      </w:r>
      <w:proofErr w:type="spellEnd"/>
      <w:r w:rsidRPr="00C03E2F">
        <w:rPr>
          <w:sz w:val="24"/>
          <w:szCs w:val="24"/>
        </w:rPr>
        <w:t xml:space="preserve"> hæmning af </w:t>
      </w:r>
      <w:proofErr w:type="spellStart"/>
      <w:r w:rsidRPr="00C03E2F">
        <w:rPr>
          <w:sz w:val="24"/>
          <w:szCs w:val="24"/>
        </w:rPr>
        <w:t>hypotalamus-hypofyse-binyrebarkaksen</w:t>
      </w:r>
      <w:proofErr w:type="spellEnd"/>
      <w:r w:rsidRPr="00C03E2F">
        <w:rPr>
          <w:sz w:val="24"/>
          <w:szCs w:val="24"/>
        </w:rPr>
        <w:t xml:space="preserve"> (</w:t>
      </w:r>
      <w:proofErr w:type="spellStart"/>
      <w:r w:rsidRPr="00C03E2F">
        <w:rPr>
          <w:sz w:val="24"/>
          <w:szCs w:val="24"/>
        </w:rPr>
        <w:t>HPA-aksen</w:t>
      </w:r>
      <w:proofErr w:type="spellEnd"/>
      <w:r w:rsidRPr="00C03E2F">
        <w:rPr>
          <w:sz w:val="24"/>
          <w:szCs w:val="24"/>
        </w:rPr>
        <w:t xml:space="preserve">) og </w:t>
      </w:r>
      <w:proofErr w:type="spellStart"/>
      <w:r w:rsidRPr="00C03E2F">
        <w:rPr>
          <w:sz w:val="24"/>
          <w:szCs w:val="24"/>
        </w:rPr>
        <w:t>Cushings</w:t>
      </w:r>
      <w:proofErr w:type="spellEnd"/>
      <w:r w:rsidRPr="00C03E2F">
        <w:rPr>
          <w:sz w:val="24"/>
          <w:szCs w:val="24"/>
        </w:rPr>
        <w:t xml:space="preserve"> syndrom end voksne patienter på grund af det større forhold mellem </w:t>
      </w:r>
      <w:proofErr w:type="spellStart"/>
      <w:r w:rsidRPr="00C03E2F">
        <w:rPr>
          <w:sz w:val="24"/>
          <w:szCs w:val="24"/>
        </w:rPr>
        <w:t>hudoverfladen</w:t>
      </w:r>
      <w:proofErr w:type="spellEnd"/>
      <w:r w:rsidRPr="00C03E2F">
        <w:rPr>
          <w:sz w:val="24"/>
          <w:szCs w:val="24"/>
        </w:rPr>
        <w:t xml:space="preserve"> og kropsvægten. Kronisk </w:t>
      </w:r>
      <w:proofErr w:type="spellStart"/>
      <w:r w:rsidRPr="00C03E2F">
        <w:rPr>
          <w:sz w:val="24"/>
          <w:szCs w:val="24"/>
        </w:rPr>
        <w:t>kortikosteroidbehandling</w:t>
      </w:r>
      <w:proofErr w:type="spellEnd"/>
      <w:r w:rsidRPr="00C03E2F">
        <w:rPr>
          <w:sz w:val="24"/>
          <w:szCs w:val="24"/>
        </w:rPr>
        <w:t xml:space="preserve"> kan påvirke børns vækst og udvikling.</w:t>
      </w:r>
    </w:p>
    <w:p w:rsidR="00D61569" w:rsidRPr="00C03E2F" w:rsidRDefault="00D61569" w:rsidP="00714DF7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 xml:space="preserve">Der er blevet rapporteret </w:t>
      </w:r>
      <w:proofErr w:type="spellStart"/>
      <w:r w:rsidRPr="00C03E2F">
        <w:rPr>
          <w:sz w:val="24"/>
          <w:szCs w:val="24"/>
        </w:rPr>
        <w:t>intrakranial</w:t>
      </w:r>
      <w:proofErr w:type="spellEnd"/>
      <w:r w:rsidRPr="00C03E2F">
        <w:rPr>
          <w:sz w:val="24"/>
          <w:szCs w:val="24"/>
        </w:rPr>
        <w:t xml:space="preserve"> </w:t>
      </w:r>
      <w:proofErr w:type="spellStart"/>
      <w:r w:rsidRPr="00C03E2F">
        <w:rPr>
          <w:sz w:val="24"/>
          <w:szCs w:val="24"/>
        </w:rPr>
        <w:t>hypertension</w:t>
      </w:r>
      <w:proofErr w:type="spellEnd"/>
      <w:r w:rsidRPr="00C03E2F">
        <w:rPr>
          <w:sz w:val="24"/>
          <w:szCs w:val="24"/>
        </w:rPr>
        <w:t xml:space="preserve"> hos pædiatriske patienter, der får </w:t>
      </w:r>
      <w:proofErr w:type="spellStart"/>
      <w:r w:rsidRPr="00C03E2F">
        <w:rPr>
          <w:sz w:val="24"/>
          <w:szCs w:val="24"/>
        </w:rPr>
        <w:t>topikale</w:t>
      </w:r>
      <w:proofErr w:type="spellEnd"/>
      <w:r w:rsidRPr="00C03E2F">
        <w:rPr>
          <w:sz w:val="24"/>
          <w:szCs w:val="24"/>
        </w:rPr>
        <w:t xml:space="preserve"> </w:t>
      </w:r>
      <w:proofErr w:type="spellStart"/>
      <w:r w:rsidRPr="00C03E2F">
        <w:rPr>
          <w:sz w:val="24"/>
          <w:szCs w:val="24"/>
        </w:rPr>
        <w:t>kortikosteroider</w:t>
      </w:r>
      <w:proofErr w:type="spellEnd"/>
      <w:r w:rsidRPr="00C03E2F">
        <w:rPr>
          <w:sz w:val="24"/>
          <w:szCs w:val="24"/>
        </w:rPr>
        <w:t xml:space="preserve">. </w:t>
      </w:r>
    </w:p>
    <w:p w:rsidR="00D61569" w:rsidRPr="00C03E2F" w:rsidRDefault="00D61569" w:rsidP="00714DF7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 xml:space="preserve">Manifestationer på </w:t>
      </w:r>
      <w:proofErr w:type="spellStart"/>
      <w:r w:rsidRPr="00C03E2F">
        <w:rPr>
          <w:sz w:val="24"/>
          <w:szCs w:val="24"/>
        </w:rPr>
        <w:t>intrakranial</w:t>
      </w:r>
      <w:proofErr w:type="spellEnd"/>
      <w:r w:rsidRPr="00C03E2F">
        <w:rPr>
          <w:sz w:val="24"/>
          <w:szCs w:val="24"/>
        </w:rPr>
        <w:t xml:space="preserve"> </w:t>
      </w:r>
      <w:proofErr w:type="spellStart"/>
      <w:r w:rsidRPr="00C03E2F">
        <w:rPr>
          <w:sz w:val="24"/>
          <w:szCs w:val="24"/>
        </w:rPr>
        <w:t>hypertension</w:t>
      </w:r>
      <w:proofErr w:type="spellEnd"/>
      <w:r w:rsidRPr="00C03E2F">
        <w:rPr>
          <w:sz w:val="24"/>
          <w:szCs w:val="24"/>
        </w:rPr>
        <w:t xml:space="preserve"> omfatter udbulende fontaneller, hovedpiner og bilateral papilødem.</w:t>
      </w:r>
    </w:p>
    <w:p w:rsidR="00B003BF" w:rsidRPr="00C03E2F" w:rsidRDefault="00B003BF" w:rsidP="00714DF7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4.9</w:t>
      </w:r>
      <w:r w:rsidRPr="00C03E2F">
        <w:rPr>
          <w:b/>
          <w:sz w:val="24"/>
          <w:szCs w:val="24"/>
        </w:rPr>
        <w:tab/>
        <w:t>Overdosering</w:t>
      </w:r>
    </w:p>
    <w:p w:rsidR="00D61569" w:rsidRPr="00C03E2F" w:rsidRDefault="00B003BF" w:rsidP="00714DF7">
      <w:pPr>
        <w:ind w:left="851" w:hanging="851"/>
        <w:rPr>
          <w:sz w:val="24"/>
          <w:szCs w:val="24"/>
        </w:rPr>
      </w:pPr>
      <w:r w:rsidRPr="00C03E2F">
        <w:rPr>
          <w:sz w:val="24"/>
          <w:szCs w:val="24"/>
        </w:rPr>
        <w:tab/>
      </w:r>
      <w:r w:rsidR="00D61569" w:rsidRPr="00C03E2F">
        <w:rPr>
          <w:sz w:val="24"/>
          <w:szCs w:val="24"/>
        </w:rPr>
        <w:t xml:space="preserve">Overdreven og omfattende brug af </w:t>
      </w:r>
      <w:proofErr w:type="spellStart"/>
      <w:r w:rsidR="00D61569" w:rsidRPr="00C03E2F">
        <w:rPr>
          <w:sz w:val="24"/>
          <w:szCs w:val="24"/>
        </w:rPr>
        <w:t>topikale</w:t>
      </w:r>
      <w:proofErr w:type="spellEnd"/>
      <w:r w:rsidR="00D61569" w:rsidRPr="00C03E2F">
        <w:rPr>
          <w:sz w:val="24"/>
          <w:szCs w:val="24"/>
        </w:rPr>
        <w:t xml:space="preserve"> </w:t>
      </w:r>
      <w:proofErr w:type="spellStart"/>
      <w:r w:rsidR="00D61569" w:rsidRPr="00C03E2F">
        <w:rPr>
          <w:sz w:val="24"/>
          <w:szCs w:val="24"/>
        </w:rPr>
        <w:t>kortikosteroider</w:t>
      </w:r>
      <w:proofErr w:type="spellEnd"/>
      <w:r w:rsidR="00D61569" w:rsidRPr="00C03E2F">
        <w:rPr>
          <w:sz w:val="24"/>
          <w:szCs w:val="24"/>
        </w:rPr>
        <w:t xml:space="preserve"> (kronisk overdosering eller misbrug) kan resultere i undertrykkelse af hypofysens og binyrernes funktion og føre til sekundær nedsat binyrebarksvigt. Hensigtsmæssig symptomatisk behandling er indiceret i sådanne tilfælde, de akutte symptomer er i det store og hele reversible. Elektrolytforstyrrelser kan behøve behandlingsintervention. I tilfælde af kronisk toksicitet </w:t>
      </w:r>
      <w:r w:rsidR="00D61569" w:rsidRPr="00C03E2F">
        <w:rPr>
          <w:sz w:val="24"/>
          <w:szCs w:val="24"/>
        </w:rPr>
        <w:lastRenderedPageBreak/>
        <w:t>er det indiceret at nedtrappe dosis forsigtigt. Der er imidlertid endnu ikke blevet rapporteret sådanne tilfælde.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4.10</w:t>
      </w:r>
      <w:r w:rsidRPr="00C03E2F">
        <w:rPr>
          <w:b/>
          <w:sz w:val="24"/>
          <w:szCs w:val="24"/>
        </w:rPr>
        <w:tab/>
        <w:t>Udlevering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  <w:r w:rsidRPr="00C03E2F">
        <w:rPr>
          <w:sz w:val="24"/>
          <w:szCs w:val="24"/>
        </w:rPr>
        <w:tab/>
      </w:r>
      <w:r w:rsidR="00F971A4" w:rsidRPr="00C03E2F">
        <w:rPr>
          <w:sz w:val="24"/>
          <w:szCs w:val="24"/>
        </w:rPr>
        <w:t>B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5.</w:t>
      </w:r>
      <w:r w:rsidRPr="00C03E2F">
        <w:rPr>
          <w:b/>
          <w:sz w:val="24"/>
          <w:szCs w:val="24"/>
        </w:rPr>
        <w:tab/>
        <w:t>FARMAKOLOGISKE EGENSKABER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5.0</w:t>
      </w:r>
      <w:r w:rsidRPr="00C03E2F">
        <w:rPr>
          <w:b/>
          <w:sz w:val="24"/>
          <w:szCs w:val="24"/>
        </w:rPr>
        <w:tab/>
        <w:t>Terapeutisk klassifikation</w:t>
      </w:r>
    </w:p>
    <w:p w:rsidR="00D61569" w:rsidRPr="00C03E2F" w:rsidRDefault="00B003BF" w:rsidP="00F971A4">
      <w:pPr>
        <w:ind w:left="851" w:hanging="851"/>
        <w:rPr>
          <w:sz w:val="24"/>
          <w:szCs w:val="24"/>
        </w:rPr>
      </w:pPr>
      <w:r w:rsidRPr="00C03E2F">
        <w:rPr>
          <w:sz w:val="24"/>
          <w:szCs w:val="24"/>
        </w:rPr>
        <w:tab/>
      </w:r>
      <w:proofErr w:type="spellStart"/>
      <w:r w:rsidR="00F971A4" w:rsidRPr="00C03E2F">
        <w:rPr>
          <w:sz w:val="24"/>
          <w:szCs w:val="24"/>
        </w:rPr>
        <w:t>ATC-kode</w:t>
      </w:r>
      <w:proofErr w:type="spellEnd"/>
      <w:r w:rsidR="00F971A4" w:rsidRPr="00C03E2F">
        <w:rPr>
          <w:sz w:val="24"/>
          <w:szCs w:val="24"/>
        </w:rPr>
        <w:t>: D07AC13.</w:t>
      </w:r>
      <w:r w:rsidR="00D61569" w:rsidRPr="00C03E2F">
        <w:rPr>
          <w:sz w:val="24"/>
          <w:szCs w:val="24"/>
        </w:rPr>
        <w:t xml:space="preserve"> KORTIKOIDER, DERMATOLOGISKE PRÆPARATER,</w:t>
      </w:r>
      <w:r w:rsidR="00F971A4" w:rsidRPr="00C03E2F">
        <w:rPr>
          <w:sz w:val="24"/>
          <w:szCs w:val="24"/>
        </w:rPr>
        <w:t xml:space="preserve"> </w:t>
      </w:r>
      <w:proofErr w:type="spellStart"/>
      <w:r w:rsidR="00D61569" w:rsidRPr="00C03E2F">
        <w:rPr>
          <w:sz w:val="24"/>
          <w:szCs w:val="24"/>
        </w:rPr>
        <w:t>kortikoider</w:t>
      </w:r>
      <w:proofErr w:type="spellEnd"/>
      <w:r w:rsidR="00D61569" w:rsidRPr="00C03E2F">
        <w:rPr>
          <w:sz w:val="24"/>
          <w:szCs w:val="24"/>
        </w:rPr>
        <w:t xml:space="preserve">, </w:t>
      </w:r>
      <w:r w:rsidR="00D61569" w:rsidRPr="00C03E2F">
        <w:rPr>
          <w:sz w:val="24"/>
          <w:szCs w:val="24"/>
          <w:u w:val="single"/>
        </w:rPr>
        <w:t>stærk virkning (gruppe III)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5.1</w:t>
      </w:r>
      <w:r w:rsidRPr="00C03E2F">
        <w:rPr>
          <w:b/>
          <w:sz w:val="24"/>
          <w:szCs w:val="24"/>
        </w:rPr>
        <w:tab/>
      </w:r>
      <w:proofErr w:type="spellStart"/>
      <w:r w:rsidRPr="00C03E2F">
        <w:rPr>
          <w:b/>
          <w:sz w:val="24"/>
          <w:szCs w:val="24"/>
        </w:rPr>
        <w:t>Farmakodynamiske</w:t>
      </w:r>
      <w:proofErr w:type="spellEnd"/>
      <w:r w:rsidRPr="00C03E2F">
        <w:rPr>
          <w:b/>
          <w:sz w:val="24"/>
          <w:szCs w:val="24"/>
        </w:rPr>
        <w:t xml:space="preserve"> egenskaber</w:t>
      </w:r>
    </w:p>
    <w:p w:rsidR="00D61569" w:rsidRPr="00C03E2F" w:rsidRDefault="00B003BF" w:rsidP="00714DF7">
      <w:pPr>
        <w:ind w:left="851" w:hanging="851"/>
        <w:rPr>
          <w:sz w:val="24"/>
          <w:szCs w:val="24"/>
        </w:rPr>
      </w:pPr>
      <w:r w:rsidRPr="00C03E2F">
        <w:rPr>
          <w:sz w:val="24"/>
          <w:szCs w:val="24"/>
        </w:rPr>
        <w:tab/>
      </w:r>
      <w:r w:rsidR="00D61569" w:rsidRPr="00C03E2F">
        <w:rPr>
          <w:sz w:val="24"/>
          <w:szCs w:val="24"/>
        </w:rPr>
        <w:t xml:space="preserve">De tilgængelige kliniske data, der forefindes for </w:t>
      </w:r>
      <w:proofErr w:type="spellStart"/>
      <w:r w:rsidR="00D61569" w:rsidRPr="00C03E2F">
        <w:rPr>
          <w:sz w:val="24"/>
          <w:szCs w:val="24"/>
        </w:rPr>
        <w:t>mometasonfuroat</w:t>
      </w:r>
      <w:proofErr w:type="spellEnd"/>
      <w:r w:rsidR="00D61569" w:rsidRPr="00C03E2F">
        <w:rPr>
          <w:sz w:val="24"/>
          <w:szCs w:val="24"/>
        </w:rPr>
        <w:t xml:space="preserve">, indikerer, at stoffet udviser egenskaberne for stærke </w:t>
      </w:r>
      <w:proofErr w:type="spellStart"/>
      <w:r w:rsidR="00D61569" w:rsidRPr="00C03E2F">
        <w:rPr>
          <w:sz w:val="24"/>
          <w:szCs w:val="24"/>
        </w:rPr>
        <w:t>kortikosteroider</w:t>
      </w:r>
      <w:proofErr w:type="spellEnd"/>
      <w:r w:rsidR="00D61569" w:rsidRPr="00C03E2F">
        <w:rPr>
          <w:sz w:val="24"/>
          <w:szCs w:val="24"/>
        </w:rPr>
        <w:t>.</w:t>
      </w:r>
    </w:p>
    <w:p w:rsidR="00D61569" w:rsidRPr="00C03E2F" w:rsidRDefault="00D61569" w:rsidP="00714DF7">
      <w:pPr>
        <w:ind w:left="851" w:hanging="851"/>
        <w:rPr>
          <w:sz w:val="24"/>
          <w:szCs w:val="24"/>
        </w:rPr>
      </w:pPr>
    </w:p>
    <w:p w:rsidR="00D61569" w:rsidRPr="00C03E2F" w:rsidRDefault="00D61569" w:rsidP="00F971A4">
      <w:pPr>
        <w:ind w:left="851"/>
        <w:rPr>
          <w:iCs/>
          <w:sz w:val="24"/>
          <w:szCs w:val="24"/>
        </w:rPr>
      </w:pPr>
      <w:r w:rsidRPr="00C03E2F">
        <w:rPr>
          <w:sz w:val="24"/>
          <w:szCs w:val="24"/>
        </w:rPr>
        <w:t xml:space="preserve">I musemodellen med </w:t>
      </w:r>
      <w:proofErr w:type="spellStart"/>
      <w:r w:rsidRPr="00C03E2F">
        <w:rPr>
          <w:sz w:val="24"/>
          <w:szCs w:val="24"/>
        </w:rPr>
        <w:t>krotonolie</w:t>
      </w:r>
      <w:proofErr w:type="spellEnd"/>
      <w:r w:rsidRPr="00C03E2F">
        <w:rPr>
          <w:sz w:val="24"/>
          <w:szCs w:val="24"/>
        </w:rPr>
        <w:t xml:space="preserve"> med en enkeltdosis </w:t>
      </w: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(ED</w:t>
      </w:r>
      <w:r w:rsidRPr="00C03E2F">
        <w:rPr>
          <w:sz w:val="24"/>
          <w:szCs w:val="24"/>
          <w:vertAlign w:val="subscript"/>
        </w:rPr>
        <w:t>50</w:t>
      </w:r>
      <w:r w:rsidRPr="00C03E2F">
        <w:rPr>
          <w:sz w:val="24"/>
          <w:szCs w:val="24"/>
        </w:rPr>
        <w:t xml:space="preserve"> = 0,2 µg/øre) var virkningen sammenlignelig med </w:t>
      </w:r>
      <w:proofErr w:type="spellStart"/>
      <w:r w:rsidRPr="00C03E2F">
        <w:rPr>
          <w:sz w:val="24"/>
          <w:szCs w:val="24"/>
        </w:rPr>
        <w:t>betamethasonvalerat</w:t>
      </w:r>
      <w:proofErr w:type="spellEnd"/>
      <w:r w:rsidRPr="00C03E2F">
        <w:rPr>
          <w:sz w:val="24"/>
          <w:szCs w:val="24"/>
        </w:rPr>
        <w:t xml:space="preserve">. Efter gentagen applikation (n = 5) var </w:t>
      </w: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8 gange mere potent end </w:t>
      </w:r>
      <w:proofErr w:type="spellStart"/>
      <w:r w:rsidRPr="00C03E2F">
        <w:rPr>
          <w:sz w:val="24"/>
          <w:szCs w:val="24"/>
        </w:rPr>
        <w:t>betamethasonvalerat</w:t>
      </w:r>
      <w:proofErr w:type="spellEnd"/>
      <w:r w:rsidRPr="00C03E2F">
        <w:rPr>
          <w:sz w:val="24"/>
          <w:szCs w:val="24"/>
        </w:rPr>
        <w:t xml:space="preserve"> (ED</w:t>
      </w:r>
      <w:r w:rsidRPr="00C03E2F">
        <w:rPr>
          <w:sz w:val="24"/>
          <w:szCs w:val="24"/>
          <w:vertAlign w:val="subscript"/>
        </w:rPr>
        <w:t>50</w:t>
      </w:r>
      <w:r w:rsidRPr="00C03E2F">
        <w:rPr>
          <w:sz w:val="24"/>
          <w:szCs w:val="24"/>
        </w:rPr>
        <w:t xml:space="preserve"> = 0,002 µg/øre/dag vs. 0,014 µg/øre/dag).</w:t>
      </w:r>
    </w:p>
    <w:p w:rsidR="00D61569" w:rsidRPr="00C03E2F" w:rsidRDefault="00D61569" w:rsidP="00714DF7">
      <w:pPr>
        <w:ind w:left="851" w:hanging="851"/>
        <w:rPr>
          <w:iCs/>
          <w:sz w:val="24"/>
          <w:szCs w:val="24"/>
        </w:rPr>
      </w:pPr>
    </w:p>
    <w:p w:rsidR="00D61569" w:rsidRPr="00C03E2F" w:rsidRDefault="00D61569" w:rsidP="00F971A4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 xml:space="preserve">I det samme testsystem, der evaluerede andre markører for </w:t>
      </w:r>
      <w:proofErr w:type="spellStart"/>
      <w:r w:rsidRPr="00C03E2F">
        <w:rPr>
          <w:sz w:val="24"/>
          <w:szCs w:val="24"/>
        </w:rPr>
        <w:t>kortikosteroid-aktivitet</w:t>
      </w:r>
      <w:proofErr w:type="spellEnd"/>
      <w:r w:rsidRPr="00C03E2F">
        <w:rPr>
          <w:sz w:val="24"/>
          <w:szCs w:val="24"/>
        </w:rPr>
        <w:t xml:space="preserve">, udviste </w:t>
      </w: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(5,3 µg/øre/dag i 5 dage) en signifikant lavere hæmmende virkning på </w:t>
      </w:r>
      <w:proofErr w:type="spellStart"/>
      <w:r w:rsidRPr="00C03E2F">
        <w:rPr>
          <w:sz w:val="24"/>
          <w:szCs w:val="24"/>
        </w:rPr>
        <w:t>hypotalamus-hypofyse-binyrebarkaksen</w:t>
      </w:r>
      <w:proofErr w:type="spellEnd"/>
      <w:r w:rsidRPr="00C03E2F">
        <w:rPr>
          <w:sz w:val="24"/>
          <w:szCs w:val="24"/>
        </w:rPr>
        <w:t xml:space="preserve"> (</w:t>
      </w:r>
      <w:proofErr w:type="spellStart"/>
      <w:r w:rsidRPr="00C03E2F">
        <w:rPr>
          <w:sz w:val="24"/>
          <w:szCs w:val="24"/>
        </w:rPr>
        <w:t>HPA-aksen</w:t>
      </w:r>
      <w:proofErr w:type="spellEnd"/>
      <w:r w:rsidRPr="00C03E2F">
        <w:rPr>
          <w:sz w:val="24"/>
          <w:szCs w:val="24"/>
        </w:rPr>
        <w:t xml:space="preserve">) end </w:t>
      </w:r>
      <w:proofErr w:type="spellStart"/>
      <w:r w:rsidRPr="00C03E2F">
        <w:rPr>
          <w:sz w:val="24"/>
          <w:szCs w:val="24"/>
        </w:rPr>
        <w:t>betamethasonvalerat</w:t>
      </w:r>
      <w:proofErr w:type="spellEnd"/>
      <w:r w:rsidRPr="00C03E2F">
        <w:rPr>
          <w:sz w:val="24"/>
          <w:szCs w:val="24"/>
        </w:rPr>
        <w:t xml:space="preserve"> (ED</w:t>
      </w:r>
      <w:r w:rsidRPr="00C03E2F">
        <w:rPr>
          <w:sz w:val="24"/>
          <w:szCs w:val="24"/>
          <w:vertAlign w:val="subscript"/>
        </w:rPr>
        <w:t>50</w:t>
      </w:r>
      <w:r w:rsidRPr="00C03E2F">
        <w:rPr>
          <w:sz w:val="24"/>
          <w:szCs w:val="24"/>
        </w:rPr>
        <w:t xml:space="preserve"> = 3,1 µg/øre/dag).</w:t>
      </w:r>
    </w:p>
    <w:p w:rsidR="00D61569" w:rsidRPr="00C03E2F" w:rsidRDefault="00D61569" w:rsidP="00714DF7">
      <w:pPr>
        <w:ind w:left="851" w:hanging="851"/>
        <w:rPr>
          <w:iCs/>
          <w:sz w:val="24"/>
          <w:szCs w:val="24"/>
        </w:rPr>
      </w:pPr>
    </w:p>
    <w:p w:rsidR="00D61569" w:rsidRPr="00C03E2F" w:rsidRDefault="00D61569" w:rsidP="00F971A4">
      <w:pPr>
        <w:ind w:left="851"/>
        <w:rPr>
          <w:iCs/>
          <w:sz w:val="24"/>
          <w:szCs w:val="24"/>
        </w:rPr>
      </w:pPr>
      <w:r w:rsidRPr="00C03E2F">
        <w:rPr>
          <w:sz w:val="24"/>
          <w:szCs w:val="24"/>
        </w:rPr>
        <w:t xml:space="preserve">Det terapeutiske interval for </w:t>
      </w:r>
      <w:proofErr w:type="spellStart"/>
      <w:r w:rsidRPr="00C03E2F">
        <w:rPr>
          <w:sz w:val="24"/>
          <w:szCs w:val="24"/>
        </w:rPr>
        <w:t>momethasonfuroat</w:t>
      </w:r>
      <w:proofErr w:type="spellEnd"/>
      <w:r w:rsidRPr="00C03E2F">
        <w:rPr>
          <w:sz w:val="24"/>
          <w:szCs w:val="24"/>
        </w:rPr>
        <w:t xml:space="preserve"> har vist sig at være bredere sammenlignet med </w:t>
      </w:r>
      <w:proofErr w:type="spellStart"/>
      <w:r w:rsidRPr="00C03E2F">
        <w:rPr>
          <w:sz w:val="24"/>
          <w:szCs w:val="24"/>
        </w:rPr>
        <w:t>betamethasonvalerat</w:t>
      </w:r>
      <w:proofErr w:type="spellEnd"/>
      <w:r w:rsidRPr="00C03E2F">
        <w:rPr>
          <w:sz w:val="24"/>
          <w:szCs w:val="24"/>
        </w:rPr>
        <w:t>, hvilket indikerer en 3 til 10 gange teoretisk større sikkerhedsmargin. Det terapeutiske interval blev bestemt ud fra forholdet mellem ED</w:t>
      </w:r>
      <w:r w:rsidRPr="00C03E2F">
        <w:rPr>
          <w:sz w:val="24"/>
          <w:szCs w:val="24"/>
          <w:vertAlign w:val="subscript"/>
        </w:rPr>
        <w:t>50</w:t>
      </w:r>
      <w:r w:rsidRPr="00C03E2F">
        <w:rPr>
          <w:sz w:val="24"/>
          <w:szCs w:val="24"/>
        </w:rPr>
        <w:t xml:space="preserve"> for systemisk aktivitet (</w:t>
      </w:r>
      <w:proofErr w:type="spellStart"/>
      <w:r w:rsidRPr="00C03E2F">
        <w:rPr>
          <w:sz w:val="24"/>
          <w:szCs w:val="24"/>
        </w:rPr>
        <w:t>tymolyse</w:t>
      </w:r>
      <w:proofErr w:type="spellEnd"/>
      <w:r w:rsidRPr="00C03E2F">
        <w:rPr>
          <w:sz w:val="24"/>
          <w:szCs w:val="24"/>
        </w:rPr>
        <w:t xml:space="preserve">, </w:t>
      </w:r>
      <w:proofErr w:type="spellStart"/>
      <w:r w:rsidRPr="00C03E2F">
        <w:rPr>
          <w:sz w:val="24"/>
          <w:szCs w:val="24"/>
        </w:rPr>
        <w:t>HPA-akse</w:t>
      </w:r>
      <w:proofErr w:type="spellEnd"/>
      <w:r w:rsidRPr="00C03E2F">
        <w:rPr>
          <w:sz w:val="24"/>
          <w:szCs w:val="24"/>
        </w:rPr>
        <w:t xml:space="preserve">) og lokal </w:t>
      </w:r>
      <w:proofErr w:type="spellStart"/>
      <w:r w:rsidRPr="00C03E2F">
        <w:rPr>
          <w:sz w:val="24"/>
          <w:szCs w:val="24"/>
        </w:rPr>
        <w:t>antiflogistisk</w:t>
      </w:r>
      <w:proofErr w:type="spellEnd"/>
      <w:r w:rsidRPr="00C03E2F">
        <w:rPr>
          <w:sz w:val="24"/>
          <w:szCs w:val="24"/>
        </w:rPr>
        <w:t xml:space="preserve"> aktivitet, kvantificeret ved fastlagte, standardiserede in </w:t>
      </w:r>
      <w:proofErr w:type="spellStart"/>
      <w:r w:rsidRPr="00C03E2F">
        <w:rPr>
          <w:sz w:val="24"/>
          <w:szCs w:val="24"/>
        </w:rPr>
        <w:t>vitro-metoder</w:t>
      </w:r>
      <w:proofErr w:type="spellEnd"/>
      <w:r w:rsidRPr="00C03E2F">
        <w:rPr>
          <w:sz w:val="24"/>
          <w:szCs w:val="24"/>
        </w:rPr>
        <w:t>.</w:t>
      </w:r>
    </w:p>
    <w:p w:rsidR="00D61569" w:rsidRPr="00C03E2F" w:rsidRDefault="00D61569" w:rsidP="00714DF7">
      <w:pPr>
        <w:ind w:left="851" w:hanging="851"/>
        <w:rPr>
          <w:iCs/>
          <w:sz w:val="24"/>
          <w:szCs w:val="24"/>
        </w:rPr>
      </w:pPr>
    </w:p>
    <w:p w:rsidR="00D61569" w:rsidRPr="00C03E2F" w:rsidRDefault="00D61569" w:rsidP="00F971A4">
      <w:pPr>
        <w:ind w:left="851"/>
        <w:rPr>
          <w:iCs/>
          <w:sz w:val="24"/>
          <w:szCs w:val="24"/>
        </w:rPr>
      </w:pPr>
      <w:r w:rsidRPr="00C03E2F">
        <w:rPr>
          <w:sz w:val="24"/>
          <w:szCs w:val="24"/>
        </w:rPr>
        <w:t>Klinisk farmakologiske undersøgelser indikerer:</w:t>
      </w:r>
    </w:p>
    <w:p w:rsidR="00D61569" w:rsidRPr="00C03E2F" w:rsidRDefault="00D61569" w:rsidP="00714DF7">
      <w:pPr>
        <w:ind w:left="851" w:hanging="851"/>
        <w:rPr>
          <w:iCs/>
          <w:sz w:val="24"/>
          <w:szCs w:val="24"/>
        </w:rPr>
      </w:pPr>
    </w:p>
    <w:p w:rsidR="00D61569" w:rsidRPr="00C03E2F" w:rsidRDefault="00D61569" w:rsidP="00F971A4">
      <w:pPr>
        <w:numPr>
          <w:ilvl w:val="0"/>
          <w:numId w:val="7"/>
        </w:numPr>
        <w:ind w:left="1276" w:hanging="425"/>
        <w:rPr>
          <w:iCs/>
          <w:sz w:val="24"/>
          <w:szCs w:val="24"/>
        </w:rPr>
      </w:pPr>
      <w:proofErr w:type="spellStart"/>
      <w:r w:rsidRPr="00C03E2F">
        <w:rPr>
          <w:sz w:val="24"/>
          <w:szCs w:val="24"/>
        </w:rPr>
        <w:t>Vasokonstriktionen</w:t>
      </w:r>
      <w:proofErr w:type="spellEnd"/>
      <w:r w:rsidRPr="00C03E2F">
        <w:rPr>
          <w:sz w:val="24"/>
          <w:szCs w:val="24"/>
        </w:rPr>
        <w:t xml:space="preserve"> blev for </w:t>
      </w: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og andre </w:t>
      </w:r>
      <w:proofErr w:type="spellStart"/>
      <w:r w:rsidRPr="00C03E2F">
        <w:rPr>
          <w:sz w:val="24"/>
          <w:szCs w:val="24"/>
        </w:rPr>
        <w:t>kortikosteroider</w:t>
      </w:r>
      <w:proofErr w:type="spellEnd"/>
      <w:r w:rsidRPr="00C03E2F">
        <w:rPr>
          <w:sz w:val="24"/>
          <w:szCs w:val="24"/>
        </w:rPr>
        <w:t xml:space="preserve"> bestemt ved hjælp af (</w:t>
      </w:r>
      <w:proofErr w:type="spellStart"/>
      <w:r w:rsidRPr="00C03E2F">
        <w:rPr>
          <w:sz w:val="24"/>
          <w:szCs w:val="24"/>
        </w:rPr>
        <w:t>McKenzies</w:t>
      </w:r>
      <w:proofErr w:type="spellEnd"/>
      <w:r w:rsidRPr="00C03E2F">
        <w:rPr>
          <w:sz w:val="24"/>
          <w:szCs w:val="24"/>
        </w:rPr>
        <w:t xml:space="preserve"> blegheds- og </w:t>
      </w:r>
      <w:proofErr w:type="spellStart"/>
      <w:r w:rsidRPr="00C03E2F">
        <w:rPr>
          <w:sz w:val="24"/>
          <w:szCs w:val="24"/>
        </w:rPr>
        <w:t>vasokonstriktionstest</w:t>
      </w:r>
      <w:proofErr w:type="spellEnd"/>
      <w:r w:rsidRPr="00C03E2F">
        <w:rPr>
          <w:sz w:val="24"/>
          <w:szCs w:val="24"/>
        </w:rPr>
        <w:t>):</w:t>
      </w:r>
    </w:p>
    <w:p w:rsidR="00D61569" w:rsidRPr="00C03E2F" w:rsidRDefault="00D61569" w:rsidP="00F971A4">
      <w:pPr>
        <w:ind w:left="1276" w:hanging="425"/>
        <w:rPr>
          <w:iCs/>
          <w:sz w:val="24"/>
          <w:szCs w:val="24"/>
        </w:rPr>
      </w:pPr>
      <w:r w:rsidRPr="00C03E2F">
        <w:rPr>
          <w:sz w:val="24"/>
          <w:szCs w:val="24"/>
        </w:rPr>
        <w:tab/>
      </w: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creme 0,1 % fandtes at være lige så effektivt sammenlignet med </w:t>
      </w:r>
      <w:proofErr w:type="spellStart"/>
      <w:r w:rsidRPr="00C03E2F">
        <w:rPr>
          <w:sz w:val="24"/>
          <w:szCs w:val="24"/>
        </w:rPr>
        <w:t>betamethasonvalerat</w:t>
      </w:r>
      <w:proofErr w:type="spellEnd"/>
      <w:r w:rsidRPr="00C03E2F">
        <w:rPr>
          <w:sz w:val="24"/>
          <w:szCs w:val="24"/>
        </w:rPr>
        <w:t xml:space="preserve"> creme 0,1 %, </w:t>
      </w:r>
      <w:proofErr w:type="spellStart"/>
      <w:r w:rsidRPr="00C03E2F">
        <w:rPr>
          <w:sz w:val="24"/>
          <w:szCs w:val="24"/>
        </w:rPr>
        <w:t>triamcinolonacetonid</w:t>
      </w:r>
      <w:proofErr w:type="spellEnd"/>
      <w:r w:rsidRPr="00C03E2F">
        <w:rPr>
          <w:sz w:val="24"/>
          <w:szCs w:val="24"/>
        </w:rPr>
        <w:t xml:space="preserve"> creme 0,1 %, </w:t>
      </w:r>
      <w:proofErr w:type="spellStart"/>
      <w:r w:rsidRPr="00C03E2F">
        <w:rPr>
          <w:sz w:val="24"/>
          <w:szCs w:val="24"/>
        </w:rPr>
        <w:t>betamethasondipropionat</w:t>
      </w:r>
      <w:proofErr w:type="spellEnd"/>
      <w:r w:rsidRPr="00C03E2F">
        <w:rPr>
          <w:sz w:val="24"/>
          <w:szCs w:val="24"/>
        </w:rPr>
        <w:t xml:space="preserve"> creme 0,05 % og var signifikant mere virkningsfuldt end </w:t>
      </w:r>
      <w:proofErr w:type="spellStart"/>
      <w:r w:rsidRPr="00C03E2F">
        <w:rPr>
          <w:sz w:val="24"/>
          <w:szCs w:val="24"/>
        </w:rPr>
        <w:t>fluocinolonacetonid</w:t>
      </w:r>
      <w:proofErr w:type="spellEnd"/>
      <w:r w:rsidRPr="00C03E2F">
        <w:rPr>
          <w:sz w:val="24"/>
          <w:szCs w:val="24"/>
        </w:rPr>
        <w:t xml:space="preserve"> creme 0,025 %.</w:t>
      </w:r>
    </w:p>
    <w:p w:rsidR="00D61569" w:rsidRPr="00C03E2F" w:rsidRDefault="00D61569" w:rsidP="00F971A4">
      <w:pPr>
        <w:ind w:left="1276" w:hanging="425"/>
        <w:rPr>
          <w:iCs/>
          <w:sz w:val="24"/>
          <w:szCs w:val="24"/>
        </w:rPr>
      </w:pPr>
    </w:p>
    <w:p w:rsidR="00D61569" w:rsidRPr="00C03E2F" w:rsidRDefault="00D61569" w:rsidP="00F971A4">
      <w:pPr>
        <w:numPr>
          <w:ilvl w:val="0"/>
          <w:numId w:val="8"/>
        </w:numPr>
        <w:ind w:left="1276" w:hanging="425"/>
        <w:rPr>
          <w:iCs/>
          <w:sz w:val="24"/>
          <w:szCs w:val="24"/>
        </w:rPr>
      </w:pPr>
      <w:r w:rsidRPr="00C03E2F">
        <w:rPr>
          <w:sz w:val="24"/>
          <w:szCs w:val="24"/>
        </w:rPr>
        <w:t>Kliniske studier indicerer:</w:t>
      </w:r>
    </w:p>
    <w:p w:rsidR="00D61569" w:rsidRPr="00C03E2F" w:rsidRDefault="00D61569" w:rsidP="00F971A4">
      <w:pPr>
        <w:ind w:left="1276" w:hanging="425"/>
        <w:rPr>
          <w:iCs/>
          <w:sz w:val="24"/>
          <w:szCs w:val="24"/>
        </w:rPr>
      </w:pPr>
      <w:r w:rsidRPr="00C03E2F">
        <w:rPr>
          <w:sz w:val="24"/>
          <w:szCs w:val="24"/>
        </w:rPr>
        <w:tab/>
        <w:t xml:space="preserve">Hos patienter med </w:t>
      </w:r>
      <w:proofErr w:type="spellStart"/>
      <w:r w:rsidRPr="00C03E2F">
        <w:rPr>
          <w:sz w:val="24"/>
          <w:szCs w:val="24"/>
        </w:rPr>
        <w:t>psoriasis/atopisk</w:t>
      </w:r>
      <w:proofErr w:type="spellEnd"/>
      <w:r w:rsidRPr="00C03E2F">
        <w:rPr>
          <w:sz w:val="24"/>
          <w:szCs w:val="24"/>
        </w:rPr>
        <w:t xml:space="preserve"> </w:t>
      </w:r>
      <w:proofErr w:type="spellStart"/>
      <w:r w:rsidRPr="00C03E2F">
        <w:rPr>
          <w:sz w:val="24"/>
          <w:szCs w:val="24"/>
        </w:rPr>
        <w:t>dermatitis</w:t>
      </w:r>
      <w:proofErr w:type="spellEnd"/>
      <w:r w:rsidRPr="00C03E2F">
        <w:rPr>
          <w:sz w:val="24"/>
          <w:szCs w:val="24"/>
        </w:rPr>
        <w:t xml:space="preserve"> viser </w:t>
      </w: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creme 0,1 % samme sikkerhed og virkning som </w:t>
      </w:r>
      <w:proofErr w:type="spellStart"/>
      <w:r w:rsidRPr="00C03E2F">
        <w:rPr>
          <w:sz w:val="24"/>
          <w:szCs w:val="24"/>
        </w:rPr>
        <w:t>betamethasonvalerat</w:t>
      </w:r>
      <w:proofErr w:type="spellEnd"/>
      <w:r w:rsidRPr="00C03E2F">
        <w:rPr>
          <w:sz w:val="24"/>
          <w:szCs w:val="24"/>
        </w:rPr>
        <w:t xml:space="preserve"> creme.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5.2</w:t>
      </w:r>
      <w:r w:rsidRPr="00C03E2F">
        <w:rPr>
          <w:b/>
          <w:sz w:val="24"/>
          <w:szCs w:val="24"/>
        </w:rPr>
        <w:tab/>
      </w:r>
      <w:proofErr w:type="spellStart"/>
      <w:r w:rsidRPr="00C03E2F">
        <w:rPr>
          <w:b/>
          <w:sz w:val="24"/>
          <w:szCs w:val="24"/>
        </w:rPr>
        <w:t>Farmakokinetiske</w:t>
      </w:r>
      <w:proofErr w:type="spellEnd"/>
      <w:r w:rsidRPr="00C03E2F">
        <w:rPr>
          <w:b/>
          <w:sz w:val="24"/>
          <w:szCs w:val="24"/>
        </w:rPr>
        <w:t xml:space="preserve"> egenskaber</w:t>
      </w:r>
    </w:p>
    <w:p w:rsidR="00D61569" w:rsidRPr="00C03E2F" w:rsidRDefault="00D61569" w:rsidP="00F971A4">
      <w:pPr>
        <w:ind w:left="851"/>
        <w:rPr>
          <w:iCs/>
          <w:sz w:val="24"/>
          <w:szCs w:val="24"/>
        </w:rPr>
      </w:pPr>
      <w:r w:rsidRPr="00C03E2F">
        <w:rPr>
          <w:sz w:val="24"/>
          <w:szCs w:val="24"/>
        </w:rPr>
        <w:t xml:space="preserve">For at kvantificere </w:t>
      </w:r>
      <w:proofErr w:type="spellStart"/>
      <w:r w:rsidRPr="00C03E2F">
        <w:rPr>
          <w:sz w:val="24"/>
          <w:szCs w:val="24"/>
        </w:rPr>
        <w:t>perkutan/systemisk</w:t>
      </w:r>
      <w:proofErr w:type="spellEnd"/>
      <w:r w:rsidRPr="00C03E2F">
        <w:rPr>
          <w:sz w:val="24"/>
          <w:szCs w:val="24"/>
        </w:rPr>
        <w:t xml:space="preserve"> absorption af præparater med </w:t>
      </w: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creme, som er sammenlignelige med </w:t>
      </w: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”Galen” creme, blev der applikeret </w:t>
      </w:r>
      <w:proofErr w:type="spellStart"/>
      <w:r w:rsidRPr="00C03E2F">
        <w:rPr>
          <w:sz w:val="24"/>
          <w:szCs w:val="24"/>
        </w:rPr>
        <w:t>tritium-mærket</w:t>
      </w:r>
      <w:proofErr w:type="spellEnd"/>
      <w:r w:rsidRPr="00C03E2F">
        <w:rPr>
          <w:sz w:val="24"/>
          <w:szCs w:val="24"/>
        </w:rPr>
        <w:t xml:space="preserve"> </w:t>
      </w: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på intakt hud på raske frivillige forsøgspersoner. </w:t>
      </w:r>
      <w:r w:rsidRPr="00C03E2F">
        <w:rPr>
          <w:sz w:val="24"/>
          <w:szCs w:val="24"/>
        </w:rPr>
        <w:lastRenderedPageBreak/>
        <w:t xml:space="preserve">Resultaterne indikerede, at der blev absorberet ca. 0,4 % af den applikerede dosis for creme via intakt hud i løbet af 8 timer (ved </w:t>
      </w:r>
      <w:proofErr w:type="spellStart"/>
      <w:r w:rsidRPr="00C03E2F">
        <w:rPr>
          <w:sz w:val="24"/>
          <w:szCs w:val="24"/>
        </w:rPr>
        <w:t>ikke-okkluderende</w:t>
      </w:r>
      <w:proofErr w:type="spellEnd"/>
      <w:r w:rsidRPr="00C03E2F">
        <w:rPr>
          <w:sz w:val="24"/>
          <w:szCs w:val="24"/>
        </w:rPr>
        <w:t xml:space="preserve"> betingelser). 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5.3</w:t>
      </w:r>
      <w:r w:rsidRPr="00C03E2F">
        <w:rPr>
          <w:b/>
          <w:sz w:val="24"/>
          <w:szCs w:val="24"/>
        </w:rPr>
        <w:tab/>
        <w:t>Prækliniske sikkerhedsdata</w:t>
      </w:r>
    </w:p>
    <w:p w:rsidR="00D61569" w:rsidRPr="00C03E2F" w:rsidRDefault="00B003BF" w:rsidP="00714DF7">
      <w:pPr>
        <w:ind w:left="851" w:hanging="851"/>
        <w:rPr>
          <w:sz w:val="24"/>
          <w:szCs w:val="24"/>
        </w:rPr>
      </w:pPr>
      <w:r w:rsidRPr="00C03E2F">
        <w:rPr>
          <w:sz w:val="24"/>
          <w:szCs w:val="24"/>
        </w:rPr>
        <w:tab/>
      </w:r>
    </w:p>
    <w:tbl>
      <w:tblPr>
        <w:tblW w:w="3479" w:type="pct"/>
        <w:tblInd w:w="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2127"/>
        <w:gridCol w:w="2692"/>
        <w:gridCol w:w="1986"/>
      </w:tblGrid>
      <w:tr w:rsidR="00D61569" w:rsidRPr="00C03E2F" w:rsidTr="00F971A4">
        <w:trPr>
          <w:trHeight w:val="117"/>
        </w:trPr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569" w:rsidRPr="00C03E2F" w:rsidRDefault="00D61569" w:rsidP="00F971A4">
            <w:pPr>
              <w:rPr>
                <w:sz w:val="24"/>
                <w:szCs w:val="24"/>
                <w:u w:val="single"/>
              </w:rPr>
            </w:pPr>
            <w:r w:rsidRPr="00C03E2F">
              <w:rPr>
                <w:sz w:val="24"/>
                <w:szCs w:val="24"/>
                <w:u w:val="single"/>
              </w:rPr>
              <w:t>Akut toksicitet</w:t>
            </w:r>
          </w:p>
          <w:p w:rsidR="00D61569" w:rsidRPr="00C03E2F" w:rsidRDefault="00D61569" w:rsidP="00F971A4">
            <w:pPr>
              <w:rPr>
                <w:sz w:val="24"/>
                <w:szCs w:val="24"/>
              </w:rPr>
            </w:pP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569" w:rsidRPr="00C03E2F" w:rsidRDefault="00D61569" w:rsidP="00F971A4">
            <w:pPr>
              <w:rPr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569" w:rsidRPr="00C03E2F" w:rsidRDefault="00D61569" w:rsidP="00F971A4">
            <w:pPr>
              <w:rPr>
                <w:sz w:val="24"/>
                <w:szCs w:val="24"/>
              </w:rPr>
            </w:pPr>
          </w:p>
        </w:tc>
      </w:tr>
      <w:tr w:rsidR="00D61569" w:rsidRPr="00C03E2F" w:rsidTr="00F971A4">
        <w:trPr>
          <w:trHeight w:val="117"/>
        </w:trPr>
        <w:tc>
          <w:tcPr>
            <w:tcW w:w="15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1569" w:rsidRPr="00C03E2F" w:rsidRDefault="00D61569" w:rsidP="00F971A4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Arter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1569" w:rsidRPr="00C03E2F" w:rsidRDefault="00D61569" w:rsidP="00F971A4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Applikationsmåde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1569" w:rsidRPr="00C03E2F" w:rsidRDefault="00D61569" w:rsidP="00F971A4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LD</w:t>
            </w:r>
            <w:r w:rsidRPr="00C03E2F">
              <w:rPr>
                <w:sz w:val="24"/>
                <w:szCs w:val="24"/>
                <w:vertAlign w:val="subscript"/>
              </w:rPr>
              <w:t>50</w:t>
            </w:r>
          </w:p>
          <w:p w:rsidR="00D61569" w:rsidRPr="00C03E2F" w:rsidRDefault="00D61569" w:rsidP="00F971A4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[mg/kg]</w:t>
            </w:r>
          </w:p>
        </w:tc>
      </w:tr>
      <w:tr w:rsidR="00D61569" w:rsidRPr="00C03E2F" w:rsidTr="00F971A4">
        <w:trPr>
          <w:trHeight w:val="117"/>
        </w:trPr>
        <w:tc>
          <w:tcPr>
            <w:tcW w:w="15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1569" w:rsidRPr="00C03E2F" w:rsidRDefault="00D61569" w:rsidP="00F971A4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Mus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1569" w:rsidRPr="00C03E2F" w:rsidRDefault="00D61569" w:rsidP="00F971A4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Subkutan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1569" w:rsidRPr="00C03E2F" w:rsidRDefault="00D61569" w:rsidP="00F971A4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200-2.000</w:t>
            </w:r>
          </w:p>
        </w:tc>
      </w:tr>
      <w:tr w:rsidR="00D61569" w:rsidRPr="00C03E2F" w:rsidTr="00F971A4">
        <w:trPr>
          <w:trHeight w:val="117"/>
        </w:trPr>
        <w:tc>
          <w:tcPr>
            <w:tcW w:w="156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1569" w:rsidRPr="00C03E2F" w:rsidRDefault="00D61569" w:rsidP="00F971A4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Rotte</w:t>
            </w:r>
          </w:p>
        </w:tc>
        <w:tc>
          <w:tcPr>
            <w:tcW w:w="1978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1569" w:rsidRPr="00C03E2F" w:rsidRDefault="00D61569" w:rsidP="00F971A4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Subkutan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D61569" w:rsidRPr="00C03E2F" w:rsidRDefault="00D61569" w:rsidP="00F971A4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2.000</w:t>
            </w:r>
          </w:p>
        </w:tc>
      </w:tr>
      <w:tr w:rsidR="00D61569" w:rsidRPr="00C03E2F" w:rsidTr="00F971A4">
        <w:trPr>
          <w:trHeight w:val="117"/>
        </w:trPr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1569" w:rsidRPr="00C03E2F" w:rsidRDefault="00D61569" w:rsidP="00F971A4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Hund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1569" w:rsidRPr="00C03E2F" w:rsidRDefault="00D61569" w:rsidP="00F971A4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Subkutan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1569" w:rsidRPr="00C03E2F" w:rsidRDefault="00D61569" w:rsidP="00F971A4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&gt; 200</w:t>
            </w:r>
          </w:p>
        </w:tc>
      </w:tr>
      <w:tr w:rsidR="00D61569" w:rsidRPr="00C03E2F" w:rsidTr="00F971A4">
        <w:trPr>
          <w:trHeight w:val="117"/>
        </w:trPr>
        <w:tc>
          <w:tcPr>
            <w:tcW w:w="15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1569" w:rsidRPr="00C03E2F" w:rsidRDefault="00D61569" w:rsidP="00F971A4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Mus</w:t>
            </w:r>
          </w:p>
        </w:tc>
        <w:tc>
          <w:tcPr>
            <w:tcW w:w="197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1569" w:rsidRPr="00C03E2F" w:rsidRDefault="00D61569" w:rsidP="00F971A4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Oral</w:t>
            </w:r>
          </w:p>
        </w:tc>
        <w:tc>
          <w:tcPr>
            <w:tcW w:w="14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61569" w:rsidRPr="00C03E2F" w:rsidRDefault="00D61569" w:rsidP="00F971A4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&gt; 2.000</w:t>
            </w:r>
          </w:p>
        </w:tc>
      </w:tr>
      <w:tr w:rsidR="00D61569" w:rsidRPr="00C03E2F" w:rsidTr="00F971A4">
        <w:trPr>
          <w:trHeight w:val="117"/>
        </w:trPr>
        <w:tc>
          <w:tcPr>
            <w:tcW w:w="1562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1569" w:rsidRPr="00C03E2F" w:rsidRDefault="00D61569" w:rsidP="00F971A4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Rotte</w:t>
            </w:r>
          </w:p>
        </w:tc>
        <w:tc>
          <w:tcPr>
            <w:tcW w:w="1978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1569" w:rsidRPr="00C03E2F" w:rsidRDefault="00D61569" w:rsidP="00F971A4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Oral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1569" w:rsidRPr="00C03E2F" w:rsidRDefault="00D61569" w:rsidP="00F971A4">
            <w:pPr>
              <w:rPr>
                <w:sz w:val="24"/>
                <w:szCs w:val="24"/>
              </w:rPr>
            </w:pPr>
            <w:r w:rsidRPr="00C03E2F">
              <w:rPr>
                <w:sz w:val="24"/>
                <w:szCs w:val="24"/>
              </w:rPr>
              <w:t>&gt; 2.000</w:t>
            </w:r>
          </w:p>
        </w:tc>
      </w:tr>
    </w:tbl>
    <w:p w:rsidR="00D61569" w:rsidRPr="00C03E2F" w:rsidRDefault="00D61569" w:rsidP="00714DF7">
      <w:pPr>
        <w:ind w:left="851" w:hanging="851"/>
        <w:rPr>
          <w:sz w:val="24"/>
          <w:szCs w:val="24"/>
          <w:u w:val="single"/>
        </w:rPr>
      </w:pPr>
    </w:p>
    <w:p w:rsidR="00D61569" w:rsidRPr="00C03E2F" w:rsidRDefault="00D61569" w:rsidP="00F971A4">
      <w:pPr>
        <w:ind w:left="851"/>
        <w:rPr>
          <w:sz w:val="24"/>
          <w:szCs w:val="24"/>
          <w:u w:val="single"/>
        </w:rPr>
      </w:pPr>
      <w:r w:rsidRPr="00C03E2F">
        <w:rPr>
          <w:sz w:val="24"/>
          <w:szCs w:val="24"/>
          <w:u w:val="single"/>
        </w:rPr>
        <w:t>Kronisk toksicitet</w:t>
      </w:r>
    </w:p>
    <w:p w:rsidR="00D61569" w:rsidRPr="00C03E2F" w:rsidRDefault="00D61569" w:rsidP="00F971A4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 xml:space="preserve">Selv ved usædvanligt store doser (670 gange den terapeutiske dosis) resulterede 6 måneders applikation til forskellige arter kun typiske symptomer på en overdosis </w:t>
      </w:r>
      <w:proofErr w:type="spellStart"/>
      <w:r w:rsidRPr="00C03E2F">
        <w:rPr>
          <w:sz w:val="24"/>
          <w:szCs w:val="24"/>
        </w:rPr>
        <w:t>kortikosteroid</w:t>
      </w:r>
      <w:proofErr w:type="spellEnd"/>
      <w:r w:rsidRPr="00C03E2F">
        <w:rPr>
          <w:sz w:val="24"/>
          <w:szCs w:val="24"/>
        </w:rPr>
        <w:t xml:space="preserve">, herunder nedsat øgning af kropsvægten, muskeldystrofi, </w:t>
      </w:r>
      <w:proofErr w:type="spellStart"/>
      <w:r w:rsidRPr="00C03E2F">
        <w:rPr>
          <w:sz w:val="24"/>
          <w:szCs w:val="24"/>
        </w:rPr>
        <w:t>abdominal</w:t>
      </w:r>
      <w:proofErr w:type="spellEnd"/>
      <w:r w:rsidRPr="00C03E2F">
        <w:rPr>
          <w:sz w:val="24"/>
          <w:szCs w:val="24"/>
        </w:rPr>
        <w:t xml:space="preserve"> </w:t>
      </w:r>
      <w:proofErr w:type="spellStart"/>
      <w:r w:rsidRPr="00C03E2F">
        <w:rPr>
          <w:sz w:val="24"/>
          <w:szCs w:val="24"/>
        </w:rPr>
        <w:t>distension</w:t>
      </w:r>
      <w:proofErr w:type="spellEnd"/>
      <w:r w:rsidRPr="00C03E2F">
        <w:rPr>
          <w:sz w:val="24"/>
          <w:szCs w:val="24"/>
        </w:rPr>
        <w:t xml:space="preserve">, nedsat antal lymfocytter og </w:t>
      </w:r>
      <w:proofErr w:type="spellStart"/>
      <w:r w:rsidRPr="00C03E2F">
        <w:rPr>
          <w:sz w:val="24"/>
          <w:szCs w:val="24"/>
        </w:rPr>
        <w:t>eosinofiler</w:t>
      </w:r>
      <w:proofErr w:type="spellEnd"/>
      <w:r w:rsidRPr="00C03E2F">
        <w:rPr>
          <w:sz w:val="24"/>
          <w:szCs w:val="24"/>
        </w:rPr>
        <w:t xml:space="preserve">, forhøjet antal </w:t>
      </w:r>
      <w:proofErr w:type="spellStart"/>
      <w:r w:rsidRPr="00C03E2F">
        <w:rPr>
          <w:sz w:val="24"/>
          <w:szCs w:val="24"/>
        </w:rPr>
        <w:t>neutrofile</w:t>
      </w:r>
      <w:proofErr w:type="spellEnd"/>
      <w:r w:rsidRPr="00C03E2F">
        <w:rPr>
          <w:sz w:val="24"/>
          <w:szCs w:val="24"/>
        </w:rPr>
        <w:t xml:space="preserve"> leukocytter, forhøjede </w:t>
      </w:r>
      <w:proofErr w:type="spellStart"/>
      <w:r w:rsidRPr="00C03E2F">
        <w:rPr>
          <w:sz w:val="24"/>
          <w:szCs w:val="24"/>
        </w:rPr>
        <w:t>serum-transaminaser</w:t>
      </w:r>
      <w:proofErr w:type="spellEnd"/>
      <w:r w:rsidRPr="00C03E2F">
        <w:rPr>
          <w:sz w:val="24"/>
          <w:szCs w:val="24"/>
        </w:rPr>
        <w:t xml:space="preserve"> (SGPT, SGOT), kolesterol og </w:t>
      </w:r>
      <w:proofErr w:type="spellStart"/>
      <w:r w:rsidRPr="00C03E2F">
        <w:rPr>
          <w:sz w:val="24"/>
          <w:szCs w:val="24"/>
        </w:rPr>
        <w:t>triglycerider</w:t>
      </w:r>
      <w:proofErr w:type="spellEnd"/>
      <w:r w:rsidRPr="00C03E2F">
        <w:rPr>
          <w:sz w:val="24"/>
          <w:szCs w:val="24"/>
        </w:rPr>
        <w:t xml:space="preserve">, </w:t>
      </w:r>
      <w:proofErr w:type="spellStart"/>
      <w:r w:rsidRPr="00C03E2F">
        <w:rPr>
          <w:sz w:val="24"/>
          <w:szCs w:val="24"/>
        </w:rPr>
        <w:t>lipæmi</w:t>
      </w:r>
      <w:proofErr w:type="spellEnd"/>
      <w:r w:rsidRPr="00C03E2F">
        <w:rPr>
          <w:sz w:val="24"/>
          <w:szCs w:val="24"/>
        </w:rPr>
        <w:t xml:space="preserve">, </w:t>
      </w:r>
      <w:proofErr w:type="spellStart"/>
      <w:r w:rsidRPr="00C03E2F">
        <w:rPr>
          <w:sz w:val="24"/>
          <w:szCs w:val="24"/>
        </w:rPr>
        <w:t>organanomalier</w:t>
      </w:r>
      <w:proofErr w:type="spellEnd"/>
      <w:r w:rsidRPr="00C03E2F">
        <w:rPr>
          <w:sz w:val="24"/>
          <w:szCs w:val="24"/>
        </w:rPr>
        <w:t xml:space="preserve"> (atrofi af milt og </w:t>
      </w:r>
      <w:proofErr w:type="spellStart"/>
      <w:r w:rsidRPr="00C03E2F">
        <w:rPr>
          <w:sz w:val="24"/>
          <w:szCs w:val="24"/>
        </w:rPr>
        <w:t>tymus</w:t>
      </w:r>
      <w:proofErr w:type="spellEnd"/>
      <w:r w:rsidRPr="00C03E2F">
        <w:rPr>
          <w:sz w:val="24"/>
          <w:szCs w:val="24"/>
        </w:rPr>
        <w:t xml:space="preserve">, lokal </w:t>
      </w:r>
      <w:proofErr w:type="spellStart"/>
      <w:r w:rsidRPr="00C03E2F">
        <w:rPr>
          <w:sz w:val="24"/>
          <w:szCs w:val="24"/>
        </w:rPr>
        <w:t>hudatrofi</w:t>
      </w:r>
      <w:proofErr w:type="spellEnd"/>
      <w:r w:rsidRPr="00C03E2F">
        <w:rPr>
          <w:sz w:val="24"/>
          <w:szCs w:val="24"/>
        </w:rPr>
        <w:t xml:space="preserve">, forøget vægt af lever og binyrer, nedsat </w:t>
      </w:r>
      <w:proofErr w:type="spellStart"/>
      <w:r w:rsidRPr="00C03E2F">
        <w:rPr>
          <w:sz w:val="24"/>
          <w:szCs w:val="24"/>
        </w:rPr>
        <w:t>osteogenese</w:t>
      </w:r>
      <w:proofErr w:type="spellEnd"/>
      <w:r w:rsidRPr="00C03E2F">
        <w:rPr>
          <w:sz w:val="24"/>
          <w:szCs w:val="24"/>
        </w:rPr>
        <w:t>).</w:t>
      </w:r>
    </w:p>
    <w:p w:rsidR="00D61569" w:rsidRPr="00C03E2F" w:rsidRDefault="00D61569" w:rsidP="00714DF7">
      <w:pPr>
        <w:ind w:left="851" w:hanging="851"/>
        <w:rPr>
          <w:sz w:val="24"/>
          <w:szCs w:val="24"/>
        </w:rPr>
      </w:pPr>
    </w:p>
    <w:p w:rsidR="00D61569" w:rsidRPr="00C03E2F" w:rsidRDefault="00D61569" w:rsidP="00F971A4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 xml:space="preserve">Disse virkninger var mere udprægede og blev hyppigere observeret hos dyr, der blev behandlet med referencestoffet </w:t>
      </w:r>
      <w:proofErr w:type="spellStart"/>
      <w:r w:rsidRPr="00C03E2F">
        <w:rPr>
          <w:sz w:val="24"/>
          <w:szCs w:val="24"/>
        </w:rPr>
        <w:t>betamethasonvalerat</w:t>
      </w:r>
      <w:proofErr w:type="spellEnd"/>
      <w:r w:rsidRPr="00C03E2F">
        <w:rPr>
          <w:sz w:val="24"/>
          <w:szCs w:val="24"/>
        </w:rPr>
        <w:t xml:space="preserve">. Der blev ikke observeret nogen unormale systemiske virkninger for hhv. test- eller referencestoffet. </w:t>
      </w:r>
    </w:p>
    <w:p w:rsidR="00D61569" w:rsidRPr="00C03E2F" w:rsidRDefault="00D61569" w:rsidP="00714DF7">
      <w:pPr>
        <w:ind w:left="851" w:hanging="851"/>
        <w:rPr>
          <w:sz w:val="24"/>
          <w:szCs w:val="24"/>
        </w:rPr>
      </w:pPr>
    </w:p>
    <w:p w:rsidR="00D61569" w:rsidRPr="00C03E2F" w:rsidRDefault="00D61569" w:rsidP="00F971A4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 xml:space="preserve">Gentagen </w:t>
      </w:r>
      <w:proofErr w:type="spellStart"/>
      <w:r w:rsidRPr="00C03E2F">
        <w:rPr>
          <w:sz w:val="24"/>
          <w:szCs w:val="24"/>
        </w:rPr>
        <w:t>dermal</w:t>
      </w:r>
      <w:proofErr w:type="spellEnd"/>
      <w:r w:rsidRPr="00C03E2F">
        <w:rPr>
          <w:sz w:val="24"/>
          <w:szCs w:val="24"/>
        </w:rPr>
        <w:t xml:space="preserve"> applikation af cremer med </w:t>
      </w: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eller </w:t>
      </w:r>
      <w:proofErr w:type="spellStart"/>
      <w:r w:rsidRPr="00C03E2F">
        <w:rPr>
          <w:sz w:val="24"/>
          <w:szCs w:val="24"/>
        </w:rPr>
        <w:t>betamethasonvalerat</w:t>
      </w:r>
      <w:proofErr w:type="spellEnd"/>
      <w:r w:rsidRPr="00C03E2F">
        <w:rPr>
          <w:sz w:val="24"/>
          <w:szCs w:val="24"/>
        </w:rPr>
        <w:t xml:space="preserve"> resulterede i forbigående symptomer, såsom let til moderat </w:t>
      </w:r>
      <w:proofErr w:type="spellStart"/>
      <w:r w:rsidRPr="00C03E2F">
        <w:rPr>
          <w:sz w:val="24"/>
          <w:szCs w:val="24"/>
        </w:rPr>
        <w:t>erytem</w:t>
      </w:r>
      <w:proofErr w:type="spellEnd"/>
      <w:r w:rsidRPr="00C03E2F">
        <w:rPr>
          <w:sz w:val="24"/>
          <w:szCs w:val="24"/>
        </w:rPr>
        <w:t xml:space="preserve">, </w:t>
      </w:r>
      <w:proofErr w:type="spellStart"/>
      <w:r w:rsidRPr="00C03E2F">
        <w:rPr>
          <w:sz w:val="24"/>
          <w:szCs w:val="24"/>
        </w:rPr>
        <w:t>plica</w:t>
      </w:r>
      <w:proofErr w:type="spellEnd"/>
      <w:r w:rsidRPr="00C03E2F">
        <w:rPr>
          <w:sz w:val="24"/>
          <w:szCs w:val="24"/>
        </w:rPr>
        <w:t xml:space="preserve">, </w:t>
      </w:r>
      <w:proofErr w:type="spellStart"/>
      <w:r w:rsidRPr="00C03E2F">
        <w:rPr>
          <w:sz w:val="24"/>
          <w:szCs w:val="24"/>
        </w:rPr>
        <w:t>deskvamation</w:t>
      </w:r>
      <w:proofErr w:type="spellEnd"/>
      <w:r w:rsidRPr="00C03E2F">
        <w:rPr>
          <w:sz w:val="24"/>
          <w:szCs w:val="24"/>
        </w:rPr>
        <w:t xml:space="preserve">, </w:t>
      </w:r>
      <w:proofErr w:type="spellStart"/>
      <w:r w:rsidRPr="00C03E2F">
        <w:rPr>
          <w:sz w:val="24"/>
          <w:szCs w:val="24"/>
        </w:rPr>
        <w:t>papeller/pustler</w:t>
      </w:r>
      <w:proofErr w:type="spellEnd"/>
      <w:r w:rsidRPr="00C03E2F">
        <w:rPr>
          <w:sz w:val="24"/>
          <w:szCs w:val="24"/>
        </w:rPr>
        <w:t>.</w:t>
      </w:r>
    </w:p>
    <w:p w:rsidR="00D61569" w:rsidRPr="00C03E2F" w:rsidRDefault="00D61569" w:rsidP="00714DF7">
      <w:pPr>
        <w:ind w:left="851" w:hanging="851"/>
        <w:rPr>
          <w:sz w:val="24"/>
          <w:szCs w:val="24"/>
        </w:rPr>
      </w:pPr>
    </w:p>
    <w:p w:rsidR="00D61569" w:rsidRPr="00C03E2F" w:rsidRDefault="00D61569" w:rsidP="00F971A4">
      <w:pPr>
        <w:ind w:left="851"/>
        <w:rPr>
          <w:sz w:val="24"/>
          <w:szCs w:val="24"/>
          <w:u w:val="single"/>
        </w:rPr>
      </w:pPr>
      <w:proofErr w:type="spellStart"/>
      <w:r w:rsidRPr="00C03E2F">
        <w:rPr>
          <w:sz w:val="24"/>
          <w:szCs w:val="24"/>
          <w:u w:val="single"/>
        </w:rPr>
        <w:t>Mutagenicitet</w:t>
      </w:r>
      <w:proofErr w:type="spellEnd"/>
    </w:p>
    <w:p w:rsidR="00D61569" w:rsidRPr="00C03E2F" w:rsidRDefault="00D61569" w:rsidP="00F971A4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 xml:space="preserve">Tests for </w:t>
      </w:r>
      <w:proofErr w:type="spellStart"/>
      <w:r w:rsidRPr="00C03E2F">
        <w:rPr>
          <w:sz w:val="24"/>
          <w:szCs w:val="24"/>
        </w:rPr>
        <w:t>genotoksicitet</w:t>
      </w:r>
      <w:proofErr w:type="spellEnd"/>
      <w:r w:rsidRPr="00C03E2F">
        <w:rPr>
          <w:sz w:val="24"/>
          <w:szCs w:val="24"/>
        </w:rPr>
        <w:t xml:space="preserve"> var negative. På den anden side inducerede </w:t>
      </w:r>
      <w:proofErr w:type="spellStart"/>
      <w:r w:rsidRPr="00C03E2F">
        <w:rPr>
          <w:sz w:val="24"/>
          <w:szCs w:val="24"/>
        </w:rPr>
        <w:t>mometason</w:t>
      </w:r>
      <w:proofErr w:type="spellEnd"/>
      <w:r w:rsidRPr="00C03E2F">
        <w:rPr>
          <w:sz w:val="24"/>
          <w:szCs w:val="24"/>
        </w:rPr>
        <w:t xml:space="preserve"> </w:t>
      </w:r>
      <w:r w:rsidRPr="00C03E2F">
        <w:rPr>
          <w:i/>
          <w:sz w:val="24"/>
          <w:szCs w:val="24"/>
        </w:rPr>
        <w:t xml:space="preserve">in </w:t>
      </w:r>
      <w:proofErr w:type="spellStart"/>
      <w:r w:rsidRPr="00C03E2F">
        <w:rPr>
          <w:i/>
          <w:sz w:val="24"/>
          <w:szCs w:val="24"/>
        </w:rPr>
        <w:t>vitro</w:t>
      </w:r>
      <w:proofErr w:type="spellEnd"/>
      <w:r w:rsidRPr="00C03E2F">
        <w:rPr>
          <w:sz w:val="24"/>
          <w:szCs w:val="24"/>
        </w:rPr>
        <w:t xml:space="preserve"> kromosomale mutationer, dog kun ved koncentrationer, der udviste </w:t>
      </w:r>
      <w:proofErr w:type="spellStart"/>
      <w:r w:rsidRPr="00C03E2F">
        <w:rPr>
          <w:sz w:val="24"/>
          <w:szCs w:val="24"/>
        </w:rPr>
        <w:t>cytotoksiske</w:t>
      </w:r>
      <w:proofErr w:type="spellEnd"/>
      <w:r w:rsidRPr="00C03E2F">
        <w:rPr>
          <w:sz w:val="24"/>
          <w:szCs w:val="24"/>
        </w:rPr>
        <w:t xml:space="preserve"> virkninger. Relaterede virkninger blev ikke observeret ved udbredt </w:t>
      </w:r>
      <w:r w:rsidRPr="00C03E2F">
        <w:rPr>
          <w:i/>
          <w:sz w:val="24"/>
          <w:szCs w:val="24"/>
        </w:rPr>
        <w:t xml:space="preserve">in </w:t>
      </w:r>
      <w:proofErr w:type="spellStart"/>
      <w:r w:rsidRPr="00C03E2F">
        <w:rPr>
          <w:i/>
          <w:sz w:val="24"/>
          <w:szCs w:val="24"/>
        </w:rPr>
        <w:t>vivo-</w:t>
      </w:r>
      <w:r w:rsidRPr="00C03E2F">
        <w:rPr>
          <w:sz w:val="24"/>
          <w:szCs w:val="24"/>
        </w:rPr>
        <w:t>testing</w:t>
      </w:r>
      <w:proofErr w:type="spellEnd"/>
      <w:r w:rsidRPr="00C03E2F">
        <w:rPr>
          <w:sz w:val="24"/>
          <w:szCs w:val="24"/>
        </w:rPr>
        <w:t xml:space="preserve">. Derfor kan en mutagen aktivitet af </w:t>
      </w:r>
      <w:proofErr w:type="spellStart"/>
      <w:r w:rsidRPr="00C03E2F">
        <w:rPr>
          <w:sz w:val="24"/>
          <w:szCs w:val="24"/>
        </w:rPr>
        <w:t>mometason</w:t>
      </w:r>
      <w:proofErr w:type="spellEnd"/>
      <w:r w:rsidRPr="00C03E2F">
        <w:rPr>
          <w:sz w:val="24"/>
          <w:szCs w:val="24"/>
        </w:rPr>
        <w:t xml:space="preserve"> udelukkes med et tilstrækkeligt </w:t>
      </w:r>
      <w:proofErr w:type="spellStart"/>
      <w:r w:rsidRPr="00C03E2F">
        <w:rPr>
          <w:sz w:val="24"/>
          <w:szCs w:val="24"/>
        </w:rPr>
        <w:t>konfidensniveau</w:t>
      </w:r>
      <w:proofErr w:type="spellEnd"/>
      <w:r w:rsidRPr="00C03E2F">
        <w:rPr>
          <w:sz w:val="24"/>
          <w:szCs w:val="24"/>
        </w:rPr>
        <w:t>.</w:t>
      </w:r>
    </w:p>
    <w:p w:rsidR="00D61569" w:rsidRPr="00C03E2F" w:rsidRDefault="00D61569" w:rsidP="00714DF7">
      <w:pPr>
        <w:ind w:left="851" w:hanging="851"/>
        <w:rPr>
          <w:sz w:val="24"/>
          <w:szCs w:val="24"/>
        </w:rPr>
      </w:pPr>
    </w:p>
    <w:p w:rsidR="00D61569" w:rsidRPr="00C03E2F" w:rsidRDefault="00D61569" w:rsidP="00F971A4">
      <w:pPr>
        <w:ind w:left="851"/>
        <w:rPr>
          <w:sz w:val="24"/>
          <w:szCs w:val="24"/>
          <w:u w:val="single"/>
        </w:rPr>
      </w:pPr>
      <w:r w:rsidRPr="00C03E2F">
        <w:rPr>
          <w:sz w:val="24"/>
          <w:szCs w:val="24"/>
          <w:u w:val="single"/>
        </w:rPr>
        <w:t>Reproduktionstoksicitet</w:t>
      </w:r>
    </w:p>
    <w:p w:rsidR="00D61569" w:rsidRPr="00C03E2F" w:rsidRDefault="00D61569" w:rsidP="00F971A4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 xml:space="preserve">Dyreforsøg (kaniner) af virkningen af </w:t>
      </w: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på embryonal udvikling indikerer nedsat kropsvægt ved doser på 0,15 mg/kg eller højere. </w:t>
      </w:r>
      <w:proofErr w:type="spellStart"/>
      <w:r w:rsidRPr="00C03E2F">
        <w:rPr>
          <w:sz w:val="24"/>
          <w:szCs w:val="24"/>
        </w:rPr>
        <w:t>Topikal</w:t>
      </w:r>
      <w:proofErr w:type="spellEnd"/>
      <w:r w:rsidRPr="00C03E2F">
        <w:rPr>
          <w:sz w:val="24"/>
          <w:szCs w:val="24"/>
        </w:rPr>
        <w:t xml:space="preserve"> applikation hos kaniner resulterede i tilfælde af unormal udvikling, herunder kurvede forpoter, ganespalte, </w:t>
      </w:r>
      <w:proofErr w:type="spellStart"/>
      <w:r w:rsidRPr="00C03E2F">
        <w:rPr>
          <w:sz w:val="24"/>
          <w:szCs w:val="24"/>
        </w:rPr>
        <w:t>galdeblæreagenese</w:t>
      </w:r>
      <w:proofErr w:type="spellEnd"/>
      <w:r w:rsidRPr="00C03E2F">
        <w:rPr>
          <w:sz w:val="24"/>
          <w:szCs w:val="24"/>
        </w:rPr>
        <w:t xml:space="preserve"> samt </w:t>
      </w:r>
      <w:proofErr w:type="spellStart"/>
      <w:r w:rsidRPr="00C03E2F">
        <w:rPr>
          <w:sz w:val="24"/>
          <w:szCs w:val="24"/>
        </w:rPr>
        <w:t>hernia</w:t>
      </w:r>
      <w:proofErr w:type="spellEnd"/>
      <w:r w:rsidRPr="00C03E2F">
        <w:rPr>
          <w:sz w:val="24"/>
          <w:szCs w:val="24"/>
        </w:rPr>
        <w:t xml:space="preserve"> </w:t>
      </w:r>
      <w:proofErr w:type="spellStart"/>
      <w:r w:rsidRPr="00C03E2F">
        <w:rPr>
          <w:sz w:val="24"/>
          <w:szCs w:val="24"/>
        </w:rPr>
        <w:t>umbilicalis</w:t>
      </w:r>
      <w:proofErr w:type="spellEnd"/>
      <w:r w:rsidRPr="00C03E2F">
        <w:rPr>
          <w:sz w:val="24"/>
          <w:szCs w:val="24"/>
        </w:rPr>
        <w:t>. Hos rotter var doser fra 7,5 µg/kg (subkutant) embryoletale, og doser fra 0,3 mg/kg (</w:t>
      </w:r>
      <w:proofErr w:type="spellStart"/>
      <w:r w:rsidRPr="00C03E2F">
        <w:rPr>
          <w:sz w:val="24"/>
          <w:szCs w:val="24"/>
        </w:rPr>
        <w:t>dermalt</w:t>
      </w:r>
      <w:proofErr w:type="spellEnd"/>
      <w:r w:rsidRPr="00C03E2F">
        <w:rPr>
          <w:sz w:val="24"/>
          <w:szCs w:val="24"/>
        </w:rPr>
        <w:t xml:space="preserve">) resulterede i vækstretardation (kropsvægthæmning, forsinket </w:t>
      </w:r>
      <w:proofErr w:type="spellStart"/>
      <w:r w:rsidRPr="00C03E2F">
        <w:rPr>
          <w:sz w:val="24"/>
          <w:szCs w:val="24"/>
        </w:rPr>
        <w:t>ossifikation</w:t>
      </w:r>
      <w:proofErr w:type="spellEnd"/>
      <w:r w:rsidRPr="00C03E2F">
        <w:rPr>
          <w:sz w:val="24"/>
          <w:szCs w:val="24"/>
        </w:rPr>
        <w:t xml:space="preserve">) og en stofrelateret forhøjelse i </w:t>
      </w:r>
      <w:proofErr w:type="spellStart"/>
      <w:r w:rsidRPr="00C03E2F">
        <w:rPr>
          <w:sz w:val="24"/>
          <w:szCs w:val="24"/>
        </w:rPr>
        <w:t>hernia</w:t>
      </w:r>
      <w:proofErr w:type="spellEnd"/>
      <w:r w:rsidRPr="00C03E2F">
        <w:rPr>
          <w:sz w:val="24"/>
          <w:szCs w:val="24"/>
        </w:rPr>
        <w:t xml:space="preserve"> </w:t>
      </w:r>
      <w:proofErr w:type="spellStart"/>
      <w:r w:rsidRPr="00C03E2F">
        <w:rPr>
          <w:sz w:val="24"/>
          <w:szCs w:val="24"/>
        </w:rPr>
        <w:t>umbilicalis</w:t>
      </w:r>
      <w:proofErr w:type="spellEnd"/>
      <w:r w:rsidRPr="00C03E2F">
        <w:rPr>
          <w:sz w:val="24"/>
          <w:szCs w:val="24"/>
        </w:rPr>
        <w:t xml:space="preserve">. Applikation omkring </w:t>
      </w:r>
      <w:proofErr w:type="spellStart"/>
      <w:r w:rsidRPr="00C03E2F">
        <w:rPr>
          <w:sz w:val="24"/>
          <w:szCs w:val="24"/>
        </w:rPr>
        <w:t>nedkomststidspunktet</w:t>
      </w:r>
      <w:proofErr w:type="spellEnd"/>
      <w:r w:rsidRPr="00C03E2F">
        <w:rPr>
          <w:sz w:val="24"/>
          <w:szCs w:val="24"/>
        </w:rPr>
        <w:t xml:space="preserve"> resulterede i langtrukken og besværet fødsel.</w:t>
      </w:r>
    </w:p>
    <w:p w:rsidR="00D61569" w:rsidRPr="00C03E2F" w:rsidRDefault="00D61569" w:rsidP="00714DF7">
      <w:pPr>
        <w:ind w:left="851" w:hanging="851"/>
        <w:rPr>
          <w:sz w:val="24"/>
          <w:szCs w:val="24"/>
        </w:rPr>
      </w:pPr>
    </w:p>
    <w:p w:rsidR="00D61569" w:rsidRPr="00C03E2F" w:rsidRDefault="00D61569" w:rsidP="00F971A4">
      <w:pPr>
        <w:ind w:left="851"/>
        <w:rPr>
          <w:sz w:val="24"/>
          <w:szCs w:val="24"/>
        </w:rPr>
      </w:pP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havde ingen virkning på fertiliteten hos rotter.</w:t>
      </w:r>
    </w:p>
    <w:p w:rsidR="00D61569" w:rsidRPr="00C03E2F" w:rsidRDefault="00D61569" w:rsidP="00714DF7">
      <w:pPr>
        <w:ind w:left="851" w:hanging="851"/>
        <w:rPr>
          <w:sz w:val="24"/>
          <w:szCs w:val="24"/>
        </w:rPr>
      </w:pPr>
    </w:p>
    <w:p w:rsidR="00D61569" w:rsidRPr="00C03E2F" w:rsidRDefault="00D61569" w:rsidP="00F971A4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lastRenderedPageBreak/>
        <w:t xml:space="preserve">Data for anvendelse af </w:t>
      </w:r>
      <w:proofErr w:type="spellStart"/>
      <w:r w:rsidRPr="00C03E2F">
        <w:rPr>
          <w:sz w:val="24"/>
          <w:szCs w:val="24"/>
        </w:rPr>
        <w:t>mometasonfuroat</w:t>
      </w:r>
      <w:proofErr w:type="spellEnd"/>
      <w:r w:rsidRPr="00C03E2F">
        <w:rPr>
          <w:sz w:val="24"/>
          <w:szCs w:val="24"/>
        </w:rPr>
        <w:t xml:space="preserve"> til gravide eller ammende kvinder er utilstrækkelige. Aktuel klinisk erfaring med brugen af </w:t>
      </w:r>
      <w:proofErr w:type="spellStart"/>
      <w:r w:rsidRPr="00C03E2F">
        <w:rPr>
          <w:sz w:val="24"/>
          <w:szCs w:val="24"/>
        </w:rPr>
        <w:t>kortikosteroider</w:t>
      </w:r>
      <w:proofErr w:type="spellEnd"/>
      <w:r w:rsidRPr="00C03E2F">
        <w:rPr>
          <w:sz w:val="24"/>
          <w:szCs w:val="24"/>
        </w:rPr>
        <w:t xml:space="preserve"> i løbet af det første </w:t>
      </w:r>
      <w:proofErr w:type="spellStart"/>
      <w:r w:rsidRPr="00C03E2F">
        <w:rPr>
          <w:sz w:val="24"/>
          <w:szCs w:val="24"/>
        </w:rPr>
        <w:t>trimester</w:t>
      </w:r>
      <w:proofErr w:type="spellEnd"/>
      <w:r w:rsidRPr="00C03E2F">
        <w:rPr>
          <w:sz w:val="24"/>
          <w:szCs w:val="24"/>
        </w:rPr>
        <w:t xml:space="preserve"> viste ingen indikation for </w:t>
      </w:r>
      <w:proofErr w:type="spellStart"/>
      <w:r w:rsidRPr="00C03E2F">
        <w:rPr>
          <w:sz w:val="24"/>
          <w:szCs w:val="24"/>
        </w:rPr>
        <w:t>teratogene</w:t>
      </w:r>
      <w:proofErr w:type="spellEnd"/>
      <w:r w:rsidRPr="00C03E2F">
        <w:rPr>
          <w:sz w:val="24"/>
          <w:szCs w:val="24"/>
        </w:rPr>
        <w:t xml:space="preserve"> virkninger hos mennesker.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6.</w:t>
      </w:r>
      <w:r w:rsidRPr="00C03E2F">
        <w:rPr>
          <w:b/>
          <w:sz w:val="24"/>
          <w:szCs w:val="24"/>
        </w:rPr>
        <w:tab/>
        <w:t>FARMACEUTISKE OPLYSNINGER</w:t>
      </w: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6.1</w:t>
      </w:r>
      <w:r w:rsidRPr="00C03E2F">
        <w:rPr>
          <w:b/>
          <w:sz w:val="24"/>
          <w:szCs w:val="24"/>
        </w:rPr>
        <w:tab/>
        <w:t>Hjælpestoffer</w:t>
      </w:r>
    </w:p>
    <w:p w:rsidR="00F971A4" w:rsidRPr="00C03E2F" w:rsidRDefault="00F971A4" w:rsidP="00714DF7">
      <w:pPr>
        <w:ind w:left="851" w:hanging="851"/>
        <w:rPr>
          <w:sz w:val="24"/>
          <w:szCs w:val="24"/>
        </w:rPr>
      </w:pPr>
    </w:p>
    <w:p w:rsidR="00D61569" w:rsidRPr="00C03E2F" w:rsidRDefault="00B003BF" w:rsidP="00714DF7">
      <w:pPr>
        <w:ind w:left="851" w:hanging="851"/>
        <w:rPr>
          <w:sz w:val="24"/>
          <w:szCs w:val="24"/>
          <w:u w:val="single"/>
        </w:rPr>
      </w:pPr>
      <w:r w:rsidRPr="00C03E2F">
        <w:rPr>
          <w:sz w:val="24"/>
          <w:szCs w:val="24"/>
        </w:rPr>
        <w:tab/>
      </w:r>
      <w:proofErr w:type="spellStart"/>
      <w:r w:rsidR="00D61569" w:rsidRPr="00C03E2F">
        <w:rPr>
          <w:sz w:val="24"/>
          <w:szCs w:val="24"/>
          <w:u w:val="single"/>
        </w:rPr>
        <w:t>Mometasonfuroat</w:t>
      </w:r>
      <w:proofErr w:type="spellEnd"/>
      <w:r w:rsidR="00D61569" w:rsidRPr="00C03E2F">
        <w:rPr>
          <w:sz w:val="24"/>
          <w:szCs w:val="24"/>
          <w:u w:val="single"/>
        </w:rPr>
        <w:t xml:space="preserve"> ”Galen” creme:</w:t>
      </w:r>
    </w:p>
    <w:p w:rsidR="00D61569" w:rsidRPr="00C03E2F" w:rsidRDefault="00D61569" w:rsidP="00F971A4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>Hvid, blød paraffin</w:t>
      </w:r>
    </w:p>
    <w:p w:rsidR="00D61569" w:rsidRPr="00C03E2F" w:rsidRDefault="00D61569" w:rsidP="00F971A4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>Hvid bivoks</w:t>
      </w:r>
    </w:p>
    <w:p w:rsidR="00D61569" w:rsidRPr="00C03E2F" w:rsidRDefault="00D61569" w:rsidP="00F971A4">
      <w:pPr>
        <w:ind w:left="851"/>
        <w:rPr>
          <w:sz w:val="24"/>
          <w:szCs w:val="24"/>
        </w:rPr>
      </w:pPr>
      <w:proofErr w:type="spellStart"/>
      <w:r w:rsidRPr="00C03E2F">
        <w:rPr>
          <w:sz w:val="24"/>
          <w:szCs w:val="24"/>
        </w:rPr>
        <w:t>Propylenglycolmonopalmitostearat</w:t>
      </w:r>
      <w:proofErr w:type="spellEnd"/>
    </w:p>
    <w:p w:rsidR="00D61569" w:rsidRPr="00C03E2F" w:rsidRDefault="00D61569" w:rsidP="00F971A4">
      <w:pPr>
        <w:ind w:left="851"/>
        <w:rPr>
          <w:sz w:val="24"/>
          <w:szCs w:val="24"/>
        </w:rPr>
      </w:pPr>
      <w:proofErr w:type="spellStart"/>
      <w:r w:rsidRPr="00C03E2F">
        <w:rPr>
          <w:sz w:val="24"/>
          <w:szCs w:val="24"/>
        </w:rPr>
        <w:t>Promulgen</w:t>
      </w:r>
      <w:proofErr w:type="spellEnd"/>
      <w:r w:rsidRPr="00C03E2F">
        <w:rPr>
          <w:sz w:val="24"/>
          <w:szCs w:val="24"/>
        </w:rPr>
        <w:t xml:space="preserve"> G (</w:t>
      </w:r>
      <w:proofErr w:type="spellStart"/>
      <w:r w:rsidRPr="00C03E2F">
        <w:rPr>
          <w:sz w:val="24"/>
          <w:szCs w:val="24"/>
        </w:rPr>
        <w:t>stearylalkohol</w:t>
      </w:r>
      <w:proofErr w:type="spellEnd"/>
      <w:r w:rsidRPr="00C03E2F">
        <w:rPr>
          <w:sz w:val="24"/>
          <w:szCs w:val="24"/>
        </w:rPr>
        <w:t xml:space="preserve"> og ceteareth-20)</w:t>
      </w:r>
    </w:p>
    <w:p w:rsidR="00D61569" w:rsidRPr="00C03E2F" w:rsidRDefault="00D61569" w:rsidP="00F971A4">
      <w:pPr>
        <w:ind w:left="851"/>
        <w:rPr>
          <w:sz w:val="24"/>
          <w:szCs w:val="24"/>
        </w:rPr>
      </w:pPr>
      <w:proofErr w:type="spellStart"/>
      <w:r w:rsidRPr="00C03E2F">
        <w:rPr>
          <w:sz w:val="24"/>
          <w:szCs w:val="24"/>
        </w:rPr>
        <w:t>Phosphorsyre</w:t>
      </w:r>
      <w:proofErr w:type="spellEnd"/>
      <w:r w:rsidRPr="00C03E2F">
        <w:rPr>
          <w:sz w:val="24"/>
          <w:szCs w:val="24"/>
        </w:rPr>
        <w:t>, fortyndet</w:t>
      </w:r>
    </w:p>
    <w:p w:rsidR="00D61569" w:rsidRPr="00C03E2F" w:rsidRDefault="00D61569" w:rsidP="00F971A4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>2-Methylpentan-2,4-diol</w:t>
      </w:r>
    </w:p>
    <w:p w:rsidR="00D61569" w:rsidRPr="00C03E2F" w:rsidRDefault="00D61569" w:rsidP="00F971A4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>Titandioxid</w:t>
      </w:r>
    </w:p>
    <w:p w:rsidR="00D61569" w:rsidRPr="00C03E2F" w:rsidRDefault="00D61569" w:rsidP="00F971A4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 xml:space="preserve">Aluminiumstivelse </w:t>
      </w:r>
      <w:proofErr w:type="spellStart"/>
      <w:r w:rsidRPr="00C03E2F">
        <w:rPr>
          <w:sz w:val="24"/>
          <w:szCs w:val="24"/>
        </w:rPr>
        <w:t>octenylsuccinat</w:t>
      </w:r>
      <w:proofErr w:type="spellEnd"/>
      <w:r w:rsidRPr="00C03E2F">
        <w:rPr>
          <w:sz w:val="24"/>
          <w:szCs w:val="24"/>
        </w:rPr>
        <w:t xml:space="preserve"> (E1452)</w:t>
      </w:r>
    </w:p>
    <w:p w:rsidR="00D61569" w:rsidRPr="00C03E2F" w:rsidRDefault="00D61569" w:rsidP="00F971A4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>Renset vand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6.2</w:t>
      </w:r>
      <w:r w:rsidRPr="00C03E2F">
        <w:rPr>
          <w:b/>
          <w:sz w:val="24"/>
          <w:szCs w:val="24"/>
        </w:rPr>
        <w:tab/>
        <w:t>Uforligeligheder</w:t>
      </w:r>
    </w:p>
    <w:p w:rsidR="00D61569" w:rsidRPr="00C03E2F" w:rsidRDefault="00B003BF" w:rsidP="00714DF7">
      <w:pPr>
        <w:ind w:left="851" w:hanging="851"/>
        <w:rPr>
          <w:sz w:val="24"/>
          <w:szCs w:val="24"/>
        </w:rPr>
      </w:pPr>
      <w:r w:rsidRPr="00C03E2F">
        <w:rPr>
          <w:sz w:val="24"/>
          <w:szCs w:val="24"/>
        </w:rPr>
        <w:tab/>
      </w:r>
      <w:r w:rsidR="00D61569" w:rsidRPr="00C03E2F">
        <w:rPr>
          <w:sz w:val="24"/>
          <w:szCs w:val="24"/>
        </w:rPr>
        <w:t>Ikke relevant.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6.3</w:t>
      </w:r>
      <w:r w:rsidRPr="00C03E2F">
        <w:rPr>
          <w:b/>
          <w:sz w:val="24"/>
          <w:szCs w:val="24"/>
        </w:rPr>
        <w:tab/>
      </w:r>
      <w:proofErr w:type="spellStart"/>
      <w:r w:rsidRPr="00C03E2F">
        <w:rPr>
          <w:b/>
          <w:sz w:val="24"/>
          <w:szCs w:val="24"/>
        </w:rPr>
        <w:t>Opbevaringstid</w:t>
      </w:r>
      <w:proofErr w:type="spellEnd"/>
    </w:p>
    <w:p w:rsidR="00D61569" w:rsidRPr="00C03E2F" w:rsidRDefault="00B003BF" w:rsidP="00714DF7">
      <w:pPr>
        <w:ind w:left="851" w:hanging="851"/>
        <w:rPr>
          <w:sz w:val="24"/>
          <w:szCs w:val="24"/>
        </w:rPr>
      </w:pPr>
      <w:r w:rsidRPr="00C03E2F">
        <w:rPr>
          <w:sz w:val="24"/>
          <w:szCs w:val="24"/>
        </w:rPr>
        <w:tab/>
      </w:r>
      <w:r w:rsidR="00D61569" w:rsidRPr="00C03E2F">
        <w:rPr>
          <w:sz w:val="24"/>
          <w:szCs w:val="24"/>
        </w:rPr>
        <w:t>3 år</w:t>
      </w:r>
    </w:p>
    <w:p w:rsidR="00D61569" w:rsidRPr="00C03E2F" w:rsidRDefault="00D61569" w:rsidP="00F971A4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>Efter første anbrud på tuben: 1 år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6.4</w:t>
      </w:r>
      <w:r w:rsidRPr="00C03E2F">
        <w:rPr>
          <w:b/>
          <w:sz w:val="24"/>
          <w:szCs w:val="24"/>
        </w:rPr>
        <w:tab/>
        <w:t>Særlige opbevaringsforhold</w:t>
      </w:r>
    </w:p>
    <w:p w:rsidR="00D61569" w:rsidRPr="00C03E2F" w:rsidRDefault="00B003BF" w:rsidP="00714DF7">
      <w:pPr>
        <w:ind w:left="851" w:hanging="851"/>
        <w:rPr>
          <w:iCs/>
          <w:sz w:val="24"/>
          <w:szCs w:val="24"/>
        </w:rPr>
      </w:pPr>
      <w:r w:rsidRPr="00C03E2F">
        <w:rPr>
          <w:sz w:val="24"/>
          <w:szCs w:val="24"/>
        </w:rPr>
        <w:tab/>
      </w:r>
      <w:r w:rsidR="00D61569" w:rsidRPr="00C03E2F">
        <w:rPr>
          <w:sz w:val="24"/>
          <w:szCs w:val="24"/>
        </w:rPr>
        <w:t>Må ikke opbevares ved temperaturer over 30 °C.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6.5</w:t>
      </w:r>
      <w:r w:rsidRPr="00C03E2F">
        <w:rPr>
          <w:b/>
          <w:sz w:val="24"/>
          <w:szCs w:val="24"/>
        </w:rPr>
        <w:tab/>
        <w:t>Emballagetyper og pakningsstørrelser</w:t>
      </w:r>
    </w:p>
    <w:p w:rsidR="00D61569" w:rsidRPr="00C03E2F" w:rsidRDefault="00B003BF" w:rsidP="00714DF7">
      <w:pPr>
        <w:ind w:left="851" w:hanging="851"/>
        <w:rPr>
          <w:sz w:val="24"/>
          <w:szCs w:val="24"/>
        </w:rPr>
      </w:pPr>
      <w:r w:rsidRPr="00C03E2F">
        <w:rPr>
          <w:sz w:val="24"/>
          <w:szCs w:val="24"/>
        </w:rPr>
        <w:tab/>
      </w:r>
      <w:r w:rsidR="00D61569" w:rsidRPr="00C03E2F">
        <w:rPr>
          <w:sz w:val="24"/>
          <w:szCs w:val="24"/>
        </w:rPr>
        <w:t xml:space="preserve">Aluminiumstuber med </w:t>
      </w:r>
      <w:proofErr w:type="spellStart"/>
      <w:r w:rsidR="00D61569" w:rsidRPr="00C03E2F">
        <w:rPr>
          <w:sz w:val="24"/>
          <w:szCs w:val="24"/>
        </w:rPr>
        <w:t>polypropylen</w:t>
      </w:r>
      <w:proofErr w:type="spellEnd"/>
      <w:r w:rsidR="00D61569" w:rsidRPr="00C03E2F">
        <w:rPr>
          <w:sz w:val="24"/>
          <w:szCs w:val="24"/>
        </w:rPr>
        <w:t xml:space="preserve"> skruelåg. </w:t>
      </w:r>
    </w:p>
    <w:p w:rsidR="00F971A4" w:rsidRPr="00C03E2F" w:rsidRDefault="00F971A4" w:rsidP="00F971A4">
      <w:pPr>
        <w:ind w:left="851"/>
        <w:rPr>
          <w:sz w:val="24"/>
          <w:szCs w:val="24"/>
        </w:rPr>
      </w:pPr>
    </w:p>
    <w:p w:rsidR="00D61569" w:rsidRPr="00C03E2F" w:rsidRDefault="00D61569" w:rsidP="00F971A4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>Pakningsstørrelser:</w:t>
      </w:r>
    </w:p>
    <w:p w:rsidR="00D61569" w:rsidRPr="00C03E2F" w:rsidRDefault="00D61569" w:rsidP="00F971A4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>1 eller 10 tuber med 10 g, 20 g, 25 g, 30 g, 50 g og 100 g</w:t>
      </w:r>
    </w:p>
    <w:p w:rsidR="00D61569" w:rsidRPr="00C03E2F" w:rsidRDefault="00D61569" w:rsidP="00714DF7">
      <w:pPr>
        <w:ind w:left="851" w:hanging="851"/>
        <w:rPr>
          <w:sz w:val="24"/>
          <w:szCs w:val="24"/>
        </w:rPr>
      </w:pPr>
    </w:p>
    <w:p w:rsidR="00D61569" w:rsidRPr="00C03E2F" w:rsidRDefault="00D61569" w:rsidP="00F971A4">
      <w:pPr>
        <w:ind w:left="851"/>
        <w:rPr>
          <w:sz w:val="24"/>
          <w:szCs w:val="24"/>
        </w:rPr>
      </w:pPr>
      <w:r w:rsidRPr="00C03E2F">
        <w:rPr>
          <w:sz w:val="24"/>
          <w:szCs w:val="24"/>
        </w:rPr>
        <w:t>Ikke alle pakningsstørrelser er nødvendigvis markedsført.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6.6</w:t>
      </w:r>
      <w:r w:rsidRPr="00C03E2F">
        <w:rPr>
          <w:b/>
          <w:sz w:val="24"/>
          <w:szCs w:val="24"/>
        </w:rPr>
        <w:tab/>
        <w:t>Regler for destruktion og anden håndtering</w:t>
      </w:r>
    </w:p>
    <w:p w:rsidR="00D61569" w:rsidRPr="00C03E2F" w:rsidRDefault="00B003BF" w:rsidP="00714DF7">
      <w:pPr>
        <w:ind w:left="851" w:hanging="851"/>
        <w:rPr>
          <w:sz w:val="24"/>
          <w:szCs w:val="24"/>
        </w:rPr>
      </w:pPr>
      <w:r w:rsidRPr="00C03E2F">
        <w:rPr>
          <w:sz w:val="24"/>
          <w:szCs w:val="24"/>
        </w:rPr>
        <w:tab/>
      </w:r>
      <w:r w:rsidR="00D61569" w:rsidRPr="00C03E2F">
        <w:rPr>
          <w:sz w:val="24"/>
          <w:szCs w:val="24"/>
        </w:rPr>
        <w:t>Ingen særlige forholdsregler.</w:t>
      </w:r>
    </w:p>
    <w:p w:rsidR="00B003BF" w:rsidRPr="00C03E2F" w:rsidRDefault="00B003BF" w:rsidP="00714DF7">
      <w:pPr>
        <w:ind w:left="851" w:hanging="851"/>
        <w:jc w:val="both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7.</w:t>
      </w:r>
      <w:r w:rsidRPr="00C03E2F">
        <w:rPr>
          <w:b/>
          <w:sz w:val="24"/>
          <w:szCs w:val="24"/>
        </w:rPr>
        <w:tab/>
        <w:t>INDEHAVER AF MARKEDSFØRINGSTILLADELSEN</w:t>
      </w:r>
    </w:p>
    <w:p w:rsidR="00C03E2F" w:rsidRPr="00620A59" w:rsidRDefault="00C03E2F" w:rsidP="00C03E2F">
      <w:pPr>
        <w:ind w:left="851"/>
        <w:rPr>
          <w:sz w:val="24"/>
          <w:szCs w:val="24"/>
        </w:rPr>
      </w:pPr>
      <w:r w:rsidRPr="00620A59">
        <w:rPr>
          <w:sz w:val="24"/>
          <w:szCs w:val="24"/>
        </w:rPr>
        <w:t>GALENpharma GmbH</w:t>
      </w:r>
    </w:p>
    <w:p w:rsidR="00C03E2F" w:rsidRPr="00620A59" w:rsidRDefault="00C03E2F" w:rsidP="00C03E2F">
      <w:pPr>
        <w:ind w:left="851"/>
        <w:rPr>
          <w:sz w:val="24"/>
          <w:szCs w:val="24"/>
        </w:rPr>
      </w:pPr>
      <w:r w:rsidRPr="00620A59">
        <w:rPr>
          <w:sz w:val="24"/>
          <w:szCs w:val="24"/>
        </w:rPr>
        <w:t>Wittland 13</w:t>
      </w:r>
    </w:p>
    <w:p w:rsidR="00C03E2F" w:rsidRPr="00620A59" w:rsidRDefault="00C03E2F" w:rsidP="00C03E2F">
      <w:pPr>
        <w:ind w:left="851"/>
        <w:rPr>
          <w:sz w:val="24"/>
          <w:szCs w:val="24"/>
        </w:rPr>
      </w:pPr>
      <w:r w:rsidRPr="00620A59">
        <w:rPr>
          <w:sz w:val="24"/>
          <w:szCs w:val="24"/>
        </w:rPr>
        <w:t>24109 Kiel</w:t>
      </w:r>
    </w:p>
    <w:p w:rsidR="00B003BF" w:rsidRPr="00620A59" w:rsidRDefault="00C03E2F" w:rsidP="00C03E2F">
      <w:pPr>
        <w:ind w:left="851"/>
        <w:rPr>
          <w:sz w:val="24"/>
          <w:szCs w:val="24"/>
        </w:rPr>
      </w:pPr>
      <w:r w:rsidRPr="00620A59">
        <w:rPr>
          <w:sz w:val="24"/>
          <w:szCs w:val="24"/>
        </w:rPr>
        <w:t>Tyskland</w:t>
      </w:r>
    </w:p>
    <w:p w:rsidR="00C03E2F" w:rsidRPr="00620A59" w:rsidRDefault="00C03E2F" w:rsidP="00C03E2F">
      <w:pPr>
        <w:ind w:left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8.</w:t>
      </w:r>
      <w:r w:rsidRPr="00C03E2F">
        <w:rPr>
          <w:b/>
          <w:sz w:val="24"/>
          <w:szCs w:val="24"/>
        </w:rPr>
        <w:tab/>
        <w:t>MARKEDSFØRINGSTILLADELSESNUMMER (NUMRE)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  <w:r w:rsidRPr="00C03E2F">
        <w:rPr>
          <w:sz w:val="24"/>
          <w:szCs w:val="24"/>
        </w:rPr>
        <w:tab/>
      </w:r>
      <w:proofErr w:type="gramStart"/>
      <w:r w:rsidR="00A60CB7" w:rsidRPr="00C03E2F">
        <w:rPr>
          <w:sz w:val="24"/>
          <w:szCs w:val="24"/>
        </w:rPr>
        <w:t>45473</w:t>
      </w:r>
      <w:proofErr w:type="gramEnd"/>
    </w:p>
    <w:p w:rsidR="00F07772" w:rsidRPr="00C03E2F" w:rsidRDefault="00F07772">
      <w:pPr>
        <w:rPr>
          <w:sz w:val="24"/>
          <w:szCs w:val="24"/>
        </w:rPr>
      </w:pPr>
      <w:r w:rsidRPr="00C03E2F">
        <w:rPr>
          <w:sz w:val="24"/>
          <w:szCs w:val="24"/>
        </w:rPr>
        <w:br w:type="page"/>
      </w:r>
    </w:p>
    <w:p w:rsidR="00B003BF" w:rsidRPr="00C03E2F" w:rsidRDefault="00B003BF" w:rsidP="00714DF7">
      <w:pPr>
        <w:ind w:left="851" w:hanging="851"/>
        <w:jc w:val="both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9.</w:t>
      </w:r>
      <w:r w:rsidRPr="00C03E2F">
        <w:rPr>
          <w:b/>
          <w:sz w:val="24"/>
          <w:szCs w:val="24"/>
        </w:rPr>
        <w:tab/>
        <w:t>DATO FOR FØRSTE MARKEDSFØRINGSTILLADELSE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  <w:r w:rsidRPr="00C03E2F">
        <w:rPr>
          <w:sz w:val="24"/>
          <w:szCs w:val="24"/>
        </w:rPr>
        <w:tab/>
      </w:r>
      <w:r w:rsidR="00A60CB7" w:rsidRPr="00C03E2F">
        <w:rPr>
          <w:sz w:val="24"/>
          <w:szCs w:val="24"/>
        </w:rPr>
        <w:t>27. oktober 2011 (salve)</w:t>
      </w:r>
    </w:p>
    <w:p w:rsidR="00B003BF" w:rsidRPr="00C03E2F" w:rsidRDefault="00B003BF" w:rsidP="00714DF7">
      <w:pPr>
        <w:ind w:left="851" w:hanging="851"/>
        <w:rPr>
          <w:sz w:val="24"/>
          <w:szCs w:val="24"/>
        </w:rPr>
      </w:pPr>
    </w:p>
    <w:p w:rsidR="00B003BF" w:rsidRPr="00C03E2F" w:rsidRDefault="00B003BF" w:rsidP="00714DF7">
      <w:pPr>
        <w:ind w:left="851" w:hanging="851"/>
        <w:rPr>
          <w:b/>
          <w:sz w:val="24"/>
          <w:szCs w:val="24"/>
        </w:rPr>
      </w:pPr>
      <w:r w:rsidRPr="00C03E2F">
        <w:rPr>
          <w:b/>
          <w:sz w:val="24"/>
          <w:szCs w:val="24"/>
        </w:rPr>
        <w:t>10.</w:t>
      </w:r>
      <w:r w:rsidRPr="00C03E2F">
        <w:rPr>
          <w:b/>
          <w:sz w:val="24"/>
          <w:szCs w:val="24"/>
        </w:rPr>
        <w:tab/>
        <w:t>DATO FOR ÆNDRING AF TEKSTEN</w:t>
      </w:r>
    </w:p>
    <w:p w:rsidR="00790EE7" w:rsidRPr="00C03E2F" w:rsidRDefault="00B003BF" w:rsidP="00714DF7">
      <w:pPr>
        <w:ind w:left="851" w:hanging="851"/>
        <w:rPr>
          <w:sz w:val="24"/>
          <w:szCs w:val="24"/>
        </w:rPr>
      </w:pPr>
      <w:r w:rsidRPr="00C03E2F">
        <w:rPr>
          <w:sz w:val="24"/>
          <w:szCs w:val="24"/>
        </w:rPr>
        <w:tab/>
      </w:r>
      <w:r w:rsidR="00A60CB7" w:rsidRPr="00C03E2F">
        <w:rPr>
          <w:sz w:val="24"/>
          <w:szCs w:val="24"/>
        </w:rPr>
        <w:t>-</w:t>
      </w:r>
    </w:p>
    <w:sectPr w:rsidR="00790EE7" w:rsidRPr="00C03E2F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E2F" w:rsidRDefault="00C03E2F">
      <w:r>
        <w:separator/>
      </w:r>
    </w:p>
  </w:endnote>
  <w:endnote w:type="continuationSeparator" w:id="0">
    <w:p w:rsidR="00C03E2F" w:rsidRDefault="00C03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2F" w:rsidRDefault="00C03E2F">
    <w:pPr>
      <w:pStyle w:val="Sidefod"/>
      <w:pBdr>
        <w:bottom w:val="single" w:sz="6" w:space="1" w:color="auto"/>
      </w:pBdr>
    </w:pPr>
  </w:p>
  <w:p w:rsidR="00C03E2F" w:rsidRDefault="00C03E2F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C03E2F" w:rsidRPr="00B373D7" w:rsidRDefault="00BB444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C03E2F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501946">
      <w:rPr>
        <w:i/>
        <w:noProof/>
        <w:sz w:val="18"/>
        <w:szCs w:val="18"/>
      </w:rPr>
      <w:t>Mometasonfuroat Galen, creme 1 mg-g</w:t>
    </w:r>
    <w:r w:rsidRPr="00B373D7">
      <w:rPr>
        <w:i/>
        <w:sz w:val="18"/>
        <w:szCs w:val="18"/>
      </w:rPr>
      <w:fldChar w:fldCharType="end"/>
    </w:r>
    <w:r w:rsidR="00C03E2F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C03E2F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620A59">
      <w:rPr>
        <w:rStyle w:val="Sidetal"/>
        <w:i/>
        <w:noProof/>
        <w:sz w:val="18"/>
        <w:szCs w:val="18"/>
      </w:rPr>
      <w:t>2</w:t>
    </w:r>
    <w:r w:rsidRPr="00B373D7">
      <w:rPr>
        <w:rStyle w:val="Sidetal"/>
        <w:i/>
        <w:sz w:val="18"/>
        <w:szCs w:val="18"/>
      </w:rPr>
      <w:fldChar w:fldCharType="end"/>
    </w:r>
    <w:r w:rsidR="00C03E2F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C03E2F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620A59">
      <w:rPr>
        <w:rStyle w:val="Sidetal"/>
        <w:i/>
        <w:noProof/>
        <w:sz w:val="18"/>
        <w:szCs w:val="18"/>
      </w:rPr>
      <w:t>8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E2F" w:rsidRDefault="00C03E2F">
      <w:r>
        <w:separator/>
      </w:r>
    </w:p>
  </w:footnote>
  <w:footnote w:type="continuationSeparator" w:id="0">
    <w:p w:rsidR="00C03E2F" w:rsidRDefault="00C03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88605AC"/>
    <w:multiLevelType w:val="hybridMultilevel"/>
    <w:tmpl w:val="AA8AF9CE"/>
    <w:lvl w:ilvl="0" w:tplc="B130056E">
      <w:start w:val="1"/>
      <w:numFmt w:val="bullet"/>
      <w:lvlText w:val="-"/>
      <w:lvlJc w:val="left"/>
      <w:pPr>
        <w:tabs>
          <w:tab w:val="num" w:pos="720"/>
        </w:tabs>
        <w:ind w:left="567" w:hanging="207"/>
      </w:pPr>
      <w:rPr>
        <w:sz w:val="16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D9270E"/>
    <w:multiLevelType w:val="hybridMultilevel"/>
    <w:tmpl w:val="EDD480F2"/>
    <w:lvl w:ilvl="0" w:tplc="F6AA9ED0">
      <w:start w:val="1"/>
      <w:numFmt w:val="bullet"/>
      <w:lvlText w:val=""/>
      <w:lvlJc w:val="left"/>
      <w:pPr>
        <w:tabs>
          <w:tab w:val="num" w:pos="720"/>
        </w:tabs>
        <w:ind w:left="567" w:hanging="207"/>
      </w:pPr>
      <w:rPr>
        <w:rFonts w:ascii="Symbol" w:hAnsi="Symbol" w:hint="default"/>
        <w:sz w:val="16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D1754E"/>
    <w:multiLevelType w:val="hybridMultilevel"/>
    <w:tmpl w:val="0EA6575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43FA5"/>
    <w:multiLevelType w:val="hybridMultilevel"/>
    <w:tmpl w:val="A826493A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7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8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5AD"/>
    <w:rsid w:val="000259B9"/>
    <w:rsid w:val="00041491"/>
    <w:rsid w:val="00050D16"/>
    <w:rsid w:val="00074F2A"/>
    <w:rsid w:val="000A1CA8"/>
    <w:rsid w:val="000A466B"/>
    <w:rsid w:val="000E4EE6"/>
    <w:rsid w:val="00283A2B"/>
    <w:rsid w:val="002B30AD"/>
    <w:rsid w:val="002C2C01"/>
    <w:rsid w:val="003A29AE"/>
    <w:rsid w:val="003A32D7"/>
    <w:rsid w:val="003B4074"/>
    <w:rsid w:val="003C769A"/>
    <w:rsid w:val="0045746C"/>
    <w:rsid w:val="0049104B"/>
    <w:rsid w:val="004E3B12"/>
    <w:rsid w:val="00501946"/>
    <w:rsid w:val="00565F0F"/>
    <w:rsid w:val="00594A86"/>
    <w:rsid w:val="00596D86"/>
    <w:rsid w:val="00620A59"/>
    <w:rsid w:val="006560B1"/>
    <w:rsid w:val="006756DD"/>
    <w:rsid w:val="006E2F43"/>
    <w:rsid w:val="00714DF7"/>
    <w:rsid w:val="00740EEC"/>
    <w:rsid w:val="0078011A"/>
    <w:rsid w:val="00782AF4"/>
    <w:rsid w:val="00790EE7"/>
    <w:rsid w:val="007B6649"/>
    <w:rsid w:val="0082576E"/>
    <w:rsid w:val="00907F75"/>
    <w:rsid w:val="0093258A"/>
    <w:rsid w:val="009C7BA3"/>
    <w:rsid w:val="009D1F5A"/>
    <w:rsid w:val="009F0753"/>
    <w:rsid w:val="00A60CB7"/>
    <w:rsid w:val="00B003BF"/>
    <w:rsid w:val="00B373D7"/>
    <w:rsid w:val="00B46E4A"/>
    <w:rsid w:val="00BB4449"/>
    <w:rsid w:val="00C03E2F"/>
    <w:rsid w:val="00C36276"/>
    <w:rsid w:val="00C42586"/>
    <w:rsid w:val="00C95551"/>
    <w:rsid w:val="00CB20D7"/>
    <w:rsid w:val="00D020B0"/>
    <w:rsid w:val="00D11748"/>
    <w:rsid w:val="00D366CF"/>
    <w:rsid w:val="00D61569"/>
    <w:rsid w:val="00DA35AD"/>
    <w:rsid w:val="00E108AA"/>
    <w:rsid w:val="00E3749A"/>
    <w:rsid w:val="00E7437F"/>
    <w:rsid w:val="00E865B8"/>
    <w:rsid w:val="00EC0B9B"/>
    <w:rsid w:val="00ED5E9F"/>
    <w:rsid w:val="00F07772"/>
    <w:rsid w:val="00F971A4"/>
    <w:rsid w:val="00FB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basedOn w:val="Standardskrifttypeiafsnit"/>
    <w:link w:val="Sidehoved"/>
    <w:rsid w:val="00B003BF"/>
    <w:rPr>
      <w:sz w:val="24"/>
    </w:rPr>
  </w:style>
  <w:style w:type="character" w:customStyle="1" w:styleId="TitelTegn">
    <w:name w:val="Titel Tegn"/>
    <w:basedOn w:val="Standardskrifttypeiafsnit"/>
    <w:link w:val="Titel"/>
    <w:rsid w:val="00B003B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kma.local\lmsfil\QLM\Projects\GOD\docs\National\SPC%20Hum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69</TotalTime>
  <Pages>8</Pages>
  <Words>1903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2010121080, MT</dc:description>
  <cp:lastModifiedBy>Gitte Jørgensen</cp:lastModifiedBy>
  <cp:revision>9</cp:revision>
  <cp:lastPrinted>2013-03-05T11:05:00Z</cp:lastPrinted>
  <dcterms:created xsi:type="dcterms:W3CDTF">2013-03-05T10:00:00Z</dcterms:created>
  <dcterms:modified xsi:type="dcterms:W3CDTF">2013-03-05T12:01:00Z</dcterms:modified>
</cp:coreProperties>
</file>