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B5" w:rsidRPr="009C00CC" w:rsidRDefault="000171B5" w:rsidP="000171B5">
      <w:bookmarkStart w:id="0" w:name="_GoBack"/>
      <w:bookmarkEnd w:id="0"/>
      <w:r w:rsidRPr="009C00CC">
        <w:rPr>
          <w:noProof/>
          <w:lang w:eastAsia="da-DK"/>
        </w:rPr>
        <w:drawing>
          <wp:inline distT="0" distB="0" distL="0" distR="0" wp14:anchorId="7BA94CA0" wp14:editId="28EDA039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B5" w:rsidRPr="009C00CC" w:rsidRDefault="000171B5" w:rsidP="000171B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0171B5" w:rsidRPr="009C00CC" w:rsidRDefault="009C00CC" w:rsidP="000171B5">
      <w:pPr>
        <w:pStyle w:val="Titel"/>
        <w:tabs>
          <w:tab w:val="left" w:pos="8222"/>
        </w:tabs>
        <w:jc w:val="right"/>
        <w:rPr>
          <w:b w:val="0"/>
          <w:szCs w:val="24"/>
        </w:rPr>
      </w:pPr>
      <w:r>
        <w:rPr>
          <w:szCs w:val="24"/>
        </w:rPr>
        <w:t>19. oktober 2023</w:t>
      </w:r>
    </w:p>
    <w:p w:rsidR="008B2165" w:rsidRPr="009C00CC" w:rsidRDefault="008B2165" w:rsidP="000171B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0171B5" w:rsidRPr="009C00CC" w:rsidRDefault="000171B5" w:rsidP="000171B5">
      <w:pPr>
        <w:pStyle w:val="Titel"/>
        <w:jc w:val="left"/>
        <w:rPr>
          <w:b w:val="0"/>
          <w:szCs w:val="24"/>
        </w:rPr>
      </w:pPr>
    </w:p>
    <w:p w:rsidR="000171B5" w:rsidRPr="009C00CC" w:rsidRDefault="000171B5" w:rsidP="000171B5">
      <w:pPr>
        <w:pStyle w:val="Titel"/>
        <w:jc w:val="left"/>
        <w:rPr>
          <w:b w:val="0"/>
          <w:szCs w:val="24"/>
        </w:rPr>
      </w:pPr>
    </w:p>
    <w:p w:rsidR="000171B5" w:rsidRPr="009C00CC" w:rsidRDefault="000171B5" w:rsidP="000171B5">
      <w:pPr>
        <w:jc w:val="center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PRODUKTRESUMÉ</w:t>
      </w:r>
    </w:p>
    <w:p w:rsidR="000171B5" w:rsidRPr="009C00CC" w:rsidRDefault="000171B5" w:rsidP="000171B5">
      <w:pPr>
        <w:jc w:val="center"/>
        <w:rPr>
          <w:b/>
          <w:sz w:val="24"/>
          <w:szCs w:val="24"/>
        </w:rPr>
      </w:pPr>
    </w:p>
    <w:p w:rsidR="000171B5" w:rsidRPr="009C00CC" w:rsidRDefault="000171B5" w:rsidP="000171B5">
      <w:pPr>
        <w:jc w:val="center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for</w:t>
      </w:r>
    </w:p>
    <w:p w:rsidR="000171B5" w:rsidRPr="009C00CC" w:rsidRDefault="000171B5" w:rsidP="000171B5">
      <w:pPr>
        <w:jc w:val="center"/>
        <w:rPr>
          <w:b/>
          <w:sz w:val="24"/>
          <w:szCs w:val="24"/>
        </w:rPr>
      </w:pPr>
    </w:p>
    <w:p w:rsidR="000171B5" w:rsidRPr="009C00CC" w:rsidRDefault="000171B5" w:rsidP="000171B5">
      <w:pPr>
        <w:jc w:val="center"/>
        <w:rPr>
          <w:b/>
          <w:sz w:val="24"/>
          <w:szCs w:val="24"/>
        </w:rPr>
      </w:pPr>
      <w:proofErr w:type="spellStart"/>
      <w:r w:rsidRPr="009C00CC">
        <w:rPr>
          <w:b/>
          <w:sz w:val="24"/>
          <w:szCs w:val="24"/>
        </w:rPr>
        <w:t>Mometasonfuroat</w:t>
      </w:r>
      <w:proofErr w:type="spellEnd"/>
      <w:r w:rsidRPr="009C00CC">
        <w:rPr>
          <w:b/>
          <w:sz w:val="24"/>
          <w:szCs w:val="24"/>
        </w:rPr>
        <w:t xml:space="preserve"> "</w:t>
      </w:r>
      <w:proofErr w:type="spellStart"/>
      <w:r w:rsidRPr="009C00CC">
        <w:rPr>
          <w:b/>
          <w:sz w:val="24"/>
          <w:szCs w:val="24"/>
        </w:rPr>
        <w:t>Zentiva</w:t>
      </w:r>
      <w:proofErr w:type="spellEnd"/>
      <w:r w:rsidRPr="009C00CC">
        <w:rPr>
          <w:b/>
          <w:sz w:val="24"/>
          <w:szCs w:val="24"/>
        </w:rPr>
        <w:t>", næsespray, suspension</w:t>
      </w:r>
    </w:p>
    <w:p w:rsidR="000171B5" w:rsidRPr="009C00CC" w:rsidRDefault="000171B5" w:rsidP="000171B5">
      <w:pPr>
        <w:jc w:val="both"/>
        <w:rPr>
          <w:sz w:val="24"/>
          <w:szCs w:val="24"/>
        </w:rPr>
      </w:pPr>
    </w:p>
    <w:p w:rsidR="000171B5" w:rsidRPr="009C00CC" w:rsidRDefault="000171B5" w:rsidP="000171B5">
      <w:pPr>
        <w:ind w:left="851" w:hanging="851"/>
        <w:jc w:val="both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  <w:t>28392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1.</w:t>
      </w:r>
      <w:r w:rsidRPr="009C00CC">
        <w:rPr>
          <w:b/>
          <w:sz w:val="24"/>
          <w:szCs w:val="24"/>
        </w:rPr>
        <w:tab/>
        <w:t>LÆGEMIDLETS NAVN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"</w:t>
      </w: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>"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2.</w:t>
      </w:r>
      <w:r w:rsidRPr="009C00CC">
        <w:rPr>
          <w:b/>
          <w:sz w:val="24"/>
          <w:szCs w:val="24"/>
        </w:rPr>
        <w:tab/>
        <w:t>KVALITATIV OG KVANTITATIV SAMMENSÆTNING</w:t>
      </w:r>
    </w:p>
    <w:p w:rsidR="000171B5" w:rsidRPr="009C00CC" w:rsidRDefault="000171B5" w:rsidP="000171B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9C00CC">
        <w:rPr>
          <w:sz w:val="24"/>
          <w:szCs w:val="24"/>
          <w:lang w:val="da-DK"/>
        </w:rPr>
        <w:t xml:space="preserve">Hver afgivet dosis indeholder </w:t>
      </w:r>
      <w:proofErr w:type="spellStart"/>
      <w:r w:rsidRPr="009C00CC">
        <w:rPr>
          <w:sz w:val="24"/>
          <w:szCs w:val="24"/>
          <w:lang w:val="da-DK"/>
        </w:rPr>
        <w:t>mometasonfuroatmonohydrat</w:t>
      </w:r>
      <w:proofErr w:type="spellEnd"/>
      <w:r w:rsidRPr="009C00CC">
        <w:rPr>
          <w:sz w:val="24"/>
          <w:szCs w:val="24"/>
          <w:lang w:val="da-DK"/>
        </w:rPr>
        <w:t xml:space="preserve"> svarende til 50 mikrogram vandfri </w:t>
      </w:r>
      <w:proofErr w:type="spellStart"/>
      <w:r w:rsidRPr="009C00CC">
        <w:rPr>
          <w:sz w:val="24"/>
          <w:szCs w:val="24"/>
          <w:lang w:val="da-DK"/>
        </w:rPr>
        <w:t>mometasonfuroat</w:t>
      </w:r>
      <w:proofErr w:type="spellEnd"/>
      <w:r w:rsidRPr="009C00CC">
        <w:rPr>
          <w:sz w:val="24"/>
          <w:szCs w:val="24"/>
          <w:lang w:val="da-DK"/>
        </w:rPr>
        <w:t>.</w:t>
      </w:r>
    </w:p>
    <w:p w:rsidR="000171B5" w:rsidRPr="009C00CC" w:rsidRDefault="000171B5" w:rsidP="000171B5">
      <w:pPr>
        <w:pStyle w:val="EMEAEnBodyText"/>
        <w:autoSpaceDE w:val="0"/>
        <w:autoSpaceDN w:val="0"/>
        <w:adjustRightInd w:val="0"/>
        <w:spacing w:before="0" w:after="0"/>
        <w:ind w:left="851" w:hanging="851"/>
        <w:jc w:val="left"/>
        <w:rPr>
          <w:sz w:val="24"/>
          <w:szCs w:val="24"/>
          <w:lang w:val="da-DK"/>
        </w:rPr>
      </w:pPr>
    </w:p>
    <w:p w:rsidR="000171B5" w:rsidRPr="009C00CC" w:rsidRDefault="000171B5" w:rsidP="000171B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9C00CC">
        <w:rPr>
          <w:sz w:val="24"/>
          <w:szCs w:val="24"/>
          <w:u w:val="single"/>
          <w:lang w:val="da-DK"/>
        </w:rPr>
        <w:t>Hjælpestof, som behandleren skal være opmærksom på</w:t>
      </w:r>
    </w:p>
    <w:p w:rsidR="000171B5" w:rsidRPr="009C00CC" w:rsidRDefault="000171B5" w:rsidP="000171B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9C00CC">
        <w:rPr>
          <w:sz w:val="24"/>
          <w:szCs w:val="24"/>
          <w:lang w:val="da-DK"/>
        </w:rPr>
        <w:t xml:space="preserve">Dette lægemiddel indeholder 20 mikrogram </w:t>
      </w:r>
      <w:proofErr w:type="spellStart"/>
      <w:r w:rsidRPr="009C00CC">
        <w:rPr>
          <w:sz w:val="24"/>
          <w:szCs w:val="24"/>
          <w:lang w:val="da-DK"/>
        </w:rPr>
        <w:t>benzalkoniumchlorid</w:t>
      </w:r>
      <w:proofErr w:type="spellEnd"/>
      <w:r w:rsidRPr="009C00CC">
        <w:rPr>
          <w:sz w:val="24"/>
          <w:szCs w:val="24"/>
          <w:lang w:val="da-DK"/>
        </w:rPr>
        <w:t xml:space="preserve"> pr. pust.</w:t>
      </w:r>
    </w:p>
    <w:p w:rsidR="000171B5" w:rsidRPr="009C00CC" w:rsidRDefault="000171B5" w:rsidP="000171B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0171B5" w:rsidRPr="009C00CC" w:rsidRDefault="000171B5" w:rsidP="000171B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9C00CC">
        <w:rPr>
          <w:sz w:val="24"/>
          <w:szCs w:val="24"/>
          <w:lang w:val="da-DK"/>
        </w:rPr>
        <w:t>Alle hjælpestoffer er anført under pkt. 6.1.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3.</w:t>
      </w:r>
      <w:r w:rsidRPr="009C00CC">
        <w:rPr>
          <w:b/>
          <w:sz w:val="24"/>
          <w:szCs w:val="24"/>
        </w:rPr>
        <w:tab/>
        <w:t>LÆGEMIDDELFORM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Næsespray, suspension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Hvid til næsten hvid, viskøs suspension med pH mellem 4,3 og 4,9.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</w:t>
      </w:r>
      <w:r w:rsidRPr="009C00CC">
        <w:rPr>
          <w:b/>
          <w:sz w:val="24"/>
          <w:szCs w:val="24"/>
        </w:rPr>
        <w:tab/>
        <w:t>KLINISKE OPLYSNINGER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C00CC">
        <w:rPr>
          <w:b/>
          <w:sz w:val="24"/>
          <w:szCs w:val="24"/>
        </w:rPr>
        <w:t>4.1</w:t>
      </w:r>
      <w:r w:rsidRPr="009C00CC">
        <w:rPr>
          <w:b/>
          <w:sz w:val="24"/>
          <w:szCs w:val="24"/>
        </w:rPr>
        <w:tab/>
        <w:t>Terapeutiske indikationer</w:t>
      </w:r>
    </w:p>
    <w:p w:rsidR="00FC0422" w:rsidRPr="009C00CC" w:rsidRDefault="000171B5" w:rsidP="00FC0422">
      <w:pPr>
        <w:tabs>
          <w:tab w:val="left" w:pos="0"/>
        </w:tabs>
        <w:ind w:left="851" w:hanging="851"/>
        <w:rPr>
          <w:spacing w:val="-3"/>
          <w:sz w:val="24"/>
          <w:szCs w:val="24"/>
        </w:rPr>
      </w:pPr>
      <w:r w:rsidRPr="009C00CC">
        <w:rPr>
          <w:sz w:val="24"/>
          <w:szCs w:val="24"/>
        </w:rPr>
        <w:tab/>
      </w:r>
      <w:proofErr w:type="spellStart"/>
      <w:r w:rsidR="00FC0422" w:rsidRPr="009C00CC">
        <w:rPr>
          <w:sz w:val="24"/>
          <w:szCs w:val="24"/>
        </w:rPr>
        <w:t>Mometasonfuroat</w:t>
      </w:r>
      <w:proofErr w:type="spellEnd"/>
      <w:r w:rsidR="00FC0422" w:rsidRPr="009C00CC">
        <w:rPr>
          <w:sz w:val="24"/>
          <w:szCs w:val="24"/>
        </w:rPr>
        <w:t xml:space="preserve"> "</w:t>
      </w:r>
      <w:proofErr w:type="spellStart"/>
      <w:r w:rsidR="00FC0422" w:rsidRPr="009C00CC">
        <w:rPr>
          <w:sz w:val="24"/>
          <w:szCs w:val="24"/>
        </w:rPr>
        <w:t>Zentiva</w:t>
      </w:r>
      <w:proofErr w:type="spellEnd"/>
      <w:r w:rsidR="00FC0422" w:rsidRPr="009C00CC">
        <w:rPr>
          <w:sz w:val="24"/>
          <w:szCs w:val="24"/>
        </w:rPr>
        <w:t xml:space="preserve">" næsespray </w:t>
      </w:r>
      <w:r w:rsidR="00FC0422" w:rsidRPr="009C00CC">
        <w:rPr>
          <w:spacing w:val="-3"/>
          <w:sz w:val="24"/>
          <w:szCs w:val="24"/>
        </w:rPr>
        <w:t xml:space="preserve">er indiceret til intranasal brug hos voksne til behandling af symptomer på sæsonbetinget allergisk </w:t>
      </w:r>
      <w:proofErr w:type="spellStart"/>
      <w:r w:rsidR="00FC0422" w:rsidRPr="009C00CC">
        <w:rPr>
          <w:spacing w:val="-3"/>
          <w:sz w:val="24"/>
          <w:szCs w:val="24"/>
        </w:rPr>
        <w:t>rhinitis</w:t>
      </w:r>
      <w:proofErr w:type="spellEnd"/>
      <w:r w:rsidR="00FC0422" w:rsidRPr="009C00CC">
        <w:rPr>
          <w:spacing w:val="-3"/>
          <w:sz w:val="24"/>
          <w:szCs w:val="24"/>
        </w:rPr>
        <w:t>, efter at være blevet diagnosticeret af lægen.</w:t>
      </w:r>
    </w:p>
    <w:p w:rsidR="00660A95" w:rsidRDefault="00660A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Dosering</w:t>
      </w:r>
    </w:p>
    <w:p w:rsidR="000171B5" w:rsidRPr="009C00CC" w:rsidRDefault="000171B5" w:rsidP="000171B5">
      <w:pPr>
        <w:ind w:left="851" w:hanging="851"/>
        <w:rPr>
          <w:i/>
          <w:sz w:val="24"/>
          <w:szCs w:val="24"/>
        </w:rPr>
      </w:pPr>
    </w:p>
    <w:p w:rsidR="00FC0422" w:rsidRPr="009C00CC" w:rsidRDefault="00FC0422" w:rsidP="00FC0422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 xml:space="preserve">Sæsonbetinget allergisk </w:t>
      </w:r>
      <w:proofErr w:type="spellStart"/>
      <w:r w:rsidRPr="009C00CC">
        <w:rPr>
          <w:sz w:val="24"/>
          <w:szCs w:val="24"/>
          <w:u w:val="single"/>
        </w:rPr>
        <w:t>rhinitis</w:t>
      </w:r>
      <w:proofErr w:type="spellEnd"/>
    </w:p>
    <w:p w:rsidR="00FC0422" w:rsidRPr="009C00CC" w:rsidRDefault="00FC0422" w:rsidP="00FC0422">
      <w:pPr>
        <w:ind w:left="851" w:hanging="851"/>
        <w:rPr>
          <w:sz w:val="24"/>
          <w:szCs w:val="24"/>
        </w:rPr>
      </w:pPr>
    </w:p>
    <w:p w:rsidR="00FC0422" w:rsidRPr="009C00CC" w:rsidRDefault="00FC0422" w:rsidP="00FC0422">
      <w:pPr>
        <w:ind w:left="851"/>
        <w:rPr>
          <w:sz w:val="24"/>
          <w:szCs w:val="24"/>
        </w:rPr>
      </w:pPr>
      <w:r w:rsidRPr="009C00CC">
        <w:rPr>
          <w:i/>
          <w:sz w:val="24"/>
          <w:szCs w:val="24"/>
        </w:rPr>
        <w:t>Voksne (herunder ældre patienter)</w:t>
      </w:r>
    </w:p>
    <w:p w:rsidR="00FC0422" w:rsidRPr="009C00CC" w:rsidRDefault="00FC0422" w:rsidP="00FC0422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Den sædvanlige anbefalede dosis er to pust (50 mikrogram/pust) i hvert næsebor en gang daglig (en samlet dosis på 200 mikrogram). Når symptomerne er under kontrol, kan en reduktion af dosis til et pust i hvert næsebor en gang daglig (en samlet dosis på 100 mikrogram) være effektiv som vedligeholdelsesbehandling.</w:t>
      </w:r>
    </w:p>
    <w:p w:rsidR="00FC0422" w:rsidRPr="009C00CC" w:rsidRDefault="00FC0422" w:rsidP="00FC0422">
      <w:pPr>
        <w:ind w:left="851" w:hanging="851"/>
        <w:rPr>
          <w:sz w:val="24"/>
          <w:szCs w:val="24"/>
        </w:rPr>
      </w:pPr>
    </w:p>
    <w:p w:rsidR="00FC0422" w:rsidRPr="009C00CC" w:rsidRDefault="00FC0422" w:rsidP="00FC0422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 giver en klinisk signifikant effekt inden for 12 timer efter den første dosis hos nogle patienter med sæsonbetinget allergisk </w:t>
      </w:r>
      <w:proofErr w:type="spellStart"/>
      <w:r w:rsidRPr="009C00CC">
        <w:rPr>
          <w:sz w:val="24"/>
          <w:szCs w:val="24"/>
        </w:rPr>
        <w:t>rhinitis</w:t>
      </w:r>
      <w:proofErr w:type="spellEnd"/>
      <w:r w:rsidRPr="009C00CC">
        <w:rPr>
          <w:sz w:val="24"/>
          <w:szCs w:val="24"/>
        </w:rPr>
        <w:t>, mens fuldstændig gavn af behandlingen måske ikke opnås inden for de første 48 timer. Patienten skal derfor fortsætte med regelmæssig anvendelse for at opnå den bedste terapeutiske virkning.</w:t>
      </w:r>
    </w:p>
    <w:p w:rsidR="00FC0422" w:rsidRPr="009C00CC" w:rsidRDefault="00FC0422" w:rsidP="00FC0422">
      <w:pPr>
        <w:ind w:left="851"/>
        <w:rPr>
          <w:sz w:val="24"/>
          <w:szCs w:val="24"/>
        </w:rPr>
      </w:pPr>
    </w:p>
    <w:p w:rsidR="00FC0422" w:rsidRPr="009C00CC" w:rsidRDefault="00FC0422" w:rsidP="00FC0422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Hos patienter, som tidligere har haft moderate til svære symptomer på sæsonbetinget allergisk </w:t>
      </w:r>
      <w:proofErr w:type="spellStart"/>
      <w:r w:rsidRPr="009C00CC">
        <w:rPr>
          <w:sz w:val="24"/>
          <w:szCs w:val="24"/>
        </w:rPr>
        <w:t>rhinitis</w:t>
      </w:r>
      <w:proofErr w:type="spellEnd"/>
      <w:r w:rsidRPr="009C00CC">
        <w:rPr>
          <w:sz w:val="24"/>
          <w:szCs w:val="24"/>
        </w:rPr>
        <w:t xml:space="preserve">, kan det være nødvendigt at initiere behandling med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"</w:t>
      </w: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>" næsespray nogle dage før pollensæsonen forventes at starte.</w:t>
      </w:r>
    </w:p>
    <w:p w:rsidR="00FC0422" w:rsidRPr="009C00CC" w:rsidRDefault="00FC0422" w:rsidP="00FC0422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Hvis der er ingen/utilstrækkelig bedring af symptomerne efter maksimalt 14 dages brug, skal lægen kontaktes.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"</w:t>
      </w: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>" næsespray bør ikke anvendes kontinuerligt i mere end 3 måneder uden aftale med lægen.</w:t>
      </w:r>
    </w:p>
    <w:p w:rsidR="00FC0422" w:rsidRPr="009C00CC" w:rsidRDefault="00FC0422" w:rsidP="00FC0422">
      <w:pPr>
        <w:ind w:left="851" w:hanging="851"/>
        <w:rPr>
          <w:sz w:val="24"/>
          <w:szCs w:val="24"/>
        </w:rPr>
      </w:pPr>
    </w:p>
    <w:p w:rsidR="00FC0422" w:rsidRPr="009C00CC" w:rsidRDefault="00FC0422" w:rsidP="00FC0422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Pædiatrisk population</w:t>
      </w:r>
    </w:p>
    <w:p w:rsidR="00FC0422" w:rsidRPr="009C00CC" w:rsidRDefault="00FC0422" w:rsidP="00FC0422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"</w:t>
      </w: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>" næsespray er ikke beregnet til børn og unge under 18 år.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Administration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Før administration af den første dosis skal beholderen rystes omhyggeligt, og der skal foretages 10 pumpetryk (indtil der dannes en ensartet forstøvning). Efter den initiale klargøring af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"</w:t>
      </w: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 xml:space="preserve">" næsespray giver hvert pust ca. 100 mg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suspension, som indeholder en mængde </w:t>
      </w:r>
      <w:proofErr w:type="spellStart"/>
      <w:r w:rsidRPr="009C00CC">
        <w:rPr>
          <w:sz w:val="24"/>
          <w:szCs w:val="24"/>
        </w:rPr>
        <w:t>mometasonfuroatmonohydrat</w:t>
      </w:r>
      <w:proofErr w:type="spellEnd"/>
      <w:r w:rsidRPr="009C00CC">
        <w:rPr>
          <w:sz w:val="24"/>
          <w:szCs w:val="24"/>
        </w:rPr>
        <w:t xml:space="preserve">, der svarer til 50 mikrogram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Hvis doseringspumpen ikke har været brugt i 14 dage eller længere, skal den klargøres igen med 2 pust, indtil der ses en ensartet forstøvning før næste brug.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Ryst beholderen omhyggeligt før hver brug. Beholderen skal bortskaffes efter brug af det antal pust, der er angivet på mærkningen eller inden for 2 måneder efter første anvendelse.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4.3</w:t>
      </w:r>
      <w:r w:rsidRPr="009C00CC">
        <w:rPr>
          <w:b/>
          <w:sz w:val="24"/>
          <w:szCs w:val="24"/>
        </w:rPr>
        <w:tab/>
        <w:t>Kontraindikationer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>Overfølsomhed over for det aktive stof eller over for et eller flere af hjælpestofferne, anført i p</w:t>
      </w:r>
      <w:r w:rsidRPr="009C00CC">
        <w:rPr>
          <w:sz w:val="24"/>
          <w:szCs w:val="24"/>
        </w:rPr>
        <w:t>kt. 6.1.</w:t>
      </w:r>
    </w:p>
    <w:p w:rsidR="000171B5" w:rsidRPr="009C00CC" w:rsidRDefault="000171B5" w:rsidP="009C00CC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"</w:t>
      </w: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 xml:space="preserve">" næsespray </w:t>
      </w:r>
      <w:r w:rsidRPr="009C00CC">
        <w:rPr>
          <w:spacing w:val="-3"/>
          <w:sz w:val="24"/>
          <w:szCs w:val="24"/>
        </w:rPr>
        <w:t xml:space="preserve">bør ikke anvendes ved samtidig ubehandlet lokalinfektion i næseslimhinden, så som herpes </w:t>
      </w:r>
      <w:proofErr w:type="spellStart"/>
      <w:r w:rsidRPr="009C00CC">
        <w:rPr>
          <w:spacing w:val="-3"/>
          <w:sz w:val="24"/>
          <w:szCs w:val="24"/>
        </w:rPr>
        <w:t>simplex</w:t>
      </w:r>
      <w:proofErr w:type="spellEnd"/>
      <w:r w:rsidRPr="009C00CC">
        <w:rPr>
          <w:spacing w:val="-3"/>
          <w:sz w:val="24"/>
          <w:szCs w:val="24"/>
        </w:rPr>
        <w:t>.</w:t>
      </w:r>
    </w:p>
    <w:p w:rsidR="000171B5" w:rsidRPr="009C00CC" w:rsidRDefault="000171B5" w:rsidP="009C00CC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z w:val="24"/>
          <w:szCs w:val="24"/>
        </w:rPr>
        <w:t xml:space="preserve">Da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Pr="009C00CC">
        <w:rPr>
          <w:sz w:val="24"/>
          <w:szCs w:val="24"/>
        </w:rPr>
        <w:t xml:space="preserve"> har ens </w:t>
      </w:r>
      <w:r w:rsidRPr="009C00CC">
        <w:rPr>
          <w:spacing w:val="-3"/>
          <w:sz w:val="24"/>
          <w:szCs w:val="24"/>
        </w:rPr>
        <w:t xml:space="preserve">hæmmende effekt på sårheling bør patienter, som for nyligt har gennemgået nasalkirurgi eller har pådraget sig nasale traumer, ikke anvende nasale </w:t>
      </w:r>
      <w:proofErr w:type="spellStart"/>
      <w:r w:rsidRPr="009C00CC">
        <w:rPr>
          <w:spacing w:val="-3"/>
          <w:sz w:val="24"/>
          <w:szCs w:val="24"/>
        </w:rPr>
        <w:t>kortikosteroider</w:t>
      </w:r>
      <w:proofErr w:type="spellEnd"/>
      <w:r w:rsidRPr="009C00CC">
        <w:rPr>
          <w:spacing w:val="-3"/>
          <w:sz w:val="24"/>
          <w:szCs w:val="24"/>
        </w:rPr>
        <w:t xml:space="preserve">, før </w:t>
      </w:r>
      <w:proofErr w:type="spellStart"/>
      <w:r w:rsidRPr="009C00CC">
        <w:rPr>
          <w:spacing w:val="-3"/>
          <w:sz w:val="24"/>
          <w:szCs w:val="24"/>
        </w:rPr>
        <w:t>opheling</w:t>
      </w:r>
      <w:proofErr w:type="spellEnd"/>
      <w:r w:rsidRPr="009C00CC">
        <w:rPr>
          <w:spacing w:val="-3"/>
          <w:sz w:val="24"/>
          <w:szCs w:val="24"/>
        </w:rPr>
        <w:t xml:space="preserve"> har fundet sted.</w:t>
      </w:r>
    </w:p>
    <w:p w:rsidR="00D150DE" w:rsidRDefault="00D15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4.4</w:t>
      </w:r>
      <w:r w:rsidRPr="009C00CC">
        <w:rPr>
          <w:b/>
          <w:sz w:val="24"/>
          <w:szCs w:val="24"/>
        </w:rPr>
        <w:tab/>
        <w:t>Særlige advarsler og forsigtighedsregler vedrørende brugen</w:t>
      </w:r>
    </w:p>
    <w:p w:rsidR="000171B5" w:rsidRPr="009C00CC" w:rsidRDefault="000171B5" w:rsidP="000171B5">
      <w:pPr>
        <w:tabs>
          <w:tab w:val="left" w:pos="0"/>
        </w:tabs>
        <w:ind w:left="851" w:hanging="851"/>
        <w:rPr>
          <w:spacing w:val="-3"/>
          <w:sz w:val="24"/>
          <w:szCs w:val="24"/>
          <w:u w:val="single"/>
        </w:rPr>
      </w:pP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  <w:u w:val="single"/>
        </w:rPr>
      </w:pPr>
      <w:r w:rsidRPr="009C00CC">
        <w:rPr>
          <w:spacing w:val="-3"/>
          <w:sz w:val="24"/>
          <w:szCs w:val="24"/>
          <w:u w:val="single"/>
        </w:rPr>
        <w:t>Immunsuppression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</w:t>
      </w:r>
      <w:r w:rsidRPr="009C00CC">
        <w:rPr>
          <w:spacing w:val="-3"/>
          <w:sz w:val="24"/>
          <w:szCs w:val="24"/>
        </w:rPr>
        <w:t xml:space="preserve"> skal anvendes med forsigtighed, hvis overhovedet, til patienter med aktiv eller latent luftvejstuberkulose, ubehandlede svampeinfektioner, bakterielle eller systemiske virale infektioner.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Patienter, der får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Pr="009C00CC">
        <w:rPr>
          <w:sz w:val="24"/>
          <w:szCs w:val="24"/>
        </w:rPr>
        <w:t xml:space="preserve"> og potentielt er immunsupprimerede, bør advares om risikoen ved udsættelse for visse infektioner (f.eks. skoldkopper og mæslinger) og vigtigheden af at søge læge, hvis de bliver udsat for smitte.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  <w:u w:val="single"/>
        </w:rPr>
      </w:pPr>
      <w:r w:rsidRPr="009C00CC">
        <w:rPr>
          <w:spacing w:val="-3"/>
          <w:sz w:val="24"/>
          <w:szCs w:val="24"/>
          <w:u w:val="single"/>
        </w:rPr>
        <w:t>Lokal nasal virkning</w:t>
      </w:r>
    </w:p>
    <w:p w:rsidR="00FC0422" w:rsidRPr="009C00CC" w:rsidRDefault="00FC0422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FC0422" w:rsidRPr="009C00CC" w:rsidRDefault="00FC0422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9C00CC">
        <w:rPr>
          <w:bCs/>
          <w:sz w:val="24"/>
          <w:szCs w:val="24"/>
        </w:rPr>
        <w:t>Mometasonfuroat</w:t>
      </w:r>
      <w:proofErr w:type="spellEnd"/>
      <w:r w:rsidRPr="009C00CC">
        <w:rPr>
          <w:bCs/>
          <w:sz w:val="24"/>
          <w:szCs w:val="24"/>
        </w:rPr>
        <w:t xml:space="preserve"> </w:t>
      </w:r>
      <w:r w:rsidRPr="009C00CC">
        <w:rPr>
          <w:sz w:val="24"/>
          <w:szCs w:val="24"/>
        </w:rPr>
        <w:t>næsespray</w:t>
      </w:r>
      <w:r w:rsidRPr="009C00CC">
        <w:rPr>
          <w:spacing w:val="-3"/>
          <w:sz w:val="24"/>
          <w:szCs w:val="24"/>
        </w:rPr>
        <w:t xml:space="preserve"> anbefales ikke i tilfælde af perforation af nasalseptum (se pkt. 4.8).</w:t>
      </w:r>
    </w:p>
    <w:p w:rsidR="00FC0422" w:rsidRPr="009C00CC" w:rsidRDefault="00FC0422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I kliniske studier forekom </w:t>
      </w:r>
      <w:proofErr w:type="spellStart"/>
      <w:r w:rsidRPr="009C00CC">
        <w:rPr>
          <w:spacing w:val="-3"/>
          <w:sz w:val="24"/>
          <w:szCs w:val="24"/>
        </w:rPr>
        <w:t>epistaxis</w:t>
      </w:r>
      <w:proofErr w:type="spellEnd"/>
      <w:r w:rsidRPr="009C00CC">
        <w:rPr>
          <w:spacing w:val="-3"/>
          <w:sz w:val="24"/>
          <w:szCs w:val="24"/>
        </w:rPr>
        <w:t xml:space="preserve"> med højere </w:t>
      </w:r>
      <w:proofErr w:type="spellStart"/>
      <w:r w:rsidRPr="009C00CC">
        <w:rPr>
          <w:spacing w:val="-3"/>
          <w:sz w:val="24"/>
          <w:szCs w:val="24"/>
        </w:rPr>
        <w:t>incidens</w:t>
      </w:r>
      <w:proofErr w:type="spellEnd"/>
      <w:r w:rsidRPr="009C00CC">
        <w:rPr>
          <w:spacing w:val="-3"/>
          <w:sz w:val="24"/>
          <w:szCs w:val="24"/>
        </w:rPr>
        <w:t xml:space="preserve"> end med placebo. </w:t>
      </w:r>
      <w:proofErr w:type="spellStart"/>
      <w:r w:rsidRPr="009C00CC">
        <w:rPr>
          <w:spacing w:val="-3"/>
          <w:sz w:val="24"/>
          <w:szCs w:val="24"/>
        </w:rPr>
        <w:t>Epistaxis</w:t>
      </w:r>
      <w:proofErr w:type="spellEnd"/>
      <w:r w:rsidRPr="009C00CC">
        <w:rPr>
          <w:spacing w:val="-3"/>
          <w:sz w:val="24"/>
          <w:szCs w:val="24"/>
        </w:rPr>
        <w:t xml:space="preserve"> var generelt selvbegrænsende og forekom i let grad (se pkt. 4.8).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  <w:u w:val="single"/>
        </w:rPr>
      </w:pPr>
      <w:proofErr w:type="spellStart"/>
      <w:r w:rsidRPr="009C00CC">
        <w:rPr>
          <w:spacing w:val="-3"/>
          <w:sz w:val="24"/>
          <w:szCs w:val="24"/>
          <w:u w:val="single"/>
        </w:rPr>
        <w:t>Kortikosteroiders</w:t>
      </w:r>
      <w:proofErr w:type="spellEnd"/>
      <w:r w:rsidRPr="009C00CC">
        <w:rPr>
          <w:spacing w:val="-3"/>
          <w:sz w:val="24"/>
          <w:szCs w:val="24"/>
          <w:u w:val="single"/>
        </w:rPr>
        <w:t xml:space="preserve"> systemiske virkning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Der kan forekomme systemiske virkninger efter brug af nasale </w:t>
      </w:r>
      <w:proofErr w:type="spellStart"/>
      <w:r w:rsidRPr="009C00CC">
        <w:rPr>
          <w:spacing w:val="-3"/>
          <w:sz w:val="24"/>
          <w:szCs w:val="24"/>
        </w:rPr>
        <w:t>kortikosteroider</w:t>
      </w:r>
      <w:proofErr w:type="spellEnd"/>
      <w:r w:rsidRPr="009C00CC">
        <w:rPr>
          <w:spacing w:val="-3"/>
          <w:sz w:val="24"/>
          <w:szCs w:val="24"/>
        </w:rPr>
        <w:t xml:space="preserve">, især ved høje doser ordineret i længere perioder. Disse bivirkninger er langt mindre sandsynlige end ved behandling med orale </w:t>
      </w:r>
      <w:proofErr w:type="spellStart"/>
      <w:r w:rsidRPr="009C00CC">
        <w:rPr>
          <w:spacing w:val="-3"/>
          <w:sz w:val="24"/>
          <w:szCs w:val="24"/>
        </w:rPr>
        <w:t>kortikosteroider</w:t>
      </w:r>
      <w:proofErr w:type="spellEnd"/>
      <w:r w:rsidRPr="009C00CC">
        <w:rPr>
          <w:spacing w:val="-3"/>
          <w:sz w:val="24"/>
          <w:szCs w:val="24"/>
        </w:rPr>
        <w:t xml:space="preserve"> og kan variere individuelt mellem patienter og mellem forskellige </w:t>
      </w:r>
      <w:proofErr w:type="spellStart"/>
      <w:r w:rsidRPr="009C00CC">
        <w:rPr>
          <w:spacing w:val="-3"/>
          <w:sz w:val="24"/>
          <w:szCs w:val="24"/>
        </w:rPr>
        <w:t>kortikosteroidpræparater</w:t>
      </w:r>
      <w:proofErr w:type="spellEnd"/>
      <w:r w:rsidRPr="009C00CC">
        <w:rPr>
          <w:spacing w:val="-3"/>
          <w:sz w:val="24"/>
          <w:szCs w:val="24"/>
        </w:rPr>
        <w:t xml:space="preserve">. Eventuelle systemiske virkninger kan omfatte </w:t>
      </w:r>
      <w:proofErr w:type="spellStart"/>
      <w:r w:rsidRPr="009C00CC">
        <w:rPr>
          <w:spacing w:val="-3"/>
          <w:sz w:val="24"/>
          <w:szCs w:val="24"/>
        </w:rPr>
        <w:t>Cushings</w:t>
      </w:r>
      <w:proofErr w:type="spellEnd"/>
      <w:r w:rsidRPr="009C00CC">
        <w:rPr>
          <w:spacing w:val="-3"/>
          <w:sz w:val="24"/>
          <w:szCs w:val="24"/>
        </w:rPr>
        <w:t xml:space="preserve"> syndrom, </w:t>
      </w:r>
      <w:proofErr w:type="spellStart"/>
      <w:r w:rsidRPr="009C00CC">
        <w:rPr>
          <w:spacing w:val="-3"/>
          <w:sz w:val="24"/>
          <w:szCs w:val="24"/>
        </w:rPr>
        <w:t>cushingoide</w:t>
      </w:r>
      <w:proofErr w:type="spellEnd"/>
      <w:r w:rsidRPr="009C00CC">
        <w:rPr>
          <w:spacing w:val="-3"/>
          <w:sz w:val="24"/>
          <w:szCs w:val="24"/>
        </w:rPr>
        <w:t xml:space="preserve"> træk, binyrebarksuppression, væksthæmning hos børn og unge, katarakt, </w:t>
      </w:r>
      <w:proofErr w:type="spellStart"/>
      <w:r w:rsidRPr="009C00CC">
        <w:rPr>
          <w:spacing w:val="-3"/>
          <w:sz w:val="24"/>
          <w:szCs w:val="24"/>
        </w:rPr>
        <w:t>glaukom</w:t>
      </w:r>
      <w:proofErr w:type="spellEnd"/>
      <w:r w:rsidRPr="009C00CC">
        <w:rPr>
          <w:spacing w:val="-3"/>
          <w:sz w:val="24"/>
          <w:szCs w:val="24"/>
        </w:rPr>
        <w:t xml:space="preserve"> og sjældnere, en række psykiske eller adfærdsrelaterede bivirkninger, inklusive </w:t>
      </w:r>
      <w:proofErr w:type="spellStart"/>
      <w:r w:rsidRPr="009C00CC">
        <w:rPr>
          <w:spacing w:val="-3"/>
          <w:sz w:val="24"/>
          <w:szCs w:val="24"/>
        </w:rPr>
        <w:t>psykomotorisk</w:t>
      </w:r>
      <w:proofErr w:type="spellEnd"/>
      <w:r w:rsidRPr="009C00CC">
        <w:rPr>
          <w:spacing w:val="-3"/>
          <w:sz w:val="24"/>
          <w:szCs w:val="24"/>
        </w:rPr>
        <w:t xml:space="preserve"> hyperaktivitet, søvnforstyrrelser, angst, depression eller aggression (specielt hos børn).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Efter anvendelse af nasale </w:t>
      </w:r>
      <w:proofErr w:type="spellStart"/>
      <w:r w:rsidRPr="009C00CC">
        <w:rPr>
          <w:spacing w:val="-3"/>
          <w:sz w:val="24"/>
          <w:szCs w:val="24"/>
        </w:rPr>
        <w:t>kortikosteroider</w:t>
      </w:r>
      <w:proofErr w:type="spellEnd"/>
      <w:r w:rsidRPr="009C00CC">
        <w:rPr>
          <w:spacing w:val="-3"/>
          <w:sz w:val="24"/>
          <w:szCs w:val="24"/>
        </w:rPr>
        <w:t xml:space="preserve"> er der rapporteret tilfælde af øget </w:t>
      </w:r>
      <w:proofErr w:type="spellStart"/>
      <w:r w:rsidRPr="009C00CC">
        <w:rPr>
          <w:spacing w:val="-3"/>
          <w:sz w:val="24"/>
          <w:szCs w:val="24"/>
        </w:rPr>
        <w:t>intraokulært</w:t>
      </w:r>
      <w:proofErr w:type="spellEnd"/>
      <w:r w:rsidRPr="009C00CC">
        <w:rPr>
          <w:spacing w:val="-3"/>
          <w:sz w:val="24"/>
          <w:szCs w:val="24"/>
        </w:rPr>
        <w:t xml:space="preserve"> tryk (se pkt. 4.8).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Patienter, som overgår fra langvarig systemisk </w:t>
      </w:r>
      <w:proofErr w:type="spellStart"/>
      <w:r w:rsidRPr="009C00CC">
        <w:rPr>
          <w:spacing w:val="-3"/>
          <w:sz w:val="24"/>
          <w:szCs w:val="24"/>
        </w:rPr>
        <w:t>kortikosteroidbehandling</w:t>
      </w:r>
      <w:proofErr w:type="spellEnd"/>
      <w:r w:rsidRPr="009C00CC">
        <w:rPr>
          <w:spacing w:val="-3"/>
          <w:sz w:val="24"/>
          <w:szCs w:val="24"/>
        </w:rPr>
        <w:t xml:space="preserve"> til </w:t>
      </w:r>
      <w:proofErr w:type="spellStart"/>
      <w:r w:rsidRPr="009C00CC">
        <w:rPr>
          <w:spacing w:val="-3"/>
          <w:sz w:val="24"/>
          <w:szCs w:val="24"/>
        </w:rPr>
        <w:t>m</w:t>
      </w:r>
      <w:r w:rsidRPr="009C00CC">
        <w:rPr>
          <w:sz w:val="24"/>
          <w:szCs w:val="24"/>
        </w:rPr>
        <w:t>ometasonfuroat</w:t>
      </w:r>
      <w:proofErr w:type="spellEnd"/>
      <w:r w:rsidRPr="009C00CC">
        <w:rPr>
          <w:sz w:val="24"/>
          <w:szCs w:val="24"/>
        </w:rPr>
        <w:t xml:space="preserve"> næsespray</w:t>
      </w:r>
      <w:r w:rsidRPr="009C00CC">
        <w:rPr>
          <w:spacing w:val="-3"/>
          <w:sz w:val="24"/>
          <w:szCs w:val="24"/>
        </w:rPr>
        <w:t xml:space="preserve">, skal dog følges nøje. </w:t>
      </w:r>
      <w:proofErr w:type="spellStart"/>
      <w:r w:rsidRPr="009C00CC">
        <w:rPr>
          <w:spacing w:val="-3"/>
          <w:sz w:val="24"/>
          <w:szCs w:val="24"/>
        </w:rPr>
        <w:t>Seponering</w:t>
      </w:r>
      <w:proofErr w:type="spellEnd"/>
      <w:r w:rsidRPr="009C00CC">
        <w:rPr>
          <w:spacing w:val="-3"/>
          <w:sz w:val="24"/>
          <w:szCs w:val="24"/>
        </w:rPr>
        <w:t xml:space="preserve"> af systemisk </w:t>
      </w:r>
      <w:proofErr w:type="spellStart"/>
      <w:r w:rsidRPr="009C00CC">
        <w:rPr>
          <w:spacing w:val="-3"/>
          <w:sz w:val="24"/>
          <w:szCs w:val="24"/>
        </w:rPr>
        <w:t>kortikosteroidbehandling</w:t>
      </w:r>
      <w:proofErr w:type="spellEnd"/>
      <w:r w:rsidRPr="009C00CC">
        <w:rPr>
          <w:spacing w:val="-3"/>
          <w:sz w:val="24"/>
          <w:szCs w:val="24"/>
        </w:rPr>
        <w:t xml:space="preserve"> hos sådanne patienter kan resultere i binyrebarkinsufficiens i flere måneder, indtil </w:t>
      </w:r>
      <w:proofErr w:type="spellStart"/>
      <w:r w:rsidRPr="009C00CC">
        <w:rPr>
          <w:spacing w:val="-3"/>
          <w:sz w:val="24"/>
          <w:szCs w:val="24"/>
        </w:rPr>
        <w:t>hypothalamus</w:t>
      </w:r>
      <w:proofErr w:type="spellEnd"/>
      <w:r w:rsidRPr="009C00CC">
        <w:rPr>
          <w:spacing w:val="-3"/>
          <w:sz w:val="24"/>
          <w:szCs w:val="24"/>
        </w:rPr>
        <w:t xml:space="preserve">-hypofyse-binyrebarkfunktionen er genoprettet. Hvis disse patienter udviser symptomer på binyrebarkinsufficiens eller </w:t>
      </w:r>
      <w:proofErr w:type="spellStart"/>
      <w:r w:rsidRPr="009C00CC">
        <w:rPr>
          <w:spacing w:val="-3"/>
          <w:sz w:val="24"/>
          <w:szCs w:val="24"/>
        </w:rPr>
        <w:t>withdrawal</w:t>
      </w:r>
      <w:proofErr w:type="spellEnd"/>
      <w:r w:rsidRPr="009C00CC">
        <w:rPr>
          <w:spacing w:val="-3"/>
          <w:sz w:val="24"/>
          <w:szCs w:val="24"/>
        </w:rPr>
        <w:t xml:space="preserve">-symptomer (f.eks. led- og/eller muskelsmerter, udmattelse og depression i starten) på trods af lindring af de nasale symptomer, bør den systemiske </w:t>
      </w:r>
      <w:proofErr w:type="spellStart"/>
      <w:r w:rsidRPr="009C00CC">
        <w:rPr>
          <w:spacing w:val="-3"/>
          <w:sz w:val="24"/>
          <w:szCs w:val="24"/>
        </w:rPr>
        <w:t>kortikosteroidbehandling</w:t>
      </w:r>
      <w:proofErr w:type="spellEnd"/>
      <w:r w:rsidRPr="009C00CC">
        <w:rPr>
          <w:spacing w:val="-3"/>
          <w:sz w:val="24"/>
          <w:szCs w:val="24"/>
        </w:rPr>
        <w:t xml:space="preserve"> genoptages og andre behandlingsformer og forholdsregler indledes.</w:t>
      </w:r>
    </w:p>
    <w:p w:rsidR="000171B5" w:rsidRPr="009C00CC" w:rsidRDefault="000171B5" w:rsidP="009C00CC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En sådan skift kan også afsløre skjulte allergiske tilstande såsom allergisk </w:t>
      </w:r>
      <w:proofErr w:type="spellStart"/>
      <w:r w:rsidRPr="009C00CC">
        <w:rPr>
          <w:spacing w:val="-3"/>
          <w:sz w:val="24"/>
          <w:szCs w:val="24"/>
        </w:rPr>
        <w:t>konjunktivit</w:t>
      </w:r>
      <w:proofErr w:type="spellEnd"/>
      <w:r w:rsidRPr="009C00CC">
        <w:rPr>
          <w:spacing w:val="-3"/>
          <w:sz w:val="24"/>
          <w:szCs w:val="24"/>
        </w:rPr>
        <w:t xml:space="preserve"> og eksem, som har været undertrykt af den systemiske </w:t>
      </w:r>
      <w:proofErr w:type="spellStart"/>
      <w:r w:rsidRPr="009C00CC">
        <w:rPr>
          <w:spacing w:val="-3"/>
          <w:sz w:val="24"/>
          <w:szCs w:val="24"/>
        </w:rPr>
        <w:t>kortikosteroidbehandling</w:t>
      </w:r>
      <w:proofErr w:type="spellEnd"/>
      <w:r w:rsidRPr="009C00CC">
        <w:rPr>
          <w:spacing w:val="-3"/>
          <w:sz w:val="24"/>
          <w:szCs w:val="24"/>
        </w:rPr>
        <w:t>.</w:t>
      </w:r>
    </w:p>
    <w:p w:rsidR="000171B5" w:rsidRPr="009C00CC" w:rsidRDefault="000171B5" w:rsidP="009C00CC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>Behandling med højere doser end de anbefalede kan forårsage klinisk signifikant binyrebark</w:t>
      </w:r>
      <w:r w:rsidRPr="009C00CC">
        <w:rPr>
          <w:spacing w:val="-3"/>
          <w:sz w:val="24"/>
          <w:szCs w:val="24"/>
        </w:rPr>
        <w:softHyphen/>
        <w:t xml:space="preserve">suppression. Hvis der er evidens for anvendelse af højere doser end de anbefalede, bør supplerende systemisk </w:t>
      </w:r>
      <w:proofErr w:type="spellStart"/>
      <w:r w:rsidRPr="009C00CC">
        <w:rPr>
          <w:spacing w:val="-3"/>
          <w:sz w:val="24"/>
          <w:szCs w:val="24"/>
        </w:rPr>
        <w:t>kortikosteroidbehandling</w:t>
      </w:r>
      <w:proofErr w:type="spellEnd"/>
      <w:r w:rsidRPr="009C00CC">
        <w:rPr>
          <w:spacing w:val="-3"/>
          <w:sz w:val="24"/>
          <w:szCs w:val="24"/>
        </w:rPr>
        <w:t xml:space="preserve"> overvejes i perioder med stress og ved </w:t>
      </w:r>
      <w:proofErr w:type="spellStart"/>
      <w:r w:rsidRPr="009C00CC">
        <w:rPr>
          <w:spacing w:val="-3"/>
          <w:sz w:val="24"/>
          <w:szCs w:val="24"/>
        </w:rPr>
        <w:t>elektiv</w:t>
      </w:r>
      <w:proofErr w:type="spellEnd"/>
      <w:r w:rsidRPr="009C00CC">
        <w:rPr>
          <w:spacing w:val="-3"/>
          <w:sz w:val="24"/>
          <w:szCs w:val="24"/>
        </w:rPr>
        <w:t xml:space="preserve"> kirurgi.</w:t>
      </w:r>
    </w:p>
    <w:p w:rsidR="000171B5" w:rsidRPr="009C00CC" w:rsidRDefault="000171B5" w:rsidP="000171B5">
      <w:pPr>
        <w:tabs>
          <w:tab w:val="left" w:pos="0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Ikke-nasale symptomer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Selvom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 kan kontrollere nasale symptomer hos de fleste patienter, kan samtidig anvendelse af passende tillægsbehandling give yderligere lindring af andre symptomer, især </w:t>
      </w:r>
      <w:proofErr w:type="spellStart"/>
      <w:r w:rsidRPr="009C00CC">
        <w:rPr>
          <w:sz w:val="24"/>
          <w:szCs w:val="24"/>
        </w:rPr>
        <w:t>okulære</w:t>
      </w:r>
      <w:proofErr w:type="spellEnd"/>
      <w:r w:rsidRPr="009C00CC">
        <w:rPr>
          <w:sz w:val="24"/>
          <w:szCs w:val="24"/>
        </w:rPr>
        <w:t xml:space="preserve"> symptomer.</w:t>
      </w:r>
    </w:p>
    <w:p w:rsidR="00D150DE" w:rsidRDefault="00D15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Synsforstyrrelser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Ved brug af systemisk og </w:t>
      </w:r>
      <w:proofErr w:type="spellStart"/>
      <w:r w:rsidRPr="009C00CC">
        <w:rPr>
          <w:sz w:val="24"/>
          <w:szCs w:val="24"/>
        </w:rPr>
        <w:t>topikalt</w:t>
      </w:r>
      <w:proofErr w:type="spellEnd"/>
      <w:r w:rsidRPr="009C00CC">
        <w:rPr>
          <w:sz w:val="24"/>
          <w:szCs w:val="24"/>
        </w:rPr>
        <w:t xml:space="preserve"> </w:t>
      </w:r>
      <w:proofErr w:type="spellStart"/>
      <w:r w:rsidRPr="009C00CC">
        <w:rPr>
          <w:sz w:val="24"/>
          <w:szCs w:val="24"/>
        </w:rPr>
        <w:t>kortikosteroid</w:t>
      </w:r>
      <w:proofErr w:type="spellEnd"/>
      <w:r w:rsidRPr="009C00CC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9C00CC">
        <w:rPr>
          <w:sz w:val="24"/>
          <w:szCs w:val="24"/>
        </w:rPr>
        <w:t>glaukom</w:t>
      </w:r>
      <w:proofErr w:type="spellEnd"/>
      <w:r w:rsidRPr="009C00CC">
        <w:rPr>
          <w:sz w:val="24"/>
          <w:szCs w:val="24"/>
        </w:rPr>
        <w:t xml:space="preserve"> eller sjældne sygdomme såsom central serøs </w:t>
      </w:r>
      <w:proofErr w:type="spellStart"/>
      <w:r w:rsidRPr="009C00CC">
        <w:rPr>
          <w:sz w:val="24"/>
          <w:szCs w:val="24"/>
        </w:rPr>
        <w:t>korioretinopati</w:t>
      </w:r>
      <w:proofErr w:type="spellEnd"/>
      <w:r w:rsidRPr="009C00CC">
        <w:rPr>
          <w:sz w:val="24"/>
          <w:szCs w:val="24"/>
        </w:rPr>
        <w:t xml:space="preserve"> (CSCR), som er indberettet efter brug af systemiske og </w:t>
      </w:r>
      <w:proofErr w:type="spellStart"/>
      <w:r w:rsidRPr="009C00CC">
        <w:rPr>
          <w:sz w:val="24"/>
          <w:szCs w:val="24"/>
        </w:rPr>
        <w:t>topikale</w:t>
      </w:r>
      <w:proofErr w:type="spellEnd"/>
      <w:r w:rsidRPr="009C00CC">
        <w:rPr>
          <w:sz w:val="24"/>
          <w:szCs w:val="24"/>
        </w:rPr>
        <w:t xml:space="preserve">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Pr="009C00CC">
        <w:rPr>
          <w:sz w:val="24"/>
          <w:szCs w:val="24"/>
        </w:rPr>
        <w:t>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FC0422" w:rsidRPr="009C00CC" w:rsidRDefault="00FC0422" w:rsidP="00FC0422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Benzalkoniumchlorid</w:t>
      </w:r>
      <w:proofErr w:type="spellEnd"/>
    </w:p>
    <w:p w:rsidR="000171B5" w:rsidRPr="009C00CC" w:rsidRDefault="000171B5" w:rsidP="000171B5">
      <w:pPr>
        <w:tabs>
          <w:tab w:val="left" w:pos="851"/>
        </w:tabs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Dette lægemiddel indeholder konserveringsmidlet </w:t>
      </w:r>
      <w:proofErr w:type="spellStart"/>
      <w:r w:rsidRPr="009C00CC">
        <w:rPr>
          <w:sz w:val="24"/>
          <w:szCs w:val="24"/>
        </w:rPr>
        <w:t>benzalkoniumchlorid</w:t>
      </w:r>
      <w:proofErr w:type="spellEnd"/>
      <w:r w:rsidRPr="009C00CC">
        <w:rPr>
          <w:sz w:val="24"/>
          <w:szCs w:val="24"/>
        </w:rPr>
        <w:t>. Langvarig anvendelse kan medføre ødem af næseslimhinden.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4.5</w:t>
      </w:r>
      <w:r w:rsidRPr="009C00CC">
        <w:rPr>
          <w:b/>
          <w:sz w:val="24"/>
          <w:szCs w:val="24"/>
        </w:rPr>
        <w:tab/>
        <w:t>Interaktion med andre lægemidler og andre former for interaktion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Et klinisk interaktionsstudie med </w:t>
      </w:r>
      <w:proofErr w:type="spellStart"/>
      <w:r w:rsidRPr="009C00CC">
        <w:rPr>
          <w:spacing w:val="-3"/>
          <w:sz w:val="24"/>
          <w:szCs w:val="24"/>
        </w:rPr>
        <w:t>loratadin</w:t>
      </w:r>
      <w:proofErr w:type="spellEnd"/>
      <w:r w:rsidRPr="009C00CC">
        <w:rPr>
          <w:spacing w:val="-3"/>
          <w:sz w:val="24"/>
          <w:szCs w:val="24"/>
        </w:rPr>
        <w:t xml:space="preserve"> blev udført. Ingen interaktioner blev observeret.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Det forventes, at samtidig behandling med CYP3A-hæmmere, herunder </w:t>
      </w:r>
      <w:proofErr w:type="spellStart"/>
      <w:r w:rsidRPr="009C00CC">
        <w:rPr>
          <w:spacing w:val="-3"/>
          <w:sz w:val="24"/>
          <w:szCs w:val="24"/>
        </w:rPr>
        <w:t>cobicistat-holdige</w:t>
      </w:r>
      <w:proofErr w:type="spellEnd"/>
      <w:r w:rsidRPr="009C00CC">
        <w:rPr>
          <w:spacing w:val="-3"/>
          <w:sz w:val="24"/>
          <w:szCs w:val="24"/>
        </w:rPr>
        <w:t xml:space="preserve"> lægemidler, øger risikoen for systemiske bivirkninger. Kombination bør undgås, medmindre fordelen opvejer den øgede risiko for systemiske </w:t>
      </w:r>
      <w:proofErr w:type="spellStart"/>
      <w:r w:rsidRPr="009C00CC">
        <w:rPr>
          <w:spacing w:val="-3"/>
          <w:sz w:val="24"/>
          <w:szCs w:val="24"/>
        </w:rPr>
        <w:t>kortikosteroid</w:t>
      </w:r>
      <w:proofErr w:type="spellEnd"/>
      <w:r w:rsidRPr="009C00CC">
        <w:rPr>
          <w:spacing w:val="-3"/>
          <w:sz w:val="24"/>
          <w:szCs w:val="24"/>
        </w:rPr>
        <w:t xml:space="preserve">-bivirkninger. Patienterne skal i givet fald overvåges for systemiske </w:t>
      </w:r>
      <w:proofErr w:type="spellStart"/>
      <w:r w:rsidRPr="009C00CC">
        <w:rPr>
          <w:spacing w:val="-3"/>
          <w:sz w:val="24"/>
          <w:szCs w:val="24"/>
        </w:rPr>
        <w:t>kortikosteroid</w:t>
      </w:r>
      <w:proofErr w:type="spellEnd"/>
      <w:r w:rsidRPr="009C00CC">
        <w:rPr>
          <w:spacing w:val="-3"/>
          <w:sz w:val="24"/>
          <w:szCs w:val="24"/>
        </w:rPr>
        <w:t>-bivirkninger.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>Se også pkt. 4.4 (</w:t>
      </w:r>
      <w:proofErr w:type="spellStart"/>
      <w:r w:rsidRPr="009C00CC">
        <w:rPr>
          <w:spacing w:val="-3"/>
          <w:sz w:val="24"/>
          <w:szCs w:val="24"/>
        </w:rPr>
        <w:t>Kortikosteroiders</w:t>
      </w:r>
      <w:proofErr w:type="spellEnd"/>
      <w:r w:rsidRPr="009C00CC">
        <w:rPr>
          <w:spacing w:val="-3"/>
          <w:sz w:val="24"/>
          <w:szCs w:val="24"/>
        </w:rPr>
        <w:t xml:space="preserve"> systemiske virkning).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iCs/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Fertilitet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Der foreligger ingen kliniske data vedrørende </w:t>
      </w:r>
      <w:proofErr w:type="spellStart"/>
      <w:r w:rsidRPr="009C00CC">
        <w:rPr>
          <w:sz w:val="24"/>
          <w:szCs w:val="24"/>
        </w:rPr>
        <w:t>mometasonfuroats</w:t>
      </w:r>
      <w:proofErr w:type="spellEnd"/>
      <w:r w:rsidRPr="009C00CC">
        <w:rPr>
          <w:sz w:val="24"/>
          <w:szCs w:val="24"/>
        </w:rPr>
        <w:t xml:space="preserve"> indvirkning på fertilitet. Dyrestudier har påvist reproduktionstoksicitet, men ingen indvirkning på fertilitet (se pkt. 5.3).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Graviditet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Der er ingen eller utilstrækkelige data fra anvendelse af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til gravide kvinder. Dyrestudier indikerer ikke reproduktionstoksicitet (se pkt. 5.3). Som med andre nasale </w:t>
      </w:r>
      <w:proofErr w:type="spellStart"/>
      <w:r w:rsidRPr="009C00CC">
        <w:rPr>
          <w:sz w:val="24"/>
          <w:szCs w:val="24"/>
        </w:rPr>
        <w:t>kortikosteroidpræparater</w:t>
      </w:r>
      <w:proofErr w:type="spellEnd"/>
      <w:r w:rsidRPr="009C00CC">
        <w:rPr>
          <w:sz w:val="24"/>
          <w:szCs w:val="24"/>
        </w:rPr>
        <w:t xml:space="preserve">, bør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 ikke </w:t>
      </w:r>
      <w:r w:rsidRPr="009C00CC">
        <w:rPr>
          <w:spacing w:val="-3"/>
          <w:sz w:val="24"/>
          <w:szCs w:val="24"/>
        </w:rPr>
        <w:t>anvendes under graviditet med mindre de potentielle fordele for moderen opvejer de mulige risici for moderen, fosteret eller spædbarnet.</w:t>
      </w:r>
      <w:r w:rsidRPr="009C00CC">
        <w:rPr>
          <w:sz w:val="24"/>
          <w:szCs w:val="24"/>
        </w:rPr>
        <w:t xml:space="preserve"> Spædbørn, hvis mor har fået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Pr="009C00CC">
        <w:rPr>
          <w:sz w:val="24"/>
          <w:szCs w:val="24"/>
        </w:rPr>
        <w:t xml:space="preserve"> under graviditeten, skal observeres omhyggeligt for binyrebarkinsufficiens.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Amning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Det er ukendt, om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udskilles i human mælk. Som ved andre nasale </w:t>
      </w:r>
      <w:proofErr w:type="spellStart"/>
      <w:r w:rsidRPr="009C00CC">
        <w:rPr>
          <w:sz w:val="24"/>
          <w:szCs w:val="24"/>
        </w:rPr>
        <w:t>kortikosteroid</w:t>
      </w:r>
      <w:r w:rsidRPr="009C00CC">
        <w:rPr>
          <w:sz w:val="24"/>
          <w:szCs w:val="24"/>
        </w:rPr>
        <w:softHyphen/>
        <w:t>præparater</w:t>
      </w:r>
      <w:proofErr w:type="spellEnd"/>
      <w:r w:rsidRPr="009C00CC">
        <w:rPr>
          <w:sz w:val="24"/>
          <w:szCs w:val="24"/>
        </w:rPr>
        <w:t xml:space="preserve"> skal det besluttes, om amning eller behandling med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 skal ophøre/ikke skal startes, idet der tages højde for fordelene ved amning for barnet i forhold til de terapeutiske fordele for moderen.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Ikke mærkning.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Der er ikke udført undersøgelser af evnen til at føre motorkøretøj eller betjene maskiner.</w:t>
      </w:r>
    </w:p>
    <w:p w:rsidR="00D150DE" w:rsidRDefault="00D15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4.8</w:t>
      </w:r>
      <w:r w:rsidRPr="009C00CC">
        <w:rPr>
          <w:b/>
          <w:sz w:val="24"/>
          <w:szCs w:val="24"/>
        </w:rPr>
        <w:tab/>
        <w:t>Bivirkninger</w:t>
      </w:r>
    </w:p>
    <w:p w:rsidR="000171B5" w:rsidRPr="009C00CC" w:rsidRDefault="000171B5" w:rsidP="000171B5">
      <w:pPr>
        <w:ind w:left="851" w:hanging="851"/>
        <w:rPr>
          <w:sz w:val="24"/>
          <w:szCs w:val="24"/>
          <w:u w:val="single"/>
        </w:rPr>
      </w:pPr>
    </w:p>
    <w:p w:rsidR="000171B5" w:rsidRPr="009C00CC" w:rsidRDefault="000171B5" w:rsidP="000171B5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Opsummering af sikkerhedsprofilen</w:t>
      </w:r>
    </w:p>
    <w:p w:rsidR="00FC0422" w:rsidRPr="009C00CC" w:rsidRDefault="000171B5" w:rsidP="000171B5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Epistaxis</w:t>
      </w:r>
      <w:proofErr w:type="spellEnd"/>
      <w:r w:rsidRPr="009C00CC">
        <w:rPr>
          <w:sz w:val="24"/>
          <w:szCs w:val="24"/>
        </w:rPr>
        <w:t xml:space="preserve"> var generelt selvbegrænsende og forekom i let grad. Det forekom med en højere </w:t>
      </w:r>
      <w:proofErr w:type="spellStart"/>
      <w:r w:rsidRPr="009C00CC">
        <w:rPr>
          <w:sz w:val="24"/>
          <w:szCs w:val="24"/>
        </w:rPr>
        <w:t>incidens</w:t>
      </w:r>
      <w:proofErr w:type="spellEnd"/>
      <w:r w:rsidRPr="009C00CC">
        <w:rPr>
          <w:sz w:val="24"/>
          <w:szCs w:val="24"/>
        </w:rPr>
        <w:t xml:space="preserve"> end med placebo (5 %), men med en sammenlignelig eller lavere </w:t>
      </w:r>
      <w:proofErr w:type="spellStart"/>
      <w:r w:rsidRPr="009C00CC">
        <w:rPr>
          <w:sz w:val="24"/>
          <w:szCs w:val="24"/>
        </w:rPr>
        <w:t>incidens</w:t>
      </w:r>
      <w:proofErr w:type="spellEnd"/>
      <w:r w:rsidRPr="009C00CC">
        <w:rPr>
          <w:sz w:val="24"/>
          <w:szCs w:val="24"/>
        </w:rPr>
        <w:t xml:space="preserve"> end rapporteret for de nasale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Pr="009C00CC">
        <w:rPr>
          <w:sz w:val="24"/>
          <w:szCs w:val="24"/>
        </w:rPr>
        <w:t xml:space="preserve">, der blev undersøgt som aktiv kontrol i kliniske studier af allergisk </w:t>
      </w:r>
      <w:proofErr w:type="spellStart"/>
      <w:r w:rsidRPr="009C00CC">
        <w:rPr>
          <w:sz w:val="24"/>
          <w:szCs w:val="24"/>
        </w:rPr>
        <w:t>rhinitis</w:t>
      </w:r>
      <w:proofErr w:type="spellEnd"/>
      <w:r w:rsidRPr="009C00CC">
        <w:rPr>
          <w:sz w:val="24"/>
          <w:szCs w:val="24"/>
        </w:rPr>
        <w:t xml:space="preserve"> (op til 15 %). </w:t>
      </w:r>
      <w:proofErr w:type="spellStart"/>
      <w:r w:rsidRPr="009C00CC">
        <w:rPr>
          <w:sz w:val="24"/>
          <w:szCs w:val="24"/>
        </w:rPr>
        <w:t>Incidensen</w:t>
      </w:r>
      <w:proofErr w:type="spellEnd"/>
      <w:r w:rsidRPr="009C00CC">
        <w:rPr>
          <w:sz w:val="24"/>
          <w:szCs w:val="24"/>
        </w:rPr>
        <w:t xml:space="preserve"> for alle andre bivirkninger var sammenlignelig med placebo.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Der kan forekomme systemiske virkning efter brug af nasale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Pr="009C00CC">
        <w:rPr>
          <w:sz w:val="24"/>
          <w:szCs w:val="24"/>
        </w:rPr>
        <w:t>, specielt ved ordination af høje doser over længere perioder.</w:t>
      </w:r>
    </w:p>
    <w:p w:rsidR="000171B5" w:rsidRPr="009C00CC" w:rsidRDefault="000171B5" w:rsidP="000171B5">
      <w:pPr>
        <w:ind w:left="851" w:hanging="851"/>
        <w:rPr>
          <w:sz w:val="24"/>
          <w:szCs w:val="24"/>
          <w:u w:val="single"/>
        </w:rPr>
      </w:pPr>
    </w:p>
    <w:p w:rsidR="000171B5" w:rsidRPr="009C00CC" w:rsidRDefault="000171B5" w:rsidP="000171B5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Bivirkningstabel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Behandlingsrelaterede bivirkninger (≥1%), som er blevet rapporteret i kliniske studier hos patienter med allergisk </w:t>
      </w:r>
      <w:proofErr w:type="spellStart"/>
      <w:r w:rsidRPr="009C00CC">
        <w:rPr>
          <w:sz w:val="24"/>
          <w:szCs w:val="24"/>
        </w:rPr>
        <w:t>rhinitis</w:t>
      </w:r>
      <w:proofErr w:type="spellEnd"/>
      <w:r w:rsidRPr="009C00CC">
        <w:rPr>
          <w:sz w:val="24"/>
          <w:szCs w:val="24"/>
        </w:rPr>
        <w:t xml:space="preserve"> eller nasale polypper samt efter markedsføring uanset indikation, fremgår af tabel 1. Bivirkningerne er listet i henhold til de primære </w:t>
      </w:r>
      <w:proofErr w:type="spellStart"/>
      <w:r w:rsidRPr="009C00CC">
        <w:rPr>
          <w:sz w:val="24"/>
          <w:szCs w:val="24"/>
        </w:rPr>
        <w:t>MedDRA</w:t>
      </w:r>
      <w:proofErr w:type="spellEnd"/>
      <w:r w:rsidRPr="009C00CC">
        <w:rPr>
          <w:sz w:val="24"/>
          <w:szCs w:val="24"/>
        </w:rPr>
        <w:t xml:space="preserve"> systemorganklasser. Inden for hver systemorganklasse er bivirkningerne opstillet i henhold til hyppighed. Hyppighed er defineret således: Meget almindelig (≥ 1/10); almindelig (≥ 1/100 til &lt; 1/10); ikke almindelig (≥ 1/1000 til &lt; 1/100). Hyppigheden af bivirkninger rapporteret efter markedsføring anses for "ikke kendt (kan ikke estimeres ud fra forhåndenværende data)".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rPr>
          <w:b/>
          <w:sz w:val="24"/>
          <w:szCs w:val="24"/>
        </w:rPr>
      </w:pPr>
      <w:r w:rsidRPr="009C00CC">
        <w:rPr>
          <w:b/>
          <w:bCs/>
          <w:sz w:val="24"/>
          <w:szCs w:val="24"/>
        </w:rPr>
        <w:t xml:space="preserve">Tabel 1: </w:t>
      </w:r>
      <w:r w:rsidRPr="009C00CC">
        <w:rPr>
          <w:b/>
          <w:sz w:val="24"/>
          <w:szCs w:val="24"/>
        </w:rPr>
        <w:t>Behandlingsrelaterede bivirkninger rapporteret i henhold til systemorganklasse og hyppighed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2682"/>
        <w:gridCol w:w="3206"/>
      </w:tblGrid>
      <w:tr w:rsidR="000171B5" w:rsidRPr="009C00CC" w:rsidTr="003B4BCE">
        <w:tc>
          <w:tcPr>
            <w:tcW w:w="1942" w:type="pct"/>
            <w:shd w:val="clear" w:color="auto" w:fill="auto"/>
          </w:tcPr>
          <w:p w:rsidR="000171B5" w:rsidRPr="009C00CC" w:rsidRDefault="000171B5" w:rsidP="003B4BCE">
            <w:pPr>
              <w:rPr>
                <w:b/>
                <w:sz w:val="24"/>
                <w:szCs w:val="24"/>
              </w:rPr>
            </w:pPr>
            <w:proofErr w:type="spellStart"/>
            <w:r w:rsidRPr="009C00CC">
              <w:rPr>
                <w:b/>
                <w:sz w:val="24"/>
                <w:szCs w:val="24"/>
              </w:rPr>
              <w:t>MedDRA</w:t>
            </w:r>
            <w:proofErr w:type="spellEnd"/>
            <w:r w:rsidRPr="009C00CC">
              <w:rPr>
                <w:b/>
                <w:sz w:val="24"/>
                <w:szCs w:val="24"/>
              </w:rPr>
              <w:t xml:space="preserve"> systemorganklasse</w:t>
            </w:r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b/>
                <w:sz w:val="24"/>
                <w:szCs w:val="24"/>
              </w:rPr>
            </w:pPr>
            <w:r w:rsidRPr="009C00CC">
              <w:rPr>
                <w:b/>
                <w:sz w:val="24"/>
                <w:szCs w:val="24"/>
              </w:rPr>
              <w:t>Frekvens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b/>
                <w:sz w:val="24"/>
                <w:szCs w:val="24"/>
              </w:rPr>
            </w:pPr>
            <w:r w:rsidRPr="009C00CC">
              <w:rPr>
                <w:b/>
                <w:sz w:val="24"/>
                <w:szCs w:val="24"/>
              </w:rPr>
              <w:t>Bivirkning</w:t>
            </w:r>
          </w:p>
        </w:tc>
      </w:tr>
      <w:tr w:rsidR="000171B5" w:rsidRPr="009C00CC" w:rsidTr="003B4BCE">
        <w:tc>
          <w:tcPr>
            <w:tcW w:w="1942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Infektioner og parasitære sygdomme</w:t>
            </w:r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Almindelig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proofErr w:type="spellStart"/>
            <w:r w:rsidRPr="009C00CC">
              <w:rPr>
                <w:sz w:val="24"/>
                <w:szCs w:val="24"/>
              </w:rPr>
              <w:t>Pharyngitis</w:t>
            </w:r>
            <w:proofErr w:type="spellEnd"/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Øvre luftvejsinfektion</w:t>
            </w:r>
          </w:p>
        </w:tc>
      </w:tr>
      <w:tr w:rsidR="000171B5" w:rsidRPr="009C00CC" w:rsidTr="003B4BCE">
        <w:tc>
          <w:tcPr>
            <w:tcW w:w="1942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Immunsystemet</w:t>
            </w:r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rFonts w:eastAsia="Calibri"/>
                <w:color w:val="000000"/>
                <w:sz w:val="24"/>
                <w:szCs w:val="24"/>
                <w:lang w:eastAsia="pl-PL"/>
              </w:rPr>
              <w:t>Ikke kendt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 xml:space="preserve">Overfølsomhed herunder </w:t>
            </w:r>
            <w:proofErr w:type="spellStart"/>
            <w:r w:rsidRPr="009C00CC">
              <w:rPr>
                <w:sz w:val="24"/>
                <w:szCs w:val="24"/>
              </w:rPr>
              <w:t>anafylaktiske</w:t>
            </w:r>
            <w:proofErr w:type="spellEnd"/>
            <w:r w:rsidRPr="009C00CC">
              <w:rPr>
                <w:sz w:val="24"/>
                <w:szCs w:val="24"/>
              </w:rPr>
              <w:t xml:space="preserve"> reaktioner, </w:t>
            </w:r>
            <w:proofErr w:type="spellStart"/>
            <w:r w:rsidRPr="009C00CC">
              <w:rPr>
                <w:sz w:val="24"/>
                <w:szCs w:val="24"/>
              </w:rPr>
              <w:t>angioødem</w:t>
            </w:r>
            <w:proofErr w:type="spellEnd"/>
            <w:r w:rsidRPr="009C00CC">
              <w:rPr>
                <w:sz w:val="24"/>
                <w:szCs w:val="24"/>
              </w:rPr>
              <w:t xml:space="preserve">, </w:t>
            </w:r>
            <w:proofErr w:type="spellStart"/>
            <w:r w:rsidRPr="009C00CC">
              <w:rPr>
                <w:sz w:val="24"/>
                <w:szCs w:val="24"/>
              </w:rPr>
              <w:t>bronkospasmer</w:t>
            </w:r>
            <w:proofErr w:type="spellEnd"/>
            <w:r w:rsidRPr="009C00CC">
              <w:rPr>
                <w:sz w:val="24"/>
                <w:szCs w:val="24"/>
              </w:rPr>
              <w:t xml:space="preserve"> og dyspnø</w:t>
            </w:r>
          </w:p>
        </w:tc>
      </w:tr>
      <w:tr w:rsidR="000171B5" w:rsidRPr="009C00CC" w:rsidTr="003B4BCE">
        <w:tc>
          <w:tcPr>
            <w:tcW w:w="1942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Nervesystemet</w:t>
            </w:r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Almindelig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Hovedpine</w:t>
            </w:r>
          </w:p>
        </w:tc>
      </w:tr>
      <w:tr w:rsidR="000171B5" w:rsidRPr="009C00CC" w:rsidTr="003B4BCE">
        <w:tc>
          <w:tcPr>
            <w:tcW w:w="1942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Øjne</w:t>
            </w:r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rFonts w:eastAsia="Calibri"/>
                <w:color w:val="000000"/>
                <w:sz w:val="24"/>
                <w:szCs w:val="24"/>
                <w:lang w:eastAsia="pl-PL"/>
              </w:rPr>
              <w:t>Ikke kendt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proofErr w:type="spellStart"/>
            <w:r w:rsidRPr="009C00CC">
              <w:rPr>
                <w:sz w:val="24"/>
                <w:szCs w:val="24"/>
              </w:rPr>
              <w:t>Glaukom</w:t>
            </w:r>
            <w:proofErr w:type="spellEnd"/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 xml:space="preserve">Forhøjet </w:t>
            </w:r>
            <w:proofErr w:type="spellStart"/>
            <w:r w:rsidRPr="009C00CC">
              <w:rPr>
                <w:sz w:val="24"/>
                <w:szCs w:val="24"/>
              </w:rPr>
              <w:t>intraokulært</w:t>
            </w:r>
            <w:proofErr w:type="spellEnd"/>
            <w:r w:rsidRPr="009C00CC">
              <w:rPr>
                <w:sz w:val="24"/>
                <w:szCs w:val="24"/>
              </w:rPr>
              <w:t xml:space="preserve"> tryk</w:t>
            </w:r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Katarakt</w:t>
            </w:r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t>Sløret syn (se også pkt. 4.4)</w:t>
            </w:r>
          </w:p>
        </w:tc>
      </w:tr>
      <w:tr w:rsidR="000171B5" w:rsidRPr="009C00CC" w:rsidTr="003B4BCE">
        <w:tc>
          <w:tcPr>
            <w:tcW w:w="1942" w:type="pct"/>
            <w:vMerge w:val="restart"/>
            <w:shd w:val="clear" w:color="auto" w:fill="auto"/>
          </w:tcPr>
          <w:p w:rsidR="000171B5" w:rsidRPr="009C00CC" w:rsidRDefault="00FC0422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9C00CC">
              <w:rPr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Almindelig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proofErr w:type="spellStart"/>
            <w:r w:rsidRPr="009C00CC">
              <w:rPr>
                <w:sz w:val="24"/>
                <w:szCs w:val="24"/>
              </w:rPr>
              <w:t>Epistaxis</w:t>
            </w:r>
            <w:proofErr w:type="spellEnd"/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Brændende fornemmelse i næsen</w:t>
            </w:r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Irritation i næsen</w:t>
            </w:r>
          </w:p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Sår i næsen</w:t>
            </w:r>
          </w:p>
        </w:tc>
      </w:tr>
      <w:tr w:rsidR="000171B5" w:rsidRPr="009C00CC" w:rsidTr="003B4BCE">
        <w:tc>
          <w:tcPr>
            <w:tcW w:w="1942" w:type="pct"/>
            <w:vMerge/>
            <w:shd w:val="clear" w:color="auto" w:fill="auto"/>
            <w:vAlign w:val="center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</w:p>
        </w:tc>
        <w:tc>
          <w:tcPr>
            <w:tcW w:w="1393" w:type="pct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rFonts w:eastAsia="Calibri"/>
                <w:color w:val="000000"/>
                <w:sz w:val="24"/>
                <w:szCs w:val="24"/>
                <w:lang w:eastAsia="pl-PL"/>
              </w:rPr>
              <w:t>Ikke kendt</w:t>
            </w:r>
          </w:p>
        </w:tc>
        <w:tc>
          <w:tcPr>
            <w:tcW w:w="1665" w:type="pct"/>
            <w:shd w:val="clear" w:color="auto" w:fill="auto"/>
          </w:tcPr>
          <w:p w:rsidR="000171B5" w:rsidRPr="009C00CC" w:rsidRDefault="000171B5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Hul i næseskillevæggen</w:t>
            </w:r>
          </w:p>
        </w:tc>
      </w:tr>
      <w:tr w:rsidR="00FC0422" w:rsidRPr="009C00CC" w:rsidTr="00C51385">
        <w:trPr>
          <w:trHeight w:val="838"/>
        </w:trPr>
        <w:tc>
          <w:tcPr>
            <w:tcW w:w="1942" w:type="pct"/>
            <w:shd w:val="clear" w:color="auto" w:fill="auto"/>
            <w:vAlign w:val="center"/>
          </w:tcPr>
          <w:p w:rsidR="00FC0422" w:rsidRPr="009C00CC" w:rsidRDefault="00FC0422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393" w:type="pct"/>
          </w:tcPr>
          <w:p w:rsidR="00FC0422" w:rsidRPr="009C00CC" w:rsidRDefault="00FC0422" w:rsidP="003B4BCE">
            <w:pPr>
              <w:rPr>
                <w:sz w:val="24"/>
                <w:szCs w:val="24"/>
              </w:rPr>
            </w:pPr>
            <w:r w:rsidRPr="009C00CC">
              <w:rPr>
                <w:rFonts w:eastAsia="Calibri"/>
                <w:color w:val="000000"/>
                <w:sz w:val="24"/>
                <w:szCs w:val="24"/>
                <w:lang w:eastAsia="pl-PL"/>
              </w:rPr>
              <w:t>Ikke kendt</w:t>
            </w:r>
          </w:p>
        </w:tc>
        <w:tc>
          <w:tcPr>
            <w:tcW w:w="1665" w:type="pct"/>
            <w:shd w:val="clear" w:color="auto" w:fill="auto"/>
          </w:tcPr>
          <w:p w:rsidR="00FC0422" w:rsidRPr="009C00CC" w:rsidRDefault="00FC0422" w:rsidP="003B4BCE">
            <w:pPr>
              <w:rPr>
                <w:sz w:val="24"/>
                <w:szCs w:val="24"/>
              </w:rPr>
            </w:pPr>
            <w:r w:rsidRPr="009C00CC">
              <w:rPr>
                <w:sz w:val="24"/>
                <w:szCs w:val="24"/>
              </w:rPr>
              <w:t>Forstyrrelser i smags- og lugtesans</w:t>
            </w:r>
          </w:p>
        </w:tc>
      </w:tr>
    </w:tbl>
    <w:p w:rsidR="000171B5" w:rsidRPr="009C00CC" w:rsidRDefault="000171B5" w:rsidP="00FC0422">
      <w:pPr>
        <w:rPr>
          <w:rFonts w:eastAsia="Calibri"/>
          <w:sz w:val="24"/>
          <w:szCs w:val="24"/>
          <w:lang w:eastAsia="pl-PL"/>
        </w:rPr>
      </w:pPr>
    </w:p>
    <w:p w:rsidR="000171B5" w:rsidRPr="009C00CC" w:rsidRDefault="000171B5" w:rsidP="000171B5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9C00CC">
        <w:rPr>
          <w:sz w:val="24"/>
          <w:szCs w:val="24"/>
          <w:u w:val="single"/>
          <w:lang w:eastAsia="da-DK"/>
        </w:rPr>
        <w:t>Indberetning af formodede bivirkninger</w:t>
      </w:r>
    </w:p>
    <w:p w:rsidR="000171B5" w:rsidRPr="009C00CC" w:rsidRDefault="000171B5" w:rsidP="000171B5">
      <w:pPr>
        <w:ind w:left="851"/>
        <w:rPr>
          <w:sz w:val="24"/>
          <w:szCs w:val="24"/>
          <w:lang w:eastAsia="da-DK"/>
        </w:rPr>
      </w:pPr>
      <w:r w:rsidRPr="009C00CC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9C00CC">
        <w:rPr>
          <w:sz w:val="24"/>
          <w:szCs w:val="24"/>
          <w:lang w:eastAsia="da-DK"/>
        </w:rPr>
        <w:t>risk</w:t>
      </w:r>
      <w:proofErr w:type="spellEnd"/>
      <w:r w:rsidRPr="009C00CC">
        <w:rPr>
          <w:sz w:val="24"/>
          <w:szCs w:val="24"/>
          <w:lang w:eastAsia="da-DK"/>
        </w:rPr>
        <w:t xml:space="preserve">-forholdet for lægemidlet. </w:t>
      </w:r>
      <w:r w:rsidR="00897F34" w:rsidRPr="009C00CC">
        <w:rPr>
          <w:sz w:val="24"/>
          <w:szCs w:val="24"/>
          <w:lang w:eastAsia="da-DK"/>
        </w:rPr>
        <w:t>S</w:t>
      </w:r>
      <w:r w:rsidRPr="009C00CC">
        <w:rPr>
          <w:sz w:val="24"/>
          <w:szCs w:val="24"/>
          <w:lang w:eastAsia="da-DK"/>
        </w:rPr>
        <w:t>undhedsperson</w:t>
      </w:r>
      <w:r w:rsidR="00897F34" w:rsidRPr="009C00CC">
        <w:rPr>
          <w:sz w:val="24"/>
          <w:szCs w:val="24"/>
          <w:lang w:eastAsia="da-DK"/>
        </w:rPr>
        <w:t>er</w:t>
      </w:r>
      <w:r w:rsidRPr="009C00CC">
        <w:rPr>
          <w:sz w:val="24"/>
          <w:szCs w:val="24"/>
          <w:lang w:eastAsia="da-DK"/>
        </w:rPr>
        <w:t xml:space="preserve"> anmodes om at indberette alle formodede bivirkninger via:</w:t>
      </w:r>
    </w:p>
    <w:p w:rsidR="00897F34" w:rsidRPr="009C00CC" w:rsidRDefault="00897F34" w:rsidP="000171B5">
      <w:pPr>
        <w:ind w:left="851"/>
        <w:rPr>
          <w:sz w:val="24"/>
          <w:szCs w:val="24"/>
          <w:lang w:eastAsia="da-DK"/>
        </w:rPr>
      </w:pPr>
    </w:p>
    <w:p w:rsidR="000171B5" w:rsidRPr="009C00CC" w:rsidRDefault="000171B5" w:rsidP="000171B5">
      <w:pPr>
        <w:ind w:left="851"/>
        <w:rPr>
          <w:sz w:val="24"/>
          <w:szCs w:val="24"/>
          <w:lang w:eastAsia="da-DK"/>
        </w:rPr>
      </w:pPr>
      <w:r w:rsidRPr="009C00CC">
        <w:rPr>
          <w:sz w:val="24"/>
          <w:szCs w:val="24"/>
          <w:lang w:eastAsia="da-DK"/>
        </w:rPr>
        <w:t>Lægemiddelstyrelsen</w:t>
      </w:r>
    </w:p>
    <w:p w:rsidR="000171B5" w:rsidRPr="009C00CC" w:rsidRDefault="000171B5" w:rsidP="000171B5">
      <w:pPr>
        <w:ind w:left="851"/>
        <w:rPr>
          <w:sz w:val="24"/>
          <w:szCs w:val="24"/>
          <w:lang w:eastAsia="da-DK"/>
        </w:rPr>
      </w:pPr>
      <w:r w:rsidRPr="009C00CC">
        <w:rPr>
          <w:sz w:val="24"/>
          <w:szCs w:val="24"/>
          <w:lang w:eastAsia="da-DK"/>
        </w:rPr>
        <w:t>Axel Heides Gade 1</w:t>
      </w:r>
    </w:p>
    <w:p w:rsidR="000171B5" w:rsidRPr="009C00CC" w:rsidRDefault="000171B5" w:rsidP="000171B5">
      <w:pPr>
        <w:ind w:left="851"/>
        <w:rPr>
          <w:sz w:val="24"/>
          <w:szCs w:val="24"/>
          <w:lang w:eastAsia="da-DK"/>
        </w:rPr>
      </w:pPr>
      <w:r w:rsidRPr="009C00CC">
        <w:rPr>
          <w:sz w:val="24"/>
          <w:szCs w:val="24"/>
          <w:lang w:eastAsia="da-DK"/>
        </w:rPr>
        <w:t>DK-2300 København S</w:t>
      </w:r>
    </w:p>
    <w:p w:rsidR="000171B5" w:rsidRPr="009C00CC" w:rsidRDefault="000171B5" w:rsidP="00897F34">
      <w:pPr>
        <w:ind w:left="851"/>
        <w:rPr>
          <w:sz w:val="24"/>
          <w:szCs w:val="24"/>
          <w:lang w:eastAsia="da-DK"/>
        </w:rPr>
      </w:pPr>
      <w:r w:rsidRPr="009C00CC">
        <w:rPr>
          <w:sz w:val="24"/>
          <w:szCs w:val="24"/>
          <w:lang w:eastAsia="da-DK"/>
        </w:rPr>
        <w:t xml:space="preserve">Websted: </w:t>
      </w:r>
      <w:hyperlink r:id="rId9" w:history="1">
        <w:r w:rsidR="00897F34" w:rsidRPr="009C00CC">
          <w:rPr>
            <w:rStyle w:val="Hyperlink"/>
            <w:sz w:val="24"/>
            <w:lang w:eastAsia="da-DK"/>
          </w:rPr>
          <w:t>www.meldenbivirkning.dk</w:t>
        </w:r>
      </w:hyperlink>
      <w:r w:rsidR="00897F34" w:rsidRPr="009C00CC">
        <w:rPr>
          <w:sz w:val="24"/>
          <w:lang w:eastAsia="da-DK"/>
        </w:rPr>
        <w:t xml:space="preserve"> 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4.9</w:t>
      </w:r>
      <w:r w:rsidRPr="009C00CC">
        <w:rPr>
          <w:b/>
          <w:sz w:val="24"/>
          <w:szCs w:val="24"/>
        </w:rPr>
        <w:tab/>
        <w:t>Overdosering</w:t>
      </w:r>
    </w:p>
    <w:p w:rsidR="000171B5" w:rsidRPr="009C00CC" w:rsidRDefault="000171B5" w:rsidP="000171B5">
      <w:pPr>
        <w:ind w:left="851" w:hanging="851"/>
        <w:rPr>
          <w:spacing w:val="-3"/>
          <w:sz w:val="24"/>
          <w:szCs w:val="24"/>
          <w:u w:val="single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  <w:u w:val="single"/>
        </w:rPr>
      </w:pPr>
      <w:r w:rsidRPr="009C00CC">
        <w:rPr>
          <w:spacing w:val="-3"/>
          <w:sz w:val="24"/>
          <w:szCs w:val="24"/>
          <w:u w:val="single"/>
        </w:rPr>
        <w:t>Symptomer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Inhalation eller oral administration af meget store doser </w:t>
      </w:r>
      <w:proofErr w:type="spellStart"/>
      <w:r w:rsidRPr="009C00CC">
        <w:rPr>
          <w:spacing w:val="-3"/>
          <w:sz w:val="24"/>
          <w:szCs w:val="24"/>
        </w:rPr>
        <w:t>kortikosteroider</w:t>
      </w:r>
      <w:proofErr w:type="spellEnd"/>
      <w:r w:rsidRPr="009C00CC">
        <w:rPr>
          <w:spacing w:val="-3"/>
          <w:sz w:val="24"/>
          <w:szCs w:val="24"/>
        </w:rPr>
        <w:t xml:space="preserve"> kan føre til suppression af </w:t>
      </w:r>
      <w:proofErr w:type="spellStart"/>
      <w:r w:rsidRPr="009C00CC">
        <w:rPr>
          <w:spacing w:val="-3"/>
          <w:sz w:val="24"/>
          <w:szCs w:val="24"/>
        </w:rPr>
        <w:t>hypothalamus</w:t>
      </w:r>
      <w:proofErr w:type="spellEnd"/>
      <w:r w:rsidRPr="009C00CC">
        <w:rPr>
          <w:spacing w:val="-3"/>
          <w:sz w:val="24"/>
          <w:szCs w:val="24"/>
        </w:rPr>
        <w:t>-hypofyse-binyrebarkaksen.</w:t>
      </w:r>
    </w:p>
    <w:p w:rsidR="000171B5" w:rsidRPr="009C00CC" w:rsidRDefault="000171B5" w:rsidP="000171B5">
      <w:pPr>
        <w:ind w:left="851" w:hanging="851"/>
        <w:rPr>
          <w:spacing w:val="-3"/>
          <w:sz w:val="24"/>
          <w:szCs w:val="24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  <w:u w:val="single"/>
        </w:rPr>
      </w:pPr>
      <w:r w:rsidRPr="009C00CC">
        <w:rPr>
          <w:spacing w:val="-3"/>
          <w:sz w:val="24"/>
          <w:szCs w:val="24"/>
          <w:u w:val="single"/>
        </w:rPr>
        <w:t>Behandling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Da den systemiske biotilgængelighed for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pacing w:val="-3"/>
          <w:sz w:val="24"/>
          <w:szCs w:val="24"/>
        </w:rPr>
        <w:t xml:space="preserve"> næsespray er &lt; 1,0 % er det usandsynligt, at</w:t>
      </w:r>
      <w:r w:rsidR="009C00CC">
        <w:rPr>
          <w:spacing w:val="-3"/>
          <w:sz w:val="24"/>
          <w:szCs w:val="24"/>
        </w:rPr>
        <w:t xml:space="preserve"> </w:t>
      </w:r>
      <w:r w:rsidRPr="009C00CC">
        <w:rPr>
          <w:spacing w:val="-3"/>
          <w:sz w:val="24"/>
          <w:szCs w:val="24"/>
        </w:rPr>
        <w:t>en overdosis vil kræve andet end observation efterfulgt af en genoptagelse af den foreskrevne dosis.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4.10</w:t>
      </w:r>
      <w:r w:rsidRPr="009C00CC">
        <w:rPr>
          <w:b/>
          <w:sz w:val="24"/>
          <w:szCs w:val="24"/>
        </w:rPr>
        <w:tab/>
        <w:t>Udlevering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  <w:t>B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EC0A72" w:rsidRPr="00C84483" w:rsidRDefault="00EC0A72" w:rsidP="00EC0A72">
      <w:pPr>
        <w:tabs>
          <w:tab w:val="left" w:pos="851"/>
        </w:tabs>
        <w:ind w:left="851"/>
        <w:rPr>
          <w:sz w:val="24"/>
          <w:szCs w:val="24"/>
        </w:rPr>
      </w:pPr>
    </w:p>
    <w:p w:rsidR="00EC0A72" w:rsidRPr="00C84483" w:rsidRDefault="00EC0A72" w:rsidP="00EC0A72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FC0422" w:rsidRPr="009C00CC" w:rsidRDefault="00FC0422" w:rsidP="009C00CC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Farmakoterapeutisk</w:t>
      </w:r>
      <w:proofErr w:type="spellEnd"/>
      <w:r w:rsidRPr="009C00CC">
        <w:rPr>
          <w:sz w:val="24"/>
          <w:szCs w:val="24"/>
        </w:rPr>
        <w:t xml:space="preserve"> klassifikation: Nasale præparater, næsespray og andre præparater til nasal administration indeholdende topiske </w:t>
      </w:r>
      <w:proofErr w:type="spellStart"/>
      <w:r w:rsidRPr="009C00CC">
        <w:rPr>
          <w:sz w:val="24"/>
          <w:szCs w:val="24"/>
        </w:rPr>
        <w:t>kortikosteroider</w:t>
      </w:r>
      <w:proofErr w:type="spellEnd"/>
      <w:r w:rsidR="009C00CC">
        <w:rPr>
          <w:sz w:val="24"/>
          <w:szCs w:val="24"/>
        </w:rPr>
        <w:t xml:space="preserve">, </w:t>
      </w:r>
      <w:r w:rsidR="009C00CC" w:rsidRPr="009C00CC">
        <w:rPr>
          <w:sz w:val="24"/>
          <w:szCs w:val="24"/>
        </w:rPr>
        <w:t>ATC-kode: R01AD09.</w:t>
      </w:r>
    </w:p>
    <w:p w:rsidR="00FC0422" w:rsidRPr="009C00CC" w:rsidRDefault="00FC0422" w:rsidP="009C00CC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  <w:u w:val="single"/>
        </w:rPr>
      </w:pPr>
      <w:r w:rsidRPr="009C00CC">
        <w:rPr>
          <w:spacing w:val="-3"/>
          <w:sz w:val="24"/>
          <w:szCs w:val="24"/>
          <w:u w:val="single"/>
        </w:rPr>
        <w:t>Virkningsmekanisme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proofErr w:type="spellStart"/>
      <w:r w:rsidRPr="009C00CC">
        <w:rPr>
          <w:spacing w:val="-3"/>
          <w:sz w:val="24"/>
          <w:szCs w:val="24"/>
        </w:rPr>
        <w:t>Mometason</w:t>
      </w:r>
      <w:proofErr w:type="spellEnd"/>
      <w:r w:rsidRPr="009C00CC">
        <w:rPr>
          <w:spacing w:val="-3"/>
          <w:sz w:val="24"/>
          <w:szCs w:val="24"/>
        </w:rPr>
        <w:t xml:space="preserve"> er et </w:t>
      </w:r>
      <w:proofErr w:type="spellStart"/>
      <w:r w:rsidRPr="009C00CC">
        <w:rPr>
          <w:spacing w:val="-3"/>
          <w:sz w:val="24"/>
          <w:szCs w:val="24"/>
        </w:rPr>
        <w:t>topikalt</w:t>
      </w:r>
      <w:proofErr w:type="spellEnd"/>
      <w:r w:rsidRPr="009C00CC">
        <w:rPr>
          <w:spacing w:val="-3"/>
          <w:sz w:val="24"/>
          <w:szCs w:val="24"/>
        </w:rPr>
        <w:t xml:space="preserve"> </w:t>
      </w:r>
      <w:proofErr w:type="spellStart"/>
      <w:r w:rsidRPr="009C00CC">
        <w:rPr>
          <w:spacing w:val="-3"/>
          <w:sz w:val="24"/>
          <w:szCs w:val="24"/>
        </w:rPr>
        <w:t>glukokortikoid</w:t>
      </w:r>
      <w:proofErr w:type="spellEnd"/>
      <w:r w:rsidRPr="009C00CC" w:rsidDel="00BA297A">
        <w:rPr>
          <w:spacing w:val="-3"/>
          <w:sz w:val="24"/>
          <w:szCs w:val="24"/>
        </w:rPr>
        <w:t xml:space="preserve"> </w:t>
      </w:r>
      <w:r w:rsidRPr="009C00CC">
        <w:rPr>
          <w:spacing w:val="-3"/>
          <w:sz w:val="24"/>
          <w:szCs w:val="24"/>
        </w:rPr>
        <w:t>med lokale antiinflammatoriske egenskaber ved doser, som ikke er systemisk aktive.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Sandsynligvis kan en stor del af mekanismen bag </w:t>
      </w:r>
      <w:proofErr w:type="spellStart"/>
      <w:r w:rsidRPr="009C00CC">
        <w:rPr>
          <w:sz w:val="24"/>
          <w:szCs w:val="24"/>
        </w:rPr>
        <w:t>mometasonfuroats</w:t>
      </w:r>
      <w:proofErr w:type="spellEnd"/>
      <w:r w:rsidRPr="009C00CC">
        <w:rPr>
          <w:sz w:val="24"/>
          <w:szCs w:val="24"/>
        </w:rPr>
        <w:t xml:space="preserve"> antiallergiske og antiinflammatoriske virkning tilskrives evnen til at hæmme frigørelse af </w:t>
      </w:r>
      <w:proofErr w:type="spellStart"/>
      <w:r w:rsidRPr="009C00CC">
        <w:rPr>
          <w:sz w:val="24"/>
          <w:szCs w:val="24"/>
        </w:rPr>
        <w:t>mediatorer</w:t>
      </w:r>
      <w:proofErr w:type="spellEnd"/>
      <w:r w:rsidRPr="009C00CC">
        <w:rPr>
          <w:sz w:val="24"/>
          <w:szCs w:val="24"/>
        </w:rPr>
        <w:t xml:space="preserve"> involveret i allergiske reaktioner.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har en signifikant hæmmende virkning på frigørelsen af </w:t>
      </w:r>
      <w:proofErr w:type="spellStart"/>
      <w:r w:rsidRPr="009C00CC">
        <w:rPr>
          <w:sz w:val="24"/>
          <w:szCs w:val="24"/>
        </w:rPr>
        <w:t>leukotriener</w:t>
      </w:r>
      <w:proofErr w:type="spellEnd"/>
      <w:r w:rsidRPr="009C00CC">
        <w:rPr>
          <w:sz w:val="24"/>
          <w:szCs w:val="24"/>
        </w:rPr>
        <w:t xml:space="preserve"> fra leukocytter hos allergiske patienter.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I cellekulturer demonstrerede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stor hæmning af syntesen og frigørelsen af IL-1, IL-5, IL-6 og </w:t>
      </w:r>
      <w:proofErr w:type="spellStart"/>
      <w:r w:rsidRPr="009C00CC">
        <w:rPr>
          <w:sz w:val="24"/>
          <w:szCs w:val="24"/>
        </w:rPr>
        <w:t>TNFa</w:t>
      </w:r>
      <w:proofErr w:type="spellEnd"/>
      <w:r w:rsidRPr="009C00CC">
        <w:rPr>
          <w:sz w:val="24"/>
          <w:szCs w:val="24"/>
        </w:rPr>
        <w:t xml:space="preserve">.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er også en potent hæmmer af </w:t>
      </w:r>
      <w:proofErr w:type="spellStart"/>
      <w:r w:rsidRPr="009C00CC">
        <w:rPr>
          <w:sz w:val="24"/>
          <w:szCs w:val="24"/>
        </w:rPr>
        <w:t>leukotrien</w:t>
      </w:r>
      <w:r w:rsidRPr="009C00CC">
        <w:rPr>
          <w:sz w:val="24"/>
          <w:szCs w:val="24"/>
        </w:rPr>
        <w:softHyphen/>
        <w:t>produktionen</w:t>
      </w:r>
      <w:proofErr w:type="spellEnd"/>
      <w:r w:rsidRPr="009C00CC">
        <w:rPr>
          <w:sz w:val="24"/>
          <w:szCs w:val="24"/>
        </w:rPr>
        <w:t xml:space="preserve">. Herudover er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også en særdeles potent hæmmer af produktionen af Th2-cytokiner, IL-4 og IL-5 fra humane CD4+T-celler. 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9C00CC">
        <w:rPr>
          <w:spacing w:val="-3"/>
          <w:sz w:val="24"/>
          <w:szCs w:val="24"/>
          <w:u w:val="single"/>
        </w:rPr>
        <w:t>Farmakodynamisk</w:t>
      </w:r>
      <w:proofErr w:type="spellEnd"/>
      <w:r w:rsidRPr="009C00CC">
        <w:rPr>
          <w:spacing w:val="-3"/>
          <w:sz w:val="24"/>
          <w:szCs w:val="24"/>
          <w:u w:val="single"/>
        </w:rPr>
        <w:t xml:space="preserve"> virkning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I studier med nasal antigen-provokation har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 udvist antiinflammatorisk aktivitet i såvel den tidlige som den sene fase af det allergiske respons. Dette er vist (i forhold til placebo) ved en reduktion i histamin- og </w:t>
      </w:r>
      <w:proofErr w:type="spellStart"/>
      <w:r w:rsidRPr="009C00CC">
        <w:rPr>
          <w:sz w:val="24"/>
          <w:szCs w:val="24"/>
        </w:rPr>
        <w:t>eosinofilaktiviteten</w:t>
      </w:r>
      <w:proofErr w:type="spellEnd"/>
      <w:r w:rsidRPr="009C00CC">
        <w:rPr>
          <w:sz w:val="24"/>
          <w:szCs w:val="24"/>
        </w:rPr>
        <w:t xml:space="preserve"> og ved en reduktion (i forhold til basisniveauet) af </w:t>
      </w:r>
      <w:proofErr w:type="spellStart"/>
      <w:r w:rsidRPr="009C00CC">
        <w:rPr>
          <w:sz w:val="24"/>
          <w:szCs w:val="24"/>
        </w:rPr>
        <w:t>eosinofile</w:t>
      </w:r>
      <w:proofErr w:type="spellEnd"/>
      <w:r w:rsidRPr="009C00CC">
        <w:rPr>
          <w:sz w:val="24"/>
          <w:szCs w:val="24"/>
        </w:rPr>
        <w:t xml:space="preserve">, </w:t>
      </w:r>
      <w:proofErr w:type="spellStart"/>
      <w:r w:rsidRPr="009C00CC">
        <w:rPr>
          <w:sz w:val="24"/>
          <w:szCs w:val="24"/>
        </w:rPr>
        <w:t>neutrofile</w:t>
      </w:r>
      <w:proofErr w:type="spellEnd"/>
      <w:r w:rsidRPr="009C00CC">
        <w:rPr>
          <w:sz w:val="24"/>
          <w:szCs w:val="24"/>
        </w:rPr>
        <w:t xml:space="preserve"> og </w:t>
      </w:r>
      <w:proofErr w:type="spellStart"/>
      <w:r w:rsidRPr="009C00CC">
        <w:rPr>
          <w:sz w:val="24"/>
          <w:szCs w:val="24"/>
        </w:rPr>
        <w:t>epitheliale</w:t>
      </w:r>
      <w:proofErr w:type="spellEnd"/>
      <w:r w:rsidRPr="009C00CC">
        <w:rPr>
          <w:sz w:val="24"/>
          <w:szCs w:val="24"/>
        </w:rPr>
        <w:t xml:space="preserve"> celleadhæsionsproteiner.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Hos 28 % af patienterne med sæsonbetinget allergisk </w:t>
      </w:r>
      <w:proofErr w:type="spellStart"/>
      <w:r w:rsidRPr="009C00CC">
        <w:rPr>
          <w:sz w:val="24"/>
          <w:szCs w:val="24"/>
        </w:rPr>
        <w:t>rhinitis</w:t>
      </w:r>
      <w:proofErr w:type="spellEnd"/>
      <w:r w:rsidRPr="009C00CC">
        <w:rPr>
          <w:sz w:val="24"/>
          <w:szCs w:val="24"/>
        </w:rPr>
        <w:t xml:space="preserve"> udviste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næsespray en klinisk signifikant virkning inden for 12 timer efter den første dosis. Mediantiden (50 %) til symptomlindring var 35,9 timer. 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5.2</w:t>
      </w:r>
      <w:r w:rsidRPr="009C00CC">
        <w:rPr>
          <w:b/>
          <w:sz w:val="24"/>
          <w:szCs w:val="24"/>
        </w:rPr>
        <w:tab/>
      </w:r>
      <w:proofErr w:type="spellStart"/>
      <w:r w:rsidRPr="009C00CC">
        <w:rPr>
          <w:b/>
          <w:sz w:val="24"/>
          <w:szCs w:val="24"/>
        </w:rPr>
        <w:t>Farmakokinetiske</w:t>
      </w:r>
      <w:proofErr w:type="spellEnd"/>
      <w:r w:rsidRPr="009C00CC">
        <w:rPr>
          <w:b/>
          <w:sz w:val="24"/>
          <w:szCs w:val="24"/>
        </w:rPr>
        <w:t xml:space="preserve"> egenskaber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</w:p>
    <w:p w:rsidR="000171B5" w:rsidRPr="009C00CC" w:rsidRDefault="000171B5" w:rsidP="009C00CC">
      <w:pPr>
        <w:ind w:left="851"/>
        <w:rPr>
          <w:bCs/>
          <w:sz w:val="24"/>
          <w:szCs w:val="24"/>
          <w:u w:val="single"/>
        </w:rPr>
      </w:pPr>
      <w:r w:rsidRPr="009C00CC">
        <w:rPr>
          <w:bCs/>
          <w:sz w:val="24"/>
          <w:szCs w:val="24"/>
          <w:u w:val="single"/>
        </w:rPr>
        <w:t>Absorption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givet som en vandig nasalspray har en systemisk biotilgængelighed på &lt; 1 % i plasma ved brugen af en følsom metode med en nedre kvantificeringsgrænse på 0,25 </w:t>
      </w:r>
      <w:proofErr w:type="spellStart"/>
      <w:r w:rsidRPr="009C00CC">
        <w:rPr>
          <w:sz w:val="24"/>
          <w:szCs w:val="24"/>
        </w:rPr>
        <w:t>pg</w:t>
      </w:r>
      <w:proofErr w:type="spellEnd"/>
      <w:r w:rsidRPr="009C00CC">
        <w:rPr>
          <w:sz w:val="24"/>
          <w:szCs w:val="24"/>
        </w:rPr>
        <w:t>/ml.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</w:p>
    <w:p w:rsidR="000171B5" w:rsidRPr="009C00CC" w:rsidRDefault="000171B5" w:rsidP="009C00CC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Fordeling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Ikke relevant da </w:t>
      </w:r>
      <w:proofErr w:type="spellStart"/>
      <w:r w:rsidRPr="009C00CC">
        <w:rPr>
          <w:sz w:val="24"/>
          <w:szCs w:val="24"/>
        </w:rPr>
        <w:t>mometason</w:t>
      </w:r>
      <w:proofErr w:type="spellEnd"/>
      <w:r w:rsidRPr="009C00CC">
        <w:rPr>
          <w:sz w:val="24"/>
          <w:szCs w:val="24"/>
        </w:rPr>
        <w:t xml:space="preserve"> absorberes dårligt via næsen.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</w:p>
    <w:p w:rsidR="000171B5" w:rsidRPr="009C00CC" w:rsidRDefault="000171B5" w:rsidP="009C00CC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Biotransformation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Den ringe mængde, som evt. synkes og absorberes, undergår udtalt "</w:t>
      </w:r>
      <w:proofErr w:type="spellStart"/>
      <w:r w:rsidRPr="009C00CC">
        <w:rPr>
          <w:sz w:val="24"/>
          <w:szCs w:val="24"/>
        </w:rPr>
        <w:t>first</w:t>
      </w:r>
      <w:proofErr w:type="spellEnd"/>
      <w:r w:rsidRPr="009C00CC">
        <w:rPr>
          <w:sz w:val="24"/>
          <w:szCs w:val="24"/>
        </w:rPr>
        <w:t xml:space="preserve"> </w:t>
      </w:r>
      <w:proofErr w:type="spellStart"/>
      <w:r w:rsidRPr="009C00CC">
        <w:rPr>
          <w:sz w:val="24"/>
          <w:szCs w:val="24"/>
        </w:rPr>
        <w:t>pass</w:t>
      </w:r>
      <w:proofErr w:type="spellEnd"/>
      <w:r w:rsidRPr="009C00CC">
        <w:rPr>
          <w:sz w:val="24"/>
          <w:szCs w:val="24"/>
        </w:rPr>
        <w:t>"-</w:t>
      </w:r>
      <w:proofErr w:type="spellStart"/>
      <w:r w:rsidRPr="009C00CC">
        <w:rPr>
          <w:sz w:val="24"/>
          <w:szCs w:val="24"/>
        </w:rPr>
        <w:t>metabolisering</w:t>
      </w:r>
      <w:proofErr w:type="spellEnd"/>
      <w:r w:rsidRPr="009C00CC">
        <w:rPr>
          <w:sz w:val="24"/>
          <w:szCs w:val="24"/>
        </w:rPr>
        <w:t xml:space="preserve"> i leveren.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</w:p>
    <w:p w:rsidR="000171B5" w:rsidRPr="009C00CC" w:rsidRDefault="000171B5" w:rsidP="009C00CC">
      <w:pPr>
        <w:ind w:left="851"/>
        <w:rPr>
          <w:sz w:val="24"/>
          <w:szCs w:val="24"/>
          <w:u w:val="single"/>
        </w:rPr>
      </w:pPr>
      <w:r w:rsidRPr="009C00CC">
        <w:rPr>
          <w:sz w:val="24"/>
          <w:szCs w:val="24"/>
          <w:u w:val="single"/>
        </w:rPr>
        <w:t>Elimination</w:t>
      </w:r>
    </w:p>
    <w:p w:rsidR="000171B5" w:rsidRPr="009C00CC" w:rsidRDefault="000171B5" w:rsidP="009C00CC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Absorberet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</w:t>
      </w:r>
      <w:proofErr w:type="spellStart"/>
      <w:r w:rsidRPr="009C00CC">
        <w:rPr>
          <w:sz w:val="24"/>
          <w:szCs w:val="24"/>
        </w:rPr>
        <w:t>metaboliseres</w:t>
      </w:r>
      <w:proofErr w:type="spellEnd"/>
      <w:r w:rsidRPr="009C00CC">
        <w:rPr>
          <w:sz w:val="24"/>
          <w:szCs w:val="24"/>
        </w:rPr>
        <w:t xml:space="preserve"> ekstensivt, og metabolitterne udskilles med urin og galde.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Der kunne ikke påvises toksiske virkninger forårsaget af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alene. Alle de observerede virkninger fandtes typiske for denne gruppe af stoffer og var relaterede til </w:t>
      </w:r>
      <w:proofErr w:type="spellStart"/>
      <w:r w:rsidRPr="009C00CC">
        <w:rPr>
          <w:sz w:val="24"/>
          <w:szCs w:val="24"/>
        </w:rPr>
        <w:t>glukokortikoiders</w:t>
      </w:r>
      <w:proofErr w:type="spellEnd"/>
      <w:r w:rsidRPr="009C00CC">
        <w:rPr>
          <w:sz w:val="24"/>
          <w:szCs w:val="24"/>
        </w:rPr>
        <w:t xml:space="preserve"> farmakologiske virkninger.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Prækliniske studier har vist, at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er uden </w:t>
      </w:r>
      <w:proofErr w:type="spellStart"/>
      <w:r w:rsidRPr="009C00CC">
        <w:rPr>
          <w:sz w:val="24"/>
          <w:szCs w:val="24"/>
        </w:rPr>
        <w:t>androgene</w:t>
      </w:r>
      <w:proofErr w:type="spellEnd"/>
      <w:r w:rsidRPr="009C00CC">
        <w:rPr>
          <w:sz w:val="24"/>
          <w:szCs w:val="24"/>
        </w:rPr>
        <w:t xml:space="preserve">, </w:t>
      </w:r>
      <w:proofErr w:type="spellStart"/>
      <w:r w:rsidRPr="009C00CC">
        <w:rPr>
          <w:sz w:val="24"/>
          <w:szCs w:val="24"/>
        </w:rPr>
        <w:t>antiandrogene</w:t>
      </w:r>
      <w:proofErr w:type="spellEnd"/>
      <w:r w:rsidRPr="009C00CC">
        <w:rPr>
          <w:sz w:val="24"/>
          <w:szCs w:val="24"/>
        </w:rPr>
        <w:t xml:space="preserve">, østrogene eller antiøstrogene virkninger, men som andre </w:t>
      </w:r>
      <w:proofErr w:type="spellStart"/>
      <w:r w:rsidRPr="009C00CC">
        <w:rPr>
          <w:sz w:val="24"/>
          <w:szCs w:val="24"/>
        </w:rPr>
        <w:t>glukokortikoider</w:t>
      </w:r>
      <w:proofErr w:type="spellEnd"/>
      <w:r w:rsidRPr="009C00CC">
        <w:rPr>
          <w:sz w:val="24"/>
          <w:szCs w:val="24"/>
        </w:rPr>
        <w:t xml:space="preserve"> har det nogen </w:t>
      </w:r>
      <w:proofErr w:type="spellStart"/>
      <w:r w:rsidRPr="009C00CC">
        <w:rPr>
          <w:sz w:val="24"/>
          <w:szCs w:val="24"/>
        </w:rPr>
        <w:t>antiuterotrofisk</w:t>
      </w:r>
      <w:proofErr w:type="spellEnd"/>
      <w:r w:rsidRPr="009C00CC">
        <w:rPr>
          <w:sz w:val="24"/>
          <w:szCs w:val="24"/>
        </w:rPr>
        <w:t xml:space="preserve"> virkning og forsinker den vaginale åbning i dyrestudier ved højere orale doser på 56 mg/kg/dag og 280 mg/kg/dag. 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Som ved andre </w:t>
      </w:r>
      <w:proofErr w:type="spellStart"/>
      <w:r w:rsidRPr="009C00CC">
        <w:rPr>
          <w:sz w:val="24"/>
          <w:szCs w:val="24"/>
        </w:rPr>
        <w:t>glukokortikoider</w:t>
      </w:r>
      <w:proofErr w:type="spellEnd"/>
      <w:r w:rsidRPr="009C00CC">
        <w:rPr>
          <w:sz w:val="24"/>
          <w:szCs w:val="24"/>
        </w:rPr>
        <w:t xml:space="preserve"> udviste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et </w:t>
      </w:r>
      <w:proofErr w:type="spellStart"/>
      <w:r w:rsidRPr="009C00CC">
        <w:rPr>
          <w:sz w:val="24"/>
          <w:szCs w:val="24"/>
        </w:rPr>
        <w:t>klastogent</w:t>
      </w:r>
      <w:proofErr w:type="spellEnd"/>
      <w:r w:rsidRPr="009C00CC">
        <w:rPr>
          <w:sz w:val="24"/>
          <w:szCs w:val="24"/>
        </w:rPr>
        <w:t xml:space="preserve"> potentiale in </w:t>
      </w:r>
      <w:proofErr w:type="spellStart"/>
      <w:r w:rsidRPr="009C00CC">
        <w:rPr>
          <w:sz w:val="24"/>
          <w:szCs w:val="24"/>
        </w:rPr>
        <w:t>vitro</w:t>
      </w:r>
      <w:proofErr w:type="spellEnd"/>
      <w:r w:rsidRPr="009C00CC">
        <w:rPr>
          <w:sz w:val="24"/>
          <w:szCs w:val="24"/>
        </w:rPr>
        <w:t xml:space="preserve"> ved høje koncentrationer. Ingen mutagene påvirkninger kan imidlertid forventes ved terapeutisk relevante doser. 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 xml:space="preserve">I reproduktionsstudier forlængede subkutant </w:t>
      </w:r>
      <w:proofErr w:type="spellStart"/>
      <w:r w:rsidRPr="009C00CC">
        <w:rPr>
          <w:spacing w:val="-3"/>
          <w:sz w:val="24"/>
          <w:szCs w:val="24"/>
        </w:rPr>
        <w:t>mometasonfuroat</w:t>
      </w:r>
      <w:proofErr w:type="spellEnd"/>
      <w:r w:rsidRPr="009C00CC">
        <w:rPr>
          <w:spacing w:val="-3"/>
          <w:sz w:val="24"/>
          <w:szCs w:val="24"/>
        </w:rPr>
        <w:t xml:space="preserve"> i doser på 15 mikrogram/kg drægtighedstiden og forlængede og besværliggjorde fødslen med nedsat overlevelse, lavere vægt eller langsommere vægtøgning hos afkommet. Der var ingen indvirkning på fertiliteten.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Som andre </w:t>
      </w:r>
      <w:proofErr w:type="spellStart"/>
      <w:r w:rsidRPr="009C00CC">
        <w:rPr>
          <w:sz w:val="24"/>
          <w:szCs w:val="24"/>
        </w:rPr>
        <w:t>glukokortikoider</w:t>
      </w:r>
      <w:proofErr w:type="spellEnd"/>
      <w:r w:rsidRPr="009C00CC">
        <w:rPr>
          <w:sz w:val="24"/>
          <w:szCs w:val="24"/>
        </w:rPr>
        <w:t xml:space="preserve"> er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</w:t>
      </w:r>
      <w:proofErr w:type="spellStart"/>
      <w:r w:rsidRPr="009C00CC">
        <w:rPr>
          <w:sz w:val="24"/>
          <w:szCs w:val="24"/>
        </w:rPr>
        <w:t>teratogent</w:t>
      </w:r>
      <w:proofErr w:type="spellEnd"/>
      <w:r w:rsidRPr="009C00CC">
        <w:rPr>
          <w:sz w:val="24"/>
          <w:szCs w:val="24"/>
        </w:rPr>
        <w:t xml:space="preserve"> hos gnavere og kaniner. De observerede virkninger var: </w:t>
      </w:r>
      <w:proofErr w:type="spellStart"/>
      <w:r w:rsidRPr="009C00CC">
        <w:rPr>
          <w:sz w:val="24"/>
          <w:szCs w:val="24"/>
        </w:rPr>
        <w:t>Umbilikalhernie</w:t>
      </w:r>
      <w:proofErr w:type="spellEnd"/>
      <w:r w:rsidRPr="009C00CC">
        <w:rPr>
          <w:sz w:val="24"/>
          <w:szCs w:val="24"/>
        </w:rPr>
        <w:t xml:space="preserve"> hos rotter, ganespalte hos mus samt galdeblære-</w:t>
      </w:r>
      <w:proofErr w:type="spellStart"/>
      <w:r w:rsidRPr="009C00CC">
        <w:rPr>
          <w:sz w:val="24"/>
          <w:szCs w:val="24"/>
        </w:rPr>
        <w:t>agenesi</w:t>
      </w:r>
      <w:proofErr w:type="spellEnd"/>
      <w:r w:rsidRPr="009C00CC">
        <w:rPr>
          <w:sz w:val="24"/>
          <w:szCs w:val="24"/>
        </w:rPr>
        <w:t xml:space="preserve">, </w:t>
      </w:r>
      <w:proofErr w:type="spellStart"/>
      <w:r w:rsidRPr="009C00CC">
        <w:rPr>
          <w:sz w:val="24"/>
          <w:szCs w:val="24"/>
        </w:rPr>
        <w:t>umbilikalhernie</w:t>
      </w:r>
      <w:proofErr w:type="spellEnd"/>
      <w:r w:rsidRPr="009C00CC">
        <w:rPr>
          <w:sz w:val="24"/>
          <w:szCs w:val="24"/>
        </w:rPr>
        <w:t xml:space="preserve"> og bøjede forpoter hos kaniner. Der var også en reduktion i vægtøgningen hos den drægtige, indvirkning på fostertilvæksten (lavere fostervægt og/eller forsinket </w:t>
      </w:r>
      <w:proofErr w:type="spellStart"/>
      <w:r w:rsidRPr="009C00CC">
        <w:rPr>
          <w:sz w:val="24"/>
          <w:szCs w:val="24"/>
        </w:rPr>
        <w:t>ossifikation</w:t>
      </w:r>
      <w:proofErr w:type="spellEnd"/>
      <w:r w:rsidRPr="009C00CC">
        <w:rPr>
          <w:sz w:val="24"/>
          <w:szCs w:val="24"/>
        </w:rPr>
        <w:t>) hos rotter, kaniner og mus samt nedsat overlevelse for musens unger.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Det </w:t>
      </w:r>
      <w:proofErr w:type="spellStart"/>
      <w:r w:rsidRPr="009C00CC">
        <w:rPr>
          <w:sz w:val="24"/>
          <w:szCs w:val="24"/>
        </w:rPr>
        <w:t>karcinogene</w:t>
      </w:r>
      <w:proofErr w:type="spellEnd"/>
      <w:r w:rsidRPr="009C00CC">
        <w:rPr>
          <w:sz w:val="24"/>
          <w:szCs w:val="24"/>
        </w:rPr>
        <w:t xml:space="preserve"> potentiale af inhaleret </w:t>
      </w:r>
      <w:proofErr w:type="spellStart"/>
      <w:r w:rsidRPr="009C00CC">
        <w:rPr>
          <w:sz w:val="24"/>
          <w:szCs w:val="24"/>
        </w:rPr>
        <w:t>mometasonfuroat</w:t>
      </w:r>
      <w:proofErr w:type="spellEnd"/>
      <w:r w:rsidRPr="009C00CC">
        <w:rPr>
          <w:sz w:val="24"/>
          <w:szCs w:val="24"/>
        </w:rPr>
        <w:t xml:space="preserve"> (aerosol med CFC-drivgas og </w:t>
      </w:r>
      <w:proofErr w:type="spellStart"/>
      <w:r w:rsidRPr="009C00CC">
        <w:rPr>
          <w:sz w:val="24"/>
          <w:szCs w:val="24"/>
        </w:rPr>
        <w:t>surfaktant</w:t>
      </w:r>
      <w:proofErr w:type="spellEnd"/>
      <w:r w:rsidRPr="009C00CC">
        <w:rPr>
          <w:sz w:val="24"/>
          <w:szCs w:val="24"/>
        </w:rPr>
        <w:t xml:space="preserve">) ved koncentrationer på 0,25 til 2,0 mikrogram/l blev undersøgt i 24-måneders studier af mus og rotter. I disse studier observeredes de typiske </w:t>
      </w:r>
      <w:proofErr w:type="spellStart"/>
      <w:r w:rsidRPr="009C00CC">
        <w:rPr>
          <w:sz w:val="24"/>
          <w:szCs w:val="24"/>
        </w:rPr>
        <w:t>glukokortikoidrelaterede</w:t>
      </w:r>
      <w:proofErr w:type="spellEnd"/>
      <w:r w:rsidRPr="009C00CC">
        <w:rPr>
          <w:sz w:val="24"/>
          <w:szCs w:val="24"/>
        </w:rPr>
        <w:t xml:space="preserve"> virkninger herunder også adskillige ikke-neoplastiske forandringer. For ingen af disse tumorer fandtes der nogen statistisk signifikant dosis-respons sammenhæng.</w:t>
      </w:r>
    </w:p>
    <w:p w:rsidR="000171B5" w:rsidRPr="009C00CC" w:rsidRDefault="000171B5" w:rsidP="000171B5">
      <w:pPr>
        <w:ind w:left="851" w:hanging="851"/>
        <w:rPr>
          <w:sz w:val="24"/>
          <w:szCs w:val="24"/>
        </w:rPr>
      </w:pPr>
    </w:p>
    <w:p w:rsidR="00D150DE" w:rsidRDefault="00D15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6.</w:t>
      </w:r>
      <w:r w:rsidRPr="009C00CC">
        <w:rPr>
          <w:b/>
          <w:sz w:val="24"/>
          <w:szCs w:val="24"/>
        </w:rPr>
        <w:tab/>
        <w:t>FARMACEUTISKE OPLYSNINGER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6.1</w:t>
      </w:r>
      <w:r w:rsidRPr="009C00CC">
        <w:rPr>
          <w:b/>
          <w:sz w:val="24"/>
          <w:szCs w:val="24"/>
        </w:rPr>
        <w:tab/>
        <w:t>Hjælpestoffer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Benzalkoniumchlorid</w:t>
      </w:r>
      <w:proofErr w:type="spellEnd"/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Glycerol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Polysorbat</w:t>
      </w:r>
      <w:proofErr w:type="spellEnd"/>
      <w:r w:rsidRPr="009C00CC">
        <w:rPr>
          <w:sz w:val="24"/>
          <w:szCs w:val="24"/>
        </w:rPr>
        <w:t xml:space="preserve"> 80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Mikrokrystallinsk cellulose og </w:t>
      </w:r>
      <w:proofErr w:type="spellStart"/>
      <w:r w:rsidRPr="009C00CC">
        <w:rPr>
          <w:sz w:val="24"/>
          <w:szCs w:val="24"/>
        </w:rPr>
        <w:t>carmellosenatrium</w:t>
      </w:r>
      <w:proofErr w:type="spellEnd"/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Citronsyremonohydrat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Natriumcitrat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Renset vand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6.2</w:t>
      </w:r>
      <w:r w:rsidRPr="009C00CC">
        <w:rPr>
          <w:b/>
          <w:sz w:val="24"/>
          <w:szCs w:val="24"/>
        </w:rPr>
        <w:tab/>
        <w:t>Uforligeligheder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Ikke relevant.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6.3</w:t>
      </w:r>
      <w:r w:rsidRPr="009C00CC">
        <w:rPr>
          <w:b/>
          <w:sz w:val="24"/>
          <w:szCs w:val="24"/>
        </w:rPr>
        <w:tab/>
        <w:t>Opbevaringstid</w:t>
      </w:r>
    </w:p>
    <w:p w:rsidR="000171B5" w:rsidRPr="009C00CC" w:rsidRDefault="000171B5" w:rsidP="000171B5">
      <w:pPr>
        <w:ind w:left="851"/>
        <w:rPr>
          <w:bCs/>
          <w:sz w:val="24"/>
          <w:szCs w:val="24"/>
        </w:rPr>
      </w:pPr>
      <w:r w:rsidRPr="009C00CC">
        <w:rPr>
          <w:bCs/>
          <w:sz w:val="24"/>
          <w:szCs w:val="24"/>
        </w:rPr>
        <w:t>2 år.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Efter første åbning: 2 måneder.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6.4</w:t>
      </w:r>
      <w:r w:rsidRPr="009C00CC">
        <w:rPr>
          <w:b/>
          <w:sz w:val="24"/>
          <w:szCs w:val="24"/>
        </w:rPr>
        <w:tab/>
        <w:t>Særlige opbevaringsforhold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  <w:t>Må ikke opbevares ved temperaturer over 25 °C.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Hvid, high-</w:t>
      </w:r>
      <w:proofErr w:type="spellStart"/>
      <w:r w:rsidRPr="009C00CC">
        <w:rPr>
          <w:sz w:val="24"/>
          <w:szCs w:val="24"/>
        </w:rPr>
        <w:t>density</w:t>
      </w:r>
      <w:proofErr w:type="spellEnd"/>
      <w:r w:rsidRPr="009C00CC">
        <w:rPr>
          <w:sz w:val="24"/>
          <w:szCs w:val="24"/>
        </w:rPr>
        <w:t xml:space="preserve"> </w:t>
      </w:r>
      <w:proofErr w:type="spellStart"/>
      <w:r w:rsidRPr="009C00CC">
        <w:rPr>
          <w:sz w:val="24"/>
          <w:szCs w:val="24"/>
        </w:rPr>
        <w:t>polyethylenflaske</w:t>
      </w:r>
      <w:proofErr w:type="spellEnd"/>
      <w:r w:rsidRPr="009C00CC">
        <w:rPr>
          <w:sz w:val="24"/>
          <w:szCs w:val="24"/>
        </w:rPr>
        <w:t>, der indeholder 60 pust (10 g), 120 pust (16 g) eller 140 pust (18 g) af præparatet og som er forsynet med doseringspumpe med påsat nasal applikator med hætte.</w:t>
      </w:r>
    </w:p>
    <w:p w:rsidR="000171B5" w:rsidRPr="009C00CC" w:rsidRDefault="000171B5" w:rsidP="000171B5">
      <w:pPr>
        <w:ind w:left="851" w:hanging="851"/>
        <w:rPr>
          <w:sz w:val="24"/>
          <w:szCs w:val="24"/>
          <w:highlight w:val="yellow"/>
        </w:rPr>
      </w:pP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Pakningsstørrelser: 1 flaske med 10 g, 16 g eller 18 g.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Ikke alle pakningsstørrelser er nødvendigvis markedsført.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0171B5" w:rsidRPr="009C00CC" w:rsidRDefault="000171B5" w:rsidP="000171B5">
      <w:pPr>
        <w:ind w:left="851"/>
        <w:rPr>
          <w:spacing w:val="-3"/>
          <w:sz w:val="24"/>
          <w:szCs w:val="24"/>
        </w:rPr>
      </w:pPr>
      <w:r w:rsidRPr="009C00CC">
        <w:rPr>
          <w:spacing w:val="-3"/>
          <w:sz w:val="24"/>
          <w:szCs w:val="24"/>
        </w:rPr>
        <w:t>Ikke anvendt lægemiddel samt affald heraf skal bortskaffes i henhold til lokale retningslinjer.</w:t>
      </w:r>
    </w:p>
    <w:p w:rsidR="000171B5" w:rsidRPr="009C00CC" w:rsidRDefault="000171B5" w:rsidP="000171B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7.</w:t>
      </w:r>
      <w:r w:rsidRPr="009C00CC">
        <w:rPr>
          <w:b/>
          <w:sz w:val="24"/>
          <w:szCs w:val="24"/>
        </w:rPr>
        <w:tab/>
        <w:t>INDEHAVER AF MARKEDSFØRINGSTILLADELSEN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proofErr w:type="spellStart"/>
      <w:r w:rsidRPr="009C00CC">
        <w:rPr>
          <w:sz w:val="24"/>
          <w:szCs w:val="24"/>
        </w:rPr>
        <w:t>Zentiva</w:t>
      </w:r>
      <w:proofErr w:type="spellEnd"/>
      <w:r w:rsidRPr="009C00CC">
        <w:rPr>
          <w:sz w:val="24"/>
          <w:szCs w:val="24"/>
        </w:rPr>
        <w:t xml:space="preserve">, </w:t>
      </w:r>
      <w:proofErr w:type="spellStart"/>
      <w:r w:rsidRPr="009C00CC">
        <w:rPr>
          <w:sz w:val="24"/>
          <w:szCs w:val="24"/>
        </w:rPr>
        <w:t>k.s</w:t>
      </w:r>
      <w:proofErr w:type="spellEnd"/>
      <w:r w:rsidRPr="009C00CC">
        <w:rPr>
          <w:sz w:val="24"/>
          <w:szCs w:val="24"/>
        </w:rPr>
        <w:t>.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 xml:space="preserve">U </w:t>
      </w:r>
      <w:proofErr w:type="spellStart"/>
      <w:r w:rsidRPr="009C00CC">
        <w:rPr>
          <w:sz w:val="24"/>
          <w:szCs w:val="24"/>
        </w:rPr>
        <w:t>Kabelovny</w:t>
      </w:r>
      <w:proofErr w:type="spellEnd"/>
      <w:r w:rsidRPr="009C00CC">
        <w:rPr>
          <w:sz w:val="24"/>
          <w:szCs w:val="24"/>
        </w:rPr>
        <w:t xml:space="preserve"> 130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102 37 Prag</w:t>
      </w:r>
    </w:p>
    <w:p w:rsidR="000171B5" w:rsidRPr="009C00CC" w:rsidRDefault="000171B5" w:rsidP="000171B5">
      <w:pPr>
        <w:ind w:left="851"/>
        <w:rPr>
          <w:sz w:val="24"/>
          <w:szCs w:val="24"/>
        </w:rPr>
      </w:pPr>
      <w:r w:rsidRPr="009C00CC">
        <w:rPr>
          <w:sz w:val="24"/>
          <w:szCs w:val="24"/>
        </w:rPr>
        <w:t>Tjekkiet</w:t>
      </w:r>
    </w:p>
    <w:p w:rsidR="00897F34" w:rsidRPr="009C00CC" w:rsidRDefault="00897F34" w:rsidP="000171B5">
      <w:pPr>
        <w:ind w:left="851"/>
        <w:rPr>
          <w:sz w:val="24"/>
          <w:szCs w:val="24"/>
        </w:rPr>
      </w:pPr>
    </w:p>
    <w:p w:rsidR="00897F34" w:rsidRPr="009C00CC" w:rsidRDefault="00897F34" w:rsidP="000171B5">
      <w:pPr>
        <w:ind w:left="851"/>
        <w:rPr>
          <w:sz w:val="24"/>
          <w:szCs w:val="24"/>
        </w:rPr>
      </w:pPr>
      <w:r w:rsidRPr="009C00CC">
        <w:rPr>
          <w:b/>
          <w:sz w:val="24"/>
          <w:szCs w:val="24"/>
        </w:rPr>
        <w:t>Repræsentant</w:t>
      </w:r>
    </w:p>
    <w:p w:rsidR="00897F34" w:rsidRPr="009C00CC" w:rsidRDefault="00897F34" w:rsidP="00897F34">
      <w:pPr>
        <w:pStyle w:val="Brdtekst"/>
        <w:ind w:left="851"/>
        <w:rPr>
          <w:bCs/>
          <w:sz w:val="24"/>
          <w:szCs w:val="24"/>
          <w:lang w:val="da-DK"/>
        </w:rPr>
      </w:pPr>
      <w:proofErr w:type="spellStart"/>
      <w:r w:rsidRPr="009C00CC">
        <w:rPr>
          <w:bCs/>
          <w:sz w:val="24"/>
          <w:szCs w:val="24"/>
          <w:lang w:val="da-DK"/>
        </w:rPr>
        <w:t>Zentiva</w:t>
      </w:r>
      <w:proofErr w:type="spellEnd"/>
      <w:r w:rsidRPr="009C00CC">
        <w:rPr>
          <w:bCs/>
          <w:sz w:val="24"/>
          <w:szCs w:val="24"/>
          <w:lang w:val="da-DK"/>
        </w:rPr>
        <w:t xml:space="preserve"> Denmark ApS</w:t>
      </w:r>
    </w:p>
    <w:p w:rsidR="00897F34" w:rsidRPr="009C00CC" w:rsidRDefault="00897F34" w:rsidP="00897F34">
      <w:pPr>
        <w:pStyle w:val="Brdtekst"/>
        <w:ind w:left="851"/>
        <w:rPr>
          <w:bCs/>
          <w:sz w:val="24"/>
          <w:szCs w:val="24"/>
          <w:lang w:val="da-DK"/>
        </w:rPr>
      </w:pPr>
      <w:proofErr w:type="spellStart"/>
      <w:r w:rsidRPr="009C00CC">
        <w:rPr>
          <w:bCs/>
          <w:sz w:val="24"/>
          <w:szCs w:val="24"/>
          <w:lang w:val="da-DK"/>
        </w:rPr>
        <w:t>Høffingsvej</w:t>
      </w:r>
      <w:proofErr w:type="spellEnd"/>
      <w:r w:rsidRPr="009C00CC">
        <w:rPr>
          <w:bCs/>
          <w:sz w:val="24"/>
          <w:szCs w:val="24"/>
          <w:lang w:val="da-DK"/>
        </w:rPr>
        <w:t xml:space="preserve"> 34</w:t>
      </w:r>
    </w:p>
    <w:p w:rsidR="00897F34" w:rsidRPr="009C00CC" w:rsidRDefault="00897F34" w:rsidP="00897F34">
      <w:pPr>
        <w:ind w:left="851"/>
        <w:rPr>
          <w:sz w:val="24"/>
          <w:szCs w:val="24"/>
        </w:rPr>
      </w:pPr>
      <w:r w:rsidRPr="009C00CC">
        <w:rPr>
          <w:bCs/>
          <w:sz w:val="24"/>
          <w:szCs w:val="24"/>
        </w:rPr>
        <w:t>2500 Valby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0A72" w:rsidRPr="00C84483" w:rsidRDefault="00EC0A72" w:rsidP="00EC0A7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  <w:t>50806</w:t>
      </w:r>
    </w:p>
    <w:p w:rsidR="000171B5" w:rsidRPr="009C00CC" w:rsidRDefault="000171B5" w:rsidP="000171B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9.</w:t>
      </w:r>
      <w:r w:rsidRPr="009C00CC">
        <w:rPr>
          <w:b/>
          <w:sz w:val="24"/>
          <w:szCs w:val="24"/>
        </w:rPr>
        <w:tab/>
        <w:t>DATO FOR FØRSTE MARKEDSFØRINGSTILLADELSE</w:t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  <w:r w:rsidRPr="009C00CC">
        <w:rPr>
          <w:sz w:val="24"/>
          <w:szCs w:val="24"/>
        </w:rPr>
        <w:tab/>
        <w:t>29. januar 2014</w:t>
      </w:r>
    </w:p>
    <w:p w:rsidR="00D150DE" w:rsidRDefault="00D150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71B5" w:rsidRPr="009C00CC" w:rsidRDefault="000171B5" w:rsidP="000171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171B5" w:rsidRPr="009C00CC" w:rsidRDefault="000171B5" w:rsidP="000171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C00CC">
        <w:rPr>
          <w:b/>
          <w:sz w:val="24"/>
          <w:szCs w:val="24"/>
        </w:rPr>
        <w:t>10.</w:t>
      </w:r>
      <w:r w:rsidRPr="009C00CC">
        <w:rPr>
          <w:b/>
          <w:sz w:val="24"/>
          <w:szCs w:val="24"/>
        </w:rPr>
        <w:tab/>
        <w:t>DATO FOR ÆNDRING AF TEKSTEN</w:t>
      </w:r>
    </w:p>
    <w:p w:rsidR="009260DE" w:rsidRPr="009C00CC" w:rsidRDefault="000171B5" w:rsidP="009C00CC">
      <w:pPr>
        <w:tabs>
          <w:tab w:val="left" w:pos="851"/>
        </w:tabs>
        <w:ind w:left="851" w:hanging="851"/>
      </w:pPr>
      <w:r w:rsidRPr="009C00CC">
        <w:rPr>
          <w:sz w:val="24"/>
          <w:szCs w:val="24"/>
        </w:rPr>
        <w:tab/>
      </w:r>
      <w:r w:rsidR="009C00CC">
        <w:rPr>
          <w:sz w:val="24"/>
          <w:szCs w:val="24"/>
        </w:rPr>
        <w:t>19. oktober 2023</w:t>
      </w:r>
    </w:p>
    <w:sectPr w:rsidR="009260DE" w:rsidRPr="009C00CC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1B5" w:rsidRDefault="000171B5">
      <w:r>
        <w:separator/>
      </w:r>
    </w:p>
  </w:endnote>
  <w:endnote w:type="continuationSeparator" w:id="0">
    <w:p w:rsidR="000171B5" w:rsidRDefault="000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897F34" w:rsidRDefault="00897F34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897F34">
      <w:rPr>
        <w:i/>
        <w:sz w:val="18"/>
        <w:szCs w:val="18"/>
        <w:lang w:val="en-US"/>
      </w:rPr>
      <w:t>Mometasonfuroat Zentiva, næsespray, suspension 50 mikrogram-dosis</w:t>
    </w:r>
    <w:r w:rsidR="000259B9" w:rsidRPr="00897F34">
      <w:rPr>
        <w:i/>
        <w:sz w:val="18"/>
        <w:szCs w:val="18"/>
        <w:lang w:val="en-US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897F34">
      <w:rPr>
        <w:rStyle w:val="Sidetal"/>
        <w:i/>
        <w:sz w:val="18"/>
        <w:szCs w:val="18"/>
        <w:lang w:val="en-US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 w:rsidRPr="00897F34">
      <w:rPr>
        <w:rStyle w:val="Sidetal"/>
        <w:i/>
        <w:noProof/>
        <w:sz w:val="18"/>
        <w:szCs w:val="18"/>
        <w:lang w:val="en-US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897F34">
      <w:rPr>
        <w:rStyle w:val="Sidetal"/>
        <w:i/>
        <w:sz w:val="18"/>
        <w:szCs w:val="18"/>
        <w:lang w:val="en-US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897F34">
      <w:rPr>
        <w:rStyle w:val="Sidetal"/>
        <w:i/>
        <w:sz w:val="18"/>
        <w:szCs w:val="18"/>
        <w:lang w:val="en-US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 w:rsidRPr="00897F34">
      <w:rPr>
        <w:rStyle w:val="Sidetal"/>
        <w:i/>
        <w:noProof/>
        <w:sz w:val="18"/>
        <w:szCs w:val="18"/>
        <w:lang w:val="en-US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1B5" w:rsidRDefault="000171B5">
      <w:r>
        <w:separator/>
      </w:r>
    </w:p>
  </w:footnote>
  <w:footnote w:type="continuationSeparator" w:id="0">
    <w:p w:rsidR="000171B5" w:rsidRDefault="0001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B5"/>
    <w:rsid w:val="000171B5"/>
    <w:rsid w:val="000259B9"/>
    <w:rsid w:val="00041491"/>
    <w:rsid w:val="00050D16"/>
    <w:rsid w:val="00074F2A"/>
    <w:rsid w:val="000850C3"/>
    <w:rsid w:val="000A1CA8"/>
    <w:rsid w:val="000A466B"/>
    <w:rsid w:val="000B058C"/>
    <w:rsid w:val="000E4EE6"/>
    <w:rsid w:val="001454E2"/>
    <w:rsid w:val="001E636F"/>
    <w:rsid w:val="00206CE8"/>
    <w:rsid w:val="0021526C"/>
    <w:rsid w:val="00260897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60A95"/>
    <w:rsid w:val="006756DD"/>
    <w:rsid w:val="00737275"/>
    <w:rsid w:val="00740EEC"/>
    <w:rsid w:val="0078011A"/>
    <w:rsid w:val="00782AF4"/>
    <w:rsid w:val="00790EE7"/>
    <w:rsid w:val="007B6649"/>
    <w:rsid w:val="007F10DA"/>
    <w:rsid w:val="0081546F"/>
    <w:rsid w:val="0082576E"/>
    <w:rsid w:val="00897F34"/>
    <w:rsid w:val="008B2165"/>
    <w:rsid w:val="00907F75"/>
    <w:rsid w:val="009260DE"/>
    <w:rsid w:val="0093258A"/>
    <w:rsid w:val="009C00CC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150DE"/>
    <w:rsid w:val="00D366CF"/>
    <w:rsid w:val="00E108AA"/>
    <w:rsid w:val="00E31812"/>
    <w:rsid w:val="00E3749A"/>
    <w:rsid w:val="00E7437F"/>
    <w:rsid w:val="00E865B8"/>
    <w:rsid w:val="00EC0A72"/>
    <w:rsid w:val="00EC0B9B"/>
    <w:rsid w:val="00ED5E9F"/>
    <w:rsid w:val="00F66D4F"/>
    <w:rsid w:val="00FB6D01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DC907"/>
  <w15:chartTrackingRefBased/>
  <w15:docId w15:val="{97FA2FA7-3F5F-4576-BFA0-B04F6FD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0171B5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897F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7F34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897F34"/>
    <w:pPr>
      <w:widowControl w:val="0"/>
      <w:autoSpaceDE w:val="0"/>
      <w:autoSpaceDN w:val="0"/>
    </w:pPr>
    <w:rPr>
      <w:sz w:val="21"/>
      <w:szCs w:val="21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97F34"/>
    <w:rPr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D09-DC24-448D-A705-14C2E04A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10</TotalTime>
  <Pages>9</Pages>
  <Words>2133</Words>
  <Characters>14657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2021093173, var. 14, pkt. 4.1, 4.2, 4.4, 4.8, 5.1</dc:description>
  <cp:lastModifiedBy>Gitte Jørgensen</cp:lastModifiedBy>
  <cp:revision>9</cp:revision>
  <cp:lastPrinted>2012-08-22T08:53:00Z</cp:lastPrinted>
  <dcterms:created xsi:type="dcterms:W3CDTF">2023-10-19T10:53:00Z</dcterms:created>
  <dcterms:modified xsi:type="dcterms:W3CDTF">2023-10-19T11:06:00Z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