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481" w:rsidRPr="00113FDB" w:rsidRDefault="00227481" w:rsidP="00227481">
      <w:pPr>
        <w:rPr>
          <w:sz w:val="24"/>
          <w:szCs w:val="24"/>
          <w:lang w:eastAsia="da-DK"/>
        </w:rPr>
      </w:pPr>
      <w:bookmarkStart w:id="0" w:name="_GoBack"/>
      <w:bookmarkEnd w:id="0"/>
      <w:r w:rsidRPr="00113FDB">
        <w:rPr>
          <w:noProof/>
          <w:sz w:val="24"/>
          <w:szCs w:val="24"/>
        </w:rPr>
        <w:drawing>
          <wp:inline distT="0" distB="0" distL="0" distR="0">
            <wp:extent cx="2428875" cy="687705"/>
            <wp:effectExtent l="0" t="0" r="9525" b="0"/>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7705"/>
                    </a:xfrm>
                    <a:prstGeom prst="rect">
                      <a:avLst/>
                    </a:prstGeom>
                    <a:noFill/>
                    <a:ln>
                      <a:noFill/>
                    </a:ln>
                  </pic:spPr>
                </pic:pic>
              </a:graphicData>
            </a:graphic>
          </wp:inline>
        </w:drawing>
      </w:r>
    </w:p>
    <w:p w:rsidR="0052186C" w:rsidRPr="00113FDB" w:rsidRDefault="0052186C" w:rsidP="0052186C">
      <w:pPr>
        <w:rPr>
          <w:sz w:val="24"/>
          <w:szCs w:val="24"/>
        </w:rPr>
      </w:pPr>
    </w:p>
    <w:p w:rsidR="0052186C" w:rsidRPr="00113FDB" w:rsidRDefault="00672BAE" w:rsidP="0052186C">
      <w:pPr>
        <w:jc w:val="right"/>
        <w:rPr>
          <w:b/>
          <w:sz w:val="24"/>
          <w:szCs w:val="24"/>
        </w:rPr>
      </w:pPr>
      <w:r w:rsidRPr="00113FDB">
        <w:rPr>
          <w:b/>
          <w:sz w:val="24"/>
          <w:szCs w:val="24"/>
        </w:rPr>
        <w:t xml:space="preserve">10 </w:t>
      </w:r>
      <w:proofErr w:type="gramStart"/>
      <w:r w:rsidRPr="00113FDB">
        <w:rPr>
          <w:b/>
          <w:sz w:val="24"/>
          <w:szCs w:val="24"/>
        </w:rPr>
        <w:t>November</w:t>
      </w:r>
      <w:proofErr w:type="gramEnd"/>
      <w:r w:rsidRPr="00113FDB">
        <w:rPr>
          <w:b/>
          <w:sz w:val="24"/>
          <w:szCs w:val="24"/>
        </w:rPr>
        <w:t xml:space="preserve"> 2023</w:t>
      </w:r>
    </w:p>
    <w:p w:rsidR="00CE2498" w:rsidRPr="00113FDB" w:rsidRDefault="00CE2498" w:rsidP="0052186C">
      <w:pPr>
        <w:rPr>
          <w:sz w:val="24"/>
          <w:szCs w:val="24"/>
        </w:rPr>
      </w:pPr>
    </w:p>
    <w:p w:rsidR="0052186C" w:rsidRPr="00113FDB" w:rsidRDefault="0052186C" w:rsidP="0052186C">
      <w:pPr>
        <w:rPr>
          <w:sz w:val="24"/>
          <w:szCs w:val="24"/>
        </w:rPr>
      </w:pPr>
    </w:p>
    <w:p w:rsidR="00227481" w:rsidRPr="00113FDB" w:rsidRDefault="00227481" w:rsidP="0052186C">
      <w:pPr>
        <w:rPr>
          <w:sz w:val="24"/>
          <w:szCs w:val="24"/>
        </w:rPr>
      </w:pPr>
    </w:p>
    <w:p w:rsidR="0052186C" w:rsidRPr="00113FDB" w:rsidRDefault="0052186C" w:rsidP="0052186C">
      <w:pPr>
        <w:jc w:val="center"/>
        <w:rPr>
          <w:b/>
          <w:sz w:val="24"/>
          <w:szCs w:val="24"/>
          <w:lang w:val="en-GB"/>
        </w:rPr>
      </w:pPr>
      <w:r w:rsidRPr="00113FDB">
        <w:rPr>
          <w:b/>
          <w:sz w:val="24"/>
          <w:szCs w:val="24"/>
          <w:lang w:val="en-GB"/>
        </w:rPr>
        <w:t>SUMMARY OF PRODUCT CHARACTERISTICS</w:t>
      </w:r>
    </w:p>
    <w:p w:rsidR="0052186C" w:rsidRPr="00113FDB" w:rsidRDefault="0052186C" w:rsidP="0052186C">
      <w:pPr>
        <w:jc w:val="center"/>
        <w:rPr>
          <w:sz w:val="24"/>
          <w:szCs w:val="24"/>
          <w:lang w:val="en-GB"/>
        </w:rPr>
      </w:pPr>
    </w:p>
    <w:p w:rsidR="0052186C" w:rsidRPr="00113FDB" w:rsidRDefault="0052186C" w:rsidP="0052186C">
      <w:pPr>
        <w:jc w:val="center"/>
        <w:rPr>
          <w:b/>
          <w:sz w:val="24"/>
          <w:szCs w:val="24"/>
          <w:lang w:val="en-GB"/>
        </w:rPr>
      </w:pPr>
      <w:r w:rsidRPr="00113FDB">
        <w:rPr>
          <w:b/>
          <w:sz w:val="24"/>
          <w:szCs w:val="24"/>
          <w:lang w:val="en-GB"/>
        </w:rPr>
        <w:t>for</w:t>
      </w:r>
    </w:p>
    <w:p w:rsidR="0052186C" w:rsidRPr="00113FDB" w:rsidRDefault="0052186C" w:rsidP="0052186C">
      <w:pPr>
        <w:jc w:val="center"/>
        <w:rPr>
          <w:sz w:val="24"/>
          <w:szCs w:val="24"/>
          <w:lang w:val="en-GB"/>
        </w:rPr>
      </w:pPr>
    </w:p>
    <w:p w:rsidR="0052186C" w:rsidRPr="00113FDB" w:rsidRDefault="0052186C" w:rsidP="0052186C">
      <w:pPr>
        <w:jc w:val="center"/>
        <w:rPr>
          <w:b/>
          <w:sz w:val="24"/>
          <w:szCs w:val="24"/>
          <w:lang w:val="en-US"/>
        </w:rPr>
      </w:pPr>
      <w:r w:rsidRPr="00113FDB">
        <w:rPr>
          <w:b/>
          <w:sz w:val="24"/>
          <w:szCs w:val="24"/>
          <w:lang w:val="en-US"/>
        </w:rPr>
        <w:t>Moniyot-131 Oral Solution, oral solution</w:t>
      </w:r>
    </w:p>
    <w:p w:rsidR="0052186C" w:rsidRPr="00113FDB" w:rsidRDefault="0052186C" w:rsidP="0052186C">
      <w:pPr>
        <w:jc w:val="both"/>
        <w:rPr>
          <w:sz w:val="24"/>
          <w:szCs w:val="24"/>
          <w:lang w:val="en-US"/>
        </w:rPr>
      </w:pPr>
    </w:p>
    <w:p w:rsidR="0052186C" w:rsidRPr="00113FDB" w:rsidRDefault="0052186C" w:rsidP="0052186C">
      <w:pPr>
        <w:tabs>
          <w:tab w:val="left" w:pos="851"/>
        </w:tabs>
        <w:ind w:left="851" w:hanging="851"/>
        <w:jc w:val="both"/>
        <w:rPr>
          <w:sz w:val="24"/>
          <w:szCs w:val="24"/>
          <w:lang w:val="en-US"/>
        </w:rPr>
      </w:pPr>
    </w:p>
    <w:p w:rsidR="00227481" w:rsidRPr="00113FDB" w:rsidRDefault="00227481" w:rsidP="00227481">
      <w:pPr>
        <w:tabs>
          <w:tab w:val="left" w:pos="851"/>
        </w:tabs>
        <w:ind w:left="851" w:hanging="851"/>
        <w:rPr>
          <w:sz w:val="24"/>
          <w:szCs w:val="24"/>
          <w:lang w:val="en-US" w:eastAsia="da-DK"/>
        </w:rPr>
      </w:pPr>
      <w:r w:rsidRPr="00113FDB">
        <w:rPr>
          <w:b/>
          <w:sz w:val="24"/>
          <w:szCs w:val="24"/>
          <w:lang w:val="en-US"/>
        </w:rPr>
        <w:t>1.</w:t>
      </w:r>
      <w:r w:rsidRPr="00113FDB">
        <w:rPr>
          <w:b/>
          <w:sz w:val="24"/>
          <w:szCs w:val="24"/>
          <w:lang w:val="en-US"/>
        </w:rPr>
        <w:tab/>
        <w:t>NAME OF THE MEDICINAL PRODUCT</w:t>
      </w:r>
    </w:p>
    <w:p w:rsidR="0052186C" w:rsidRPr="00113FDB" w:rsidRDefault="0052186C" w:rsidP="0052186C">
      <w:pPr>
        <w:tabs>
          <w:tab w:val="left" w:pos="851"/>
        </w:tabs>
        <w:ind w:left="851" w:hanging="851"/>
        <w:rPr>
          <w:sz w:val="24"/>
          <w:szCs w:val="24"/>
          <w:lang w:val="en-US"/>
        </w:rPr>
      </w:pPr>
      <w:r w:rsidRPr="00113FDB">
        <w:rPr>
          <w:sz w:val="24"/>
          <w:szCs w:val="24"/>
          <w:lang w:val="en-US"/>
        </w:rPr>
        <w:tab/>
        <w:t>Moniyot-131 Oral Solution</w:t>
      </w:r>
    </w:p>
    <w:p w:rsidR="0052186C" w:rsidRPr="00113FDB" w:rsidRDefault="0052186C" w:rsidP="0052186C">
      <w:pPr>
        <w:tabs>
          <w:tab w:val="left" w:pos="851"/>
        </w:tabs>
        <w:ind w:left="851" w:hanging="851"/>
        <w:rPr>
          <w:sz w:val="24"/>
          <w:szCs w:val="24"/>
          <w:lang w:val="en-US"/>
        </w:rPr>
      </w:pPr>
      <w:r w:rsidRPr="00113FDB">
        <w:rPr>
          <w:sz w:val="24"/>
          <w:szCs w:val="24"/>
          <w:lang w:val="en-US"/>
        </w:rPr>
        <w:tab/>
      </w:r>
    </w:p>
    <w:p w:rsidR="00227481" w:rsidRPr="00113FDB" w:rsidRDefault="00227481" w:rsidP="00227481">
      <w:pPr>
        <w:ind w:left="851" w:hanging="851"/>
        <w:rPr>
          <w:b/>
          <w:sz w:val="24"/>
          <w:szCs w:val="24"/>
          <w:lang w:val="en-US" w:eastAsia="da-DK"/>
        </w:rPr>
      </w:pPr>
      <w:r w:rsidRPr="00113FDB">
        <w:rPr>
          <w:b/>
          <w:sz w:val="24"/>
          <w:szCs w:val="24"/>
          <w:lang w:val="en-US"/>
        </w:rPr>
        <w:t>2.</w:t>
      </w:r>
      <w:r w:rsidRPr="00113FDB">
        <w:rPr>
          <w:b/>
          <w:sz w:val="24"/>
          <w:szCs w:val="24"/>
          <w:lang w:val="en-US"/>
        </w:rPr>
        <w:tab/>
        <w:t>QUALITATIVE AND QUANTITATIVE COMPOSITION</w:t>
      </w:r>
    </w:p>
    <w:p w:rsidR="006156F6" w:rsidRPr="00113FDB" w:rsidRDefault="006156F6" w:rsidP="00672BAE">
      <w:pPr>
        <w:ind w:left="851"/>
        <w:rPr>
          <w:sz w:val="24"/>
          <w:szCs w:val="24"/>
          <w:lang w:val="en-GB"/>
        </w:rPr>
      </w:pPr>
      <w:r w:rsidRPr="00113FDB">
        <w:rPr>
          <w:sz w:val="24"/>
          <w:szCs w:val="24"/>
          <w:lang w:val="en-GB"/>
        </w:rPr>
        <w:t xml:space="preserve">One mL oral solution contains 14.8-3700 </w:t>
      </w:r>
      <w:proofErr w:type="spellStart"/>
      <w:r w:rsidRPr="00113FDB">
        <w:rPr>
          <w:sz w:val="24"/>
          <w:szCs w:val="24"/>
          <w:lang w:val="en-GB"/>
        </w:rPr>
        <w:t>MBq</w:t>
      </w:r>
      <w:proofErr w:type="spellEnd"/>
      <w:r w:rsidRPr="00113FDB">
        <w:rPr>
          <w:sz w:val="24"/>
          <w:szCs w:val="24"/>
          <w:lang w:val="en-GB"/>
        </w:rPr>
        <w:t xml:space="preserve"> sodium iodide (</w:t>
      </w:r>
      <w:r w:rsidRPr="00113FDB">
        <w:rPr>
          <w:sz w:val="24"/>
          <w:szCs w:val="24"/>
          <w:vertAlign w:val="superscript"/>
          <w:lang w:val="en-GB"/>
        </w:rPr>
        <w:t>131</w:t>
      </w:r>
      <w:r w:rsidRPr="00113FDB">
        <w:rPr>
          <w:sz w:val="24"/>
          <w:szCs w:val="24"/>
          <w:lang w:val="en-GB"/>
        </w:rPr>
        <w:t>I) at time of calibration.</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sz w:val="24"/>
          <w:szCs w:val="24"/>
          <w:lang w:val="en-GB"/>
        </w:rPr>
        <w:t>Iodine-131 is produced by fission of uranium-235 or by neutron bombardment of stable tellurium in a nuclear reactor. Iodine-131 has a half-life of 8.02 days. It decays by emission of gamma radiations of 365 keV (81,7%), 637 keV (7.2%) and 284 keV (6.1%) and beta radiations of maximal energy of 606 keV to stable Xenon-131.</w:t>
      </w:r>
    </w:p>
    <w:p w:rsidR="006156F6" w:rsidRPr="00113FDB" w:rsidRDefault="006156F6" w:rsidP="00672BAE">
      <w:pPr>
        <w:ind w:left="851"/>
        <w:rPr>
          <w:sz w:val="24"/>
          <w:szCs w:val="24"/>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u w:val="single"/>
          <w:lang w:val="en-GB"/>
        </w:rPr>
        <w:t>Excipients with known effect</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One mL oral solution contains 5.7 mg sodium.</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For the full list of excipients, see section 6.1.</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ind w:left="851" w:hanging="851"/>
        <w:rPr>
          <w:b/>
          <w:sz w:val="24"/>
          <w:szCs w:val="24"/>
          <w:lang w:val="en-US" w:eastAsia="da-DK"/>
        </w:rPr>
      </w:pPr>
      <w:r w:rsidRPr="00113FDB">
        <w:rPr>
          <w:b/>
          <w:sz w:val="24"/>
          <w:szCs w:val="24"/>
          <w:lang w:val="en-US"/>
        </w:rPr>
        <w:t>3.</w:t>
      </w:r>
      <w:r w:rsidRPr="00113FDB">
        <w:rPr>
          <w:b/>
          <w:sz w:val="24"/>
          <w:szCs w:val="24"/>
          <w:lang w:val="en-US"/>
        </w:rPr>
        <w:tab/>
        <w:t>PHARMACEUTICAL FORM</w:t>
      </w:r>
    </w:p>
    <w:p w:rsidR="0052186C" w:rsidRPr="00113FDB" w:rsidRDefault="0052186C" w:rsidP="0052186C">
      <w:pPr>
        <w:ind w:left="851" w:hanging="851"/>
        <w:rPr>
          <w:sz w:val="24"/>
          <w:szCs w:val="24"/>
          <w:lang w:val="en-US"/>
        </w:rPr>
      </w:pPr>
      <w:r w:rsidRPr="00113FDB">
        <w:rPr>
          <w:sz w:val="24"/>
          <w:szCs w:val="24"/>
          <w:lang w:val="en-US"/>
        </w:rPr>
        <w:tab/>
        <w:t>Oral solution for therapeutic use.</w:t>
      </w:r>
    </w:p>
    <w:p w:rsidR="0052186C" w:rsidRPr="00113FDB" w:rsidRDefault="0052186C" w:rsidP="0052186C">
      <w:pPr>
        <w:ind w:left="851"/>
        <w:rPr>
          <w:sz w:val="24"/>
          <w:szCs w:val="24"/>
          <w:lang w:val="en-US"/>
        </w:rPr>
      </w:pPr>
      <w:r w:rsidRPr="00113FDB">
        <w:rPr>
          <w:sz w:val="24"/>
          <w:szCs w:val="24"/>
          <w:lang w:val="en-US"/>
        </w:rPr>
        <w:t xml:space="preserve">Clear </w:t>
      </w:r>
      <w:proofErr w:type="spellStart"/>
      <w:r w:rsidRPr="00113FDB">
        <w:rPr>
          <w:sz w:val="24"/>
          <w:szCs w:val="24"/>
          <w:lang w:val="en-US"/>
        </w:rPr>
        <w:t>colourless</w:t>
      </w:r>
      <w:proofErr w:type="spellEnd"/>
      <w:r w:rsidRPr="00113FDB">
        <w:rPr>
          <w:sz w:val="24"/>
          <w:szCs w:val="24"/>
          <w:lang w:val="en-US"/>
        </w:rPr>
        <w:t xml:space="preserve"> solution.</w:t>
      </w:r>
    </w:p>
    <w:p w:rsidR="0052186C" w:rsidRPr="00113FDB" w:rsidRDefault="0052186C" w:rsidP="0052186C">
      <w:pPr>
        <w:tabs>
          <w:tab w:val="left" w:pos="851"/>
        </w:tabs>
        <w:ind w:left="851" w:hanging="851"/>
        <w:rPr>
          <w:sz w:val="24"/>
          <w:szCs w:val="24"/>
          <w:lang w:val="en-US"/>
        </w:rPr>
      </w:pPr>
    </w:p>
    <w:p w:rsidR="0052186C" w:rsidRPr="00113FDB" w:rsidRDefault="0052186C" w:rsidP="0052186C">
      <w:pPr>
        <w:tabs>
          <w:tab w:val="left" w:pos="851"/>
        </w:tabs>
        <w:ind w:left="851" w:hanging="851"/>
        <w:rPr>
          <w:sz w:val="24"/>
          <w:szCs w:val="24"/>
          <w:lang w:val="en-US"/>
        </w:rPr>
      </w:pPr>
    </w:p>
    <w:p w:rsidR="00227481" w:rsidRPr="00113FDB" w:rsidRDefault="00227481" w:rsidP="00227481">
      <w:pPr>
        <w:ind w:left="851" w:hanging="851"/>
        <w:rPr>
          <w:b/>
          <w:sz w:val="24"/>
          <w:szCs w:val="24"/>
          <w:lang w:val="en-US" w:eastAsia="da-DK"/>
        </w:rPr>
      </w:pPr>
      <w:r w:rsidRPr="00113FDB">
        <w:rPr>
          <w:b/>
          <w:sz w:val="24"/>
          <w:szCs w:val="24"/>
          <w:lang w:val="en-US"/>
        </w:rPr>
        <w:t>4.</w:t>
      </w:r>
      <w:r w:rsidRPr="00113FDB">
        <w:rPr>
          <w:b/>
          <w:sz w:val="24"/>
          <w:szCs w:val="24"/>
          <w:lang w:val="en-US"/>
        </w:rPr>
        <w:tab/>
        <w:t>CLINICAL PARTICULARS</w:t>
      </w:r>
    </w:p>
    <w:p w:rsidR="00227481" w:rsidRPr="00113FDB" w:rsidRDefault="00227481" w:rsidP="00227481">
      <w:pPr>
        <w:tabs>
          <w:tab w:val="left" w:pos="851"/>
        </w:tabs>
        <w:ind w:left="851"/>
        <w:rPr>
          <w:sz w:val="24"/>
          <w:szCs w:val="24"/>
          <w:lang w:val="en-US"/>
        </w:rPr>
      </w:pPr>
    </w:p>
    <w:p w:rsidR="00227481" w:rsidRPr="00113FDB" w:rsidRDefault="00227481" w:rsidP="00227481">
      <w:pPr>
        <w:ind w:left="851" w:hanging="851"/>
        <w:rPr>
          <w:b/>
          <w:sz w:val="24"/>
          <w:szCs w:val="24"/>
          <w:u w:val="single"/>
          <w:lang w:val="en-US"/>
        </w:rPr>
      </w:pPr>
      <w:r w:rsidRPr="00113FDB">
        <w:rPr>
          <w:b/>
          <w:sz w:val="24"/>
          <w:szCs w:val="24"/>
          <w:lang w:val="en-US"/>
        </w:rPr>
        <w:t>4.1</w:t>
      </w:r>
      <w:r w:rsidRPr="00113FDB">
        <w:rPr>
          <w:b/>
          <w:sz w:val="24"/>
          <w:szCs w:val="24"/>
          <w:lang w:val="en-US"/>
        </w:rPr>
        <w:tab/>
        <w:t>Therapeutic indications</w:t>
      </w:r>
    </w:p>
    <w:p w:rsidR="006156F6" w:rsidRPr="00113FDB" w:rsidRDefault="006156F6" w:rsidP="00672BAE">
      <w:pPr>
        <w:ind w:left="851"/>
        <w:rPr>
          <w:sz w:val="24"/>
          <w:szCs w:val="24"/>
          <w:lang w:val="en-GB"/>
        </w:rPr>
      </w:pPr>
      <w:r w:rsidRPr="00113FDB">
        <w:rPr>
          <w:sz w:val="24"/>
          <w:szCs w:val="24"/>
          <w:lang w:val="en-GB"/>
        </w:rPr>
        <w:t>Radioiodine thyroid therapy is indicated in adults and children for:</w:t>
      </w:r>
    </w:p>
    <w:p w:rsidR="006156F6" w:rsidRPr="00113FDB" w:rsidRDefault="006156F6" w:rsidP="00672BAE">
      <w:pPr>
        <w:pStyle w:val="Default"/>
        <w:numPr>
          <w:ilvl w:val="0"/>
          <w:numId w:val="45"/>
        </w:numPr>
        <w:tabs>
          <w:tab w:val="clear" w:pos="360"/>
        </w:tabs>
        <w:ind w:left="1276" w:hanging="425"/>
        <w:rPr>
          <w:lang w:val="en-GB"/>
        </w:rPr>
      </w:pPr>
      <w:r w:rsidRPr="00113FDB">
        <w:rPr>
          <w:lang w:val="en-GB"/>
        </w:rPr>
        <w:t>Hyperthyroidism: Treatment of Graves’ disease, toxic multinodular goitre or autonomous nodules.</w:t>
      </w:r>
    </w:p>
    <w:p w:rsidR="006156F6" w:rsidRPr="00113FDB" w:rsidRDefault="006156F6" w:rsidP="00672BAE">
      <w:pPr>
        <w:numPr>
          <w:ilvl w:val="0"/>
          <w:numId w:val="45"/>
        </w:numPr>
        <w:tabs>
          <w:tab w:val="clear" w:pos="360"/>
        </w:tabs>
        <w:ind w:left="1276" w:hanging="425"/>
        <w:rPr>
          <w:sz w:val="24"/>
          <w:szCs w:val="24"/>
          <w:lang w:val="en-GB"/>
        </w:rPr>
      </w:pPr>
      <w:r w:rsidRPr="00113FDB">
        <w:rPr>
          <w:sz w:val="24"/>
          <w:szCs w:val="24"/>
          <w:lang w:val="en-GB"/>
        </w:rPr>
        <w:t>Treatment of papillary and follicular thyroid carcinoma including metastatic disease.</w:t>
      </w:r>
    </w:p>
    <w:p w:rsidR="006156F6" w:rsidRPr="00113FDB" w:rsidRDefault="006156F6" w:rsidP="006156F6">
      <w:pPr>
        <w:rPr>
          <w:sz w:val="24"/>
          <w:szCs w:val="24"/>
          <w:lang w:val="en-GB"/>
        </w:rPr>
      </w:pPr>
    </w:p>
    <w:p w:rsidR="006156F6" w:rsidRPr="00113FDB" w:rsidRDefault="006156F6" w:rsidP="00672BAE">
      <w:pPr>
        <w:ind w:left="851"/>
        <w:rPr>
          <w:sz w:val="24"/>
          <w:szCs w:val="24"/>
          <w:lang w:val="en-GB"/>
        </w:rPr>
      </w:pPr>
      <w:r w:rsidRPr="00113FDB">
        <w:rPr>
          <w:sz w:val="24"/>
          <w:szCs w:val="24"/>
          <w:lang w:val="en-GB"/>
        </w:rPr>
        <w:t>Sodium iodide (</w:t>
      </w:r>
      <w:r w:rsidRPr="00113FDB">
        <w:rPr>
          <w:sz w:val="24"/>
          <w:szCs w:val="24"/>
          <w:vertAlign w:val="superscript"/>
          <w:lang w:val="en-GB"/>
        </w:rPr>
        <w:t>131</w:t>
      </w:r>
      <w:r w:rsidRPr="00113FDB">
        <w:rPr>
          <w:sz w:val="24"/>
          <w:szCs w:val="24"/>
          <w:lang w:val="en-GB"/>
        </w:rPr>
        <w:t>I) therapy is often combined with surgical intervention and with antithyroid medicinal products.</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ind w:left="851" w:hanging="851"/>
        <w:rPr>
          <w:sz w:val="24"/>
          <w:szCs w:val="24"/>
          <w:lang w:val="en-US" w:eastAsia="da-DK"/>
        </w:rPr>
      </w:pPr>
      <w:r w:rsidRPr="00113FDB">
        <w:rPr>
          <w:b/>
          <w:sz w:val="24"/>
          <w:szCs w:val="24"/>
          <w:lang w:val="en-US"/>
        </w:rPr>
        <w:t>4.2</w:t>
      </w:r>
      <w:r w:rsidRPr="00113FDB">
        <w:rPr>
          <w:b/>
          <w:sz w:val="24"/>
          <w:szCs w:val="24"/>
          <w:lang w:val="en-US"/>
        </w:rPr>
        <w:tab/>
        <w:t>Posology and method of administration</w:t>
      </w:r>
    </w:p>
    <w:p w:rsidR="006156F6" w:rsidRPr="00113FDB" w:rsidRDefault="006156F6" w:rsidP="00672BAE">
      <w:pPr>
        <w:ind w:left="851"/>
        <w:rPr>
          <w:sz w:val="24"/>
          <w:szCs w:val="24"/>
          <w:lang w:val="en-GB"/>
        </w:rPr>
      </w:pPr>
      <w:r w:rsidRPr="00113FDB">
        <w:rPr>
          <w:sz w:val="24"/>
          <w:szCs w:val="24"/>
          <w:lang w:val="en-GB"/>
        </w:rPr>
        <w:t>This medicinal product should be administered only by authorised healthcare professionals in designated clinical settings (see section 6.6).</w:t>
      </w:r>
    </w:p>
    <w:p w:rsidR="006156F6" w:rsidRPr="00113FDB" w:rsidRDefault="006156F6" w:rsidP="00672BAE">
      <w:pPr>
        <w:ind w:left="851"/>
        <w:rPr>
          <w:b/>
          <w:sz w:val="24"/>
          <w:szCs w:val="24"/>
          <w:lang w:val="en-GB"/>
        </w:rPr>
      </w:pPr>
    </w:p>
    <w:p w:rsidR="006156F6" w:rsidRPr="00113FDB" w:rsidRDefault="006156F6" w:rsidP="00672BAE">
      <w:pPr>
        <w:ind w:left="851"/>
        <w:rPr>
          <w:sz w:val="24"/>
          <w:szCs w:val="24"/>
          <w:u w:val="single"/>
          <w:lang w:val="en-GB"/>
        </w:rPr>
      </w:pPr>
      <w:r w:rsidRPr="00113FDB">
        <w:rPr>
          <w:sz w:val="24"/>
          <w:szCs w:val="24"/>
          <w:u w:val="single"/>
          <w:lang w:val="en-GB"/>
        </w:rPr>
        <w:t>Posology</w:t>
      </w:r>
    </w:p>
    <w:p w:rsidR="006156F6" w:rsidRPr="00113FDB" w:rsidRDefault="006156F6" w:rsidP="00672BAE">
      <w:pPr>
        <w:ind w:left="851"/>
        <w:rPr>
          <w:sz w:val="24"/>
          <w:szCs w:val="24"/>
          <w:lang w:val="en-GB"/>
        </w:rPr>
      </w:pPr>
      <w:r w:rsidRPr="00113FDB">
        <w:rPr>
          <w:sz w:val="24"/>
          <w:szCs w:val="24"/>
          <w:lang w:val="en-GB"/>
        </w:rPr>
        <w:t>The activity to be administered is a matter of clinical judgement. The therapeutic effect is only achieved after several weeks. The activity of the oral solution should be determined before use.</w:t>
      </w:r>
    </w:p>
    <w:p w:rsidR="006156F6" w:rsidRPr="00113FDB" w:rsidRDefault="006156F6" w:rsidP="00672BAE">
      <w:pPr>
        <w:ind w:left="851"/>
        <w:rPr>
          <w:sz w:val="24"/>
          <w:szCs w:val="24"/>
          <w:lang w:val="en-GB"/>
        </w:rPr>
      </w:pPr>
    </w:p>
    <w:p w:rsidR="006156F6" w:rsidRPr="00113FDB" w:rsidRDefault="006156F6" w:rsidP="00672BAE">
      <w:pPr>
        <w:ind w:left="851"/>
        <w:rPr>
          <w:i/>
          <w:iCs/>
          <w:sz w:val="24"/>
          <w:szCs w:val="24"/>
          <w:lang w:val="en-GB"/>
        </w:rPr>
      </w:pPr>
      <w:r w:rsidRPr="00113FDB">
        <w:rPr>
          <w:i/>
          <w:iCs/>
          <w:sz w:val="24"/>
          <w:szCs w:val="24"/>
          <w:lang w:val="en-GB"/>
        </w:rPr>
        <w:t>Adults</w:t>
      </w:r>
    </w:p>
    <w:p w:rsidR="006156F6" w:rsidRPr="00113FDB" w:rsidRDefault="006156F6" w:rsidP="00672BAE">
      <w:pPr>
        <w:ind w:left="851"/>
        <w:rPr>
          <w:sz w:val="24"/>
          <w:szCs w:val="24"/>
          <w:lang w:val="en-GB"/>
        </w:rPr>
      </w:pPr>
    </w:p>
    <w:p w:rsidR="006156F6" w:rsidRPr="00113FDB" w:rsidRDefault="006156F6" w:rsidP="00672BAE">
      <w:pPr>
        <w:autoSpaceDE w:val="0"/>
        <w:autoSpaceDN w:val="0"/>
        <w:adjustRightInd w:val="0"/>
        <w:ind w:left="851"/>
        <w:rPr>
          <w:i/>
          <w:iCs/>
          <w:sz w:val="24"/>
          <w:szCs w:val="24"/>
          <w:u w:val="single"/>
          <w:lang w:val="en-GB"/>
        </w:rPr>
      </w:pPr>
      <w:r w:rsidRPr="00113FDB">
        <w:rPr>
          <w:i/>
          <w:iCs/>
          <w:sz w:val="24"/>
          <w:szCs w:val="24"/>
          <w:u w:val="single"/>
          <w:lang w:val="en-GB"/>
        </w:rPr>
        <w:t>Treatment of hyperthyroidism</w:t>
      </w:r>
    </w:p>
    <w:p w:rsidR="006156F6" w:rsidRPr="00113FDB" w:rsidRDefault="006156F6" w:rsidP="00672BAE">
      <w:pPr>
        <w:pStyle w:val="Default"/>
        <w:ind w:left="851"/>
        <w:rPr>
          <w:lang w:val="en-GB"/>
        </w:rPr>
      </w:pPr>
      <w:r w:rsidRPr="00113FDB">
        <w:rPr>
          <w:lang w:val="en-GB"/>
        </w:rPr>
        <w:t>In case of failure or impossibility to pursue the medical treatment, radioactive iodide may be administered to treat the hyperthyroidism.</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Patients should be rendered euthyroid medically whenever possible before giving radioiodine treatment for hyperthyroidism.</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The activity to be administered depends on the diagnosis, the size of the gland, thyroid uptake, and iodine clearance. It is usually in the range of 200-800 </w:t>
      </w:r>
      <w:proofErr w:type="spellStart"/>
      <w:r w:rsidRPr="00113FDB">
        <w:rPr>
          <w:sz w:val="24"/>
          <w:szCs w:val="24"/>
          <w:lang w:val="en-GB"/>
        </w:rPr>
        <w:t>MBq</w:t>
      </w:r>
      <w:proofErr w:type="spellEnd"/>
      <w:r w:rsidRPr="00113FDB">
        <w:rPr>
          <w:sz w:val="24"/>
          <w:szCs w:val="24"/>
          <w:lang w:val="en-GB"/>
        </w:rPr>
        <w:t xml:space="preserve"> for a patient of average weight (70 kg) but repeated treatment up to a cumulative dose of 5,000 </w:t>
      </w:r>
      <w:proofErr w:type="spellStart"/>
      <w:r w:rsidRPr="00113FDB">
        <w:rPr>
          <w:sz w:val="24"/>
          <w:szCs w:val="24"/>
          <w:lang w:val="en-GB"/>
        </w:rPr>
        <w:t>MBq</w:t>
      </w:r>
      <w:proofErr w:type="spellEnd"/>
      <w:r w:rsidRPr="00113FDB">
        <w:rPr>
          <w:sz w:val="24"/>
          <w:szCs w:val="24"/>
          <w:lang w:val="en-GB"/>
        </w:rPr>
        <w:t xml:space="preserve"> may be necessary. Re-treatment after 6-12 months is indicated for persisting hyperthyroidism.</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The activity to be administered may be defined by fixed dose protocols or may be calculated according to the following equation:</w:t>
      </w:r>
    </w:p>
    <w:p w:rsidR="006156F6" w:rsidRPr="00113FDB" w:rsidRDefault="006156F6" w:rsidP="00672BAE">
      <w:pPr>
        <w:autoSpaceDE w:val="0"/>
        <w:autoSpaceDN w:val="0"/>
        <w:adjustRightInd w:val="0"/>
        <w:ind w:left="851"/>
        <w:rPr>
          <w:sz w:val="24"/>
          <w:szCs w:val="24"/>
          <w:lang w:val="en-GB"/>
        </w:rPr>
      </w:pPr>
    </w:p>
    <w:p w:rsidR="006156F6" w:rsidRPr="000B46CC" w:rsidRDefault="006156F6" w:rsidP="00672BAE">
      <w:pPr>
        <w:autoSpaceDE w:val="0"/>
        <w:autoSpaceDN w:val="0"/>
        <w:adjustRightInd w:val="0"/>
        <w:ind w:left="851"/>
        <w:rPr>
          <w:sz w:val="22"/>
          <w:szCs w:val="22"/>
          <w:lang w:val="en-GB"/>
        </w:rPr>
      </w:pPr>
      <w:r w:rsidRPr="000B46CC">
        <w:rPr>
          <w:position w:val="-40"/>
          <w:sz w:val="22"/>
          <w:szCs w:val="22"/>
          <w:lang w:val="en-GB"/>
        </w:rPr>
        <w:object w:dxaOrig="6072"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3.5pt;height:41pt" o:ole="">
            <v:imagedata r:id="rId8" o:title=""/>
          </v:shape>
          <o:OLEObject Type="Embed" ProgID="Equation.3" ShapeID="_x0000_i1027" DrawAspect="Content" ObjectID="_1761129372" r:id="rId9"/>
        </w:object>
      </w:r>
    </w:p>
    <w:p w:rsidR="006156F6" w:rsidRPr="00113FDB" w:rsidRDefault="006156F6" w:rsidP="006156F6">
      <w:pPr>
        <w:autoSpaceDE w:val="0"/>
        <w:autoSpaceDN w:val="0"/>
        <w:adjustRightInd w:val="0"/>
        <w:rPr>
          <w:sz w:val="24"/>
          <w:szCs w:val="24"/>
          <w:lang w:val="en-GB"/>
        </w:rPr>
      </w:pPr>
    </w:p>
    <w:p w:rsidR="006156F6" w:rsidRPr="00113FDB" w:rsidRDefault="006156F6" w:rsidP="00672BAE">
      <w:pPr>
        <w:tabs>
          <w:tab w:val="left" w:pos="2694"/>
        </w:tabs>
        <w:autoSpaceDE w:val="0"/>
        <w:autoSpaceDN w:val="0"/>
        <w:adjustRightInd w:val="0"/>
        <w:ind w:left="851"/>
        <w:rPr>
          <w:sz w:val="24"/>
          <w:szCs w:val="24"/>
          <w:lang w:val="en-GB"/>
        </w:rPr>
      </w:pPr>
      <w:r w:rsidRPr="00113FDB">
        <w:rPr>
          <w:sz w:val="24"/>
          <w:szCs w:val="24"/>
          <w:lang w:val="en-GB"/>
        </w:rPr>
        <w:t xml:space="preserve">under the following conditions </w:t>
      </w:r>
    </w:p>
    <w:p w:rsidR="006156F6" w:rsidRPr="00113FDB" w:rsidRDefault="006156F6" w:rsidP="00672BAE">
      <w:pPr>
        <w:pStyle w:val="Pladsholdertekst"/>
        <w:widowControl w:val="0"/>
        <w:tabs>
          <w:tab w:val="left" w:pos="2694"/>
        </w:tabs>
        <w:ind w:left="851"/>
        <w:rPr>
          <w:sz w:val="24"/>
          <w:szCs w:val="24"/>
          <w:lang w:val="en-GB"/>
        </w:rPr>
      </w:pPr>
      <w:r w:rsidRPr="00113FDB">
        <w:rPr>
          <w:sz w:val="24"/>
          <w:szCs w:val="24"/>
          <w:lang w:val="en-GB"/>
        </w:rPr>
        <w:t xml:space="preserve">target dose </w:t>
      </w:r>
      <w:r w:rsidRPr="00113FDB">
        <w:rPr>
          <w:sz w:val="24"/>
          <w:szCs w:val="24"/>
          <w:lang w:val="en-GB"/>
        </w:rPr>
        <w:tab/>
        <w:t>is the target absorbed dose in the whole thyroid gland or in an adenoma</w:t>
      </w:r>
    </w:p>
    <w:p w:rsidR="006156F6" w:rsidRPr="00113FDB" w:rsidRDefault="006156F6" w:rsidP="00672BAE">
      <w:pPr>
        <w:tabs>
          <w:tab w:val="left" w:pos="2694"/>
        </w:tabs>
        <w:autoSpaceDE w:val="0"/>
        <w:autoSpaceDN w:val="0"/>
        <w:adjustRightInd w:val="0"/>
        <w:ind w:left="851"/>
        <w:rPr>
          <w:sz w:val="24"/>
          <w:szCs w:val="24"/>
          <w:lang w:val="en-GB"/>
        </w:rPr>
      </w:pPr>
    </w:p>
    <w:p w:rsidR="006156F6" w:rsidRPr="00113FDB" w:rsidRDefault="006156F6" w:rsidP="00672BAE">
      <w:pPr>
        <w:pStyle w:val="Brdtekst"/>
        <w:widowControl w:val="0"/>
        <w:tabs>
          <w:tab w:val="left" w:pos="2694"/>
        </w:tabs>
        <w:ind w:left="851"/>
        <w:rPr>
          <w:sz w:val="24"/>
          <w:szCs w:val="24"/>
          <w:lang w:val="en-GB"/>
        </w:rPr>
      </w:pPr>
      <w:r w:rsidRPr="00113FDB">
        <w:rPr>
          <w:sz w:val="24"/>
          <w:szCs w:val="24"/>
          <w:lang w:val="en-GB"/>
        </w:rPr>
        <w:t xml:space="preserve">target volume </w:t>
      </w:r>
      <w:r w:rsidRPr="00113FDB">
        <w:rPr>
          <w:sz w:val="24"/>
          <w:szCs w:val="24"/>
          <w:lang w:val="en-GB"/>
        </w:rPr>
        <w:tab/>
        <w:t xml:space="preserve">is the volume of the whole thyroid gland (Graves’ disease, multifocal or </w:t>
      </w:r>
      <w:r w:rsidR="00672BAE" w:rsidRPr="00113FDB">
        <w:rPr>
          <w:sz w:val="24"/>
          <w:szCs w:val="24"/>
          <w:lang w:val="en-GB"/>
        </w:rPr>
        <w:tab/>
      </w:r>
      <w:r w:rsidRPr="00113FDB">
        <w:rPr>
          <w:sz w:val="24"/>
          <w:szCs w:val="24"/>
          <w:lang w:val="en-GB"/>
        </w:rPr>
        <w:t xml:space="preserve">disseminated </w:t>
      </w:r>
      <w:r w:rsidRPr="00113FDB">
        <w:rPr>
          <w:spacing w:val="-1"/>
          <w:sz w:val="24"/>
          <w:szCs w:val="24"/>
          <w:lang w:val="en-GB" w:eastAsia="en-US"/>
        </w:rPr>
        <w:t>autonomy</w:t>
      </w:r>
      <w:r w:rsidRPr="00113FDB">
        <w:rPr>
          <w:sz w:val="24"/>
          <w:szCs w:val="24"/>
          <w:lang w:val="en-GB"/>
        </w:rPr>
        <w:t>)</w:t>
      </w:r>
    </w:p>
    <w:p w:rsidR="006156F6" w:rsidRPr="00113FDB" w:rsidRDefault="006156F6" w:rsidP="00672BAE">
      <w:pPr>
        <w:tabs>
          <w:tab w:val="left" w:pos="2694"/>
        </w:tabs>
        <w:autoSpaceDE w:val="0"/>
        <w:autoSpaceDN w:val="0"/>
        <w:adjustRightInd w:val="0"/>
        <w:ind w:left="851"/>
        <w:rPr>
          <w:sz w:val="24"/>
          <w:szCs w:val="24"/>
          <w:lang w:val="en-GB"/>
        </w:rPr>
      </w:pPr>
    </w:p>
    <w:p w:rsidR="006156F6" w:rsidRPr="00113FDB" w:rsidRDefault="006156F6" w:rsidP="00672BAE">
      <w:pPr>
        <w:pStyle w:val="Brdtekst"/>
        <w:widowControl w:val="0"/>
        <w:tabs>
          <w:tab w:val="left" w:pos="2694"/>
        </w:tabs>
        <w:ind w:left="2608" w:hanging="1757"/>
        <w:rPr>
          <w:sz w:val="24"/>
          <w:szCs w:val="24"/>
          <w:lang w:val="en-GB"/>
        </w:rPr>
      </w:pPr>
      <w:r w:rsidRPr="00113FDB">
        <w:rPr>
          <w:sz w:val="24"/>
          <w:szCs w:val="24"/>
          <w:lang w:val="en-GB"/>
        </w:rPr>
        <w:t xml:space="preserve">max. uptake </w:t>
      </w:r>
      <w:r w:rsidRPr="00113FDB">
        <w:rPr>
          <w:sz w:val="24"/>
          <w:szCs w:val="24"/>
          <w:vertAlign w:val="superscript"/>
          <w:lang w:val="en-GB"/>
        </w:rPr>
        <w:t>131</w:t>
      </w:r>
      <w:r w:rsidRPr="00113FDB">
        <w:rPr>
          <w:sz w:val="24"/>
          <w:szCs w:val="24"/>
          <w:lang w:val="en-GB"/>
        </w:rPr>
        <w:t xml:space="preserve">I </w:t>
      </w:r>
      <w:r w:rsidRPr="00113FDB">
        <w:rPr>
          <w:sz w:val="24"/>
          <w:szCs w:val="24"/>
          <w:lang w:val="en-GB"/>
        </w:rPr>
        <w:tab/>
        <w:t xml:space="preserve">is the max. uptake of I-131 in the thyroid gland or nodules in % of the administered activity as </w:t>
      </w:r>
      <w:r w:rsidRPr="00113FDB">
        <w:rPr>
          <w:spacing w:val="-1"/>
          <w:sz w:val="24"/>
          <w:szCs w:val="24"/>
          <w:lang w:val="en-GB" w:eastAsia="en-US"/>
        </w:rPr>
        <w:t>established</w:t>
      </w:r>
      <w:r w:rsidRPr="00113FDB">
        <w:rPr>
          <w:sz w:val="24"/>
          <w:szCs w:val="24"/>
          <w:lang w:val="en-GB"/>
        </w:rPr>
        <w:t xml:space="preserve"> in a test dose.</w:t>
      </w:r>
    </w:p>
    <w:p w:rsidR="006156F6" w:rsidRPr="00113FDB" w:rsidRDefault="006156F6" w:rsidP="00672BAE">
      <w:pPr>
        <w:tabs>
          <w:tab w:val="left" w:pos="2694"/>
        </w:tabs>
        <w:autoSpaceDE w:val="0"/>
        <w:autoSpaceDN w:val="0"/>
        <w:adjustRightInd w:val="0"/>
        <w:ind w:left="851"/>
        <w:rPr>
          <w:sz w:val="24"/>
          <w:szCs w:val="24"/>
          <w:lang w:val="en-GB"/>
        </w:rPr>
      </w:pPr>
    </w:p>
    <w:p w:rsidR="006156F6" w:rsidRPr="00113FDB" w:rsidRDefault="006156F6" w:rsidP="00672BAE">
      <w:pPr>
        <w:tabs>
          <w:tab w:val="left" w:pos="1304"/>
          <w:tab w:val="left" w:pos="2268"/>
          <w:tab w:val="left" w:pos="2694"/>
        </w:tabs>
        <w:autoSpaceDE w:val="0"/>
        <w:autoSpaceDN w:val="0"/>
        <w:adjustRightInd w:val="0"/>
        <w:ind w:left="851"/>
        <w:rPr>
          <w:sz w:val="24"/>
          <w:szCs w:val="24"/>
          <w:lang w:val="en-GB"/>
        </w:rPr>
      </w:pPr>
      <w:r w:rsidRPr="00113FDB">
        <w:rPr>
          <w:sz w:val="24"/>
          <w:szCs w:val="24"/>
          <w:lang w:val="en-GB"/>
        </w:rPr>
        <w:t xml:space="preserve">effective T ½ </w:t>
      </w:r>
      <w:r w:rsidRPr="00113FDB">
        <w:rPr>
          <w:sz w:val="24"/>
          <w:szCs w:val="24"/>
          <w:lang w:val="en-GB"/>
        </w:rPr>
        <w:tab/>
      </w:r>
      <w:r w:rsidRPr="00113FDB">
        <w:rPr>
          <w:sz w:val="24"/>
          <w:szCs w:val="24"/>
          <w:lang w:val="en-GB"/>
        </w:rPr>
        <w:tab/>
        <w:t xml:space="preserve">is the effective </w:t>
      </w:r>
      <w:proofErr w:type="spellStart"/>
      <w:r w:rsidRPr="00113FDB">
        <w:rPr>
          <w:sz w:val="24"/>
          <w:szCs w:val="24"/>
          <w:lang w:val="en-GB"/>
        </w:rPr>
        <w:t>half life</w:t>
      </w:r>
      <w:proofErr w:type="spellEnd"/>
      <w:r w:rsidRPr="00113FDB">
        <w:rPr>
          <w:sz w:val="24"/>
          <w:szCs w:val="24"/>
          <w:lang w:val="en-GB"/>
        </w:rPr>
        <w:t xml:space="preserve"> of I-131 in the thyroid gland expressed in days</w:t>
      </w:r>
    </w:p>
    <w:p w:rsidR="006156F6" w:rsidRPr="00113FDB" w:rsidRDefault="006156F6" w:rsidP="00672BAE">
      <w:pPr>
        <w:tabs>
          <w:tab w:val="left" w:pos="2694"/>
        </w:tabs>
        <w:autoSpaceDE w:val="0"/>
        <w:autoSpaceDN w:val="0"/>
        <w:adjustRightInd w:val="0"/>
        <w:ind w:left="851"/>
        <w:rPr>
          <w:sz w:val="24"/>
          <w:szCs w:val="24"/>
          <w:lang w:val="en-GB"/>
        </w:rPr>
      </w:pPr>
    </w:p>
    <w:p w:rsidR="006156F6" w:rsidRPr="00113FDB" w:rsidRDefault="006156F6" w:rsidP="00672BAE">
      <w:pPr>
        <w:tabs>
          <w:tab w:val="left" w:pos="2694"/>
        </w:tabs>
        <w:autoSpaceDE w:val="0"/>
        <w:autoSpaceDN w:val="0"/>
        <w:adjustRightInd w:val="0"/>
        <w:ind w:left="851"/>
        <w:rPr>
          <w:sz w:val="24"/>
          <w:szCs w:val="24"/>
          <w:lang w:val="en-GB"/>
        </w:rPr>
      </w:pPr>
      <w:r w:rsidRPr="00113FDB">
        <w:rPr>
          <w:sz w:val="24"/>
          <w:szCs w:val="24"/>
          <w:lang w:val="en-GB"/>
        </w:rPr>
        <w:t xml:space="preserve">K </w:t>
      </w:r>
      <w:r w:rsidRPr="00113FDB">
        <w:rPr>
          <w:sz w:val="24"/>
          <w:szCs w:val="24"/>
          <w:lang w:val="en-GB"/>
        </w:rPr>
        <w:tab/>
        <w:t>is 24,67</w:t>
      </w:r>
    </w:p>
    <w:p w:rsidR="006156F6" w:rsidRPr="00113FDB" w:rsidRDefault="006156F6" w:rsidP="00672BAE">
      <w:pPr>
        <w:tabs>
          <w:tab w:val="left" w:pos="2694"/>
        </w:tabs>
        <w:autoSpaceDE w:val="0"/>
        <w:autoSpaceDN w:val="0"/>
        <w:adjustRightInd w:val="0"/>
        <w:ind w:left="851"/>
        <w:rPr>
          <w:sz w:val="24"/>
          <w:szCs w:val="24"/>
          <w:lang w:val="en-GB"/>
        </w:rPr>
      </w:pPr>
    </w:p>
    <w:p w:rsidR="006156F6" w:rsidRPr="00113FDB" w:rsidRDefault="006156F6" w:rsidP="00672BAE">
      <w:pPr>
        <w:pStyle w:val="Default"/>
        <w:ind w:left="851"/>
        <w:rPr>
          <w:lang w:val="en-GB"/>
        </w:rPr>
      </w:pPr>
      <w:r w:rsidRPr="00113FDB">
        <w:rPr>
          <w:lang w:val="en-GB"/>
        </w:rPr>
        <w:t xml:space="preserve">The following target organ doses may be used: </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405"/>
      </w:tblGrid>
      <w:tr w:rsidR="006156F6" w:rsidRPr="00113FDB" w:rsidTr="00672BAE">
        <w:tc>
          <w:tcPr>
            <w:tcW w:w="452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Unifocal autonomy</w:t>
            </w:r>
          </w:p>
        </w:tc>
        <w:tc>
          <w:tcPr>
            <w:tcW w:w="440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300-400 </w:t>
            </w:r>
            <w:proofErr w:type="spellStart"/>
            <w:r w:rsidRPr="00113FDB">
              <w:rPr>
                <w:lang w:val="en-GB"/>
              </w:rPr>
              <w:t>Gy</w:t>
            </w:r>
            <w:proofErr w:type="spellEnd"/>
            <w:r w:rsidRPr="00113FDB">
              <w:rPr>
                <w:lang w:val="en-GB"/>
              </w:rPr>
              <w:t xml:space="preserve"> target organ dose </w:t>
            </w:r>
          </w:p>
        </w:tc>
      </w:tr>
      <w:tr w:rsidR="006156F6" w:rsidRPr="00113FDB" w:rsidTr="00672BAE">
        <w:tc>
          <w:tcPr>
            <w:tcW w:w="452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Multifocal and disseminated autonomy</w:t>
            </w:r>
          </w:p>
        </w:tc>
        <w:tc>
          <w:tcPr>
            <w:tcW w:w="440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150-200 </w:t>
            </w:r>
            <w:proofErr w:type="spellStart"/>
            <w:r w:rsidRPr="00113FDB">
              <w:rPr>
                <w:lang w:val="en-GB"/>
              </w:rPr>
              <w:t>Gy</w:t>
            </w:r>
            <w:proofErr w:type="spellEnd"/>
            <w:r w:rsidRPr="00113FDB">
              <w:rPr>
                <w:lang w:val="en-GB"/>
              </w:rPr>
              <w:t xml:space="preserve"> target organ dose</w:t>
            </w:r>
          </w:p>
        </w:tc>
      </w:tr>
      <w:tr w:rsidR="006156F6" w:rsidRPr="00113FDB" w:rsidTr="00672BAE">
        <w:tc>
          <w:tcPr>
            <w:tcW w:w="452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Graves’ disease</w:t>
            </w:r>
          </w:p>
        </w:tc>
        <w:tc>
          <w:tcPr>
            <w:tcW w:w="4405"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200 </w:t>
            </w:r>
            <w:proofErr w:type="spellStart"/>
            <w:r w:rsidRPr="00113FDB">
              <w:rPr>
                <w:lang w:val="en-GB"/>
              </w:rPr>
              <w:t>Gy</w:t>
            </w:r>
            <w:proofErr w:type="spellEnd"/>
            <w:r w:rsidRPr="00113FDB">
              <w:rPr>
                <w:lang w:val="en-GB"/>
              </w:rPr>
              <w:t xml:space="preserve"> target organ dose</w:t>
            </w:r>
          </w:p>
        </w:tc>
      </w:tr>
    </w:tbl>
    <w:p w:rsidR="006156F6" w:rsidRPr="00113FDB" w:rsidRDefault="006156F6" w:rsidP="006156F6">
      <w:pPr>
        <w:pStyle w:val="Default"/>
        <w:rPr>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 xml:space="preserve">In the case of Graves’ disease, multifocal or disseminated autonomy, the </w:t>
      </w:r>
      <w:proofErr w:type="gramStart"/>
      <w:r w:rsidRPr="00113FDB">
        <w:rPr>
          <w:sz w:val="24"/>
          <w:szCs w:val="24"/>
          <w:lang w:val="en-GB"/>
        </w:rPr>
        <w:t>above mentioned</w:t>
      </w:r>
      <w:proofErr w:type="gramEnd"/>
      <w:r w:rsidRPr="00113FDB">
        <w:rPr>
          <w:sz w:val="24"/>
          <w:szCs w:val="24"/>
          <w:lang w:val="en-GB"/>
        </w:rPr>
        <w:t xml:space="preserve"> target organ doses are related to the overall volume of the thyroid gland mass, however in the case of unifocal autonomy, the target organ dose is only related to the volume of the adenoma. For recommended doses to target organs, see section 11.</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 xml:space="preserve">Other </w:t>
      </w:r>
      <w:proofErr w:type="spellStart"/>
      <w:r w:rsidRPr="00113FDB">
        <w:rPr>
          <w:sz w:val="24"/>
          <w:szCs w:val="24"/>
          <w:lang w:val="en-GB"/>
        </w:rPr>
        <w:t>dosimetric</w:t>
      </w:r>
      <w:proofErr w:type="spellEnd"/>
      <w:r w:rsidRPr="00113FDB">
        <w:rPr>
          <w:sz w:val="24"/>
          <w:szCs w:val="24"/>
          <w:lang w:val="en-GB"/>
        </w:rPr>
        <w:t xml:space="preserve"> procedures may also be used including sodium pertechnetate (</w:t>
      </w:r>
      <w:r w:rsidRPr="00113FDB">
        <w:rPr>
          <w:sz w:val="24"/>
          <w:szCs w:val="24"/>
          <w:vertAlign w:val="superscript"/>
          <w:lang w:val="en-GB"/>
        </w:rPr>
        <w:t>99m</w:t>
      </w:r>
      <w:r w:rsidRPr="00113FDB">
        <w:rPr>
          <w:sz w:val="24"/>
          <w:szCs w:val="24"/>
          <w:lang w:val="en-GB"/>
        </w:rPr>
        <w:t>Tc) thyroid uptake tests to determine the appropriate target organ dose (</w:t>
      </w:r>
      <w:proofErr w:type="spellStart"/>
      <w:r w:rsidRPr="00113FDB">
        <w:rPr>
          <w:sz w:val="24"/>
          <w:szCs w:val="24"/>
          <w:lang w:val="en-GB"/>
        </w:rPr>
        <w:t>Gy</w:t>
      </w:r>
      <w:proofErr w:type="spellEnd"/>
      <w:r w:rsidRPr="00113FDB">
        <w:rPr>
          <w:sz w:val="24"/>
          <w:szCs w:val="24"/>
          <w:lang w:val="en-GB"/>
        </w:rPr>
        <w:t>).</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autoSpaceDE w:val="0"/>
        <w:autoSpaceDN w:val="0"/>
        <w:adjustRightInd w:val="0"/>
        <w:ind w:left="851"/>
        <w:rPr>
          <w:b/>
          <w:bCs/>
          <w:sz w:val="24"/>
          <w:szCs w:val="24"/>
          <w:lang w:val="en-GB"/>
        </w:rPr>
      </w:pPr>
      <w:r w:rsidRPr="00113FDB">
        <w:rPr>
          <w:i/>
          <w:iCs/>
          <w:sz w:val="24"/>
          <w:szCs w:val="24"/>
          <w:u w:val="single"/>
          <w:lang w:val="en-GB"/>
        </w:rPr>
        <w:t>Thyroid ablation and treatment of metastases</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The activities to be administered following total or subtotal thyroidectomy to ablate remaining thyroid tissue are in the range of 1,850-3,700 </w:t>
      </w:r>
      <w:proofErr w:type="spellStart"/>
      <w:r w:rsidRPr="00113FDB">
        <w:rPr>
          <w:sz w:val="24"/>
          <w:szCs w:val="24"/>
          <w:lang w:val="en-GB"/>
        </w:rPr>
        <w:t>MBq</w:t>
      </w:r>
      <w:proofErr w:type="spellEnd"/>
      <w:r w:rsidRPr="00113FDB">
        <w:rPr>
          <w:sz w:val="24"/>
          <w:szCs w:val="24"/>
          <w:lang w:val="en-GB"/>
        </w:rPr>
        <w:t>. It depends on the remnant size and radioiodine uptake. For treatment of metastases, administered activity is in the range of 3,700-11,100 </w:t>
      </w:r>
      <w:proofErr w:type="spellStart"/>
      <w:r w:rsidRPr="00113FDB">
        <w:rPr>
          <w:sz w:val="24"/>
          <w:szCs w:val="24"/>
          <w:lang w:val="en-GB"/>
        </w:rPr>
        <w:t>MBq</w:t>
      </w:r>
      <w:proofErr w:type="spellEnd"/>
      <w:r w:rsidRPr="00113FDB">
        <w:rPr>
          <w:sz w:val="24"/>
          <w:szCs w:val="24"/>
          <w:lang w:val="en-GB"/>
        </w:rPr>
        <w:t>.</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pStyle w:val="Default"/>
        <w:ind w:left="851"/>
        <w:rPr>
          <w:lang w:val="en-GB"/>
        </w:rPr>
      </w:pPr>
      <w:r w:rsidRPr="00113FDB">
        <w:rPr>
          <w:u w:val="single"/>
          <w:lang w:val="en-GB"/>
        </w:rPr>
        <w:t>Special populations</w:t>
      </w:r>
    </w:p>
    <w:p w:rsidR="006156F6" w:rsidRPr="00113FDB" w:rsidRDefault="006156F6" w:rsidP="00672BAE">
      <w:pPr>
        <w:pStyle w:val="Default"/>
        <w:ind w:left="851"/>
        <w:rPr>
          <w:i/>
          <w:iCs/>
          <w:lang w:val="en-GB"/>
        </w:rPr>
      </w:pPr>
    </w:p>
    <w:p w:rsidR="006156F6" w:rsidRPr="00113FDB" w:rsidRDefault="006156F6" w:rsidP="00672BAE">
      <w:pPr>
        <w:pStyle w:val="Default"/>
        <w:ind w:left="851"/>
        <w:rPr>
          <w:lang w:val="en-GB"/>
        </w:rPr>
      </w:pPr>
      <w:r w:rsidRPr="00113FDB">
        <w:rPr>
          <w:i/>
          <w:iCs/>
          <w:lang w:val="en-GB"/>
        </w:rPr>
        <w:t xml:space="preserve">Renal impairment </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Careful consideration of the activity to be administered is required since an increased radiation exposure is possible in patients with reduced renal function. The therapeutic use of sodium iodide (131I) in patients with significant renal impairment requires special attention (see section 4.4).</w:t>
      </w:r>
    </w:p>
    <w:p w:rsidR="006156F6" w:rsidRPr="00113FDB" w:rsidRDefault="006156F6" w:rsidP="00672BAE">
      <w:pPr>
        <w:autoSpaceDE w:val="0"/>
        <w:autoSpaceDN w:val="0"/>
        <w:adjustRightInd w:val="0"/>
        <w:ind w:left="851"/>
        <w:rPr>
          <w:sz w:val="24"/>
          <w:szCs w:val="24"/>
          <w:lang w:val="en-GB"/>
        </w:rPr>
      </w:pPr>
    </w:p>
    <w:p w:rsidR="006156F6" w:rsidRPr="00113FDB" w:rsidRDefault="006156F6" w:rsidP="00672BAE">
      <w:pPr>
        <w:tabs>
          <w:tab w:val="left" w:pos="709"/>
        </w:tabs>
        <w:ind w:left="851"/>
        <w:rPr>
          <w:i/>
          <w:iCs/>
          <w:sz w:val="24"/>
          <w:szCs w:val="24"/>
          <w:lang w:val="en-GB"/>
        </w:rPr>
      </w:pPr>
      <w:r w:rsidRPr="00113FDB">
        <w:rPr>
          <w:i/>
          <w:iCs/>
          <w:sz w:val="24"/>
          <w:szCs w:val="24"/>
          <w:lang w:val="en-GB"/>
        </w:rPr>
        <w:t>Paediatric population</w:t>
      </w:r>
    </w:p>
    <w:p w:rsidR="006156F6" w:rsidRPr="00113FDB" w:rsidRDefault="006156F6" w:rsidP="00672BAE">
      <w:pPr>
        <w:tabs>
          <w:tab w:val="left" w:pos="709"/>
        </w:tabs>
        <w:ind w:left="851"/>
        <w:rPr>
          <w:sz w:val="24"/>
          <w:szCs w:val="24"/>
          <w:lang w:val="en-GB"/>
        </w:rPr>
      </w:pPr>
      <w:r w:rsidRPr="00113FDB">
        <w:rPr>
          <w:sz w:val="24"/>
          <w:szCs w:val="24"/>
          <w:lang w:val="en-GB"/>
        </w:rPr>
        <w:t>The use of sodium i</w:t>
      </w:r>
      <w:r w:rsidRPr="00113FDB">
        <w:rPr>
          <w:color w:val="000000"/>
          <w:sz w:val="24"/>
          <w:szCs w:val="24"/>
          <w:lang w:val="en-GB"/>
        </w:rPr>
        <w:t>odide (</w:t>
      </w:r>
      <w:r w:rsidRPr="00113FDB">
        <w:rPr>
          <w:color w:val="000000"/>
          <w:sz w:val="24"/>
          <w:szCs w:val="24"/>
          <w:vertAlign w:val="superscript"/>
          <w:lang w:val="en-GB"/>
        </w:rPr>
        <w:t>131</w:t>
      </w:r>
      <w:r w:rsidRPr="00113FDB">
        <w:rPr>
          <w:color w:val="000000"/>
          <w:sz w:val="24"/>
          <w:szCs w:val="24"/>
          <w:lang w:val="en-GB"/>
        </w:rPr>
        <w:t>I) in children</w:t>
      </w:r>
      <w:r w:rsidRPr="00113FDB">
        <w:rPr>
          <w:sz w:val="24"/>
          <w:szCs w:val="24"/>
          <w:lang w:val="en-GB"/>
        </w:rPr>
        <w:t xml:space="preserve"> and adolescents has to be considered carefully, based upon clinical needs and assessing the benefit/risk ratio in this patient group.</w:t>
      </w:r>
    </w:p>
    <w:p w:rsidR="006156F6" w:rsidRPr="00113FDB" w:rsidRDefault="006156F6" w:rsidP="00672BAE">
      <w:pPr>
        <w:tabs>
          <w:tab w:val="left" w:pos="709"/>
        </w:tabs>
        <w:ind w:left="851"/>
        <w:rPr>
          <w:sz w:val="24"/>
          <w:szCs w:val="24"/>
          <w:lang w:val="en-GB"/>
        </w:rPr>
      </w:pPr>
      <w:r w:rsidRPr="00113FDB">
        <w:rPr>
          <w:sz w:val="24"/>
          <w:szCs w:val="24"/>
          <w:lang w:val="en-GB"/>
        </w:rPr>
        <w:t>In certain cases, the activity to be administered in children and adolescents should be determined after performing an individual dosimetry (see section 4.4).</w:t>
      </w:r>
    </w:p>
    <w:p w:rsidR="006156F6" w:rsidRPr="00113FDB" w:rsidRDefault="006156F6" w:rsidP="00672BAE">
      <w:pPr>
        <w:tabs>
          <w:tab w:val="left" w:pos="709"/>
        </w:tabs>
        <w:ind w:left="851"/>
        <w:rPr>
          <w:sz w:val="24"/>
          <w:szCs w:val="24"/>
          <w:u w:val="single"/>
          <w:lang w:val="en-GB"/>
        </w:rPr>
      </w:pPr>
      <w:r w:rsidRPr="00113FDB">
        <w:rPr>
          <w:sz w:val="24"/>
          <w:szCs w:val="24"/>
          <w:lang w:val="en-GB"/>
        </w:rPr>
        <w:t>In children and adolescents, treatment of benign thyroid defects with radioactive iodide is possible in justified cases, in particular in case of relapse after the use of antithyroid medicinal products or in case of severe adverse reaction to antithyroid medicinal products (see section 4.4).</w:t>
      </w:r>
    </w:p>
    <w:p w:rsidR="006156F6" w:rsidRPr="00113FDB" w:rsidRDefault="006156F6" w:rsidP="00672BAE">
      <w:pPr>
        <w:tabs>
          <w:tab w:val="left" w:pos="709"/>
        </w:tabs>
        <w:ind w:left="851"/>
        <w:rPr>
          <w:sz w:val="24"/>
          <w:szCs w:val="24"/>
          <w:u w:val="single"/>
          <w:lang w:val="en-GB"/>
        </w:rPr>
      </w:pPr>
    </w:p>
    <w:p w:rsidR="006156F6" w:rsidRPr="00113FDB" w:rsidRDefault="006156F6" w:rsidP="00672BAE">
      <w:pPr>
        <w:tabs>
          <w:tab w:val="left" w:pos="709"/>
        </w:tabs>
        <w:ind w:left="851"/>
        <w:rPr>
          <w:sz w:val="24"/>
          <w:szCs w:val="24"/>
          <w:u w:val="single"/>
          <w:lang w:val="en-GB"/>
        </w:rPr>
      </w:pPr>
      <w:r w:rsidRPr="00113FDB">
        <w:rPr>
          <w:sz w:val="24"/>
          <w:szCs w:val="24"/>
          <w:u w:val="single"/>
          <w:lang w:val="en-GB"/>
        </w:rPr>
        <w:t>Method of administration</w:t>
      </w:r>
    </w:p>
    <w:p w:rsidR="006156F6" w:rsidRPr="00113FDB" w:rsidRDefault="006156F6" w:rsidP="00672BAE">
      <w:pPr>
        <w:tabs>
          <w:tab w:val="left" w:pos="709"/>
          <w:tab w:val="left" w:pos="1304"/>
        </w:tabs>
        <w:autoSpaceDE w:val="0"/>
        <w:autoSpaceDN w:val="0"/>
        <w:adjustRightInd w:val="0"/>
        <w:ind w:left="851"/>
        <w:rPr>
          <w:sz w:val="24"/>
          <w:szCs w:val="24"/>
          <w:lang w:val="en-GB"/>
        </w:rPr>
      </w:pPr>
      <w:r w:rsidRPr="00113FDB">
        <w:rPr>
          <w:sz w:val="24"/>
          <w:szCs w:val="24"/>
          <w:lang w:val="en-GB"/>
        </w:rPr>
        <w:t xml:space="preserve">MONIYOT-131 is for oral use. The solution should be taken on an empty stomach. The solution should be drunk completely with some water. </w:t>
      </w:r>
    </w:p>
    <w:p w:rsidR="006156F6" w:rsidRPr="00113FDB" w:rsidRDefault="006156F6" w:rsidP="00672BAE">
      <w:pPr>
        <w:tabs>
          <w:tab w:val="left" w:pos="709"/>
        </w:tabs>
        <w:ind w:left="851"/>
        <w:rPr>
          <w:sz w:val="24"/>
          <w:szCs w:val="24"/>
          <w:lang w:val="en-GB"/>
        </w:rPr>
      </w:pPr>
      <w:r w:rsidRPr="00113FDB">
        <w:rPr>
          <w:sz w:val="24"/>
          <w:szCs w:val="24"/>
          <w:lang w:val="en-GB"/>
        </w:rPr>
        <w:t>For patient preparation, see section 4.4.</w:t>
      </w:r>
    </w:p>
    <w:p w:rsidR="006156F6" w:rsidRPr="00113FDB" w:rsidRDefault="006156F6" w:rsidP="00672BAE">
      <w:pPr>
        <w:tabs>
          <w:tab w:val="left" w:pos="709"/>
        </w:tabs>
        <w:ind w:left="851"/>
        <w:rPr>
          <w:sz w:val="24"/>
          <w:szCs w:val="24"/>
          <w:lang w:val="en-US"/>
        </w:rPr>
      </w:pPr>
      <w:r w:rsidRPr="00113FDB">
        <w:rPr>
          <w:sz w:val="24"/>
          <w:szCs w:val="24"/>
          <w:lang w:val="en-US"/>
        </w:rPr>
        <w:t>For instructions on extemporary preparation of the medicinal product before administration, see section 12.</w:t>
      </w:r>
    </w:p>
    <w:p w:rsidR="0052186C" w:rsidRPr="00113FDB" w:rsidRDefault="0052186C" w:rsidP="0052186C">
      <w:pPr>
        <w:tabs>
          <w:tab w:val="left" w:pos="851"/>
        </w:tabs>
        <w:ind w:left="851" w:hanging="851"/>
        <w:rPr>
          <w:sz w:val="24"/>
          <w:szCs w:val="24"/>
          <w:lang w:val="en-US"/>
        </w:rPr>
      </w:pPr>
    </w:p>
    <w:p w:rsidR="00227481" w:rsidRPr="00113FDB" w:rsidRDefault="00227481" w:rsidP="00227481">
      <w:pPr>
        <w:tabs>
          <w:tab w:val="left" w:pos="851"/>
        </w:tabs>
        <w:rPr>
          <w:b/>
          <w:sz w:val="24"/>
          <w:szCs w:val="24"/>
          <w:lang w:eastAsia="da-DK"/>
        </w:rPr>
      </w:pPr>
      <w:r w:rsidRPr="00113FDB">
        <w:rPr>
          <w:b/>
          <w:sz w:val="24"/>
          <w:szCs w:val="24"/>
          <w:lang w:val="en-US"/>
        </w:rPr>
        <w:t>4.3</w:t>
      </w:r>
      <w:r w:rsidRPr="00113FDB">
        <w:rPr>
          <w:b/>
          <w:sz w:val="24"/>
          <w:szCs w:val="24"/>
          <w:lang w:val="en-US"/>
        </w:rPr>
        <w:tab/>
      </w:r>
      <w:proofErr w:type="spellStart"/>
      <w:r w:rsidRPr="00113FDB">
        <w:rPr>
          <w:b/>
          <w:sz w:val="24"/>
          <w:szCs w:val="24"/>
          <w:lang w:val="en-US"/>
        </w:rPr>
        <w:t>Contraindic</w:t>
      </w:r>
      <w:r w:rsidRPr="00113FDB">
        <w:rPr>
          <w:b/>
          <w:sz w:val="24"/>
          <w:szCs w:val="24"/>
        </w:rPr>
        <w:t>ations</w:t>
      </w:r>
      <w:proofErr w:type="spellEnd"/>
    </w:p>
    <w:p w:rsidR="006156F6" w:rsidRPr="00113FDB" w:rsidRDefault="006156F6" w:rsidP="00672BAE">
      <w:pPr>
        <w:numPr>
          <w:ilvl w:val="0"/>
          <w:numId w:val="46"/>
        </w:numPr>
        <w:tabs>
          <w:tab w:val="clear" w:pos="360"/>
        </w:tabs>
        <w:autoSpaceDE w:val="0"/>
        <w:autoSpaceDN w:val="0"/>
        <w:adjustRightInd w:val="0"/>
        <w:ind w:left="1276" w:hanging="425"/>
        <w:rPr>
          <w:sz w:val="24"/>
          <w:szCs w:val="24"/>
          <w:lang w:val="en-GB"/>
        </w:rPr>
      </w:pPr>
      <w:r w:rsidRPr="00113FDB">
        <w:rPr>
          <w:sz w:val="24"/>
          <w:szCs w:val="24"/>
          <w:lang w:val="en-GB"/>
        </w:rPr>
        <w:t>Hypersensitivity to the active substance or to any of the excipients listed in section 6.1.</w:t>
      </w:r>
    </w:p>
    <w:p w:rsidR="006156F6" w:rsidRPr="00113FDB" w:rsidRDefault="006156F6" w:rsidP="00672BAE">
      <w:pPr>
        <w:numPr>
          <w:ilvl w:val="0"/>
          <w:numId w:val="46"/>
        </w:numPr>
        <w:tabs>
          <w:tab w:val="clear" w:pos="360"/>
        </w:tabs>
        <w:autoSpaceDE w:val="0"/>
        <w:autoSpaceDN w:val="0"/>
        <w:adjustRightInd w:val="0"/>
        <w:ind w:left="1276" w:hanging="425"/>
        <w:rPr>
          <w:sz w:val="24"/>
          <w:szCs w:val="24"/>
          <w:lang w:val="en-GB"/>
        </w:rPr>
      </w:pPr>
      <w:r w:rsidRPr="00113FDB">
        <w:rPr>
          <w:sz w:val="24"/>
          <w:szCs w:val="24"/>
          <w:lang w:val="en-GB"/>
        </w:rPr>
        <w:t>Pregnancy and breast-feeding (see section 4.6).</w:t>
      </w:r>
    </w:p>
    <w:p w:rsidR="006156F6" w:rsidRPr="00113FDB" w:rsidRDefault="006156F6" w:rsidP="00672BAE">
      <w:pPr>
        <w:numPr>
          <w:ilvl w:val="0"/>
          <w:numId w:val="46"/>
        </w:numPr>
        <w:tabs>
          <w:tab w:val="clear" w:pos="360"/>
        </w:tabs>
        <w:autoSpaceDE w:val="0"/>
        <w:autoSpaceDN w:val="0"/>
        <w:adjustRightInd w:val="0"/>
        <w:ind w:left="1276" w:hanging="425"/>
        <w:rPr>
          <w:sz w:val="24"/>
          <w:szCs w:val="24"/>
          <w:lang w:val="en-GB"/>
        </w:rPr>
      </w:pPr>
      <w:r w:rsidRPr="00113FDB">
        <w:rPr>
          <w:sz w:val="24"/>
          <w:szCs w:val="24"/>
          <w:lang w:val="en-GB"/>
        </w:rPr>
        <w:t>Patients with dysphagia, oesophageal stricture, oesophageal stenosis, oesophagus diverticulum, active gastritis, gastric erosions and peptic ulcer.</w:t>
      </w:r>
    </w:p>
    <w:p w:rsidR="006156F6" w:rsidRPr="00113FDB" w:rsidRDefault="006156F6" w:rsidP="00672BAE">
      <w:pPr>
        <w:numPr>
          <w:ilvl w:val="0"/>
          <w:numId w:val="46"/>
        </w:numPr>
        <w:tabs>
          <w:tab w:val="clear" w:pos="360"/>
        </w:tabs>
        <w:autoSpaceDE w:val="0"/>
        <w:autoSpaceDN w:val="0"/>
        <w:adjustRightInd w:val="0"/>
        <w:ind w:left="1276" w:hanging="425"/>
        <w:rPr>
          <w:sz w:val="24"/>
          <w:szCs w:val="24"/>
          <w:lang w:val="en-GB"/>
        </w:rPr>
      </w:pPr>
      <w:r w:rsidRPr="00113FDB">
        <w:rPr>
          <w:sz w:val="24"/>
          <w:szCs w:val="24"/>
          <w:lang w:val="en-GB"/>
        </w:rPr>
        <w:t>Patients with suspected reduced gastrointestinal motility.</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rPr>
          <w:b/>
          <w:sz w:val="24"/>
          <w:szCs w:val="24"/>
          <w:lang w:val="en-GB" w:eastAsia="da-DK"/>
        </w:rPr>
      </w:pPr>
      <w:r w:rsidRPr="00113FDB">
        <w:rPr>
          <w:b/>
          <w:sz w:val="24"/>
          <w:szCs w:val="24"/>
          <w:lang w:val="en-GB"/>
        </w:rPr>
        <w:t>4.4</w:t>
      </w:r>
      <w:r w:rsidRPr="00113FDB">
        <w:rPr>
          <w:b/>
          <w:sz w:val="24"/>
          <w:szCs w:val="24"/>
          <w:lang w:val="en-GB"/>
        </w:rPr>
        <w:tab/>
        <w:t>Special warnings and precautions for use</w:t>
      </w:r>
    </w:p>
    <w:p w:rsidR="0052186C" w:rsidRPr="00113FDB" w:rsidRDefault="0052186C" w:rsidP="0052186C">
      <w:pPr>
        <w:autoSpaceDE w:val="0"/>
        <w:autoSpaceDN w:val="0"/>
        <w:adjustRightInd w:val="0"/>
        <w:ind w:left="851"/>
        <w:rPr>
          <w:sz w:val="24"/>
          <w:szCs w:val="24"/>
          <w:u w:val="single"/>
          <w:lang w:val="en-GB"/>
        </w:rPr>
      </w:pPr>
    </w:p>
    <w:p w:rsidR="0052186C" w:rsidRPr="00113FDB" w:rsidRDefault="0052186C" w:rsidP="0052186C">
      <w:pPr>
        <w:autoSpaceDE w:val="0"/>
        <w:autoSpaceDN w:val="0"/>
        <w:adjustRightInd w:val="0"/>
        <w:ind w:left="851"/>
        <w:rPr>
          <w:sz w:val="24"/>
          <w:szCs w:val="24"/>
          <w:u w:val="single"/>
          <w:lang w:val="en-US"/>
        </w:rPr>
      </w:pPr>
      <w:r w:rsidRPr="00113FDB">
        <w:rPr>
          <w:sz w:val="24"/>
          <w:szCs w:val="24"/>
          <w:u w:val="single"/>
          <w:lang w:val="en-US"/>
        </w:rPr>
        <w:t xml:space="preserve">Potential hypersensitivity or anaphylactic reactions </w:t>
      </w:r>
    </w:p>
    <w:p w:rsidR="0052186C" w:rsidRPr="00113FDB" w:rsidRDefault="0052186C" w:rsidP="0052186C">
      <w:pPr>
        <w:autoSpaceDE w:val="0"/>
        <w:autoSpaceDN w:val="0"/>
        <w:adjustRightInd w:val="0"/>
        <w:ind w:left="851"/>
        <w:rPr>
          <w:sz w:val="24"/>
          <w:szCs w:val="24"/>
          <w:lang w:val="en-GB"/>
        </w:rPr>
      </w:pPr>
      <w:r w:rsidRPr="00113FDB">
        <w:rPr>
          <w:sz w:val="24"/>
          <w:szCs w:val="24"/>
          <w:lang w:val="en-GB"/>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52186C" w:rsidRPr="00113FDB" w:rsidRDefault="0052186C" w:rsidP="00227481">
      <w:pPr>
        <w:autoSpaceDE w:val="0"/>
        <w:autoSpaceDN w:val="0"/>
        <w:adjustRightInd w:val="0"/>
        <w:ind w:left="851"/>
        <w:rPr>
          <w:sz w:val="24"/>
          <w:szCs w:val="24"/>
          <w:lang w:val="tr-TR"/>
        </w:rPr>
      </w:pPr>
    </w:p>
    <w:p w:rsidR="006156F6" w:rsidRPr="000B46CC" w:rsidRDefault="006156F6" w:rsidP="00672BAE">
      <w:pPr>
        <w:ind w:left="851"/>
        <w:rPr>
          <w:sz w:val="24"/>
          <w:szCs w:val="24"/>
          <w:u w:val="single"/>
          <w:lang w:val="en-GB"/>
        </w:rPr>
      </w:pPr>
      <w:r w:rsidRPr="000B46CC">
        <w:rPr>
          <w:sz w:val="24"/>
          <w:szCs w:val="24"/>
          <w:u w:val="single"/>
          <w:lang w:val="en-GB"/>
        </w:rPr>
        <w:t xml:space="preserve">Individual benefit/risk justification </w:t>
      </w:r>
    </w:p>
    <w:p w:rsidR="006156F6" w:rsidRPr="00113FDB" w:rsidRDefault="006156F6" w:rsidP="00672BAE">
      <w:pPr>
        <w:ind w:left="851"/>
        <w:rPr>
          <w:sz w:val="24"/>
          <w:szCs w:val="24"/>
          <w:lang w:val="en-GB"/>
        </w:rPr>
      </w:pPr>
      <w:r w:rsidRPr="00113FDB">
        <w:rPr>
          <w:sz w:val="24"/>
          <w:szCs w:val="24"/>
          <w:lang w:val="en-GB"/>
        </w:rPr>
        <w:t>For each patient, the radiation exposure must be justifiable by the likely benefit. The activity to be administered should in every case be as low as reasonably achievable to obtain the required therapeutic effect.</w:t>
      </w:r>
    </w:p>
    <w:p w:rsidR="006156F6" w:rsidRPr="00113FDB" w:rsidRDefault="006156F6" w:rsidP="00672BAE">
      <w:pPr>
        <w:ind w:left="851"/>
        <w:rPr>
          <w:sz w:val="24"/>
          <w:szCs w:val="24"/>
          <w:lang w:val="en-GB"/>
        </w:rPr>
      </w:pPr>
      <w:r w:rsidRPr="00113FDB">
        <w:rPr>
          <w:sz w:val="24"/>
          <w:szCs w:val="24"/>
          <w:lang w:val="en-GB"/>
        </w:rPr>
        <w:t>There is little evidence of an increased incidence of cancer, leukaemia or mutations in patients after treatment with radioiodine for benign thyroid diseases, despite its extensive use. In the treatment of malignant thyroid diseases, in a study conducted on patients with doses of sodium iodide (</w:t>
      </w:r>
      <w:r w:rsidRPr="00113FDB">
        <w:rPr>
          <w:sz w:val="24"/>
          <w:szCs w:val="24"/>
          <w:vertAlign w:val="superscript"/>
          <w:lang w:val="en-GB"/>
        </w:rPr>
        <w:t>131</w:t>
      </w:r>
      <w:r w:rsidRPr="00113FDB">
        <w:rPr>
          <w:sz w:val="24"/>
          <w:szCs w:val="24"/>
          <w:lang w:val="en-GB"/>
        </w:rPr>
        <w:t>I) higher than 3,700 </w:t>
      </w:r>
      <w:proofErr w:type="spellStart"/>
      <w:r w:rsidRPr="00113FDB">
        <w:rPr>
          <w:sz w:val="24"/>
          <w:szCs w:val="24"/>
          <w:lang w:val="en-GB"/>
        </w:rPr>
        <w:t>MBq</w:t>
      </w:r>
      <w:proofErr w:type="spellEnd"/>
      <w:r w:rsidRPr="00113FDB">
        <w:rPr>
          <w:sz w:val="24"/>
          <w:szCs w:val="24"/>
          <w:lang w:val="en-GB"/>
        </w:rPr>
        <w:t xml:space="preserve"> a higher incidence of bladder cancer was reported. Another study reported a slight increase in leukaemia in patients receiving very high doses. Therefore, total cumulative doses greater than 26,000 </w:t>
      </w:r>
      <w:proofErr w:type="spellStart"/>
      <w:r w:rsidRPr="00113FDB">
        <w:rPr>
          <w:sz w:val="24"/>
          <w:szCs w:val="24"/>
          <w:lang w:val="en-GB"/>
        </w:rPr>
        <w:t>MBq</w:t>
      </w:r>
      <w:proofErr w:type="spellEnd"/>
      <w:r w:rsidRPr="00113FDB">
        <w:rPr>
          <w:sz w:val="24"/>
          <w:szCs w:val="24"/>
          <w:lang w:val="en-GB"/>
        </w:rPr>
        <w:t xml:space="preserve"> are not recommended.</w:t>
      </w:r>
    </w:p>
    <w:p w:rsidR="006156F6" w:rsidRPr="00113FDB" w:rsidRDefault="006156F6" w:rsidP="00672BAE">
      <w:pPr>
        <w:ind w:left="851"/>
        <w:rPr>
          <w:sz w:val="24"/>
          <w:szCs w:val="24"/>
        </w:rPr>
      </w:pPr>
    </w:p>
    <w:p w:rsidR="006156F6" w:rsidRPr="000B46CC" w:rsidRDefault="006156F6" w:rsidP="00672BAE">
      <w:pPr>
        <w:ind w:left="851"/>
        <w:rPr>
          <w:sz w:val="24"/>
          <w:szCs w:val="24"/>
          <w:u w:val="single"/>
        </w:rPr>
      </w:pPr>
      <w:proofErr w:type="spellStart"/>
      <w:r w:rsidRPr="000B46CC">
        <w:rPr>
          <w:sz w:val="24"/>
          <w:szCs w:val="24"/>
          <w:u w:val="single"/>
        </w:rPr>
        <w:t>Hyponatraemia</w:t>
      </w:r>
      <w:proofErr w:type="spellEnd"/>
    </w:p>
    <w:p w:rsidR="006156F6" w:rsidRPr="00113FDB" w:rsidRDefault="006156F6" w:rsidP="00672BAE">
      <w:pPr>
        <w:ind w:left="851"/>
        <w:rPr>
          <w:sz w:val="24"/>
          <w:szCs w:val="24"/>
          <w:lang w:val="en-GB"/>
        </w:rPr>
      </w:pPr>
      <w:r w:rsidRPr="00113FDB">
        <w:rPr>
          <w:sz w:val="24"/>
          <w:szCs w:val="24"/>
        </w:rPr>
        <w:t xml:space="preserve">Serious manifestations of </w:t>
      </w:r>
      <w:proofErr w:type="spellStart"/>
      <w:r w:rsidRPr="00113FDB">
        <w:rPr>
          <w:sz w:val="24"/>
          <w:szCs w:val="24"/>
        </w:rPr>
        <w:t>hyponatraemia</w:t>
      </w:r>
      <w:proofErr w:type="spellEnd"/>
      <w:r w:rsidRPr="00113FDB">
        <w:rPr>
          <w:sz w:val="24"/>
          <w:szCs w:val="24"/>
        </w:rPr>
        <w:t xml:space="preserve"> have been reported after sodium iodide (</w:t>
      </w:r>
      <w:r w:rsidRPr="00113FDB">
        <w:rPr>
          <w:sz w:val="24"/>
          <w:szCs w:val="24"/>
          <w:vertAlign w:val="superscript"/>
        </w:rPr>
        <w:t>131</w:t>
      </w:r>
      <w:r w:rsidRPr="00113FDB">
        <w:rPr>
          <w:sz w:val="24"/>
          <w:szCs w:val="24"/>
        </w:rPr>
        <w:t xml:space="preserve">I) therapy in elderly patients who have undergone total thyroidectomy. Risk factors include older age, female sex, use of thiazide diuretics and </w:t>
      </w:r>
      <w:proofErr w:type="spellStart"/>
      <w:r w:rsidRPr="00113FDB">
        <w:rPr>
          <w:sz w:val="24"/>
          <w:szCs w:val="24"/>
        </w:rPr>
        <w:t>hyponatraemia</w:t>
      </w:r>
      <w:proofErr w:type="spellEnd"/>
      <w:r w:rsidRPr="00113FDB">
        <w:rPr>
          <w:sz w:val="24"/>
          <w:szCs w:val="24"/>
        </w:rPr>
        <w:t xml:space="preserve"> at the start of sodium iodide (</w:t>
      </w:r>
      <w:r w:rsidRPr="00113FDB">
        <w:rPr>
          <w:sz w:val="24"/>
          <w:szCs w:val="24"/>
          <w:vertAlign w:val="superscript"/>
        </w:rPr>
        <w:t>131</w:t>
      </w:r>
      <w:r w:rsidRPr="00113FDB">
        <w:rPr>
          <w:sz w:val="24"/>
          <w:szCs w:val="24"/>
        </w:rPr>
        <w:t>I) therapy. Regular serum electrolytes measurements shall be considered for these patients.</w:t>
      </w:r>
    </w:p>
    <w:p w:rsidR="006156F6" w:rsidRPr="00113FDB" w:rsidRDefault="006156F6" w:rsidP="00672BAE">
      <w:pPr>
        <w:ind w:left="851"/>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 xml:space="preserve">Gonadal function in males </w:t>
      </w:r>
    </w:p>
    <w:p w:rsidR="006156F6" w:rsidRPr="00113FDB" w:rsidRDefault="006156F6" w:rsidP="00672BAE">
      <w:pPr>
        <w:ind w:left="851"/>
        <w:rPr>
          <w:sz w:val="24"/>
          <w:szCs w:val="24"/>
          <w:lang w:val="en-GB"/>
        </w:rPr>
      </w:pPr>
      <w:r w:rsidRPr="00113FDB">
        <w:rPr>
          <w:sz w:val="24"/>
          <w:szCs w:val="24"/>
          <w:lang w:val="en-GB"/>
        </w:rPr>
        <w:t>The use of the sperm bank could be considered to compensate a potential reversible damage of gonadal function in males due to the high therapeutic dose of radioiodine, in the cases of patients with extensive disease.</w:t>
      </w:r>
    </w:p>
    <w:p w:rsidR="000B46CC" w:rsidRDefault="000B46CC" w:rsidP="00672BAE">
      <w:pPr>
        <w:ind w:left="851"/>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Patients with r</w:t>
      </w:r>
      <w:r w:rsidRPr="000B46CC">
        <w:rPr>
          <w:spacing w:val="-1"/>
          <w:sz w:val="24"/>
          <w:szCs w:val="24"/>
          <w:u w:val="single"/>
          <w:lang w:val="en-GB"/>
        </w:rPr>
        <w:t>enal impairment</w:t>
      </w:r>
    </w:p>
    <w:p w:rsidR="006156F6" w:rsidRPr="00113FDB" w:rsidRDefault="006156F6" w:rsidP="00672BAE">
      <w:pPr>
        <w:ind w:left="851"/>
        <w:rPr>
          <w:sz w:val="24"/>
          <w:szCs w:val="24"/>
          <w:lang w:val="en-GB"/>
        </w:rPr>
      </w:pPr>
      <w:r w:rsidRPr="00113FDB">
        <w:rPr>
          <w:sz w:val="24"/>
          <w:szCs w:val="24"/>
          <w:lang w:val="en-GB"/>
        </w:rPr>
        <w:t>Careful consideration of the benefit/risk balance in these patients is required since an increased radiation exposure is possible. In these patients it may be necessary to adjust the posology.</w:t>
      </w:r>
    </w:p>
    <w:p w:rsidR="006156F6" w:rsidRPr="00113FDB" w:rsidRDefault="006156F6" w:rsidP="00672BAE">
      <w:pPr>
        <w:ind w:left="851"/>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Paediatric population</w:t>
      </w:r>
    </w:p>
    <w:p w:rsidR="006156F6" w:rsidRPr="00113FDB" w:rsidRDefault="006156F6" w:rsidP="00672BAE">
      <w:pPr>
        <w:ind w:left="851"/>
        <w:rPr>
          <w:sz w:val="24"/>
          <w:szCs w:val="24"/>
          <w:lang w:val="en-GB"/>
        </w:rPr>
      </w:pPr>
      <w:r w:rsidRPr="00113FDB">
        <w:rPr>
          <w:sz w:val="24"/>
          <w:szCs w:val="24"/>
          <w:lang w:val="en-GB"/>
        </w:rPr>
        <w:t xml:space="preserve">Careful consideration of the indication is required since the effective dose per </w:t>
      </w:r>
      <w:proofErr w:type="spellStart"/>
      <w:r w:rsidRPr="00113FDB">
        <w:rPr>
          <w:sz w:val="24"/>
          <w:szCs w:val="24"/>
          <w:lang w:val="en-GB"/>
        </w:rPr>
        <w:t>MBq</w:t>
      </w:r>
      <w:proofErr w:type="spellEnd"/>
      <w:r w:rsidRPr="00113FDB">
        <w:rPr>
          <w:sz w:val="24"/>
          <w:szCs w:val="24"/>
          <w:lang w:val="en-GB"/>
        </w:rPr>
        <w:t xml:space="preserve"> is higher than in adults (see section 11). When treating children and young adults, account must be taken of the greater sensitivity of child tissue and the greater life expectancy of such patients. The risks should be weighed against those of other possible treatments (see sections 4.2 and 11).</w:t>
      </w:r>
    </w:p>
    <w:p w:rsidR="006156F6" w:rsidRPr="00113FDB" w:rsidRDefault="006156F6" w:rsidP="00672BAE">
      <w:pPr>
        <w:ind w:left="851"/>
        <w:rPr>
          <w:sz w:val="24"/>
          <w:szCs w:val="24"/>
          <w:lang w:val="en-GB"/>
        </w:rPr>
      </w:pPr>
      <w:r w:rsidRPr="00113FDB">
        <w:rPr>
          <w:sz w:val="24"/>
          <w:szCs w:val="24"/>
          <w:lang w:val="en-GB"/>
        </w:rPr>
        <w:t xml:space="preserve">The radioiodine treatment of benign thyroid diseases of children and adolescents may be performed only in justified cases, especially in relapse after use of antithyroid medicinal products or in case of serious adverse reactions to antithyroid medicinal products. There is no evidence of an increased incidence of cancer, </w:t>
      </w:r>
      <w:proofErr w:type="spellStart"/>
      <w:r w:rsidRPr="00113FDB">
        <w:rPr>
          <w:sz w:val="24"/>
          <w:szCs w:val="24"/>
          <w:lang w:val="en-GB"/>
        </w:rPr>
        <w:t>leukemia</w:t>
      </w:r>
      <w:proofErr w:type="spellEnd"/>
      <w:r w:rsidRPr="00113FDB">
        <w:rPr>
          <w:sz w:val="24"/>
          <w:szCs w:val="24"/>
          <w:lang w:val="en-GB"/>
        </w:rPr>
        <w:t xml:space="preserve"> or mutations in humans with respect to patients treated for benign thyroid disease with radioiodine, despite extensive use.</w:t>
      </w:r>
    </w:p>
    <w:p w:rsidR="006156F6" w:rsidRPr="00113FDB" w:rsidRDefault="006156F6" w:rsidP="00672BAE">
      <w:pPr>
        <w:ind w:left="851"/>
        <w:rPr>
          <w:sz w:val="24"/>
          <w:szCs w:val="24"/>
          <w:lang w:val="en-GB"/>
        </w:rPr>
      </w:pPr>
      <w:r w:rsidRPr="00113FDB">
        <w:rPr>
          <w:sz w:val="24"/>
          <w:szCs w:val="24"/>
          <w:lang w:val="en-GB"/>
        </w:rPr>
        <w:t>Persons who have received radiotherapy of the thyroid as children and adolescents, should be re-examined once a year.</w:t>
      </w:r>
    </w:p>
    <w:p w:rsidR="000B46CC" w:rsidRDefault="000B46CC" w:rsidP="00672BAE">
      <w:pPr>
        <w:ind w:left="851"/>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Patient preparation</w:t>
      </w:r>
    </w:p>
    <w:p w:rsidR="006156F6" w:rsidRPr="00113FDB" w:rsidRDefault="006156F6" w:rsidP="00672BAE">
      <w:pPr>
        <w:ind w:left="851"/>
        <w:rPr>
          <w:sz w:val="24"/>
          <w:szCs w:val="24"/>
          <w:lang w:val="en-GB"/>
        </w:rPr>
      </w:pPr>
      <w:r w:rsidRPr="00113FDB">
        <w:rPr>
          <w:sz w:val="24"/>
          <w:szCs w:val="24"/>
          <w:lang w:val="en-GB"/>
        </w:rPr>
        <w:t>Patients should be encouraged to increase oral fluids and urged to void as often as possible to reduce bladder radiation, especially after high activities e.g. for the treatment of thyroid carcinoma. Patients with bladder voiding problems should be catheterised after administration of high activities of radioiodine.</w:t>
      </w:r>
    </w:p>
    <w:p w:rsidR="006156F6" w:rsidRPr="00113FDB" w:rsidRDefault="006156F6" w:rsidP="00672BAE">
      <w:pPr>
        <w:ind w:left="851"/>
        <w:rPr>
          <w:sz w:val="24"/>
          <w:szCs w:val="24"/>
          <w:lang w:val="en-GB"/>
        </w:rPr>
      </w:pPr>
      <w:r w:rsidRPr="00113FDB">
        <w:rPr>
          <w:sz w:val="24"/>
          <w:szCs w:val="24"/>
          <w:lang w:val="en-GB"/>
        </w:rPr>
        <w:t>To reduce colon radiation exposure, mild laxatives (but not stool softeners which do not stimulate the bowel) may be necessary in patients having less than one bowel movement a day.</w:t>
      </w:r>
    </w:p>
    <w:p w:rsidR="006156F6" w:rsidRPr="00113FDB" w:rsidRDefault="006156F6" w:rsidP="00672BAE">
      <w:pPr>
        <w:ind w:left="851"/>
        <w:rPr>
          <w:sz w:val="24"/>
          <w:szCs w:val="24"/>
          <w:lang w:val="en-GB"/>
        </w:rPr>
      </w:pPr>
      <w:r w:rsidRPr="00113FDB">
        <w:rPr>
          <w:sz w:val="24"/>
          <w:szCs w:val="24"/>
          <w:lang w:val="en-GB"/>
        </w:rPr>
        <w:t>To avoid sialadenitis that may occur after high dose radioiodine administration, the patient should be advised to take sweets or drinks containing citric acid (lemon juice, vitamin C) to stimulate saliva excretion before therapy. Other pharmacological protection measures may be used additionally.</w:t>
      </w:r>
    </w:p>
    <w:p w:rsidR="006156F6" w:rsidRPr="00113FDB" w:rsidRDefault="006156F6" w:rsidP="00672BAE">
      <w:pPr>
        <w:ind w:left="851"/>
        <w:rPr>
          <w:sz w:val="24"/>
          <w:szCs w:val="24"/>
          <w:lang w:val="en-GB"/>
        </w:rPr>
      </w:pPr>
      <w:r w:rsidRPr="00113FDB">
        <w:rPr>
          <w:sz w:val="24"/>
          <w:szCs w:val="24"/>
          <w:lang w:val="en-GB"/>
        </w:rPr>
        <w:t>Iodide overload from food or medicinal treatment should be investigated before administration of iodide (see section 4.5). A low iodine diet prior to therapy is recommended to enhance uptake into functioning thyroid tissue.</w:t>
      </w:r>
    </w:p>
    <w:p w:rsidR="006156F6" w:rsidRPr="00113FDB" w:rsidRDefault="006156F6" w:rsidP="00672BAE">
      <w:pPr>
        <w:ind w:left="851"/>
        <w:rPr>
          <w:sz w:val="24"/>
          <w:szCs w:val="24"/>
          <w:lang w:val="en-GB"/>
        </w:rPr>
      </w:pPr>
      <w:r w:rsidRPr="00113FDB">
        <w:rPr>
          <w:sz w:val="24"/>
          <w:szCs w:val="24"/>
          <w:lang w:val="en-GB"/>
        </w:rPr>
        <w:t xml:space="preserve">Thyroid replacement should be stopped prior to radioiodine administration for thyroid carcinoma to ensure adequate uptake. It is recommended to stop triiodothyronine treatment for a period of 14 days and to stop thyroxine treatment for a period of 4 weeks. They should be restarted two days after treatment. </w:t>
      </w:r>
      <w:proofErr w:type="spellStart"/>
      <w:r w:rsidRPr="00113FDB">
        <w:rPr>
          <w:sz w:val="24"/>
          <w:szCs w:val="24"/>
          <w:lang w:val="en-GB"/>
        </w:rPr>
        <w:t>Carbimazole</w:t>
      </w:r>
      <w:proofErr w:type="spellEnd"/>
      <w:r w:rsidRPr="00113FDB">
        <w:rPr>
          <w:sz w:val="24"/>
          <w:szCs w:val="24"/>
          <w:lang w:val="en-GB"/>
        </w:rPr>
        <w:t xml:space="preserve"> and propylthiouracil should be stopped 1 week prior to treatment of hyperthyroidism and restarted several days after treatment.</w:t>
      </w:r>
    </w:p>
    <w:p w:rsidR="006156F6" w:rsidRPr="00113FDB" w:rsidRDefault="006156F6" w:rsidP="00672BAE">
      <w:pPr>
        <w:ind w:left="851"/>
        <w:rPr>
          <w:sz w:val="24"/>
          <w:szCs w:val="24"/>
          <w:lang w:val="en-GB"/>
        </w:rPr>
      </w:pPr>
      <w:r w:rsidRPr="00113FDB">
        <w:rPr>
          <w:sz w:val="24"/>
          <w:szCs w:val="24"/>
          <w:lang w:val="en-GB"/>
        </w:rPr>
        <w:t>The radioiodine treatment of Graves’ disease should be performed under concomitant treatment of corticosteroids, particularly when endocrine ophthalmopathy is present.</w:t>
      </w:r>
    </w:p>
    <w:p w:rsidR="006156F6" w:rsidRPr="00113FDB" w:rsidRDefault="006156F6" w:rsidP="00672BAE">
      <w:pPr>
        <w:ind w:left="851"/>
        <w:rPr>
          <w:sz w:val="24"/>
          <w:szCs w:val="24"/>
          <w:lang w:val="en-GB"/>
        </w:rPr>
      </w:pPr>
      <w:r w:rsidRPr="00113FDB">
        <w:rPr>
          <w:sz w:val="24"/>
          <w:szCs w:val="24"/>
          <w:lang w:val="en-GB"/>
        </w:rPr>
        <w:t>In patients with suspected gastrointestinal disease, great care should be taken when administering sodium iodide (</w:t>
      </w:r>
      <w:r w:rsidRPr="00113FDB">
        <w:rPr>
          <w:sz w:val="24"/>
          <w:szCs w:val="24"/>
          <w:vertAlign w:val="superscript"/>
          <w:lang w:val="en-GB"/>
        </w:rPr>
        <w:t>131</w:t>
      </w:r>
      <w:r w:rsidRPr="00113FDB">
        <w:rPr>
          <w:sz w:val="24"/>
          <w:szCs w:val="24"/>
          <w:lang w:val="en-GB"/>
        </w:rPr>
        <w:t>I) solution. Concomitant use of H2-antagonists or proton pump inhibitors is advised.</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i/>
          <w:iCs/>
          <w:sz w:val="24"/>
          <w:szCs w:val="24"/>
          <w:lang w:val="en-GB"/>
        </w:rPr>
        <w:t xml:space="preserve">After the procedure </w:t>
      </w:r>
    </w:p>
    <w:p w:rsidR="006156F6" w:rsidRPr="00113FDB" w:rsidRDefault="006156F6" w:rsidP="00672BAE">
      <w:pPr>
        <w:ind w:left="851"/>
        <w:rPr>
          <w:sz w:val="24"/>
          <w:szCs w:val="24"/>
          <w:lang w:val="en-GB"/>
        </w:rPr>
      </w:pPr>
      <w:r w:rsidRPr="00113FDB">
        <w:rPr>
          <w:sz w:val="24"/>
          <w:szCs w:val="24"/>
          <w:lang w:val="en-GB"/>
        </w:rPr>
        <w:t xml:space="preserve">Close contact with infants and pregnant women should be restricted for an appropriate period of time. </w:t>
      </w:r>
    </w:p>
    <w:p w:rsidR="006156F6" w:rsidRPr="00113FDB" w:rsidRDefault="006156F6" w:rsidP="00672BAE">
      <w:pPr>
        <w:ind w:left="851"/>
        <w:rPr>
          <w:sz w:val="24"/>
          <w:szCs w:val="24"/>
          <w:lang w:val="en-GB"/>
        </w:rPr>
      </w:pPr>
      <w:r w:rsidRPr="00113FDB">
        <w:rPr>
          <w:sz w:val="24"/>
          <w:szCs w:val="24"/>
          <w:lang w:val="en-GB"/>
        </w:rPr>
        <w:t xml:space="preserve">In case of vomiting, the risk of contamination has to be considered. </w:t>
      </w:r>
    </w:p>
    <w:p w:rsidR="006156F6" w:rsidRPr="00113FDB" w:rsidRDefault="006156F6" w:rsidP="00672BAE">
      <w:pPr>
        <w:ind w:left="851"/>
        <w:rPr>
          <w:sz w:val="24"/>
          <w:szCs w:val="24"/>
          <w:lang w:val="en-GB"/>
        </w:rPr>
      </w:pPr>
      <w:r w:rsidRPr="00113FDB">
        <w:rPr>
          <w:sz w:val="24"/>
          <w:szCs w:val="24"/>
          <w:lang w:val="en-GB"/>
        </w:rPr>
        <w:t>Patients receiving therapy of the thyroid should be re-examined at appropriate intervals.</w:t>
      </w:r>
    </w:p>
    <w:p w:rsidR="006156F6" w:rsidRPr="00113FDB" w:rsidRDefault="006156F6" w:rsidP="00672BAE">
      <w:pPr>
        <w:ind w:left="851"/>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Specific warnings</w:t>
      </w:r>
    </w:p>
    <w:p w:rsidR="006156F6" w:rsidRPr="00113FDB" w:rsidRDefault="006156F6" w:rsidP="00672BAE">
      <w:pPr>
        <w:ind w:left="851"/>
        <w:rPr>
          <w:sz w:val="24"/>
          <w:szCs w:val="24"/>
          <w:lang w:val="en-GB"/>
        </w:rPr>
      </w:pPr>
      <w:r w:rsidRPr="00113FDB">
        <w:rPr>
          <w:sz w:val="24"/>
          <w:szCs w:val="24"/>
          <w:lang w:val="en-GB"/>
        </w:rPr>
        <w:t xml:space="preserve">This medicinal product contains 5.7 mg sodium per mL, equivalent to 0.285% of the WHO recommended maximum daily intake of 2 g sodium for an adult. To be </w:t>
      </w:r>
      <w:proofErr w:type="gramStart"/>
      <w:r w:rsidRPr="00113FDB">
        <w:rPr>
          <w:sz w:val="24"/>
          <w:szCs w:val="24"/>
          <w:lang w:val="en-GB"/>
        </w:rPr>
        <w:t>taken into account</w:t>
      </w:r>
      <w:proofErr w:type="gramEnd"/>
      <w:r w:rsidRPr="00113FDB">
        <w:rPr>
          <w:sz w:val="24"/>
          <w:szCs w:val="24"/>
          <w:lang w:val="en-GB"/>
        </w:rPr>
        <w:t xml:space="preserve"> by patients on a controlled sodium diet.</w:t>
      </w:r>
    </w:p>
    <w:p w:rsidR="006156F6" w:rsidRPr="00113FDB" w:rsidRDefault="006156F6" w:rsidP="00672BAE">
      <w:pPr>
        <w:ind w:left="851"/>
        <w:rPr>
          <w:b/>
          <w:sz w:val="24"/>
          <w:szCs w:val="24"/>
          <w:lang w:val="en-GB"/>
        </w:rPr>
      </w:pPr>
    </w:p>
    <w:p w:rsidR="006156F6" w:rsidRPr="00113FDB" w:rsidRDefault="006156F6" w:rsidP="00672BAE">
      <w:pPr>
        <w:ind w:left="851"/>
        <w:rPr>
          <w:sz w:val="24"/>
          <w:szCs w:val="24"/>
          <w:lang w:val="en-GB"/>
        </w:rPr>
      </w:pPr>
      <w:r w:rsidRPr="00113FDB">
        <w:rPr>
          <w:sz w:val="24"/>
          <w:szCs w:val="24"/>
          <w:lang w:val="en-GB"/>
        </w:rPr>
        <w:t>Precautions with respect to environmental hazard, see section 6.6.</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ind w:left="851" w:hanging="851"/>
        <w:rPr>
          <w:b/>
          <w:sz w:val="24"/>
          <w:szCs w:val="24"/>
          <w:lang w:val="en-GB" w:eastAsia="da-DK"/>
        </w:rPr>
      </w:pPr>
      <w:r w:rsidRPr="00113FDB">
        <w:rPr>
          <w:b/>
          <w:sz w:val="24"/>
          <w:szCs w:val="24"/>
          <w:lang w:val="en-GB"/>
        </w:rPr>
        <w:t>4.5</w:t>
      </w:r>
      <w:r w:rsidRPr="00113FDB">
        <w:rPr>
          <w:b/>
          <w:sz w:val="24"/>
          <w:szCs w:val="24"/>
          <w:lang w:val="en-GB"/>
        </w:rPr>
        <w:tab/>
        <w:t>Interaction with other medicinal products and other forms of interaction</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 xml:space="preserve">Many pharmacologically active substances interact with </w:t>
      </w:r>
      <w:proofErr w:type="spellStart"/>
      <w:r w:rsidRPr="00113FDB">
        <w:rPr>
          <w:sz w:val="24"/>
          <w:szCs w:val="24"/>
          <w:lang w:val="en-GB"/>
        </w:rPr>
        <w:t>radioiodide</w:t>
      </w:r>
      <w:proofErr w:type="spellEnd"/>
      <w:r w:rsidRPr="00113FDB">
        <w:rPr>
          <w:sz w:val="24"/>
          <w:szCs w:val="24"/>
          <w:lang w:val="en-GB"/>
        </w:rPr>
        <w:t>. Various interaction mechanisms exist which can affect the protein binding, the pharmacokinetics or the dynamic effects of labelled iodide. As a consequence, it should be considered that the thyroid uptake might be reduced. Therefore</w:t>
      </w:r>
      <w:r w:rsidR="000B46CC">
        <w:rPr>
          <w:sz w:val="24"/>
          <w:szCs w:val="24"/>
          <w:lang w:val="en-GB"/>
        </w:rPr>
        <w:t>,</w:t>
      </w:r>
      <w:r w:rsidRPr="00113FDB">
        <w:rPr>
          <w:sz w:val="24"/>
          <w:szCs w:val="24"/>
          <w:lang w:val="en-GB"/>
        </w:rPr>
        <w:t xml:space="preserve"> a full drug history should be taken and relevant medicinal products are required to be withheld prior to the administration of sodium iodide (</w:t>
      </w:r>
      <w:r w:rsidRPr="00113FDB">
        <w:rPr>
          <w:sz w:val="24"/>
          <w:szCs w:val="24"/>
          <w:vertAlign w:val="superscript"/>
          <w:lang w:val="en-GB"/>
        </w:rPr>
        <w:t>131</w:t>
      </w:r>
      <w:r w:rsidRPr="00113FDB">
        <w:rPr>
          <w:sz w:val="24"/>
          <w:szCs w:val="24"/>
          <w:lang w:val="en-GB"/>
        </w:rPr>
        <w:t xml:space="preserve">I). </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For example, the treatment with the following substances should be discontinued:</w:t>
      </w:r>
    </w:p>
    <w:p w:rsidR="006156F6" w:rsidRPr="00113FDB" w:rsidRDefault="006156F6" w:rsidP="006156F6">
      <w:pPr>
        <w:autoSpaceDE w:val="0"/>
        <w:autoSpaceDN w:val="0"/>
        <w:adjustRightInd w:val="0"/>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493"/>
        <w:gridCol w:w="3135"/>
      </w:tblGrid>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b/>
                <w:sz w:val="24"/>
                <w:szCs w:val="24"/>
                <w:lang w:val="en-GB"/>
              </w:rPr>
            </w:pPr>
            <w:r w:rsidRPr="00113FDB">
              <w:rPr>
                <w:b/>
                <w:sz w:val="24"/>
                <w:szCs w:val="24"/>
                <w:lang w:val="en-GB"/>
              </w:rPr>
              <w:t>Active substances</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b/>
                <w:sz w:val="24"/>
                <w:szCs w:val="24"/>
                <w:lang w:val="en-GB"/>
              </w:rPr>
            </w:pPr>
            <w:r w:rsidRPr="00113FDB">
              <w:rPr>
                <w:b/>
                <w:sz w:val="24"/>
                <w:szCs w:val="24"/>
                <w:lang w:val="en-GB"/>
              </w:rPr>
              <w:t>Withdrawal period before administration of sodium iodide (</w:t>
            </w:r>
            <w:r w:rsidRPr="00113FDB">
              <w:rPr>
                <w:b/>
                <w:sz w:val="24"/>
                <w:szCs w:val="24"/>
                <w:vertAlign w:val="superscript"/>
                <w:lang w:val="en-GB"/>
              </w:rPr>
              <w:t>131</w:t>
            </w:r>
            <w:r w:rsidRPr="00113FDB">
              <w:rPr>
                <w:b/>
                <w:sz w:val="24"/>
                <w:szCs w:val="24"/>
                <w:lang w:val="en-GB"/>
              </w:rPr>
              <w:t>I)</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Antithyroid medicinal products (</w:t>
            </w:r>
            <w:proofErr w:type="spellStart"/>
            <w:r w:rsidRPr="00113FDB">
              <w:rPr>
                <w:sz w:val="24"/>
                <w:szCs w:val="24"/>
                <w:lang w:val="en-GB"/>
              </w:rPr>
              <w:t>e.g</w:t>
            </w:r>
            <w:proofErr w:type="spellEnd"/>
            <w:r w:rsidRPr="00113FDB">
              <w:rPr>
                <w:sz w:val="24"/>
                <w:szCs w:val="24"/>
                <w:lang w:val="en-US"/>
              </w:rPr>
              <w:t>.</w:t>
            </w:r>
            <w:r w:rsidRPr="00113FDB">
              <w:rPr>
                <w:sz w:val="24"/>
                <w:szCs w:val="24"/>
                <w:lang w:val="en-GB"/>
              </w:rPr>
              <w:t xml:space="preserve"> </w:t>
            </w:r>
            <w:proofErr w:type="spellStart"/>
            <w:r w:rsidRPr="00113FDB">
              <w:rPr>
                <w:sz w:val="24"/>
                <w:szCs w:val="24"/>
                <w:lang w:val="en-GB"/>
              </w:rPr>
              <w:t>carbimazole</w:t>
            </w:r>
            <w:proofErr w:type="spellEnd"/>
            <w:r w:rsidRPr="00113FDB">
              <w:rPr>
                <w:sz w:val="24"/>
                <w:szCs w:val="24"/>
                <w:lang w:val="en-GB"/>
              </w:rPr>
              <w:t>, methimazole, propylthiouracil), perchlorate</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1 week before starting treatment till several days after</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 xml:space="preserve">Salicylates, corticosteroids**, sodium nitroprusside, sodium </w:t>
            </w:r>
            <w:proofErr w:type="spellStart"/>
            <w:r w:rsidRPr="00113FDB">
              <w:rPr>
                <w:sz w:val="24"/>
                <w:szCs w:val="24"/>
                <w:lang w:val="en-GB"/>
              </w:rPr>
              <w:t>sulfobromophthalein</w:t>
            </w:r>
            <w:proofErr w:type="spellEnd"/>
            <w:r w:rsidRPr="00113FDB">
              <w:rPr>
                <w:sz w:val="24"/>
                <w:szCs w:val="24"/>
                <w:lang w:val="en-GB"/>
              </w:rPr>
              <w:t xml:space="preserve">, anticoagulants, antihistamines, </w:t>
            </w:r>
            <w:proofErr w:type="spellStart"/>
            <w:r w:rsidRPr="00113FDB">
              <w:rPr>
                <w:sz w:val="24"/>
                <w:szCs w:val="24"/>
                <w:lang w:val="en-GB"/>
              </w:rPr>
              <w:t>antiparasitics</w:t>
            </w:r>
            <w:proofErr w:type="spellEnd"/>
            <w:r w:rsidRPr="00113FDB">
              <w:rPr>
                <w:sz w:val="24"/>
                <w:szCs w:val="24"/>
                <w:lang w:val="en-GB"/>
              </w:rPr>
              <w:t xml:space="preserve">, </w:t>
            </w:r>
            <w:proofErr w:type="spellStart"/>
            <w:r w:rsidRPr="00113FDB">
              <w:rPr>
                <w:sz w:val="24"/>
                <w:szCs w:val="24"/>
                <w:lang w:val="en-GB"/>
              </w:rPr>
              <w:t>penicillins</w:t>
            </w:r>
            <w:proofErr w:type="spellEnd"/>
            <w:r w:rsidRPr="00113FDB">
              <w:rPr>
                <w:sz w:val="24"/>
                <w:szCs w:val="24"/>
                <w:lang w:val="en-GB"/>
              </w:rPr>
              <w:t>, sulphonamides, tolbutamide, thiopental</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rPr>
                <w:sz w:val="24"/>
                <w:szCs w:val="24"/>
                <w:lang w:val="en-GB"/>
              </w:rPr>
            </w:pPr>
            <w:r w:rsidRPr="00113FDB">
              <w:rPr>
                <w:sz w:val="24"/>
                <w:szCs w:val="24"/>
                <w:lang w:val="en-GB"/>
              </w:rPr>
              <w:t>1 week</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Phenylbutazone</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1 - 2 weeks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Containing iodine expectorants and vitamins</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approximately 2 weeks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Thyroid hormone preparations</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Triiodothyronine 2 weeks</w:t>
            </w:r>
            <w:r w:rsidRPr="00113FDB">
              <w:rPr>
                <w:sz w:val="24"/>
                <w:szCs w:val="24"/>
                <w:lang w:val="en-GB"/>
              </w:rPr>
              <w:br/>
              <w:t>thyroxine 4 weeks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Benzodiazepines, lithium</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approximately 4 weeks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Amiodarone*</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3-6 months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Containing iodine preparations for topical use</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1 - 9 months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rPr>
                <w:lang w:val="en-GB"/>
              </w:rPr>
            </w:pPr>
            <w:r w:rsidRPr="00113FDB">
              <w:rPr>
                <w:lang w:val="en-GB"/>
              </w:rPr>
              <w:t xml:space="preserve">Water-soluble iodine-containing contrast media </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6 to 8 weeks</w:t>
            </w:r>
          </w:p>
        </w:tc>
      </w:tr>
      <w:tr w:rsidR="006156F6" w:rsidRPr="00113FDB" w:rsidTr="00672BAE">
        <w:tc>
          <w:tcPr>
            <w:tcW w:w="3372"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it-IT"/>
              </w:rPr>
            </w:pPr>
            <w:r w:rsidRPr="00113FDB">
              <w:rPr>
                <w:sz w:val="24"/>
                <w:szCs w:val="24"/>
                <w:lang w:val="it-IT"/>
              </w:rPr>
              <w:t>Lipo-soluble iodine-containing contrast media</w:t>
            </w:r>
          </w:p>
        </w:tc>
        <w:tc>
          <w:tcPr>
            <w:tcW w:w="1628" w:type="pct"/>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up to 6 months</w:t>
            </w:r>
          </w:p>
        </w:tc>
      </w:tr>
      <w:tr w:rsidR="006156F6" w:rsidRPr="00113FDB" w:rsidTr="00672BAE">
        <w:tc>
          <w:tcPr>
            <w:tcW w:w="5000" w:type="pct"/>
            <w:gridSpan w:val="2"/>
            <w:tcBorders>
              <w:top w:val="single" w:sz="4" w:space="0" w:color="auto"/>
              <w:left w:val="nil"/>
              <w:bottom w:val="nil"/>
              <w:right w:val="nil"/>
            </w:tcBorders>
            <w:hideMark/>
          </w:tcPr>
          <w:p w:rsidR="006156F6" w:rsidRPr="00113FDB" w:rsidRDefault="006156F6">
            <w:pPr>
              <w:autoSpaceDE w:val="0"/>
              <w:autoSpaceDN w:val="0"/>
              <w:adjustRightInd w:val="0"/>
              <w:rPr>
                <w:sz w:val="24"/>
                <w:szCs w:val="24"/>
                <w:lang w:val="en-GB"/>
              </w:rPr>
            </w:pPr>
            <w:r w:rsidRPr="00113FDB">
              <w:rPr>
                <w:sz w:val="24"/>
                <w:szCs w:val="24"/>
                <w:lang w:val="en-GB"/>
              </w:rPr>
              <w:t>*Due to long half-life of amiodarone, iodine uptake in the thyroid tissue can be decreased for several months.</w:t>
            </w:r>
          </w:p>
          <w:p w:rsidR="006156F6" w:rsidRPr="00113FDB" w:rsidRDefault="006156F6">
            <w:pPr>
              <w:autoSpaceDE w:val="0"/>
              <w:autoSpaceDN w:val="0"/>
              <w:adjustRightInd w:val="0"/>
              <w:rPr>
                <w:sz w:val="24"/>
                <w:szCs w:val="24"/>
                <w:lang w:val="en-GB"/>
              </w:rPr>
            </w:pPr>
            <w:r w:rsidRPr="00113FDB">
              <w:rPr>
                <w:sz w:val="24"/>
                <w:szCs w:val="24"/>
                <w:lang w:val="en-GB"/>
              </w:rPr>
              <w:t>** Not applicable for Graves’ disease</w:t>
            </w:r>
          </w:p>
        </w:tc>
      </w:tr>
    </w:tbl>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ind w:left="851" w:hanging="851"/>
        <w:rPr>
          <w:b/>
          <w:sz w:val="24"/>
          <w:szCs w:val="24"/>
          <w:lang w:val="en-US" w:eastAsia="da-DK"/>
        </w:rPr>
      </w:pPr>
      <w:bookmarkStart w:id="1" w:name="_Hlk115703834"/>
      <w:r w:rsidRPr="00113FDB">
        <w:rPr>
          <w:b/>
          <w:sz w:val="24"/>
          <w:szCs w:val="24"/>
          <w:lang w:val="en-US"/>
        </w:rPr>
        <w:t>4.6</w:t>
      </w:r>
      <w:r w:rsidRPr="00113FDB">
        <w:rPr>
          <w:b/>
          <w:sz w:val="24"/>
          <w:szCs w:val="24"/>
          <w:lang w:val="en-US"/>
        </w:rPr>
        <w:tab/>
        <w:t>Fertility, pregnancy and lactation</w:t>
      </w:r>
      <w:bookmarkEnd w:id="1"/>
    </w:p>
    <w:p w:rsidR="0052186C" w:rsidRPr="00113FDB" w:rsidRDefault="0052186C" w:rsidP="0052186C">
      <w:pPr>
        <w:autoSpaceDE w:val="0"/>
        <w:autoSpaceDN w:val="0"/>
        <w:adjustRightInd w:val="0"/>
        <w:ind w:left="851" w:hanging="851"/>
        <w:rPr>
          <w:sz w:val="24"/>
          <w:szCs w:val="24"/>
          <w:lang w:val="en-US"/>
        </w:rPr>
      </w:pPr>
    </w:p>
    <w:p w:rsidR="0052186C" w:rsidRPr="00113FDB" w:rsidRDefault="0052186C" w:rsidP="0052186C">
      <w:pPr>
        <w:autoSpaceDE w:val="0"/>
        <w:autoSpaceDN w:val="0"/>
        <w:adjustRightInd w:val="0"/>
        <w:ind w:left="851" w:hanging="851"/>
        <w:rPr>
          <w:sz w:val="24"/>
          <w:szCs w:val="24"/>
          <w:u w:val="single"/>
          <w:lang w:val="en-US"/>
        </w:rPr>
      </w:pPr>
      <w:r w:rsidRPr="00113FDB">
        <w:rPr>
          <w:sz w:val="24"/>
          <w:szCs w:val="24"/>
          <w:lang w:val="en-US"/>
        </w:rPr>
        <w:tab/>
      </w:r>
      <w:r w:rsidRPr="00113FDB">
        <w:rPr>
          <w:sz w:val="24"/>
          <w:szCs w:val="24"/>
          <w:u w:val="single"/>
          <w:lang w:val="en-US"/>
        </w:rPr>
        <w:t>Women of childbearing potential</w:t>
      </w:r>
    </w:p>
    <w:p w:rsidR="006156F6" w:rsidRPr="00113FDB" w:rsidRDefault="0052186C" w:rsidP="00672BAE">
      <w:pPr>
        <w:ind w:left="851"/>
        <w:rPr>
          <w:sz w:val="24"/>
          <w:szCs w:val="24"/>
          <w:lang w:val="en-GB"/>
        </w:rPr>
      </w:pPr>
      <w:r w:rsidRPr="00113FDB">
        <w:rPr>
          <w:sz w:val="24"/>
          <w:szCs w:val="24"/>
          <w:lang w:val="en-US"/>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w:t>
      </w:r>
      <w:r w:rsidR="006156F6" w:rsidRPr="00113FDB">
        <w:rPr>
          <w:sz w:val="24"/>
          <w:szCs w:val="24"/>
          <w:lang w:val="en-US"/>
        </w:rPr>
        <w:t>a</w:t>
      </w:r>
      <w:r w:rsidRPr="00113FDB">
        <w:rPr>
          <w:sz w:val="24"/>
          <w:szCs w:val="24"/>
          <w:lang w:val="en-US"/>
        </w:rPr>
        <w:t xml:space="preserve">n has missed a period, if the period is very irregular, etc.), alternative techniques not using </w:t>
      </w:r>
      <w:proofErr w:type="spellStart"/>
      <w:r w:rsidRPr="00113FDB">
        <w:rPr>
          <w:sz w:val="24"/>
          <w:szCs w:val="24"/>
          <w:lang w:val="en-US"/>
        </w:rPr>
        <w:t>ioni</w:t>
      </w:r>
      <w:r w:rsidR="006156F6" w:rsidRPr="00113FDB">
        <w:rPr>
          <w:sz w:val="24"/>
          <w:szCs w:val="24"/>
          <w:lang w:val="en-US"/>
        </w:rPr>
        <w:t>s</w:t>
      </w:r>
      <w:r w:rsidRPr="00113FDB">
        <w:rPr>
          <w:sz w:val="24"/>
          <w:szCs w:val="24"/>
          <w:lang w:val="en-US"/>
        </w:rPr>
        <w:t>ing</w:t>
      </w:r>
      <w:proofErr w:type="spellEnd"/>
      <w:r w:rsidRPr="00113FDB">
        <w:rPr>
          <w:sz w:val="24"/>
          <w:szCs w:val="24"/>
          <w:lang w:val="en-US"/>
        </w:rPr>
        <w:t xml:space="preserve"> radiation (if there are any) should be offered to the patient. </w:t>
      </w:r>
      <w:r w:rsidR="006156F6" w:rsidRPr="00113FDB">
        <w:rPr>
          <w:sz w:val="24"/>
          <w:szCs w:val="24"/>
          <w:lang w:val="en-GB"/>
        </w:rPr>
        <w:t>Women receiving sodium iodide (</w:t>
      </w:r>
      <w:r w:rsidR="006156F6" w:rsidRPr="00113FDB">
        <w:rPr>
          <w:sz w:val="24"/>
          <w:szCs w:val="24"/>
          <w:vertAlign w:val="superscript"/>
          <w:lang w:val="en-GB"/>
        </w:rPr>
        <w:t>131</w:t>
      </w:r>
      <w:r w:rsidR="006156F6" w:rsidRPr="00113FDB">
        <w:rPr>
          <w:sz w:val="24"/>
          <w:szCs w:val="24"/>
          <w:lang w:val="en-GB"/>
        </w:rPr>
        <w:t>I) should be advised not to become pregnant within 6-12 months after administration.</w:t>
      </w:r>
    </w:p>
    <w:p w:rsidR="0052186C" w:rsidRPr="00113FDB" w:rsidRDefault="0052186C" w:rsidP="00672BAE">
      <w:pPr>
        <w:ind w:left="851"/>
        <w:rPr>
          <w:sz w:val="24"/>
          <w:szCs w:val="24"/>
          <w:lang w:val="en-GB"/>
        </w:rPr>
      </w:pPr>
    </w:p>
    <w:p w:rsidR="006156F6" w:rsidRPr="00113FDB" w:rsidRDefault="006156F6" w:rsidP="00672BAE">
      <w:pPr>
        <w:ind w:left="851"/>
        <w:rPr>
          <w:sz w:val="24"/>
          <w:szCs w:val="24"/>
          <w:u w:val="single"/>
          <w:lang w:val="en-GB"/>
        </w:rPr>
      </w:pPr>
      <w:r w:rsidRPr="00113FDB">
        <w:rPr>
          <w:sz w:val="24"/>
          <w:szCs w:val="24"/>
          <w:u w:val="single"/>
          <w:lang w:val="en-GB"/>
        </w:rPr>
        <w:t>Contraception in males and females</w:t>
      </w:r>
    </w:p>
    <w:p w:rsidR="006156F6" w:rsidRPr="00113FDB" w:rsidRDefault="006156F6" w:rsidP="00672BAE">
      <w:pPr>
        <w:ind w:left="851"/>
        <w:rPr>
          <w:sz w:val="24"/>
          <w:szCs w:val="24"/>
          <w:lang w:val="en-GB"/>
        </w:rPr>
      </w:pPr>
      <w:r w:rsidRPr="00113FDB">
        <w:rPr>
          <w:sz w:val="24"/>
          <w:szCs w:val="24"/>
          <w:lang w:val="en-GB"/>
        </w:rPr>
        <w:t>Contraception for 6 months (for patients with benign thyroid conditions) or 12 months (for patients with thyroid cancer) is recommended for both sexes after therapeutic administration of sodium iodide (</w:t>
      </w:r>
      <w:r w:rsidRPr="00113FDB">
        <w:rPr>
          <w:sz w:val="24"/>
          <w:szCs w:val="24"/>
          <w:vertAlign w:val="superscript"/>
          <w:lang w:val="en-GB"/>
        </w:rPr>
        <w:t>131</w:t>
      </w:r>
      <w:r w:rsidRPr="00113FDB">
        <w:rPr>
          <w:sz w:val="24"/>
          <w:szCs w:val="24"/>
          <w:lang w:val="en-GB"/>
        </w:rPr>
        <w:t xml:space="preserve">I). Men </w:t>
      </w:r>
      <w:r w:rsidRPr="00113FDB">
        <w:rPr>
          <w:spacing w:val="-4"/>
          <w:sz w:val="24"/>
          <w:szCs w:val="24"/>
          <w:lang w:val="en-GB"/>
        </w:rPr>
        <w:t>should not father a child</w:t>
      </w:r>
      <w:r w:rsidRPr="00113FDB">
        <w:rPr>
          <w:sz w:val="24"/>
          <w:szCs w:val="24"/>
          <w:lang w:val="en-GB"/>
        </w:rPr>
        <w:t xml:space="preserve"> for a time period of 6-12 months after radioiodine treatment to allow the replacement of irradiated by non-irradiated spermatozoa. Sperm banking should be considered for men who have extensive disease and therefore may need high sodium iodide (</w:t>
      </w:r>
      <w:r w:rsidRPr="00113FDB">
        <w:rPr>
          <w:sz w:val="24"/>
          <w:szCs w:val="24"/>
          <w:vertAlign w:val="superscript"/>
          <w:lang w:val="en-GB"/>
        </w:rPr>
        <w:t>131</w:t>
      </w:r>
      <w:r w:rsidRPr="00113FDB">
        <w:rPr>
          <w:sz w:val="24"/>
          <w:szCs w:val="24"/>
          <w:lang w:val="en-GB"/>
        </w:rPr>
        <w:t>I) therapeutic doses.</w:t>
      </w:r>
    </w:p>
    <w:p w:rsidR="006156F6" w:rsidRPr="00113FDB" w:rsidRDefault="006156F6" w:rsidP="00672BAE">
      <w:pPr>
        <w:ind w:left="851"/>
        <w:rPr>
          <w:sz w:val="24"/>
          <w:szCs w:val="24"/>
          <w:lang w:val="en-GB"/>
        </w:rPr>
      </w:pPr>
    </w:p>
    <w:p w:rsidR="006156F6" w:rsidRPr="00113FDB" w:rsidRDefault="006156F6" w:rsidP="00672BAE">
      <w:pPr>
        <w:ind w:left="851"/>
        <w:rPr>
          <w:sz w:val="24"/>
          <w:szCs w:val="24"/>
          <w:u w:val="single"/>
          <w:lang w:val="en-GB"/>
        </w:rPr>
      </w:pPr>
      <w:r w:rsidRPr="00113FDB">
        <w:rPr>
          <w:sz w:val="24"/>
          <w:szCs w:val="24"/>
          <w:u w:val="single"/>
          <w:lang w:val="en-GB"/>
        </w:rPr>
        <w:t>Pregnancy</w:t>
      </w:r>
    </w:p>
    <w:p w:rsidR="006156F6" w:rsidRPr="00113FDB" w:rsidRDefault="006156F6" w:rsidP="00672BAE">
      <w:pPr>
        <w:ind w:left="851"/>
        <w:rPr>
          <w:sz w:val="24"/>
          <w:szCs w:val="24"/>
          <w:lang w:val="en-GB"/>
        </w:rPr>
      </w:pPr>
      <w:r w:rsidRPr="00113FDB">
        <w:rPr>
          <w:sz w:val="24"/>
          <w:szCs w:val="24"/>
          <w:lang w:val="en-GB"/>
        </w:rPr>
        <w:t>The use of sodium iodide (</w:t>
      </w:r>
      <w:r w:rsidRPr="00113FDB">
        <w:rPr>
          <w:sz w:val="24"/>
          <w:szCs w:val="24"/>
          <w:vertAlign w:val="superscript"/>
          <w:lang w:val="en-GB"/>
        </w:rPr>
        <w:t>131</w:t>
      </w:r>
      <w:r w:rsidRPr="00113FDB">
        <w:rPr>
          <w:sz w:val="24"/>
          <w:szCs w:val="24"/>
          <w:lang w:val="en-GB"/>
        </w:rPr>
        <w:t>I) is contraindicated during established or suspected pregnancy or when pregnancy has not been excluded</w:t>
      </w:r>
      <w:r w:rsidRPr="00113FDB">
        <w:rPr>
          <w:spacing w:val="-1"/>
          <w:sz w:val="24"/>
          <w:szCs w:val="24"/>
          <w:lang w:val="en-GB"/>
        </w:rPr>
        <w:t>,</w:t>
      </w:r>
      <w:r w:rsidRPr="00113FDB">
        <w:rPr>
          <w:sz w:val="24"/>
          <w:szCs w:val="24"/>
          <w:lang w:val="en-GB"/>
        </w:rPr>
        <w:t xml:space="preserve"> because transplacental passage of sodium iodide (</w:t>
      </w:r>
      <w:r w:rsidRPr="00113FDB">
        <w:rPr>
          <w:sz w:val="24"/>
          <w:szCs w:val="24"/>
          <w:vertAlign w:val="superscript"/>
          <w:lang w:val="en-GB"/>
        </w:rPr>
        <w:t>131</w:t>
      </w:r>
      <w:r w:rsidRPr="00113FDB">
        <w:rPr>
          <w:sz w:val="24"/>
          <w:szCs w:val="24"/>
          <w:lang w:val="en-GB"/>
        </w:rPr>
        <w:t>I) can cause severe and possibly irreversible hypothyroidism in neonates (the absorbed dose to the uterus for this medicinal product is likely to be in the range 11-511 </w:t>
      </w:r>
      <w:proofErr w:type="spellStart"/>
      <w:r w:rsidRPr="00113FDB">
        <w:rPr>
          <w:sz w:val="24"/>
          <w:szCs w:val="24"/>
          <w:lang w:val="en-GB"/>
        </w:rPr>
        <w:t>mGy</w:t>
      </w:r>
      <w:proofErr w:type="spellEnd"/>
      <w:r w:rsidRPr="00113FDB">
        <w:rPr>
          <w:sz w:val="24"/>
          <w:szCs w:val="24"/>
          <w:lang w:val="en-GB"/>
        </w:rPr>
        <w:t>, and the foetal thyroid gland avidly concentrates iodine during the second and third trimesters) (see section 4.3)</w:t>
      </w:r>
      <w:r w:rsidRPr="00113FDB">
        <w:rPr>
          <w:spacing w:val="-1"/>
          <w:sz w:val="24"/>
          <w:szCs w:val="24"/>
          <w:lang w:val="en-GB"/>
        </w:rPr>
        <w:t>.</w:t>
      </w:r>
    </w:p>
    <w:p w:rsidR="006156F6" w:rsidRPr="00113FDB" w:rsidRDefault="006156F6" w:rsidP="00672BAE">
      <w:pPr>
        <w:ind w:left="851"/>
        <w:rPr>
          <w:sz w:val="24"/>
          <w:szCs w:val="24"/>
          <w:lang w:val="en-GB"/>
        </w:rPr>
      </w:pPr>
      <w:r w:rsidRPr="00113FDB">
        <w:rPr>
          <w:sz w:val="24"/>
          <w:szCs w:val="24"/>
          <w:lang w:val="en-GB"/>
        </w:rPr>
        <w:t>If a differentiated thyroid carcinoma is diagnosed during pregnancy, sodium iodide (</w:t>
      </w:r>
      <w:r w:rsidRPr="00113FDB">
        <w:rPr>
          <w:sz w:val="24"/>
          <w:szCs w:val="24"/>
          <w:vertAlign w:val="superscript"/>
          <w:lang w:val="en-GB"/>
        </w:rPr>
        <w:t>131</w:t>
      </w:r>
      <w:r w:rsidRPr="00113FDB">
        <w:rPr>
          <w:sz w:val="24"/>
          <w:szCs w:val="24"/>
          <w:lang w:val="en-GB"/>
        </w:rPr>
        <w:t>I) treatment should be postponed until after the childbirth.</w:t>
      </w:r>
    </w:p>
    <w:p w:rsidR="000B46CC" w:rsidRDefault="000B46CC" w:rsidP="00672BAE">
      <w:pPr>
        <w:ind w:left="851"/>
        <w:rPr>
          <w:sz w:val="24"/>
          <w:szCs w:val="24"/>
          <w:u w:val="single"/>
          <w:lang w:val="en-GB"/>
        </w:rPr>
      </w:pPr>
    </w:p>
    <w:p w:rsidR="006156F6" w:rsidRPr="00113FDB" w:rsidRDefault="006156F6" w:rsidP="00672BAE">
      <w:pPr>
        <w:ind w:left="851"/>
        <w:rPr>
          <w:sz w:val="24"/>
          <w:szCs w:val="24"/>
          <w:u w:val="single"/>
          <w:lang w:val="en-GB"/>
        </w:rPr>
      </w:pPr>
      <w:r w:rsidRPr="00113FDB">
        <w:rPr>
          <w:sz w:val="24"/>
          <w:szCs w:val="24"/>
          <w:u w:val="single"/>
          <w:lang w:val="en-GB"/>
        </w:rPr>
        <w:t>Breastfeeding</w:t>
      </w:r>
    </w:p>
    <w:p w:rsidR="006156F6" w:rsidRPr="00113FDB" w:rsidRDefault="006156F6" w:rsidP="00672BAE">
      <w:pPr>
        <w:ind w:left="851"/>
        <w:rPr>
          <w:sz w:val="24"/>
          <w:szCs w:val="24"/>
          <w:lang w:val="en-GB"/>
        </w:rPr>
      </w:pPr>
      <w:r w:rsidRPr="00113FDB">
        <w:rPr>
          <w:sz w:val="24"/>
          <w:szCs w:val="24"/>
          <w:lang w:val="en-GB"/>
        </w:rPr>
        <w:t>Before administering radiopharmaceuticals to a mother who is breast-feeding, consideration should be given to the possibility of delaying the administration of radionuclide until the mother has ceased breast-feeding, and what is the most appropriate choice of radiopharmaceuticals, bearing in mind the secretion of activity in breast milk. If the administration is considered necessary, breast-feeding must be discontinued at least 8 weeks before sodium iodide (</w:t>
      </w:r>
      <w:r w:rsidRPr="00113FDB">
        <w:rPr>
          <w:sz w:val="24"/>
          <w:szCs w:val="24"/>
          <w:vertAlign w:val="superscript"/>
          <w:lang w:val="en-GB"/>
        </w:rPr>
        <w:t>131</w:t>
      </w:r>
      <w:r w:rsidRPr="00113FDB">
        <w:rPr>
          <w:sz w:val="24"/>
          <w:szCs w:val="24"/>
          <w:lang w:val="en-GB"/>
        </w:rPr>
        <w:t>I) administration and should not be resumed (see section 4.3).</w:t>
      </w:r>
    </w:p>
    <w:p w:rsidR="006156F6" w:rsidRPr="00113FDB" w:rsidRDefault="006156F6" w:rsidP="00672BAE">
      <w:pPr>
        <w:ind w:left="851"/>
        <w:rPr>
          <w:sz w:val="24"/>
          <w:szCs w:val="24"/>
          <w:lang w:val="en-GB"/>
        </w:rPr>
      </w:pPr>
      <w:r w:rsidRPr="00113FDB">
        <w:rPr>
          <w:sz w:val="24"/>
          <w:szCs w:val="24"/>
          <w:lang w:val="en-GB"/>
        </w:rPr>
        <w:t>For radioprotection reasons following therapeutic doses, it is recommended to avoid close contact between mother and infants for at least one week.</w:t>
      </w:r>
    </w:p>
    <w:p w:rsidR="000B46CC" w:rsidRDefault="000B46CC">
      <w:pPr>
        <w:rPr>
          <w:sz w:val="24"/>
          <w:szCs w:val="24"/>
          <w:lang w:val="en-GB"/>
        </w:rPr>
      </w:pPr>
      <w:r>
        <w:rPr>
          <w:sz w:val="24"/>
          <w:szCs w:val="24"/>
          <w:lang w:val="en-GB"/>
        </w:rPr>
        <w:br w:type="page"/>
      </w:r>
    </w:p>
    <w:p w:rsidR="006156F6" w:rsidRPr="00113FDB" w:rsidRDefault="006156F6" w:rsidP="00672BAE">
      <w:pPr>
        <w:ind w:left="851"/>
        <w:rPr>
          <w:sz w:val="24"/>
          <w:szCs w:val="24"/>
          <w:lang w:val="en-GB"/>
        </w:rPr>
      </w:pPr>
    </w:p>
    <w:p w:rsidR="006156F6" w:rsidRPr="00113FDB" w:rsidRDefault="006156F6" w:rsidP="00672BAE">
      <w:pPr>
        <w:ind w:left="851"/>
        <w:rPr>
          <w:sz w:val="24"/>
          <w:szCs w:val="24"/>
          <w:u w:val="single"/>
          <w:lang w:val="en-GB"/>
        </w:rPr>
      </w:pPr>
      <w:r w:rsidRPr="00113FDB">
        <w:rPr>
          <w:sz w:val="24"/>
          <w:szCs w:val="24"/>
          <w:u w:val="single"/>
          <w:lang w:val="en-GB"/>
        </w:rPr>
        <w:t>Fertility</w:t>
      </w:r>
    </w:p>
    <w:p w:rsidR="006156F6" w:rsidRPr="00113FDB" w:rsidRDefault="006156F6" w:rsidP="00672BAE">
      <w:pPr>
        <w:ind w:left="851"/>
        <w:rPr>
          <w:sz w:val="24"/>
          <w:szCs w:val="24"/>
          <w:lang w:val="en-GB"/>
        </w:rPr>
      </w:pPr>
      <w:r w:rsidRPr="00113FDB">
        <w:rPr>
          <w:sz w:val="24"/>
          <w:szCs w:val="24"/>
          <w:lang w:val="en-GB"/>
        </w:rPr>
        <w:t>After radioiodine therapy of thyroid carcinoma, a dose dependent impairment of fertility may occur in men and women. Depending on the activity dose, a reversible impairment of the spermatogenesis could occur in doses above 1,850 </w:t>
      </w:r>
      <w:proofErr w:type="spellStart"/>
      <w:r w:rsidRPr="00113FDB">
        <w:rPr>
          <w:sz w:val="24"/>
          <w:szCs w:val="24"/>
          <w:lang w:val="en-GB"/>
        </w:rPr>
        <w:t>MBq</w:t>
      </w:r>
      <w:proofErr w:type="spellEnd"/>
      <w:r w:rsidRPr="00113FDB">
        <w:rPr>
          <w:sz w:val="24"/>
          <w:szCs w:val="24"/>
          <w:lang w:val="en-GB"/>
        </w:rPr>
        <w:t xml:space="preserve">. </w:t>
      </w:r>
      <w:proofErr w:type="gramStart"/>
      <w:r w:rsidRPr="00113FDB">
        <w:rPr>
          <w:sz w:val="24"/>
          <w:szCs w:val="24"/>
          <w:lang w:val="en-GB"/>
        </w:rPr>
        <w:t>Clinical</w:t>
      </w:r>
      <w:proofErr w:type="gramEnd"/>
      <w:r w:rsidRPr="00113FDB">
        <w:rPr>
          <w:sz w:val="24"/>
          <w:szCs w:val="24"/>
          <w:lang w:val="en-GB"/>
        </w:rPr>
        <w:t xml:space="preserve"> relevant effects including oligospermia and azoospermia and elevated serum FSH levels have been described after administration greater than 3,700 </w:t>
      </w:r>
      <w:proofErr w:type="spellStart"/>
      <w:r w:rsidRPr="00113FDB">
        <w:rPr>
          <w:sz w:val="24"/>
          <w:szCs w:val="24"/>
          <w:lang w:val="en-GB"/>
        </w:rPr>
        <w:t>MBq</w:t>
      </w:r>
      <w:proofErr w:type="spellEnd"/>
      <w:r w:rsidRPr="00113FDB">
        <w:rPr>
          <w:sz w:val="24"/>
          <w:szCs w:val="24"/>
          <w:lang w:val="en-GB"/>
        </w:rPr>
        <w:t>.</w:t>
      </w:r>
    </w:p>
    <w:p w:rsidR="0052186C" w:rsidRPr="00113FDB" w:rsidRDefault="0052186C" w:rsidP="0052186C">
      <w:pPr>
        <w:autoSpaceDE w:val="0"/>
        <w:autoSpaceDN w:val="0"/>
        <w:adjustRightInd w:val="0"/>
        <w:ind w:left="851"/>
        <w:rPr>
          <w:sz w:val="24"/>
          <w:szCs w:val="24"/>
          <w:lang w:val="en-GB"/>
        </w:rPr>
      </w:pPr>
    </w:p>
    <w:p w:rsidR="00227481" w:rsidRPr="00113FDB" w:rsidRDefault="00227481" w:rsidP="00227481">
      <w:pPr>
        <w:tabs>
          <w:tab w:val="left" w:pos="851"/>
        </w:tabs>
        <w:ind w:left="851" w:hanging="851"/>
        <w:rPr>
          <w:b/>
          <w:sz w:val="24"/>
          <w:szCs w:val="24"/>
          <w:lang w:val="en-GB" w:eastAsia="da-DK"/>
        </w:rPr>
      </w:pPr>
      <w:r w:rsidRPr="00113FDB">
        <w:rPr>
          <w:b/>
          <w:sz w:val="24"/>
          <w:szCs w:val="24"/>
          <w:lang w:val="en-GB"/>
        </w:rPr>
        <w:t>4.7</w:t>
      </w:r>
      <w:r w:rsidRPr="00113FDB">
        <w:rPr>
          <w:b/>
          <w:sz w:val="24"/>
          <w:szCs w:val="24"/>
          <w:lang w:val="en-GB"/>
        </w:rPr>
        <w:tab/>
        <w:t>Effects on ability to drive and use machines</w:t>
      </w:r>
    </w:p>
    <w:p w:rsidR="006156F6" w:rsidRPr="00113FDB" w:rsidRDefault="006156F6" w:rsidP="00672BAE">
      <w:pPr>
        <w:autoSpaceDE w:val="0"/>
        <w:autoSpaceDN w:val="0"/>
        <w:adjustRightInd w:val="0"/>
        <w:ind w:left="851"/>
        <w:rPr>
          <w:sz w:val="24"/>
          <w:szCs w:val="24"/>
          <w:lang w:val="en-GB"/>
        </w:rPr>
      </w:pPr>
      <w:r w:rsidRPr="00113FDB">
        <w:rPr>
          <w:sz w:val="24"/>
          <w:szCs w:val="24"/>
          <w:lang w:val="en-GB"/>
        </w:rPr>
        <w:t>Sodium iodide (</w:t>
      </w:r>
      <w:r w:rsidRPr="00113FDB">
        <w:rPr>
          <w:sz w:val="24"/>
          <w:szCs w:val="24"/>
          <w:vertAlign w:val="superscript"/>
          <w:lang w:val="en-GB"/>
        </w:rPr>
        <w:t>131</w:t>
      </w:r>
      <w:r w:rsidRPr="00113FDB">
        <w:rPr>
          <w:sz w:val="24"/>
          <w:szCs w:val="24"/>
          <w:lang w:val="en-GB"/>
        </w:rPr>
        <w:t>I) has no or negligible influence on the ability to drive and use machines.</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ind w:left="851" w:hanging="851"/>
        <w:rPr>
          <w:b/>
          <w:sz w:val="24"/>
          <w:szCs w:val="24"/>
          <w:lang w:val="en-US" w:eastAsia="da-DK"/>
        </w:rPr>
      </w:pPr>
      <w:r w:rsidRPr="00113FDB">
        <w:rPr>
          <w:b/>
          <w:sz w:val="24"/>
          <w:szCs w:val="24"/>
          <w:lang w:val="en-US"/>
        </w:rPr>
        <w:t>4.8</w:t>
      </w:r>
      <w:r w:rsidRPr="00113FDB">
        <w:rPr>
          <w:b/>
          <w:sz w:val="24"/>
          <w:szCs w:val="24"/>
          <w:lang w:val="en-US"/>
        </w:rPr>
        <w:tab/>
        <w:t>Undesirable effects</w:t>
      </w:r>
    </w:p>
    <w:p w:rsidR="006156F6" w:rsidRPr="00113FDB" w:rsidRDefault="006156F6" w:rsidP="0052186C">
      <w:pPr>
        <w:pStyle w:val="Sidehoved"/>
        <w:tabs>
          <w:tab w:val="left" w:pos="851"/>
        </w:tabs>
        <w:ind w:left="851"/>
        <w:rPr>
          <w:szCs w:val="24"/>
          <w:lang w:val="en-US"/>
        </w:rPr>
      </w:pPr>
    </w:p>
    <w:p w:rsidR="006156F6" w:rsidRPr="000B46CC" w:rsidRDefault="006156F6" w:rsidP="00672BAE">
      <w:pPr>
        <w:ind w:left="851"/>
        <w:rPr>
          <w:sz w:val="24"/>
          <w:szCs w:val="24"/>
          <w:u w:val="single"/>
          <w:lang w:val="en-GB"/>
        </w:rPr>
      </w:pPr>
      <w:r w:rsidRPr="000B46CC">
        <w:rPr>
          <w:sz w:val="24"/>
          <w:szCs w:val="24"/>
          <w:u w:val="single"/>
          <w:lang w:val="en-GB"/>
        </w:rPr>
        <w:t>Summary of the safety profile</w:t>
      </w:r>
    </w:p>
    <w:p w:rsidR="0052186C" w:rsidRPr="00113FDB" w:rsidRDefault="0052186C" w:rsidP="00672BAE">
      <w:pPr>
        <w:ind w:left="851"/>
        <w:rPr>
          <w:sz w:val="24"/>
          <w:szCs w:val="24"/>
          <w:lang w:val="en-US"/>
        </w:rPr>
      </w:pPr>
      <w:r w:rsidRPr="00113FDB">
        <w:rPr>
          <w:sz w:val="24"/>
          <w:szCs w:val="24"/>
          <w:lang w:val="en-US"/>
        </w:rPr>
        <w:t>The frequencies of reported adverse reactions were derived from the medical literature. The safety profile of sodium iodide</w:t>
      </w:r>
      <w:r w:rsidR="006156F6" w:rsidRPr="00113FDB">
        <w:rPr>
          <w:sz w:val="24"/>
          <w:szCs w:val="24"/>
          <w:lang w:val="en-GB"/>
        </w:rPr>
        <w:t xml:space="preserve"> (</w:t>
      </w:r>
      <w:r w:rsidR="006156F6" w:rsidRPr="00113FDB">
        <w:rPr>
          <w:sz w:val="24"/>
          <w:szCs w:val="24"/>
          <w:vertAlign w:val="superscript"/>
          <w:lang w:val="en-GB"/>
        </w:rPr>
        <w:t>131</w:t>
      </w:r>
      <w:r w:rsidR="006156F6" w:rsidRPr="00113FDB">
        <w:rPr>
          <w:sz w:val="24"/>
          <w:szCs w:val="24"/>
          <w:lang w:val="en-GB"/>
        </w:rPr>
        <w:t>I)</w:t>
      </w:r>
      <w:r w:rsidRPr="00113FDB">
        <w:rPr>
          <w:sz w:val="24"/>
          <w:szCs w:val="24"/>
          <w:lang w:val="en-US"/>
        </w:rPr>
        <w:t xml:space="preserve"> differs widely according to the doses administered, while the doses to be administered are dependent on the type of treatment (i.e. treatment of benign or malignant disease). Moreover, the safety profile depends on the cumulative doses administered and the dosing intervals which are used. Therefore, the reported adverse reactions were grouped by their occurrence in treatment of benign or malignant disease. </w:t>
      </w:r>
    </w:p>
    <w:p w:rsidR="0052186C" w:rsidRPr="00113FDB" w:rsidRDefault="0052186C" w:rsidP="00672BAE">
      <w:pPr>
        <w:ind w:left="851"/>
        <w:rPr>
          <w:sz w:val="24"/>
          <w:szCs w:val="24"/>
          <w:lang w:val="en-US"/>
        </w:rPr>
      </w:pPr>
      <w:r w:rsidRPr="00113FDB">
        <w:rPr>
          <w:sz w:val="24"/>
          <w:szCs w:val="24"/>
          <w:lang w:val="en-US"/>
        </w:rPr>
        <w:t xml:space="preserve">Frequently occurring adverse reactions are: hypothyroidism, transient hyperthyroidism, salivary and lacrimal gland disorders, and local radiation effects. In cancer treatment </w:t>
      </w:r>
      <w:proofErr w:type="gramStart"/>
      <w:r w:rsidRPr="00113FDB">
        <w:rPr>
          <w:sz w:val="24"/>
          <w:szCs w:val="24"/>
          <w:lang w:val="en-US"/>
        </w:rPr>
        <w:t>additionally</w:t>
      </w:r>
      <w:proofErr w:type="gramEnd"/>
      <w:r w:rsidRPr="00113FDB">
        <w:rPr>
          <w:sz w:val="24"/>
          <w:szCs w:val="24"/>
          <w:lang w:val="en-US"/>
        </w:rPr>
        <w:t xml:space="preserve"> gastro-intestinal adverse reactions and bone marrow suppression may frequently occur.</w:t>
      </w:r>
    </w:p>
    <w:p w:rsidR="006156F6" w:rsidRPr="00113FDB" w:rsidRDefault="006156F6" w:rsidP="00672BAE">
      <w:pPr>
        <w:ind w:left="851"/>
        <w:rPr>
          <w:sz w:val="24"/>
          <w:szCs w:val="24"/>
          <w:lang w:val="en-US"/>
        </w:rPr>
      </w:pPr>
    </w:p>
    <w:p w:rsidR="006156F6" w:rsidRPr="000B46CC" w:rsidRDefault="006156F6" w:rsidP="00672BAE">
      <w:pPr>
        <w:ind w:left="851"/>
        <w:rPr>
          <w:sz w:val="24"/>
          <w:szCs w:val="24"/>
          <w:u w:val="single"/>
          <w:lang w:val="en-GB"/>
        </w:rPr>
      </w:pPr>
      <w:r w:rsidRPr="000B46CC">
        <w:rPr>
          <w:sz w:val="24"/>
          <w:szCs w:val="24"/>
          <w:u w:val="single"/>
          <w:lang w:val="en-GB"/>
        </w:rPr>
        <w:t>Tabulated list of adverse reactions</w:t>
      </w:r>
    </w:p>
    <w:p w:rsidR="006156F6" w:rsidRPr="00113FDB" w:rsidRDefault="006156F6" w:rsidP="00672BAE">
      <w:pPr>
        <w:ind w:left="851"/>
        <w:rPr>
          <w:sz w:val="24"/>
          <w:szCs w:val="24"/>
          <w:lang w:val="en-GB"/>
        </w:rPr>
      </w:pPr>
      <w:r w:rsidRPr="00113FDB">
        <w:rPr>
          <w:sz w:val="24"/>
          <w:szCs w:val="24"/>
          <w:lang w:val="en-GB"/>
        </w:rPr>
        <w:t>The following tables include reported adverse reactions sorted by system organ classes. Symptoms, which are rather secondary to a group-syndrome (e.g. sicca syndrome) are subsumed in parenthesis behind the respective syndrome.</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sz w:val="24"/>
          <w:szCs w:val="24"/>
          <w:lang w:val="en-GB"/>
        </w:rPr>
        <w:t>The following table presents how the frequencies are reflected in this section:</w:t>
      </w:r>
    </w:p>
    <w:p w:rsidR="006156F6" w:rsidRPr="00113FDB" w:rsidRDefault="006156F6" w:rsidP="00672BAE">
      <w:pPr>
        <w:ind w:left="851"/>
        <w:rPr>
          <w:sz w:val="24"/>
          <w:szCs w:val="24"/>
          <w:lang w:val="en-GB"/>
        </w:rPr>
      </w:pPr>
      <w:r w:rsidRPr="00113FDB">
        <w:rPr>
          <w:sz w:val="24"/>
          <w:szCs w:val="24"/>
          <w:lang w:val="en-GB"/>
        </w:rPr>
        <w:t>Very common (≥1/10); common (≥1/100 to &lt;1/10); uncommon (≥1/1,000 to &lt;1/100); rare (≥1/10,000 to &lt;1/1,000); very rare (&lt;1/10,000) and not known (frequency cannot be estimated from the available data). Within each frequency grouping, adverse reactions are presented in order of decreasing seriousness.</w:t>
      </w:r>
    </w:p>
    <w:p w:rsidR="006156F6" w:rsidRPr="00113FDB" w:rsidRDefault="006156F6" w:rsidP="00672BAE">
      <w:pPr>
        <w:ind w:left="851"/>
        <w:rPr>
          <w:sz w:val="24"/>
          <w:szCs w:val="24"/>
          <w:lang w:val="en-GB"/>
        </w:rPr>
      </w:pPr>
    </w:p>
    <w:p w:rsidR="006156F6" w:rsidRPr="00113FDB" w:rsidRDefault="006156F6" w:rsidP="00672BAE">
      <w:pPr>
        <w:ind w:left="851"/>
        <w:rPr>
          <w:b/>
          <w:bCs/>
          <w:sz w:val="24"/>
          <w:szCs w:val="24"/>
          <w:lang w:val="en-GB"/>
        </w:rPr>
      </w:pPr>
      <w:r w:rsidRPr="00113FDB">
        <w:rPr>
          <w:b/>
          <w:bCs/>
          <w:sz w:val="24"/>
          <w:szCs w:val="24"/>
          <w:lang w:val="en-GB"/>
        </w:rPr>
        <w:t>Adverse reactions after treatment of benign disease</w:t>
      </w:r>
    </w:p>
    <w:p w:rsidR="006156F6" w:rsidRPr="00113FDB" w:rsidRDefault="006156F6" w:rsidP="006156F6">
      <w:pPr>
        <w:ind w:left="142"/>
        <w:rPr>
          <w:sz w:val="24"/>
          <w:szCs w:val="24"/>
          <w:lang w:val="en-GB"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4"/>
        <w:gridCol w:w="4163"/>
        <w:gridCol w:w="1931"/>
      </w:tblGrid>
      <w:tr w:rsidR="006156F6" w:rsidRPr="00113FDB" w:rsidTr="00672BAE">
        <w:trPr>
          <w:cantSplit/>
          <w:trHeight w:val="70"/>
          <w:tblHeader/>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i/>
                <w:iCs/>
                <w:sz w:val="24"/>
                <w:szCs w:val="24"/>
                <w:lang w:val="en-GB" w:eastAsia="da-DK"/>
              </w:rPr>
            </w:pPr>
            <w:r w:rsidRPr="00113FDB">
              <w:rPr>
                <w:b/>
                <w:i/>
                <w:iCs/>
                <w:sz w:val="24"/>
                <w:szCs w:val="24"/>
                <w:lang w:val="en-GB" w:eastAsia="da-DK"/>
              </w:rPr>
              <w:t>System organ class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rsidP="00EA6162">
            <w:pPr>
              <w:pStyle w:val="Default"/>
              <w:ind w:left="180"/>
              <w:rPr>
                <w:b/>
                <w:i/>
                <w:iCs/>
                <w:lang w:val="en-GB" w:eastAsia="da-DK"/>
              </w:rPr>
            </w:pPr>
            <w:r w:rsidRPr="00113FDB">
              <w:rPr>
                <w:b/>
                <w:i/>
                <w:iCs/>
                <w:lang w:val="en-GB"/>
              </w:rPr>
              <w:t>Adverse reaction</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i/>
                <w:iCs/>
                <w:sz w:val="24"/>
                <w:szCs w:val="24"/>
                <w:lang w:val="en-GB" w:eastAsia="da-DK"/>
              </w:rPr>
            </w:pPr>
            <w:r w:rsidRPr="00113FDB">
              <w:rPr>
                <w:b/>
                <w:i/>
                <w:iCs/>
                <w:sz w:val="24"/>
                <w:szCs w:val="24"/>
                <w:lang w:val="en-GB" w:eastAsia="da-DK"/>
              </w:rPr>
              <w:t>Frequency</w:t>
            </w:r>
          </w:p>
        </w:tc>
      </w:tr>
      <w:tr w:rsidR="006156F6" w:rsidRPr="00113FDB" w:rsidTr="00672BAE">
        <w:trPr>
          <w:cantSplit/>
          <w:trHeight w:val="70"/>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Immune system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Anaphylactoid reaction</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386"/>
        </w:trPr>
        <w:tc>
          <w:tcPr>
            <w:tcW w:w="1835"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Endocrine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 xml:space="preserve">Permanent hypothyroidism, hypothyroidism </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386"/>
        </w:trPr>
        <w:tc>
          <w:tcPr>
            <w:tcW w:w="1835"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Transient hyperthyroidism</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386"/>
        </w:trPr>
        <w:tc>
          <w:tcPr>
            <w:tcW w:w="1835"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Thyrotoxic crisis, thyroiditis, hypoparathyroidism (blood calcium decreased, tetany)</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194"/>
        </w:trPr>
        <w:tc>
          <w:tcPr>
            <w:tcW w:w="1835"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Eye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Endocrine ophthalmopathy (in Graves’ disease)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194"/>
        </w:trPr>
        <w:tc>
          <w:tcPr>
            <w:tcW w:w="1835"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Sicca syndrome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386"/>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Respiratory, thoracic and mediastinal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Vocal cord paralysis</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rare</w:t>
            </w:r>
          </w:p>
        </w:tc>
      </w:tr>
      <w:tr w:rsidR="006156F6" w:rsidRPr="00113FDB" w:rsidTr="00672BAE">
        <w:trPr>
          <w:cantSplit/>
          <w:trHeight w:val="386"/>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Gastrointestinal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proofErr w:type="spellStart"/>
            <w:r w:rsidRPr="00113FDB">
              <w:rPr>
                <w:sz w:val="24"/>
                <w:szCs w:val="24"/>
                <w:lang w:val="en-GB" w:eastAsia="da-DK"/>
              </w:rPr>
              <w:t>Sialoadenitis</w:t>
            </w:r>
            <w:proofErr w:type="spellEnd"/>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386"/>
        </w:trPr>
        <w:tc>
          <w:tcPr>
            <w:tcW w:w="1835" w:type="pct"/>
            <w:tcBorders>
              <w:top w:val="single" w:sz="4" w:space="0" w:color="000000"/>
              <w:left w:val="single" w:sz="4" w:space="0" w:color="000000"/>
              <w:bottom w:val="single" w:sz="4" w:space="0" w:color="000000"/>
              <w:right w:val="single" w:sz="4" w:space="0" w:color="000000"/>
            </w:tcBorders>
            <w:vAlign w:val="center"/>
          </w:tcPr>
          <w:p w:rsidR="006156F6" w:rsidRPr="00113FDB" w:rsidRDefault="006156F6">
            <w:pPr>
              <w:ind w:left="142"/>
              <w:rPr>
                <w:b/>
                <w:bCs/>
                <w:sz w:val="24"/>
                <w:szCs w:val="24"/>
                <w:lang w:val="en-GB" w:eastAsia="da-DK"/>
              </w:rPr>
            </w:pPr>
            <w:r w:rsidRPr="00113FDB">
              <w:rPr>
                <w:b/>
                <w:bCs/>
                <w:sz w:val="24"/>
                <w:szCs w:val="24"/>
                <w:lang w:val="en-GB" w:eastAsia="da-DK"/>
              </w:rPr>
              <w:t>Hepatobiliary disorders</w:t>
            </w:r>
          </w:p>
        </w:tc>
        <w:tc>
          <w:tcPr>
            <w:tcW w:w="2162" w:type="pct"/>
            <w:tcBorders>
              <w:top w:val="single" w:sz="4" w:space="0" w:color="000000"/>
              <w:left w:val="single" w:sz="4" w:space="0" w:color="000000"/>
              <w:bottom w:val="single" w:sz="4" w:space="0" w:color="000000"/>
              <w:right w:val="single" w:sz="4" w:space="0" w:color="000000"/>
            </w:tcBorders>
            <w:vAlign w:val="center"/>
          </w:tcPr>
          <w:p w:rsidR="006156F6" w:rsidRPr="00113FDB" w:rsidRDefault="006156F6">
            <w:pPr>
              <w:ind w:left="142"/>
              <w:rPr>
                <w:sz w:val="24"/>
                <w:szCs w:val="24"/>
                <w:lang w:val="en-GB" w:eastAsia="da-DK"/>
              </w:rPr>
            </w:pPr>
            <w:r w:rsidRPr="00113FDB">
              <w:rPr>
                <w:sz w:val="24"/>
                <w:szCs w:val="24"/>
                <w:lang w:val="en-GB" w:eastAsia="da-DK"/>
              </w:rPr>
              <w:t>Hepatic function abnormal</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Skin and subcutaneous tissue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proofErr w:type="spellStart"/>
            <w:r w:rsidRPr="00113FDB">
              <w:rPr>
                <w:sz w:val="24"/>
                <w:szCs w:val="24"/>
                <w:lang w:val="en-GB" w:eastAsia="da-DK"/>
              </w:rPr>
              <w:t>Iodo</w:t>
            </w:r>
            <w:proofErr w:type="spellEnd"/>
            <w:r w:rsidRPr="00113FDB">
              <w:rPr>
                <w:sz w:val="24"/>
                <w:szCs w:val="24"/>
                <w:lang w:val="en-GB" w:eastAsia="da-DK"/>
              </w:rPr>
              <w:t xml:space="preserve"> acne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Congenital, familial and genetic disorders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Congenital hypothyroidism</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Pr>
        <w:tc>
          <w:tcPr>
            <w:tcW w:w="1835"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General disorders and administration site conditions</w:t>
            </w:r>
          </w:p>
        </w:tc>
        <w:tc>
          <w:tcPr>
            <w:tcW w:w="2162"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Local swelling</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bl>
    <w:p w:rsidR="006156F6" w:rsidRPr="00113FDB" w:rsidRDefault="006156F6" w:rsidP="00672BAE">
      <w:pPr>
        <w:ind w:left="851"/>
        <w:rPr>
          <w:b/>
          <w:bCs/>
          <w:sz w:val="24"/>
          <w:szCs w:val="24"/>
          <w:lang w:val="en-GB" w:eastAsia="da-DK"/>
        </w:rPr>
      </w:pPr>
    </w:p>
    <w:p w:rsidR="006156F6" w:rsidRPr="00113FDB" w:rsidRDefault="006156F6" w:rsidP="000B46CC">
      <w:pPr>
        <w:rPr>
          <w:b/>
          <w:bCs/>
          <w:sz w:val="24"/>
          <w:szCs w:val="24"/>
          <w:lang w:val="en-GB" w:eastAsia="da-DK"/>
        </w:rPr>
      </w:pPr>
      <w:r w:rsidRPr="00113FDB">
        <w:rPr>
          <w:b/>
          <w:bCs/>
          <w:sz w:val="24"/>
          <w:szCs w:val="24"/>
          <w:lang w:val="en-GB" w:eastAsia="da-DK"/>
        </w:rPr>
        <w:t>Adverse reactions after treatment of malignant disease</w:t>
      </w:r>
    </w:p>
    <w:p w:rsidR="006156F6" w:rsidRPr="00113FDB" w:rsidRDefault="006156F6" w:rsidP="00672BAE">
      <w:pPr>
        <w:ind w:left="851"/>
        <w:rPr>
          <w:sz w:val="24"/>
          <w:szCs w:val="24"/>
          <w:lang w:val="en-GB"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4167"/>
        <w:gridCol w:w="1931"/>
      </w:tblGrid>
      <w:tr w:rsidR="006156F6" w:rsidRPr="00113FDB" w:rsidTr="00672BAE">
        <w:trPr>
          <w:cantSplit/>
          <w:trHeight w:val="70"/>
          <w:tblHeader/>
        </w:trPr>
        <w:tc>
          <w:tcPr>
            <w:tcW w:w="183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i/>
                <w:iCs/>
                <w:sz w:val="24"/>
                <w:szCs w:val="24"/>
                <w:lang w:val="en-GB" w:eastAsia="da-DK"/>
              </w:rPr>
            </w:pPr>
            <w:r w:rsidRPr="00113FDB">
              <w:rPr>
                <w:b/>
                <w:i/>
                <w:iCs/>
                <w:sz w:val="24"/>
                <w:szCs w:val="24"/>
                <w:lang w:val="en-GB" w:eastAsia="da-DK"/>
              </w:rPr>
              <w:t>System organ Class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rsidP="00EA6162">
            <w:pPr>
              <w:pStyle w:val="Default"/>
              <w:ind w:left="142"/>
              <w:rPr>
                <w:b/>
                <w:i/>
                <w:iCs/>
                <w:lang w:val="en-GB" w:eastAsia="da-DK"/>
              </w:rPr>
            </w:pPr>
            <w:r w:rsidRPr="00113FDB">
              <w:rPr>
                <w:b/>
                <w:i/>
                <w:iCs/>
                <w:color w:val="auto"/>
                <w:lang w:val="en-GB" w:eastAsia="da-DK"/>
              </w:rPr>
              <w:t xml:space="preserve">Adverse reaction </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i/>
                <w:iCs/>
                <w:sz w:val="24"/>
                <w:szCs w:val="24"/>
                <w:lang w:val="en-GB" w:eastAsia="da-DK"/>
              </w:rPr>
            </w:pPr>
            <w:r w:rsidRPr="00113FDB">
              <w:rPr>
                <w:b/>
                <w:i/>
                <w:iCs/>
                <w:sz w:val="24"/>
                <w:szCs w:val="24"/>
                <w:lang w:val="en-GB" w:eastAsia="da-DK"/>
              </w:rPr>
              <w:t>Frequency</w:t>
            </w:r>
          </w:p>
        </w:tc>
      </w:tr>
      <w:tr w:rsidR="006156F6" w:rsidRPr="00113FDB" w:rsidTr="00672BAE">
        <w:trPr>
          <w:cantSplit/>
          <w:trHeight w:val="70"/>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Neoplasms benign, malignant and unspecified (incl. cysts and polyps)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Leukaemia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Uncommon</w:t>
            </w:r>
          </w:p>
        </w:tc>
      </w:tr>
      <w:tr w:rsidR="006156F6" w:rsidRPr="00113FDB" w:rsidTr="00672BAE">
        <w:trPr>
          <w:cantSplit/>
          <w:trHeight w:val="647"/>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Solid cancers, bladder cancer, colon cancer, gastric cancer, breast cancer</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415"/>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Blood and lymphatic system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proofErr w:type="spellStart"/>
            <w:r w:rsidRPr="00113FDB">
              <w:rPr>
                <w:sz w:val="24"/>
                <w:szCs w:val="24"/>
                <w:lang w:val="en-GB" w:eastAsia="da-DK"/>
              </w:rPr>
              <w:t>Erythropenia</w:t>
            </w:r>
            <w:proofErr w:type="spellEnd"/>
            <w:r w:rsidRPr="00113FDB">
              <w:rPr>
                <w:sz w:val="24"/>
                <w:szCs w:val="24"/>
                <w:lang w:val="en-GB" w:eastAsia="da-DK"/>
              </w:rPr>
              <w:t>, bone marrow failure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407"/>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Leukopenia, thrombocytopenia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194"/>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eastAsia="da-DK"/>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 xml:space="preserve">Aplastic </w:t>
            </w:r>
            <w:proofErr w:type="spellStart"/>
            <w:r w:rsidRPr="00113FDB">
              <w:rPr>
                <w:sz w:val="24"/>
                <w:szCs w:val="24"/>
                <w:lang w:val="en-GB" w:eastAsia="da-DK"/>
              </w:rPr>
              <w:t>anemia</w:t>
            </w:r>
            <w:proofErr w:type="spellEnd"/>
            <w:r w:rsidRPr="00113FDB">
              <w:rPr>
                <w:sz w:val="24"/>
                <w:szCs w:val="24"/>
                <w:lang w:val="en-GB" w:eastAsia="da-DK"/>
              </w:rPr>
              <w:t>, permanent or severe bone marrow suppression</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70"/>
        </w:trPr>
        <w:tc>
          <w:tcPr>
            <w:tcW w:w="183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Immune system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Anaphylactoid reaction</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693"/>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Endocrine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Thyrotoxic crisis, transient hyperthyroidism</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Rare</w:t>
            </w:r>
          </w:p>
        </w:tc>
      </w:tr>
      <w:tr w:rsidR="006156F6" w:rsidRPr="00113FDB" w:rsidTr="00672BAE">
        <w:trPr>
          <w:cantSplit/>
          <w:trHeight w:val="1104"/>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Thyroiditis (transient leucocytosis), hypoparathyroidism (blood calcium decreased, tetany), hypothyroidism, hyperparathyroidism</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70"/>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Nervous system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Parosmia, anosmia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70"/>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Brain oedema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515"/>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Eye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Sicca syndrome (conjunctivitis, dry eyes, nasal dryness)</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149"/>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Nasolacrimal duct obstruction (lacrimation increased)</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354"/>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Respiratory, thoracic and mediastinal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Dyspnoea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1691"/>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Throat constriction*, pulmonary fibrosis, respiratory distress, obstructive airways disorder, pneumonia, tracheitis, vocal cord dysfunction (vocal cord paralysis, dysphonia, hoarseness), oropharyngeal pain, stridor</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1069"/>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Gastrointestinal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proofErr w:type="spellStart"/>
            <w:r w:rsidRPr="00113FDB">
              <w:rPr>
                <w:sz w:val="24"/>
                <w:szCs w:val="24"/>
                <w:lang w:val="en-GB" w:eastAsia="da-DK"/>
              </w:rPr>
              <w:t>Sialoadenitis</w:t>
            </w:r>
            <w:proofErr w:type="spellEnd"/>
            <w:r w:rsidRPr="00113FDB">
              <w:rPr>
                <w:sz w:val="24"/>
                <w:szCs w:val="24"/>
                <w:lang w:val="en-GB" w:eastAsia="da-DK"/>
              </w:rPr>
              <w:t xml:space="preserve"> (dry mouth, salivary gland pain, salivary gland enlargement, dental caries, tooth loss), radiation sickness syndrome, nausea, ageusia, anosmia, dysgeusia, decreased appetite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Vomiting</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r w:rsidR="006156F6" w:rsidRPr="00113FDB" w:rsidTr="00672BAE">
        <w:trPr>
          <w:cantSplit/>
          <w:trHeight w:val="302"/>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Gastritis, dysphagia</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302"/>
        </w:trPr>
        <w:tc>
          <w:tcPr>
            <w:tcW w:w="183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eastAsia="da-DK"/>
              </w:rPr>
            </w:pPr>
            <w:r w:rsidRPr="00113FDB">
              <w:rPr>
                <w:b/>
                <w:bCs/>
                <w:sz w:val="24"/>
                <w:szCs w:val="24"/>
                <w:lang w:val="en-GB" w:eastAsia="da-DK"/>
              </w:rPr>
              <w:t>Hepatobiliary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Hepatic function abnormal</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70"/>
        </w:trPr>
        <w:tc>
          <w:tcPr>
            <w:tcW w:w="183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Renal and urinary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 xml:space="preserve">Radiation cystitis </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70"/>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Reproductive system and breast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Ovarian failure, menstrual disorder</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253"/>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Azoospermia, oligospermia, decreased fertility male</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70"/>
        </w:trPr>
        <w:tc>
          <w:tcPr>
            <w:tcW w:w="183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Congenital, familial and genetic disorders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Congenital hypothyroidism</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Not known</w:t>
            </w:r>
          </w:p>
        </w:tc>
      </w:tr>
      <w:tr w:rsidR="006156F6" w:rsidRPr="00113FDB" w:rsidTr="00672BAE">
        <w:trPr>
          <w:cantSplit/>
          <w:trHeight w:val="578"/>
        </w:trPr>
        <w:tc>
          <w:tcPr>
            <w:tcW w:w="1833" w:type="pct"/>
            <w:vMerge w:val="restar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b/>
                <w:bCs/>
                <w:sz w:val="24"/>
                <w:szCs w:val="24"/>
                <w:lang w:val="en-GB"/>
              </w:rPr>
            </w:pPr>
            <w:r w:rsidRPr="00113FDB">
              <w:rPr>
                <w:b/>
                <w:bCs/>
                <w:sz w:val="24"/>
                <w:szCs w:val="24"/>
                <w:lang w:val="en-GB"/>
              </w:rPr>
              <w:t>General disorders and administration site conditions</w:t>
            </w: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Flu-like illness, headache, fatigue, neck pain</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Very common</w:t>
            </w:r>
          </w:p>
        </w:tc>
      </w:tr>
      <w:tr w:rsidR="006156F6" w:rsidRPr="00113FDB" w:rsidTr="00672BAE">
        <w:trPr>
          <w:cantSplit/>
          <w:trHeight w:val="70"/>
        </w:trPr>
        <w:tc>
          <w:tcPr>
            <w:tcW w:w="1833" w:type="pct"/>
            <w:vMerge/>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rPr>
                <w:b/>
                <w:bCs/>
                <w:sz w:val="24"/>
                <w:szCs w:val="24"/>
                <w:lang w:val="en-GB"/>
              </w:rPr>
            </w:pPr>
          </w:p>
        </w:tc>
        <w:tc>
          <w:tcPr>
            <w:tcW w:w="2164"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Local swelling</w:t>
            </w:r>
          </w:p>
        </w:tc>
        <w:tc>
          <w:tcPr>
            <w:tcW w:w="1003" w:type="pct"/>
            <w:tcBorders>
              <w:top w:val="single" w:sz="4" w:space="0" w:color="000000"/>
              <w:left w:val="single" w:sz="4" w:space="0" w:color="000000"/>
              <w:bottom w:val="single" w:sz="4" w:space="0" w:color="000000"/>
              <w:right w:val="single" w:sz="4" w:space="0" w:color="000000"/>
            </w:tcBorders>
            <w:vAlign w:val="center"/>
            <w:hideMark/>
          </w:tcPr>
          <w:p w:rsidR="006156F6" w:rsidRPr="00113FDB" w:rsidRDefault="006156F6">
            <w:pPr>
              <w:ind w:left="142"/>
              <w:rPr>
                <w:sz w:val="24"/>
                <w:szCs w:val="24"/>
                <w:lang w:val="en-GB" w:eastAsia="da-DK"/>
              </w:rPr>
            </w:pPr>
            <w:r w:rsidRPr="00113FDB">
              <w:rPr>
                <w:sz w:val="24"/>
                <w:szCs w:val="24"/>
                <w:lang w:val="en-GB" w:eastAsia="da-DK"/>
              </w:rPr>
              <w:t>Common</w:t>
            </w:r>
          </w:p>
        </w:tc>
      </w:tr>
    </w:tbl>
    <w:p w:rsidR="006156F6" w:rsidRPr="00113FDB" w:rsidRDefault="006156F6" w:rsidP="00EA6162">
      <w:pPr>
        <w:rPr>
          <w:sz w:val="24"/>
          <w:szCs w:val="24"/>
          <w:lang w:val="en-GB" w:eastAsia="da-DK"/>
        </w:rPr>
      </w:pPr>
      <w:r w:rsidRPr="00113FDB">
        <w:rPr>
          <w:sz w:val="24"/>
          <w:szCs w:val="24"/>
          <w:lang w:val="en-GB" w:eastAsia="da-DK"/>
        </w:rPr>
        <w:t>*especially in existing tracheal stenosis</w:t>
      </w:r>
    </w:p>
    <w:p w:rsidR="006156F6" w:rsidRPr="00113FDB" w:rsidRDefault="006156F6" w:rsidP="00EA6162">
      <w:pPr>
        <w:rPr>
          <w:sz w:val="24"/>
          <w:szCs w:val="24"/>
          <w:lang w:val="en-GB"/>
        </w:rPr>
      </w:pPr>
    </w:p>
    <w:p w:rsidR="006156F6" w:rsidRPr="000B46CC" w:rsidRDefault="006156F6" w:rsidP="00672BAE">
      <w:pPr>
        <w:ind w:left="851"/>
        <w:rPr>
          <w:sz w:val="24"/>
          <w:szCs w:val="24"/>
          <w:u w:val="single"/>
          <w:lang w:val="en-GB"/>
        </w:rPr>
      </w:pPr>
      <w:r w:rsidRPr="000B46CC">
        <w:rPr>
          <w:sz w:val="24"/>
          <w:szCs w:val="24"/>
          <w:u w:val="single"/>
          <w:lang w:val="en-GB"/>
        </w:rPr>
        <w:t>Description of selected adverse reactions</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i/>
          <w:iCs/>
          <w:sz w:val="24"/>
          <w:szCs w:val="24"/>
          <w:lang w:val="en-GB"/>
        </w:rPr>
        <w:t>General advice</w:t>
      </w:r>
    </w:p>
    <w:p w:rsidR="006156F6" w:rsidRPr="00113FDB" w:rsidRDefault="006156F6" w:rsidP="00672BAE">
      <w:pPr>
        <w:ind w:left="851"/>
        <w:rPr>
          <w:sz w:val="24"/>
          <w:szCs w:val="24"/>
          <w:lang w:val="en-GB"/>
        </w:rPr>
      </w:pPr>
      <w:r w:rsidRPr="00113FDB">
        <w:rPr>
          <w:sz w:val="24"/>
          <w:szCs w:val="24"/>
          <w:lang w:val="en-GB"/>
        </w:rPr>
        <w:t>Exposure to ionising radiation is linked with cancer induction and a potential for development of hereditary defects. The radiation dose resulting from therapeutic exposure may result in higher incidence of cancer and mutations. In all cases it is necessary to ensure that the risks of the radiation are less than those of the disease itself. The effective dose after therapeutic doses of sodium iodide (</w:t>
      </w:r>
      <w:r w:rsidRPr="00113FDB">
        <w:rPr>
          <w:sz w:val="24"/>
          <w:szCs w:val="24"/>
          <w:vertAlign w:val="superscript"/>
          <w:lang w:val="en-GB"/>
        </w:rPr>
        <w:t>131</w:t>
      </w:r>
      <w:r w:rsidRPr="00113FDB">
        <w:rPr>
          <w:sz w:val="24"/>
          <w:szCs w:val="24"/>
          <w:lang w:val="en-GB"/>
        </w:rPr>
        <w:t xml:space="preserve">I) is </w:t>
      </w:r>
      <w:r w:rsidRPr="00113FDB">
        <w:rPr>
          <w:sz w:val="24"/>
          <w:szCs w:val="24"/>
          <w:lang w:val="en-US"/>
        </w:rPr>
        <w:t>3,108</w:t>
      </w:r>
      <w:r w:rsidRPr="00113FDB">
        <w:rPr>
          <w:sz w:val="24"/>
          <w:szCs w:val="24"/>
          <w:lang w:val="en-GB"/>
        </w:rPr>
        <w:t> mSv when the maximal recommended activity of 11,100 </w:t>
      </w:r>
      <w:proofErr w:type="spellStart"/>
      <w:r w:rsidRPr="00113FDB">
        <w:rPr>
          <w:sz w:val="24"/>
          <w:szCs w:val="24"/>
          <w:lang w:val="en-GB"/>
        </w:rPr>
        <w:t>MBq</w:t>
      </w:r>
      <w:proofErr w:type="spellEnd"/>
      <w:r w:rsidRPr="00113FDB">
        <w:rPr>
          <w:sz w:val="24"/>
          <w:szCs w:val="24"/>
          <w:lang w:val="en-GB"/>
        </w:rPr>
        <w:t xml:space="preserve"> is administered (with thyroid uptake 0%).</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Thyroid and parathyroid glands disorders</w:t>
      </w:r>
    </w:p>
    <w:p w:rsidR="006156F6" w:rsidRPr="00113FDB" w:rsidRDefault="006156F6" w:rsidP="00672BAE">
      <w:pPr>
        <w:ind w:left="851"/>
        <w:rPr>
          <w:sz w:val="24"/>
          <w:szCs w:val="24"/>
          <w:lang w:val="en-GB"/>
        </w:rPr>
      </w:pPr>
      <w:r w:rsidRPr="00113FDB">
        <w:rPr>
          <w:sz w:val="24"/>
          <w:szCs w:val="24"/>
          <w:lang w:val="en-GB"/>
        </w:rPr>
        <w:t>Hypothyroidism may occur, depending on the dose, as a delayed result of treatment for hyperthyroidism with radioiodine.</w:t>
      </w:r>
    </w:p>
    <w:p w:rsidR="006156F6" w:rsidRPr="00113FDB" w:rsidRDefault="006156F6" w:rsidP="00672BAE">
      <w:pPr>
        <w:ind w:left="851"/>
        <w:rPr>
          <w:b/>
          <w:sz w:val="24"/>
          <w:szCs w:val="24"/>
          <w:lang w:val="en-GB"/>
        </w:rPr>
      </w:pPr>
      <w:r w:rsidRPr="00113FDB">
        <w:rPr>
          <w:sz w:val="24"/>
          <w:szCs w:val="24"/>
          <w:lang w:val="en-GB"/>
        </w:rPr>
        <w:t>In the treatment of malignant disease, hypothyroidism is often reported as an adverse reaction; however, the treatment of malignant diseases with radioiodine generally follows thyroidectomy.</w:t>
      </w:r>
    </w:p>
    <w:p w:rsidR="006156F6" w:rsidRPr="00113FDB" w:rsidRDefault="006156F6" w:rsidP="00994B61">
      <w:pPr>
        <w:ind w:left="851"/>
        <w:rPr>
          <w:sz w:val="24"/>
          <w:szCs w:val="24"/>
          <w:lang w:val="en-GB"/>
        </w:rPr>
      </w:pPr>
      <w:r w:rsidRPr="00113FDB">
        <w:rPr>
          <w:sz w:val="24"/>
          <w:szCs w:val="24"/>
          <w:lang w:val="en-GB"/>
        </w:rPr>
        <w:t>The destruction of thyroid follicles caused by the radiation exposure of sodium iodide (</w:t>
      </w:r>
      <w:r w:rsidRPr="00113FDB">
        <w:rPr>
          <w:sz w:val="24"/>
          <w:szCs w:val="24"/>
          <w:vertAlign w:val="superscript"/>
          <w:lang w:val="en-GB"/>
        </w:rPr>
        <w:t>131</w:t>
      </w:r>
      <w:r w:rsidRPr="00113FDB">
        <w:rPr>
          <w:sz w:val="24"/>
          <w:szCs w:val="24"/>
          <w:lang w:val="en-GB"/>
        </w:rPr>
        <w:t>I) may lead to exacerbation of an already existing hyperthyroidism within 2 – 10 days or may cause a thyrotoxic crisis. Occasionally, an immune hyperthyroidism may appear after initial normalisation (latency period is 2 – 10 months). After 1-3 days of administration of high dose radioiodine, the patient may experience transient inflammatory thyroiditis and tracheitis, with a possibility of severe tracheal constriction, especially where there is existing tracheal stenosis.</w:t>
      </w:r>
    </w:p>
    <w:p w:rsidR="006156F6" w:rsidRPr="00113FDB" w:rsidRDefault="006156F6" w:rsidP="00672BAE">
      <w:pPr>
        <w:ind w:left="851"/>
        <w:rPr>
          <w:sz w:val="24"/>
          <w:szCs w:val="24"/>
          <w:lang w:val="en-GB"/>
        </w:rPr>
      </w:pPr>
      <w:r w:rsidRPr="00113FDB">
        <w:rPr>
          <w:sz w:val="24"/>
          <w:szCs w:val="24"/>
          <w:lang w:val="en-GB"/>
        </w:rPr>
        <w:t>In rare cases, a temporary hyperthyroidism could be observed even after treatment of a functional thyroid carcinoma.</w:t>
      </w:r>
    </w:p>
    <w:p w:rsidR="006156F6" w:rsidRPr="00113FDB" w:rsidRDefault="006156F6" w:rsidP="00672BAE">
      <w:pPr>
        <w:ind w:left="851"/>
        <w:rPr>
          <w:sz w:val="24"/>
          <w:szCs w:val="24"/>
          <w:lang w:val="en-GB"/>
        </w:rPr>
      </w:pPr>
      <w:r w:rsidRPr="00113FDB">
        <w:rPr>
          <w:sz w:val="24"/>
          <w:szCs w:val="24"/>
          <w:lang w:val="en-GB"/>
        </w:rPr>
        <w:t>Cases of transient hypoparathyroidism have been observed after radioiodine administration which should be appropriately monitored and treated with replacement therapy.</w:t>
      </w:r>
    </w:p>
    <w:p w:rsidR="006156F6" w:rsidRPr="00113FDB" w:rsidRDefault="006156F6" w:rsidP="00672BAE">
      <w:pPr>
        <w:ind w:left="851"/>
        <w:rPr>
          <w:sz w:val="24"/>
          <w:szCs w:val="24"/>
          <w:lang w:val="en-GB" w:eastAsia="da-DK"/>
        </w:rPr>
      </w:pPr>
    </w:p>
    <w:p w:rsidR="006156F6" w:rsidRPr="00113FDB" w:rsidRDefault="006156F6" w:rsidP="00672BAE">
      <w:pPr>
        <w:ind w:left="851"/>
        <w:rPr>
          <w:sz w:val="24"/>
          <w:szCs w:val="24"/>
          <w:lang w:val="en-GB"/>
        </w:rPr>
      </w:pPr>
      <w:r w:rsidRPr="00113FDB">
        <w:rPr>
          <w:i/>
          <w:iCs/>
          <w:sz w:val="24"/>
          <w:szCs w:val="24"/>
          <w:lang w:val="en-GB"/>
        </w:rPr>
        <w:t xml:space="preserve">Late consequences </w:t>
      </w:r>
    </w:p>
    <w:p w:rsidR="006156F6" w:rsidRPr="00113FDB" w:rsidRDefault="006156F6" w:rsidP="00672BAE">
      <w:pPr>
        <w:ind w:left="851"/>
        <w:rPr>
          <w:sz w:val="24"/>
          <w:szCs w:val="24"/>
          <w:lang w:val="en-GB"/>
        </w:rPr>
      </w:pPr>
      <w:r w:rsidRPr="00113FDB">
        <w:rPr>
          <w:sz w:val="24"/>
          <w:szCs w:val="24"/>
          <w:lang w:val="en-GB"/>
        </w:rPr>
        <w:t>Dose dependent hypothyroidism may occur as a delayed result of radioiodine treatment of hyperthyroidism. This hypothyroidism may manifest itself weeks or years after the treatment, and monitoring of thyroid function and appropriate hormone replacement therapy are required. Hypothyroidism does not generally appear until 6 - 12 weeks after radioiodine administration.</w:t>
      </w:r>
    </w:p>
    <w:p w:rsidR="006156F6" w:rsidRPr="00113FDB" w:rsidRDefault="006156F6" w:rsidP="00672BAE">
      <w:pPr>
        <w:ind w:left="851"/>
        <w:rPr>
          <w:sz w:val="24"/>
          <w:szCs w:val="24"/>
          <w:lang w:val="en-GB" w:eastAsia="da-DK"/>
        </w:rPr>
      </w:pPr>
    </w:p>
    <w:p w:rsidR="006156F6" w:rsidRPr="00113FDB" w:rsidRDefault="006156F6" w:rsidP="00672BAE">
      <w:pPr>
        <w:ind w:left="851"/>
        <w:rPr>
          <w:i/>
          <w:sz w:val="24"/>
          <w:szCs w:val="24"/>
          <w:lang w:val="en-GB"/>
        </w:rPr>
      </w:pPr>
      <w:r w:rsidRPr="00113FDB">
        <w:rPr>
          <w:i/>
          <w:sz w:val="24"/>
          <w:szCs w:val="24"/>
          <w:lang w:val="en-GB"/>
        </w:rPr>
        <w:t>Eye disorders</w:t>
      </w:r>
    </w:p>
    <w:p w:rsidR="006156F6" w:rsidRPr="00113FDB" w:rsidRDefault="006156F6" w:rsidP="00672BAE">
      <w:pPr>
        <w:ind w:left="851"/>
        <w:rPr>
          <w:sz w:val="24"/>
          <w:szCs w:val="24"/>
          <w:lang w:val="en-GB"/>
        </w:rPr>
      </w:pPr>
      <w:r w:rsidRPr="00113FDB">
        <w:rPr>
          <w:sz w:val="24"/>
          <w:szCs w:val="24"/>
          <w:lang w:val="en-GB"/>
        </w:rPr>
        <w:t>Endocrine ophthalmopathy may progress or new ophthalmopathy may occur after radioiodine therapy of hyperthyroidism or Graves’ disease. Radioiodine treatment of Graves’ disease should be associated with corticosteroids.</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Local irradiation effects</w:t>
      </w:r>
    </w:p>
    <w:p w:rsidR="006156F6" w:rsidRPr="00113FDB" w:rsidRDefault="006156F6" w:rsidP="00672BAE">
      <w:pPr>
        <w:ind w:left="851"/>
        <w:rPr>
          <w:sz w:val="24"/>
          <w:szCs w:val="24"/>
          <w:lang w:val="en-GB"/>
        </w:rPr>
      </w:pPr>
      <w:r w:rsidRPr="00113FDB">
        <w:rPr>
          <w:sz w:val="24"/>
          <w:szCs w:val="24"/>
          <w:lang w:val="en-GB"/>
        </w:rPr>
        <w:t>Dysfunction and paralysis of vocal cords have been reported after administration of sodium iodide (</w:t>
      </w:r>
      <w:r w:rsidRPr="00113FDB">
        <w:rPr>
          <w:sz w:val="24"/>
          <w:szCs w:val="24"/>
          <w:vertAlign w:val="superscript"/>
          <w:lang w:val="en-GB"/>
        </w:rPr>
        <w:t>131</w:t>
      </w:r>
      <w:r w:rsidRPr="00113FDB">
        <w:rPr>
          <w:sz w:val="24"/>
          <w:szCs w:val="24"/>
          <w:lang w:val="en-GB"/>
        </w:rPr>
        <w:t>I), however, in some cases it cannot be decided whether the dysfunction of the vocal cords was caused by radiation or by surgical treatment.</w:t>
      </w:r>
    </w:p>
    <w:p w:rsidR="006156F6" w:rsidRPr="00113FDB" w:rsidRDefault="006156F6" w:rsidP="00672BAE">
      <w:pPr>
        <w:ind w:left="851"/>
        <w:rPr>
          <w:sz w:val="24"/>
          <w:szCs w:val="24"/>
          <w:lang w:val="en-GB"/>
        </w:rPr>
      </w:pPr>
      <w:r w:rsidRPr="00113FDB">
        <w:rPr>
          <w:sz w:val="24"/>
          <w:szCs w:val="24"/>
          <w:lang w:val="en-GB"/>
        </w:rPr>
        <w:t>High tissue uptake of radioiodine can be associated with local pain, discomfort and local oedema e.g. in case of radioiodine treatment of the remnant thyroid gland, a diffuse and severe soft tissue pain may occur in the head and neck region.</w:t>
      </w:r>
    </w:p>
    <w:p w:rsidR="006156F6" w:rsidRPr="00113FDB" w:rsidRDefault="006156F6" w:rsidP="00672BAE">
      <w:pPr>
        <w:ind w:left="851"/>
        <w:rPr>
          <w:sz w:val="24"/>
          <w:szCs w:val="24"/>
          <w:lang w:val="en-GB"/>
        </w:rPr>
      </w:pPr>
      <w:r w:rsidRPr="00113FDB">
        <w:rPr>
          <w:sz w:val="24"/>
          <w:szCs w:val="24"/>
          <w:lang w:val="en-GB"/>
        </w:rPr>
        <w:t>Radiation induced pneumonia and pulmonary fibrosis have been observed in patients with diffuse pulmonary metastases from differentiated thyroid carcinoma, due to destruction of metastatic tissue. This occurs mainly after high dose radioiodine therapy.</w:t>
      </w:r>
    </w:p>
    <w:p w:rsidR="006156F6" w:rsidRPr="00113FDB" w:rsidRDefault="006156F6" w:rsidP="00672BAE">
      <w:pPr>
        <w:ind w:left="851"/>
        <w:rPr>
          <w:sz w:val="24"/>
          <w:szCs w:val="24"/>
          <w:lang w:val="en-GB"/>
        </w:rPr>
      </w:pPr>
      <w:r w:rsidRPr="00113FDB">
        <w:rPr>
          <w:sz w:val="24"/>
          <w:szCs w:val="24"/>
          <w:lang w:val="en-GB"/>
        </w:rPr>
        <w:t xml:space="preserve">In the treatment of </w:t>
      </w:r>
      <w:proofErr w:type="spellStart"/>
      <w:r w:rsidRPr="00113FDB">
        <w:rPr>
          <w:sz w:val="24"/>
          <w:szCs w:val="24"/>
          <w:lang w:val="en-GB"/>
        </w:rPr>
        <w:t>metastasing</w:t>
      </w:r>
      <w:proofErr w:type="spellEnd"/>
      <w:r w:rsidRPr="00113FDB">
        <w:rPr>
          <w:sz w:val="24"/>
          <w:szCs w:val="24"/>
          <w:lang w:val="en-GB"/>
        </w:rPr>
        <w:t xml:space="preserve"> thyroid carcinomas with central nervous system (CNS) involvement, the possibility of local cerebral oedema and/or an aggravation of existing cerebral oedema should also be considered.</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Gastrointestinal disorders</w:t>
      </w:r>
    </w:p>
    <w:p w:rsidR="006156F6" w:rsidRPr="00113FDB" w:rsidRDefault="006156F6" w:rsidP="00672BAE">
      <w:pPr>
        <w:ind w:left="851"/>
        <w:rPr>
          <w:sz w:val="24"/>
          <w:szCs w:val="24"/>
          <w:lang w:val="en-GB"/>
        </w:rPr>
      </w:pPr>
      <w:r w:rsidRPr="00113FDB">
        <w:rPr>
          <w:sz w:val="24"/>
          <w:szCs w:val="24"/>
          <w:lang w:val="en-GB"/>
        </w:rPr>
        <w:t xml:space="preserve">High levels of radioactivity may also lead to gastrointestinal disturbance, usually within the first hours or days after administration. </w:t>
      </w:r>
      <w:r w:rsidRPr="00113FDB">
        <w:rPr>
          <w:sz w:val="24"/>
          <w:szCs w:val="24"/>
          <w:lang w:val="en-GB" w:eastAsia="da-DK"/>
        </w:rPr>
        <w:t>For prevention of gastrointestinal disorders, see section 4.4.</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Salivary and lacrimal gland disorders</w:t>
      </w:r>
    </w:p>
    <w:p w:rsidR="006156F6" w:rsidRPr="00113FDB" w:rsidRDefault="006156F6" w:rsidP="00672BAE">
      <w:pPr>
        <w:ind w:left="851"/>
        <w:rPr>
          <w:sz w:val="24"/>
          <w:szCs w:val="24"/>
          <w:lang w:val="en-GB"/>
        </w:rPr>
      </w:pPr>
      <w:proofErr w:type="spellStart"/>
      <w:r w:rsidRPr="00113FDB">
        <w:rPr>
          <w:sz w:val="24"/>
          <w:szCs w:val="24"/>
          <w:lang w:val="en-GB"/>
        </w:rPr>
        <w:t>Sialoadenitis</w:t>
      </w:r>
      <w:proofErr w:type="spellEnd"/>
      <w:r w:rsidRPr="00113FDB">
        <w:rPr>
          <w:sz w:val="24"/>
          <w:szCs w:val="24"/>
          <w:lang w:val="en-GB"/>
        </w:rPr>
        <w:t xml:space="preserve"> may occur, with swelling and pain in the salivary glands, partial loss of taste and dry mouth. </w:t>
      </w:r>
      <w:proofErr w:type="spellStart"/>
      <w:r w:rsidRPr="00113FDB">
        <w:rPr>
          <w:sz w:val="24"/>
          <w:szCs w:val="24"/>
          <w:lang w:val="en-GB"/>
        </w:rPr>
        <w:t>Sialoadenitis</w:t>
      </w:r>
      <w:proofErr w:type="spellEnd"/>
      <w:r w:rsidRPr="00113FDB">
        <w:rPr>
          <w:sz w:val="24"/>
          <w:szCs w:val="24"/>
          <w:lang w:val="en-GB"/>
        </w:rPr>
        <w:t xml:space="preserve"> is usually reversible spontaneously or with anti-inflammatory treatment but cases of dose-dependent persistent ageusia and dry mouth have occasionally been described. The lack of saliva may lead to infections, e.g. caries and this may result in loss of teeth. For prevention of salivary disorders see section 4.4.</w:t>
      </w:r>
    </w:p>
    <w:p w:rsidR="006156F6" w:rsidRPr="00113FDB" w:rsidRDefault="006156F6" w:rsidP="00672BAE">
      <w:pPr>
        <w:ind w:left="851"/>
        <w:rPr>
          <w:sz w:val="24"/>
          <w:szCs w:val="24"/>
          <w:lang w:val="en-GB"/>
        </w:rPr>
      </w:pPr>
      <w:r w:rsidRPr="00113FDB">
        <w:rPr>
          <w:sz w:val="24"/>
          <w:szCs w:val="24"/>
          <w:lang w:val="en-GB"/>
        </w:rPr>
        <w:t xml:space="preserve">Malfunction of the </w:t>
      </w:r>
      <w:r w:rsidRPr="00113FDB">
        <w:rPr>
          <w:spacing w:val="-1"/>
          <w:sz w:val="24"/>
          <w:szCs w:val="24"/>
          <w:lang w:val="en-GB"/>
        </w:rPr>
        <w:t xml:space="preserve">salivary and/or </w:t>
      </w:r>
      <w:r w:rsidRPr="00113FDB">
        <w:rPr>
          <w:sz w:val="24"/>
          <w:szCs w:val="24"/>
          <w:lang w:val="en-GB"/>
        </w:rPr>
        <w:t xml:space="preserve">lacrimal glands </w:t>
      </w:r>
      <w:r w:rsidRPr="00113FDB">
        <w:rPr>
          <w:spacing w:val="-1"/>
          <w:sz w:val="24"/>
          <w:szCs w:val="24"/>
          <w:lang w:val="en-GB"/>
        </w:rPr>
        <w:t>with</w:t>
      </w:r>
      <w:r w:rsidRPr="00113FDB">
        <w:rPr>
          <w:sz w:val="24"/>
          <w:szCs w:val="24"/>
          <w:lang w:val="en-GB"/>
        </w:rPr>
        <w:t xml:space="preserve"> resulting sicca syndrome</w:t>
      </w:r>
      <w:r w:rsidRPr="00113FDB">
        <w:rPr>
          <w:spacing w:val="-1"/>
          <w:sz w:val="24"/>
          <w:szCs w:val="24"/>
          <w:lang w:val="en-GB"/>
        </w:rPr>
        <w:t xml:space="preserve"> may also appear with a delay of several months and up to two years after radioiodine therapy</w:t>
      </w:r>
      <w:r w:rsidRPr="00113FDB">
        <w:rPr>
          <w:sz w:val="24"/>
          <w:szCs w:val="24"/>
          <w:lang w:val="en-GB"/>
        </w:rPr>
        <w:t>. Although sicca syndrome is a transient effect in most cases, the symptom may persist for years in some patients.</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Bone marrow depression</w:t>
      </w:r>
    </w:p>
    <w:p w:rsidR="006156F6" w:rsidRPr="00113FDB" w:rsidRDefault="006156F6" w:rsidP="00672BAE">
      <w:pPr>
        <w:ind w:left="851"/>
        <w:rPr>
          <w:sz w:val="24"/>
          <w:szCs w:val="24"/>
          <w:lang w:val="en-GB"/>
        </w:rPr>
      </w:pPr>
      <w:r w:rsidRPr="00113FDB">
        <w:rPr>
          <w:sz w:val="24"/>
          <w:szCs w:val="24"/>
          <w:lang w:val="en-GB"/>
        </w:rPr>
        <w:t xml:space="preserve">As a late consequence, reversible bone marrow depression may develop, presenting with isolated thrombocytopenia or </w:t>
      </w:r>
      <w:proofErr w:type="spellStart"/>
      <w:r w:rsidRPr="00113FDB">
        <w:rPr>
          <w:sz w:val="24"/>
          <w:szCs w:val="24"/>
          <w:lang w:val="en-GB"/>
        </w:rPr>
        <w:t>erythrocytopenia</w:t>
      </w:r>
      <w:proofErr w:type="spellEnd"/>
      <w:r w:rsidRPr="00113FDB">
        <w:rPr>
          <w:sz w:val="24"/>
          <w:szCs w:val="24"/>
          <w:lang w:val="en-GB"/>
        </w:rPr>
        <w:t xml:space="preserve"> which may be fatal. Bone marrow depression is more likely to occur after one single administration of more than 5,000 </w:t>
      </w:r>
      <w:proofErr w:type="spellStart"/>
      <w:r w:rsidRPr="00113FDB">
        <w:rPr>
          <w:sz w:val="24"/>
          <w:szCs w:val="24"/>
          <w:lang w:val="en-GB"/>
        </w:rPr>
        <w:t>MBq</w:t>
      </w:r>
      <w:proofErr w:type="spellEnd"/>
      <w:r w:rsidRPr="00113FDB">
        <w:rPr>
          <w:sz w:val="24"/>
          <w:szCs w:val="24"/>
          <w:lang w:val="en-GB"/>
        </w:rPr>
        <w:t xml:space="preserve">, or after repeat administration in intervals below 6 months. </w:t>
      </w:r>
    </w:p>
    <w:p w:rsidR="006156F6" w:rsidRPr="00113FDB" w:rsidRDefault="006156F6" w:rsidP="00672BAE">
      <w:pPr>
        <w:ind w:left="851"/>
        <w:rPr>
          <w:sz w:val="24"/>
          <w:szCs w:val="24"/>
          <w:lang w:val="en-GB"/>
        </w:rPr>
      </w:pPr>
    </w:p>
    <w:p w:rsidR="006156F6" w:rsidRPr="00113FDB" w:rsidRDefault="006156F6" w:rsidP="00672BAE">
      <w:pPr>
        <w:ind w:left="851"/>
        <w:rPr>
          <w:i/>
          <w:sz w:val="24"/>
          <w:szCs w:val="24"/>
          <w:lang w:val="en-GB"/>
        </w:rPr>
      </w:pPr>
      <w:r w:rsidRPr="00113FDB">
        <w:rPr>
          <w:i/>
          <w:sz w:val="24"/>
          <w:szCs w:val="24"/>
          <w:lang w:val="en-GB"/>
        </w:rPr>
        <w:t>Secondary malignancies</w:t>
      </w:r>
    </w:p>
    <w:p w:rsidR="006156F6" w:rsidRPr="00113FDB" w:rsidRDefault="006156F6" w:rsidP="00672BAE">
      <w:pPr>
        <w:ind w:left="851"/>
        <w:rPr>
          <w:sz w:val="24"/>
          <w:szCs w:val="24"/>
          <w:lang w:val="en-GB"/>
        </w:rPr>
      </w:pPr>
      <w:r w:rsidRPr="00113FDB">
        <w:rPr>
          <w:sz w:val="24"/>
          <w:szCs w:val="24"/>
          <w:lang w:val="en-GB"/>
        </w:rPr>
        <w:t>After higher activities, typically those used in the treatment of thyroid malignancies, an increased incidence of leukaemia has been observed. There is evidence of an increased frequency of solid cancers induced by administration of high activities (above 7.4 </w:t>
      </w:r>
      <w:proofErr w:type="spellStart"/>
      <w:r w:rsidRPr="00113FDB">
        <w:rPr>
          <w:sz w:val="24"/>
          <w:szCs w:val="24"/>
          <w:lang w:val="en-GB"/>
        </w:rPr>
        <w:t>GBq</w:t>
      </w:r>
      <w:proofErr w:type="spellEnd"/>
      <w:r w:rsidRPr="00113FDB">
        <w:rPr>
          <w:sz w:val="24"/>
          <w:szCs w:val="24"/>
          <w:lang w:val="en-GB"/>
        </w:rPr>
        <w:t>).</w:t>
      </w:r>
    </w:p>
    <w:p w:rsidR="00994B61" w:rsidRDefault="00994B61">
      <w:pPr>
        <w:rPr>
          <w:sz w:val="24"/>
          <w:szCs w:val="24"/>
          <w:lang w:val="en-GB" w:eastAsia="da-DK"/>
        </w:rPr>
      </w:pPr>
      <w:r>
        <w:rPr>
          <w:sz w:val="24"/>
          <w:szCs w:val="24"/>
          <w:lang w:val="en-GB" w:eastAsia="da-DK"/>
        </w:rPr>
        <w:br w:type="page"/>
      </w:r>
    </w:p>
    <w:p w:rsidR="006156F6" w:rsidRPr="00113FDB" w:rsidRDefault="006156F6" w:rsidP="00672BAE">
      <w:pPr>
        <w:ind w:left="851"/>
        <w:rPr>
          <w:sz w:val="24"/>
          <w:szCs w:val="24"/>
          <w:lang w:val="en-GB" w:eastAsia="da-DK"/>
        </w:rPr>
      </w:pPr>
    </w:p>
    <w:p w:rsidR="006156F6" w:rsidRPr="00994B61" w:rsidRDefault="006156F6" w:rsidP="00672BAE">
      <w:pPr>
        <w:ind w:left="851"/>
        <w:rPr>
          <w:sz w:val="24"/>
          <w:szCs w:val="24"/>
          <w:u w:val="single"/>
          <w:lang w:val="en-GB" w:eastAsia="da-DK"/>
        </w:rPr>
      </w:pPr>
      <w:r w:rsidRPr="00994B61">
        <w:rPr>
          <w:sz w:val="24"/>
          <w:szCs w:val="24"/>
          <w:u w:val="single"/>
          <w:lang w:val="en-GB" w:eastAsia="da-DK"/>
        </w:rPr>
        <w:t>Paediatric population</w:t>
      </w:r>
    </w:p>
    <w:p w:rsidR="006156F6" w:rsidRPr="00113FDB" w:rsidRDefault="006156F6" w:rsidP="00672BAE">
      <w:pPr>
        <w:ind w:left="851"/>
        <w:rPr>
          <w:sz w:val="24"/>
          <w:szCs w:val="24"/>
          <w:lang w:val="en-GB" w:eastAsia="da-DK"/>
        </w:rPr>
      </w:pPr>
      <w:r w:rsidRPr="00113FDB">
        <w:rPr>
          <w:sz w:val="24"/>
          <w:szCs w:val="24"/>
          <w:lang w:val="en-GB" w:eastAsia="da-DK"/>
        </w:rPr>
        <w:t>The type of undesirable effects expected in children are identical to the one in adults. Based on greater radiation sensitivity of child tissues (see section 11) and the greater life expectancy frequency and severity may be different.</w:t>
      </w:r>
    </w:p>
    <w:p w:rsidR="006156F6" w:rsidRPr="00113FDB" w:rsidRDefault="006156F6" w:rsidP="00672BAE">
      <w:pPr>
        <w:ind w:left="851"/>
        <w:rPr>
          <w:sz w:val="24"/>
          <w:szCs w:val="24"/>
          <w:lang w:val="en-GB" w:eastAsia="da-DK"/>
        </w:rPr>
      </w:pPr>
    </w:p>
    <w:p w:rsidR="006A10ED" w:rsidRPr="00113FDB" w:rsidRDefault="006A10ED" w:rsidP="006A10ED">
      <w:pPr>
        <w:ind w:left="851"/>
        <w:rPr>
          <w:sz w:val="24"/>
          <w:szCs w:val="24"/>
          <w:u w:val="single"/>
          <w:lang w:val="en-GB"/>
        </w:rPr>
      </w:pPr>
      <w:r w:rsidRPr="00113FDB">
        <w:rPr>
          <w:sz w:val="24"/>
          <w:szCs w:val="24"/>
          <w:u w:val="single"/>
          <w:lang w:val="en-GB"/>
        </w:rPr>
        <w:t>Reporting of suspected adverse reactions</w:t>
      </w:r>
    </w:p>
    <w:p w:rsidR="006A10ED" w:rsidRPr="00113FDB" w:rsidRDefault="006A10ED" w:rsidP="006A10ED">
      <w:pPr>
        <w:ind w:left="851"/>
        <w:rPr>
          <w:sz w:val="24"/>
          <w:szCs w:val="24"/>
          <w:lang w:val="en-GB"/>
        </w:rPr>
      </w:pPr>
      <w:r w:rsidRPr="00113FD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6A10ED" w:rsidRPr="00113FDB" w:rsidRDefault="006A10ED" w:rsidP="006A10ED">
      <w:pPr>
        <w:ind w:left="851"/>
        <w:rPr>
          <w:sz w:val="24"/>
          <w:szCs w:val="24"/>
          <w:lang w:val="en-GB"/>
        </w:rPr>
      </w:pPr>
    </w:p>
    <w:p w:rsidR="006A10ED" w:rsidRPr="00113FDB" w:rsidRDefault="006A10ED" w:rsidP="006A10ED">
      <w:pPr>
        <w:ind w:left="851"/>
        <w:rPr>
          <w:sz w:val="24"/>
          <w:szCs w:val="24"/>
        </w:rPr>
      </w:pPr>
      <w:r w:rsidRPr="00113FDB">
        <w:rPr>
          <w:sz w:val="24"/>
          <w:szCs w:val="24"/>
        </w:rPr>
        <w:t>Lægemiddelstyrelsen</w:t>
      </w:r>
    </w:p>
    <w:p w:rsidR="006A10ED" w:rsidRPr="00113FDB" w:rsidRDefault="006A10ED" w:rsidP="006A10ED">
      <w:pPr>
        <w:ind w:left="851"/>
        <w:rPr>
          <w:sz w:val="24"/>
          <w:szCs w:val="24"/>
        </w:rPr>
      </w:pPr>
      <w:r w:rsidRPr="00113FDB">
        <w:rPr>
          <w:sz w:val="24"/>
          <w:szCs w:val="24"/>
        </w:rPr>
        <w:t>Axel Heides Gade 1</w:t>
      </w:r>
    </w:p>
    <w:p w:rsidR="006A10ED" w:rsidRPr="00113FDB" w:rsidRDefault="006A10ED" w:rsidP="006A10ED">
      <w:pPr>
        <w:ind w:left="851"/>
        <w:rPr>
          <w:sz w:val="24"/>
          <w:szCs w:val="24"/>
        </w:rPr>
      </w:pPr>
      <w:r w:rsidRPr="00113FDB">
        <w:rPr>
          <w:sz w:val="24"/>
          <w:szCs w:val="24"/>
        </w:rPr>
        <w:t>DK-2300 København S</w:t>
      </w:r>
    </w:p>
    <w:p w:rsidR="006A10ED" w:rsidRPr="00113FDB" w:rsidRDefault="006A10ED" w:rsidP="006A10ED">
      <w:pPr>
        <w:ind w:left="851"/>
        <w:rPr>
          <w:sz w:val="24"/>
          <w:szCs w:val="24"/>
          <w:lang w:val="en-US"/>
        </w:rPr>
      </w:pPr>
      <w:r w:rsidRPr="00113FDB">
        <w:rPr>
          <w:sz w:val="24"/>
          <w:szCs w:val="24"/>
          <w:lang w:val="en-US"/>
        </w:rPr>
        <w:t>Website: www.meldenbivirkning.dk</w:t>
      </w:r>
    </w:p>
    <w:p w:rsidR="0052186C" w:rsidRPr="00113FDB" w:rsidRDefault="0052186C" w:rsidP="0052186C">
      <w:pPr>
        <w:pStyle w:val="Sidehoved"/>
        <w:tabs>
          <w:tab w:val="left" w:pos="851"/>
        </w:tabs>
        <w:ind w:left="851"/>
        <w:rPr>
          <w:szCs w:val="24"/>
          <w:lang w:val="en-US"/>
        </w:rPr>
      </w:pPr>
    </w:p>
    <w:p w:rsidR="00227481" w:rsidRPr="00113FDB" w:rsidRDefault="00227481" w:rsidP="00227481">
      <w:pPr>
        <w:tabs>
          <w:tab w:val="left" w:pos="851"/>
        </w:tabs>
        <w:ind w:left="851" w:hanging="851"/>
        <w:rPr>
          <w:b/>
          <w:sz w:val="24"/>
          <w:szCs w:val="24"/>
          <w:lang w:val="en-US" w:eastAsia="da-DK"/>
        </w:rPr>
      </w:pPr>
      <w:r w:rsidRPr="00113FDB">
        <w:rPr>
          <w:b/>
          <w:sz w:val="24"/>
          <w:szCs w:val="24"/>
          <w:lang w:val="en-US"/>
        </w:rPr>
        <w:t>4.9</w:t>
      </w:r>
      <w:r w:rsidRPr="00113FDB">
        <w:rPr>
          <w:b/>
          <w:sz w:val="24"/>
          <w:szCs w:val="24"/>
          <w:lang w:val="en-US"/>
        </w:rPr>
        <w:tab/>
        <w:t>Overdose</w:t>
      </w:r>
    </w:p>
    <w:p w:rsidR="006156F6" w:rsidRPr="00113FDB" w:rsidRDefault="006156F6" w:rsidP="00672BAE">
      <w:pPr>
        <w:ind w:left="851"/>
        <w:rPr>
          <w:b/>
          <w:sz w:val="24"/>
          <w:szCs w:val="24"/>
          <w:lang w:val="en-GB"/>
        </w:rPr>
      </w:pPr>
      <w:r w:rsidRPr="00113FDB">
        <w:rPr>
          <w:sz w:val="24"/>
          <w:szCs w:val="24"/>
          <w:lang w:val="en-GB"/>
        </w:rPr>
        <w:t>This product must be used by authorised personnel in a hospital setting. The risk of overdose is therefore theoretical.</w:t>
      </w:r>
    </w:p>
    <w:p w:rsidR="0052186C" w:rsidRPr="00113FDB" w:rsidRDefault="0052186C" w:rsidP="00672BAE">
      <w:pPr>
        <w:ind w:left="851"/>
        <w:rPr>
          <w:sz w:val="24"/>
          <w:szCs w:val="24"/>
          <w:lang w:val="en-US"/>
        </w:rPr>
      </w:pPr>
      <w:r w:rsidRPr="00113FDB">
        <w:rPr>
          <w:sz w:val="24"/>
          <w:szCs w:val="24"/>
          <w:lang w:val="en-US"/>
        </w:rPr>
        <w:t>In the event of administration of a radiation overdose the absorbed dose to the patient should be reduced where possible by increasing the elimination of the radionuclide from the body by frequent micturition and by forced diuresis.</w:t>
      </w:r>
    </w:p>
    <w:p w:rsidR="006156F6" w:rsidRPr="00113FDB" w:rsidRDefault="006156F6" w:rsidP="00672BAE">
      <w:pPr>
        <w:ind w:left="851"/>
        <w:rPr>
          <w:sz w:val="24"/>
          <w:szCs w:val="24"/>
          <w:lang w:val="en-GB"/>
        </w:rPr>
      </w:pPr>
      <w:r w:rsidRPr="00113FDB">
        <w:rPr>
          <w:sz w:val="24"/>
          <w:szCs w:val="24"/>
          <w:lang w:val="en-GB"/>
        </w:rPr>
        <w:t>Additionally, the blockade of the thyroid gland should be recommended (e.g. with potassium iodide or potassium perchlorate) in order to reduce the radiation exposure of the thyroid gland. To reduce the uptake of sodium iodide (</w:t>
      </w:r>
      <w:r w:rsidRPr="00113FDB">
        <w:rPr>
          <w:sz w:val="24"/>
          <w:szCs w:val="24"/>
          <w:vertAlign w:val="superscript"/>
          <w:lang w:val="en-GB"/>
        </w:rPr>
        <w:t>131</w:t>
      </w:r>
      <w:r w:rsidRPr="00113FDB">
        <w:rPr>
          <w:sz w:val="24"/>
          <w:szCs w:val="24"/>
          <w:lang w:val="en-GB"/>
        </w:rPr>
        <w:t>I), emetics can be given.</w:t>
      </w:r>
    </w:p>
    <w:p w:rsidR="0052186C" w:rsidRPr="00113FDB" w:rsidRDefault="0052186C" w:rsidP="0052186C">
      <w:pPr>
        <w:tabs>
          <w:tab w:val="left" w:pos="851"/>
        </w:tabs>
        <w:ind w:left="851" w:hanging="851"/>
        <w:rPr>
          <w:sz w:val="24"/>
          <w:szCs w:val="24"/>
          <w:lang w:val="en-GB"/>
        </w:rPr>
      </w:pPr>
    </w:p>
    <w:p w:rsidR="0052186C" w:rsidRPr="00113FDB" w:rsidRDefault="0052186C" w:rsidP="0052186C">
      <w:pPr>
        <w:tabs>
          <w:tab w:val="left" w:pos="851"/>
        </w:tabs>
        <w:ind w:left="851" w:hanging="851"/>
        <w:rPr>
          <w:sz w:val="24"/>
          <w:szCs w:val="24"/>
          <w:lang w:val="en-US"/>
        </w:rPr>
      </w:pPr>
    </w:p>
    <w:p w:rsidR="00227481" w:rsidRPr="00113FDB" w:rsidRDefault="00227481" w:rsidP="00227481">
      <w:pPr>
        <w:tabs>
          <w:tab w:val="left" w:pos="851"/>
        </w:tabs>
        <w:rPr>
          <w:b/>
          <w:sz w:val="24"/>
          <w:szCs w:val="24"/>
          <w:lang w:val="en-US" w:eastAsia="da-DK"/>
        </w:rPr>
      </w:pPr>
      <w:r w:rsidRPr="00113FDB">
        <w:rPr>
          <w:b/>
          <w:sz w:val="24"/>
          <w:szCs w:val="24"/>
          <w:lang w:val="en-US"/>
        </w:rPr>
        <w:t>5.</w:t>
      </w:r>
      <w:r w:rsidRPr="00113FDB">
        <w:rPr>
          <w:b/>
          <w:sz w:val="24"/>
          <w:szCs w:val="24"/>
          <w:lang w:val="en-US"/>
        </w:rPr>
        <w:tab/>
        <w:t>PHARMACOLOGICAL PROPERTIES</w:t>
      </w:r>
    </w:p>
    <w:p w:rsidR="00227481" w:rsidRPr="00113FDB" w:rsidRDefault="00227481" w:rsidP="00227481">
      <w:pPr>
        <w:tabs>
          <w:tab w:val="left" w:pos="851"/>
        </w:tabs>
        <w:ind w:left="851"/>
        <w:rPr>
          <w:sz w:val="24"/>
          <w:szCs w:val="24"/>
          <w:lang w:val="en-US"/>
        </w:rPr>
      </w:pPr>
    </w:p>
    <w:p w:rsidR="00227481" w:rsidRPr="00113FDB" w:rsidRDefault="00227481" w:rsidP="00227481">
      <w:pPr>
        <w:tabs>
          <w:tab w:val="left" w:pos="851"/>
        </w:tabs>
        <w:ind w:left="851" w:hanging="851"/>
        <w:rPr>
          <w:b/>
          <w:sz w:val="24"/>
          <w:szCs w:val="24"/>
          <w:lang w:val="en-US"/>
        </w:rPr>
      </w:pPr>
      <w:r w:rsidRPr="00113FDB">
        <w:rPr>
          <w:b/>
          <w:sz w:val="24"/>
          <w:szCs w:val="24"/>
          <w:lang w:val="en-US"/>
        </w:rPr>
        <w:t>5.1</w:t>
      </w:r>
      <w:r w:rsidRPr="00113FDB">
        <w:rPr>
          <w:b/>
          <w:sz w:val="24"/>
          <w:szCs w:val="24"/>
          <w:lang w:val="en-US"/>
        </w:rPr>
        <w:tab/>
        <w:t>Pharmacodynamic properties</w:t>
      </w:r>
      <w:r w:rsidRPr="00113FDB">
        <w:rPr>
          <w:b/>
          <w:sz w:val="24"/>
          <w:szCs w:val="24"/>
          <w:lang w:val="en-US"/>
        </w:rPr>
        <w:tab/>
      </w:r>
    </w:p>
    <w:p w:rsidR="0052186C" w:rsidRPr="00113FDB" w:rsidRDefault="0052186C" w:rsidP="00672BAE">
      <w:pPr>
        <w:ind w:left="851"/>
        <w:rPr>
          <w:sz w:val="24"/>
          <w:szCs w:val="24"/>
          <w:lang w:val="en-US"/>
        </w:rPr>
      </w:pPr>
      <w:r w:rsidRPr="00113FDB">
        <w:rPr>
          <w:sz w:val="24"/>
          <w:szCs w:val="24"/>
          <w:lang w:val="en-US"/>
        </w:rPr>
        <w:t>Pharmacotherapeutic group: Therapeutic radiopharmaceuticals iodine (</w:t>
      </w:r>
      <w:r w:rsidRPr="00113FDB">
        <w:rPr>
          <w:sz w:val="24"/>
          <w:szCs w:val="24"/>
          <w:vertAlign w:val="superscript"/>
          <w:lang w:val="en-US"/>
        </w:rPr>
        <w:t>131</w:t>
      </w:r>
      <w:r w:rsidRPr="00113FDB">
        <w:rPr>
          <w:sz w:val="24"/>
          <w:szCs w:val="24"/>
          <w:lang w:val="en-US"/>
        </w:rPr>
        <w:t>I) compounds</w:t>
      </w:r>
      <w:r w:rsidR="006156F6" w:rsidRPr="00113FDB">
        <w:rPr>
          <w:sz w:val="24"/>
          <w:szCs w:val="24"/>
          <w:lang w:val="en-US"/>
        </w:rPr>
        <w:t>,</w:t>
      </w:r>
    </w:p>
    <w:p w:rsidR="0052186C" w:rsidRPr="00113FDB" w:rsidRDefault="0052186C" w:rsidP="00672BAE">
      <w:pPr>
        <w:ind w:left="851"/>
        <w:rPr>
          <w:sz w:val="24"/>
          <w:szCs w:val="24"/>
          <w:lang w:val="en-US"/>
        </w:rPr>
      </w:pPr>
      <w:r w:rsidRPr="00113FDB">
        <w:rPr>
          <w:sz w:val="24"/>
          <w:szCs w:val="24"/>
          <w:lang w:val="en-US"/>
        </w:rPr>
        <w:t>ATC-code: V10XA01.</w:t>
      </w:r>
    </w:p>
    <w:p w:rsidR="0052186C" w:rsidRPr="00113FDB" w:rsidRDefault="0052186C" w:rsidP="00672BAE">
      <w:pPr>
        <w:ind w:left="851"/>
        <w:rPr>
          <w:sz w:val="24"/>
          <w:szCs w:val="24"/>
          <w:lang w:val="en-US"/>
        </w:rPr>
      </w:pPr>
    </w:p>
    <w:p w:rsidR="006156F6" w:rsidRPr="00113FDB" w:rsidRDefault="006156F6" w:rsidP="00672BAE">
      <w:pPr>
        <w:ind w:left="851"/>
        <w:rPr>
          <w:sz w:val="24"/>
          <w:szCs w:val="24"/>
          <w:lang w:val="en-GB"/>
        </w:rPr>
      </w:pPr>
      <w:r w:rsidRPr="00113FDB">
        <w:rPr>
          <w:sz w:val="24"/>
          <w:szCs w:val="24"/>
          <w:lang w:val="en-GB"/>
        </w:rPr>
        <w:t>The pharmacological active substance is iodine (</w:t>
      </w:r>
      <w:r w:rsidRPr="00113FDB">
        <w:rPr>
          <w:sz w:val="24"/>
          <w:szCs w:val="24"/>
          <w:vertAlign w:val="superscript"/>
          <w:lang w:val="en-GB"/>
        </w:rPr>
        <w:t>131</w:t>
      </w:r>
      <w:r w:rsidRPr="00113FDB">
        <w:rPr>
          <w:sz w:val="24"/>
          <w:szCs w:val="24"/>
          <w:lang w:val="en-GB"/>
        </w:rPr>
        <w:t>I) in the form of sodium iodide that is taken up by the thyroid. The physical decay takes place essentially in the thyroid gland, where sodium iodide (</w:t>
      </w:r>
      <w:r w:rsidRPr="00113FDB">
        <w:rPr>
          <w:sz w:val="24"/>
          <w:szCs w:val="24"/>
          <w:vertAlign w:val="superscript"/>
          <w:lang w:val="en-GB"/>
        </w:rPr>
        <w:t>131</w:t>
      </w:r>
      <w:r w:rsidRPr="00113FDB">
        <w:rPr>
          <w:sz w:val="24"/>
          <w:szCs w:val="24"/>
          <w:lang w:val="en-GB"/>
        </w:rPr>
        <w:t>I) has a long residence time, delivering a selective irradiation to this organ.</w:t>
      </w:r>
    </w:p>
    <w:p w:rsidR="006156F6" w:rsidRPr="00113FDB" w:rsidRDefault="006156F6" w:rsidP="00672BAE">
      <w:pPr>
        <w:ind w:left="851"/>
        <w:rPr>
          <w:sz w:val="24"/>
          <w:szCs w:val="24"/>
          <w:lang w:val="en-GB"/>
        </w:rPr>
      </w:pPr>
      <w:r w:rsidRPr="00113FDB">
        <w:rPr>
          <w:sz w:val="24"/>
          <w:szCs w:val="24"/>
          <w:lang w:val="en-GB"/>
        </w:rPr>
        <w:t>In the amount used for therapeutic indications, no pharmacodynamic effects of sodium iodide (</w:t>
      </w:r>
      <w:r w:rsidRPr="00113FDB">
        <w:rPr>
          <w:sz w:val="24"/>
          <w:szCs w:val="24"/>
          <w:vertAlign w:val="superscript"/>
          <w:lang w:val="en-GB"/>
        </w:rPr>
        <w:t>131</w:t>
      </w:r>
      <w:r w:rsidRPr="00113FDB">
        <w:rPr>
          <w:sz w:val="24"/>
          <w:szCs w:val="24"/>
          <w:lang w:val="en-GB"/>
        </w:rPr>
        <w:t>I) are to be expected.</w:t>
      </w:r>
    </w:p>
    <w:p w:rsidR="0052186C" w:rsidRPr="00113FDB" w:rsidRDefault="0052186C" w:rsidP="00672BAE">
      <w:pPr>
        <w:ind w:left="851"/>
        <w:rPr>
          <w:sz w:val="24"/>
          <w:szCs w:val="24"/>
          <w:lang w:val="en-US"/>
        </w:rPr>
      </w:pPr>
      <w:r w:rsidRPr="00113FDB">
        <w:rPr>
          <w:sz w:val="24"/>
          <w:szCs w:val="24"/>
          <w:lang w:val="en-US"/>
        </w:rPr>
        <w:t xml:space="preserve">More than 90% of the radiation effects result from emitted </w:t>
      </w:r>
      <w:r w:rsidRPr="00113FDB">
        <w:rPr>
          <w:sz w:val="24"/>
          <w:szCs w:val="24"/>
        </w:rPr>
        <w:t>β</w:t>
      </w:r>
      <w:r w:rsidRPr="00113FDB">
        <w:rPr>
          <w:sz w:val="24"/>
          <w:szCs w:val="24"/>
          <w:lang w:val="en-US"/>
        </w:rPr>
        <w:t xml:space="preserve"> radiation which has a mean range of 0.5 mm. The </w:t>
      </w:r>
      <w:r w:rsidRPr="00113FDB">
        <w:rPr>
          <w:sz w:val="24"/>
          <w:szCs w:val="24"/>
        </w:rPr>
        <w:t>β</w:t>
      </w:r>
      <w:r w:rsidRPr="00113FDB">
        <w:rPr>
          <w:sz w:val="24"/>
          <w:szCs w:val="24"/>
          <w:lang w:val="en-US"/>
        </w:rPr>
        <w:t xml:space="preserve"> irradiation will dose dependently decrease cell function and cell division leading to cell destruction. The short range and almost absence of uptake of sodium iodide (</w:t>
      </w:r>
      <w:r w:rsidRPr="00113FDB">
        <w:rPr>
          <w:sz w:val="24"/>
          <w:szCs w:val="24"/>
          <w:vertAlign w:val="superscript"/>
          <w:lang w:val="en-US"/>
        </w:rPr>
        <w:t>131</w:t>
      </w:r>
      <w:r w:rsidRPr="00113FDB">
        <w:rPr>
          <w:sz w:val="24"/>
          <w:szCs w:val="24"/>
          <w:lang w:val="en-US"/>
        </w:rPr>
        <w:t>I) outside the thyroid lead to a negligible amount of irradiation exposure outside the thyroid gland.</w:t>
      </w:r>
    </w:p>
    <w:p w:rsidR="0052186C" w:rsidRPr="00113FDB" w:rsidRDefault="0052186C" w:rsidP="00672BAE">
      <w:pPr>
        <w:ind w:left="851"/>
        <w:rPr>
          <w:sz w:val="24"/>
          <w:szCs w:val="24"/>
          <w:lang w:val="en-US"/>
        </w:rPr>
      </w:pPr>
    </w:p>
    <w:p w:rsidR="00227481" w:rsidRPr="00113FDB" w:rsidRDefault="00227481" w:rsidP="00227481">
      <w:pPr>
        <w:tabs>
          <w:tab w:val="left" w:pos="851"/>
        </w:tabs>
        <w:ind w:left="851" w:hanging="851"/>
        <w:rPr>
          <w:b/>
          <w:sz w:val="24"/>
          <w:szCs w:val="24"/>
          <w:lang w:val="en-US" w:eastAsia="da-DK"/>
        </w:rPr>
      </w:pPr>
      <w:r w:rsidRPr="00113FDB">
        <w:rPr>
          <w:b/>
          <w:sz w:val="24"/>
          <w:szCs w:val="24"/>
          <w:lang w:val="en-US"/>
        </w:rPr>
        <w:t>5.2</w:t>
      </w:r>
      <w:r w:rsidRPr="00113FDB">
        <w:rPr>
          <w:b/>
          <w:sz w:val="24"/>
          <w:szCs w:val="24"/>
          <w:lang w:val="en-US"/>
        </w:rPr>
        <w:tab/>
        <w:t>Pharmacokinetic properties</w:t>
      </w:r>
    </w:p>
    <w:p w:rsidR="0052186C" w:rsidRPr="00113FDB" w:rsidRDefault="0052186C" w:rsidP="0052186C">
      <w:pPr>
        <w:autoSpaceDE w:val="0"/>
        <w:autoSpaceDN w:val="0"/>
        <w:adjustRightInd w:val="0"/>
        <w:ind w:left="851" w:hanging="851"/>
        <w:rPr>
          <w:sz w:val="24"/>
          <w:szCs w:val="24"/>
          <w:lang w:val="en-US"/>
        </w:rPr>
      </w:pPr>
    </w:p>
    <w:p w:rsidR="006156F6" w:rsidRPr="001946D2" w:rsidRDefault="006156F6" w:rsidP="00672BAE">
      <w:pPr>
        <w:ind w:left="851"/>
        <w:rPr>
          <w:sz w:val="24"/>
          <w:szCs w:val="24"/>
          <w:u w:val="single"/>
          <w:lang w:val="en-GB"/>
        </w:rPr>
      </w:pPr>
      <w:r w:rsidRPr="001946D2">
        <w:rPr>
          <w:sz w:val="24"/>
          <w:szCs w:val="24"/>
          <w:u w:val="single"/>
          <w:lang w:val="en-GB"/>
        </w:rPr>
        <w:t>Absorption</w:t>
      </w:r>
    </w:p>
    <w:p w:rsidR="006156F6" w:rsidRPr="00113FDB" w:rsidRDefault="006156F6" w:rsidP="00672BAE">
      <w:pPr>
        <w:ind w:left="851"/>
        <w:rPr>
          <w:sz w:val="24"/>
          <w:szCs w:val="24"/>
          <w:lang w:val="en-GB"/>
        </w:rPr>
      </w:pPr>
      <w:r w:rsidRPr="00113FDB">
        <w:rPr>
          <w:sz w:val="24"/>
          <w:szCs w:val="24"/>
          <w:lang w:val="en-GB"/>
        </w:rPr>
        <w:t>After oral administration, sodium iodide (</w:t>
      </w:r>
      <w:r w:rsidRPr="00113FDB">
        <w:rPr>
          <w:sz w:val="24"/>
          <w:szCs w:val="24"/>
          <w:vertAlign w:val="superscript"/>
          <w:lang w:val="en-GB"/>
        </w:rPr>
        <w:t>131</w:t>
      </w:r>
      <w:r w:rsidRPr="00113FDB">
        <w:rPr>
          <w:sz w:val="24"/>
          <w:szCs w:val="24"/>
          <w:lang w:val="en-GB"/>
        </w:rPr>
        <w:t>I) is absorbed rapidly from the upper gastrointestinal tract (90% in 60 minutes). The absorption is influenced by gastric emptying. It is increased by hyperthyroidism and decreased by hypothyroidism.</w:t>
      </w:r>
    </w:p>
    <w:p w:rsidR="006156F6" w:rsidRPr="00113FDB" w:rsidRDefault="006156F6" w:rsidP="00672BAE">
      <w:pPr>
        <w:ind w:left="851"/>
        <w:rPr>
          <w:sz w:val="24"/>
          <w:szCs w:val="24"/>
          <w:lang w:val="en-GB"/>
        </w:rPr>
      </w:pPr>
      <w:r w:rsidRPr="00113FDB">
        <w:rPr>
          <w:sz w:val="24"/>
          <w:szCs w:val="24"/>
          <w:lang w:val="en-GB"/>
        </w:rPr>
        <w:t>Studies on the serum activities levels showed that after a fast increase, over 10 to 20 minutes, an equilibrium is reached after about 40 minutes. After oral administration of sodium iodide (</w:t>
      </w:r>
      <w:r w:rsidRPr="00113FDB">
        <w:rPr>
          <w:sz w:val="24"/>
          <w:szCs w:val="24"/>
          <w:vertAlign w:val="superscript"/>
          <w:lang w:val="en-GB"/>
        </w:rPr>
        <w:t>131</w:t>
      </w:r>
      <w:r w:rsidRPr="00113FDB">
        <w:rPr>
          <w:sz w:val="24"/>
          <w:szCs w:val="24"/>
          <w:lang w:val="en-GB"/>
        </w:rPr>
        <w:t>I) solution an equilibrium is reached at the same time.</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Distribution and organ uptake</w:t>
      </w:r>
    </w:p>
    <w:p w:rsidR="006156F6" w:rsidRPr="00113FDB" w:rsidRDefault="006156F6" w:rsidP="00672BAE">
      <w:pPr>
        <w:ind w:left="851"/>
        <w:rPr>
          <w:sz w:val="24"/>
          <w:szCs w:val="24"/>
          <w:lang w:val="en-GB"/>
        </w:rPr>
      </w:pPr>
      <w:r w:rsidRPr="00113FDB">
        <w:rPr>
          <w:sz w:val="24"/>
          <w:szCs w:val="24"/>
          <w:lang w:val="en-GB"/>
        </w:rPr>
        <w:t xml:space="preserve">The pharmacokinetics follows that of unlabelled iodide. After entering the blood </w:t>
      </w:r>
      <w:proofErr w:type="gramStart"/>
      <w:r w:rsidRPr="00113FDB">
        <w:rPr>
          <w:sz w:val="24"/>
          <w:szCs w:val="24"/>
          <w:lang w:val="en-GB"/>
        </w:rPr>
        <w:t>stream</w:t>
      </w:r>
      <w:proofErr w:type="gramEnd"/>
      <w:r w:rsidRPr="00113FDB">
        <w:rPr>
          <w:sz w:val="24"/>
          <w:szCs w:val="24"/>
          <w:lang w:val="en-GB"/>
        </w:rPr>
        <w:t xml:space="preserve"> it is distributed in the extra thyroidal compartment. From here it is predominantly taken up by the thyroid that extracts approximately 20% of the iodide in one pass or excreted renally. The iodide uptake in the thyroid reaches a maximum after 24-48 hours, 50% of the maximum peak is reached after 5 hours. The uptake is influenced by several factors: patient age, thyroid gland volume, renal clearance, plasmatic concentration of iodide and other drugs (see section 4.5). The iodide clearance by the thyroid gland is usually 5</w:t>
      </w:r>
      <w:r w:rsidRPr="00113FDB">
        <w:rPr>
          <w:sz w:val="24"/>
          <w:szCs w:val="24"/>
          <w:lang w:val="en-GB"/>
        </w:rPr>
        <w:noBreakHyphen/>
        <w:t xml:space="preserve">50 mL/min. In case of iodine </w:t>
      </w:r>
      <w:proofErr w:type="gramStart"/>
      <w:r w:rsidRPr="00113FDB">
        <w:rPr>
          <w:sz w:val="24"/>
          <w:szCs w:val="24"/>
          <w:lang w:val="en-GB"/>
        </w:rPr>
        <w:t>deficiency</w:t>
      </w:r>
      <w:proofErr w:type="gramEnd"/>
      <w:r w:rsidRPr="00113FDB">
        <w:rPr>
          <w:sz w:val="24"/>
          <w:szCs w:val="24"/>
          <w:lang w:val="en-GB"/>
        </w:rPr>
        <w:t xml:space="preserve"> the clearance is increased to 100 mL/min and in case of hyperthyroidism it can be up to 1000 mL/min. In case of iodide overload the clearance can decrease to 2</w:t>
      </w:r>
      <w:r w:rsidRPr="00113FDB">
        <w:rPr>
          <w:sz w:val="24"/>
          <w:szCs w:val="24"/>
          <w:lang w:val="en-GB"/>
        </w:rPr>
        <w:noBreakHyphen/>
        <w:t>5 mL/min. Iodide also accumulates in the kidneys.</w:t>
      </w:r>
    </w:p>
    <w:p w:rsidR="006156F6" w:rsidRPr="00113FDB" w:rsidRDefault="006156F6" w:rsidP="00672BAE">
      <w:pPr>
        <w:ind w:left="851"/>
        <w:rPr>
          <w:sz w:val="24"/>
          <w:szCs w:val="24"/>
          <w:lang w:val="en-GB"/>
        </w:rPr>
      </w:pPr>
      <w:r w:rsidRPr="00113FDB">
        <w:rPr>
          <w:sz w:val="24"/>
          <w:szCs w:val="24"/>
          <w:lang w:val="en-GB"/>
        </w:rPr>
        <w:t>Small amounts of sodium iodide (</w:t>
      </w:r>
      <w:r w:rsidRPr="00113FDB">
        <w:rPr>
          <w:sz w:val="24"/>
          <w:szCs w:val="24"/>
          <w:vertAlign w:val="superscript"/>
          <w:lang w:val="en-GB"/>
        </w:rPr>
        <w:t>131</w:t>
      </w:r>
      <w:r w:rsidRPr="00113FDB">
        <w:rPr>
          <w:sz w:val="24"/>
          <w:szCs w:val="24"/>
          <w:lang w:val="en-GB"/>
        </w:rPr>
        <w:t>I) are taken up by salivary glands, gastric mucosa and they would also be localised in breast milk, the placenta and choroid plexus.</w:t>
      </w:r>
    </w:p>
    <w:p w:rsidR="006156F6" w:rsidRPr="00113FDB" w:rsidRDefault="006156F6" w:rsidP="00672BAE">
      <w:pPr>
        <w:ind w:left="851"/>
        <w:rPr>
          <w:sz w:val="24"/>
          <w:szCs w:val="24"/>
          <w:lang w:val="en-GB"/>
        </w:rPr>
      </w:pPr>
      <w:r w:rsidRPr="00113FDB">
        <w:rPr>
          <w:sz w:val="24"/>
          <w:szCs w:val="24"/>
          <w:lang w:val="en-GB"/>
        </w:rPr>
        <w:t>The iodide fixed by the thyroid enters the known metabolic path of thyroid hormones and is incorporated in the organic substances entering in the synthesis of thyroid hormones.</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Biotransformation</w:t>
      </w:r>
    </w:p>
    <w:p w:rsidR="006156F6" w:rsidRPr="00113FDB" w:rsidRDefault="006156F6" w:rsidP="00672BAE">
      <w:pPr>
        <w:ind w:left="851"/>
        <w:rPr>
          <w:sz w:val="24"/>
          <w:szCs w:val="24"/>
          <w:lang w:val="en-GB"/>
        </w:rPr>
      </w:pPr>
      <w:r w:rsidRPr="00113FDB">
        <w:rPr>
          <w:sz w:val="24"/>
          <w:szCs w:val="24"/>
          <w:lang w:val="en-GB"/>
        </w:rPr>
        <w:t>The iodide that has been taken up by the thyroid follows the known metabolism of the thyroid hormones and is incorporated in the organic compounds from which the thyroid hormones are synthesised.</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Elimination</w:t>
      </w:r>
    </w:p>
    <w:p w:rsidR="006156F6" w:rsidRPr="00113FDB" w:rsidRDefault="006156F6" w:rsidP="00672BAE">
      <w:pPr>
        <w:ind w:left="851"/>
        <w:rPr>
          <w:sz w:val="24"/>
          <w:szCs w:val="24"/>
          <w:lang w:val="en-GB"/>
        </w:rPr>
      </w:pPr>
      <w:r w:rsidRPr="00113FDB">
        <w:rPr>
          <w:sz w:val="24"/>
          <w:szCs w:val="24"/>
          <w:lang w:val="en-GB"/>
        </w:rPr>
        <w:t>Urinary excretion is 37</w:t>
      </w:r>
      <w:r w:rsidRPr="00113FDB">
        <w:rPr>
          <w:sz w:val="24"/>
          <w:szCs w:val="24"/>
          <w:lang w:val="en-GB"/>
        </w:rPr>
        <w:noBreakHyphen/>
        <w:t>75%, faecal excretion is about 10%, with almost negligible excretion in sweat.</w:t>
      </w:r>
    </w:p>
    <w:p w:rsidR="006156F6" w:rsidRPr="00113FDB" w:rsidRDefault="006156F6" w:rsidP="00672BAE">
      <w:pPr>
        <w:ind w:left="851"/>
        <w:rPr>
          <w:sz w:val="24"/>
          <w:szCs w:val="24"/>
          <w:lang w:val="en-GB"/>
        </w:rPr>
      </w:pPr>
      <w:r w:rsidRPr="00113FDB">
        <w:rPr>
          <w:sz w:val="24"/>
          <w:szCs w:val="24"/>
          <w:lang w:val="en-GB"/>
        </w:rPr>
        <w:t xml:space="preserve">Urinary excretion is characterised by the renal clearance, which constitutes about 3% of the renal flow and is relatively constant from one person to another. The clearance is lower in hypothyroidism and in impaired renal function and higher in hyperthyroidism. In </w:t>
      </w:r>
      <w:proofErr w:type="spellStart"/>
      <w:r w:rsidRPr="00113FDB">
        <w:rPr>
          <w:sz w:val="24"/>
          <w:szCs w:val="24"/>
          <w:lang w:val="en-GB"/>
        </w:rPr>
        <w:t>euthyroidic</w:t>
      </w:r>
      <w:proofErr w:type="spellEnd"/>
      <w:r w:rsidRPr="00113FDB">
        <w:rPr>
          <w:sz w:val="24"/>
          <w:szCs w:val="24"/>
          <w:lang w:val="en-GB"/>
        </w:rPr>
        <w:t xml:space="preserve"> patients with normal renal function 50–75% of the administered activity is excreted in urine within 48 hours.</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Half-life</w:t>
      </w:r>
    </w:p>
    <w:p w:rsidR="006156F6" w:rsidRPr="00113FDB" w:rsidRDefault="006156F6" w:rsidP="00672BAE">
      <w:pPr>
        <w:ind w:left="851"/>
        <w:rPr>
          <w:sz w:val="24"/>
          <w:szCs w:val="24"/>
          <w:lang w:val="en-GB"/>
        </w:rPr>
      </w:pPr>
      <w:r w:rsidRPr="00113FDB">
        <w:rPr>
          <w:sz w:val="24"/>
          <w:szCs w:val="24"/>
          <w:lang w:val="en-GB"/>
        </w:rPr>
        <w:t xml:space="preserve">The effective half-life of radioiodine is about 12 hours in blood plasma and about 6 days in the thyroid gland. </w:t>
      </w:r>
      <w:proofErr w:type="gramStart"/>
      <w:r w:rsidRPr="00113FDB">
        <w:rPr>
          <w:sz w:val="24"/>
          <w:szCs w:val="24"/>
          <w:lang w:val="en-GB"/>
        </w:rPr>
        <w:t>Thus</w:t>
      </w:r>
      <w:proofErr w:type="gramEnd"/>
      <w:r w:rsidRPr="00113FDB">
        <w:rPr>
          <w:sz w:val="24"/>
          <w:szCs w:val="24"/>
          <w:lang w:val="en-GB"/>
        </w:rPr>
        <w:t xml:space="preserve"> after administration of sodium iodide (</w:t>
      </w:r>
      <w:r w:rsidRPr="00113FDB">
        <w:rPr>
          <w:sz w:val="24"/>
          <w:szCs w:val="24"/>
          <w:vertAlign w:val="superscript"/>
          <w:lang w:val="en-GB"/>
        </w:rPr>
        <w:t>131</w:t>
      </w:r>
      <w:r w:rsidRPr="00113FDB">
        <w:rPr>
          <w:sz w:val="24"/>
          <w:szCs w:val="24"/>
          <w:lang w:val="en-GB"/>
        </w:rPr>
        <w:t>I) about 40% of the activity has an effective half-life of 6 hours and the remaining 60% of 8 days.</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 xml:space="preserve">Renal impairment </w:t>
      </w:r>
    </w:p>
    <w:p w:rsidR="006156F6" w:rsidRPr="00113FDB" w:rsidRDefault="006156F6" w:rsidP="00672BAE">
      <w:pPr>
        <w:ind w:left="851"/>
        <w:rPr>
          <w:sz w:val="24"/>
          <w:szCs w:val="24"/>
          <w:lang w:val="en-GB"/>
        </w:rPr>
      </w:pPr>
      <w:r w:rsidRPr="00113FDB">
        <w:rPr>
          <w:sz w:val="24"/>
          <w:szCs w:val="24"/>
          <w:lang w:val="en-GB"/>
        </w:rPr>
        <w:t>Patients with renal impairment may have a decrease in the radioiodine clearance, resulting in increased radiation exposure of sodium iodide (</w:t>
      </w:r>
      <w:r w:rsidRPr="00113FDB">
        <w:rPr>
          <w:sz w:val="24"/>
          <w:szCs w:val="24"/>
          <w:vertAlign w:val="superscript"/>
          <w:lang w:val="en-GB"/>
        </w:rPr>
        <w:t>131</w:t>
      </w:r>
      <w:r w:rsidRPr="00113FDB">
        <w:rPr>
          <w:sz w:val="24"/>
          <w:szCs w:val="24"/>
          <w:lang w:val="en-GB"/>
        </w:rPr>
        <w:t>I) administered. One study showed, for example, that patients with impaired renal function undergoing continuous ambulatory peritoneal dialysis (CAPD) have a clearance of radioiodine 5 times lower than patients with normal kidney function.</w:t>
      </w:r>
    </w:p>
    <w:p w:rsidR="0052186C" w:rsidRPr="00113FDB" w:rsidRDefault="0052186C" w:rsidP="0052186C">
      <w:pPr>
        <w:tabs>
          <w:tab w:val="left" w:pos="851"/>
        </w:tabs>
        <w:ind w:left="851" w:hanging="851"/>
        <w:rPr>
          <w:sz w:val="24"/>
          <w:szCs w:val="24"/>
          <w:lang w:val="en-GB"/>
        </w:rPr>
      </w:pPr>
    </w:p>
    <w:p w:rsidR="00227481" w:rsidRPr="00113FDB" w:rsidRDefault="00227481" w:rsidP="00227481">
      <w:pPr>
        <w:tabs>
          <w:tab w:val="left" w:pos="851"/>
        </w:tabs>
        <w:ind w:left="851" w:hanging="851"/>
        <w:rPr>
          <w:b/>
          <w:sz w:val="24"/>
          <w:szCs w:val="24"/>
          <w:lang w:val="en-US" w:eastAsia="da-DK"/>
        </w:rPr>
      </w:pPr>
      <w:r w:rsidRPr="00113FDB">
        <w:rPr>
          <w:b/>
          <w:sz w:val="24"/>
          <w:szCs w:val="24"/>
          <w:lang w:val="en-US"/>
        </w:rPr>
        <w:t>5.3</w:t>
      </w:r>
      <w:r w:rsidRPr="00113FDB">
        <w:rPr>
          <w:b/>
          <w:sz w:val="24"/>
          <w:szCs w:val="24"/>
          <w:lang w:val="en-US"/>
        </w:rPr>
        <w:tab/>
        <w:t>Preclinical safety data</w:t>
      </w:r>
    </w:p>
    <w:p w:rsidR="0052186C" w:rsidRPr="00113FDB" w:rsidRDefault="0052186C" w:rsidP="0052186C">
      <w:pPr>
        <w:autoSpaceDE w:val="0"/>
        <w:autoSpaceDN w:val="0"/>
        <w:adjustRightInd w:val="0"/>
        <w:ind w:left="851" w:hanging="851"/>
        <w:rPr>
          <w:sz w:val="24"/>
          <w:szCs w:val="24"/>
          <w:lang w:val="en-US"/>
        </w:rPr>
      </w:pPr>
      <w:r w:rsidRPr="00113FDB">
        <w:rPr>
          <w:sz w:val="24"/>
          <w:szCs w:val="24"/>
          <w:lang w:val="en-US"/>
        </w:rPr>
        <w:tab/>
      </w:r>
      <w:r w:rsidR="006156F6" w:rsidRPr="00113FDB">
        <w:rPr>
          <w:sz w:val="24"/>
          <w:szCs w:val="24"/>
          <w:lang w:val="en-GB"/>
        </w:rPr>
        <w:t xml:space="preserve">Because of the small quantities of administered substance compared with the normal intake of iodine with food (40-500 µg/day), no acute toxicity is expected or observed. </w:t>
      </w:r>
      <w:r w:rsidRPr="00113FDB">
        <w:rPr>
          <w:sz w:val="24"/>
          <w:szCs w:val="24"/>
          <w:lang w:val="en-US"/>
        </w:rPr>
        <w:t>There are no data available on the toxicity of repeated doses of sodium iodide nor on its effects on reproduction in animals or its mutagenic or carcinogenic potential.</w:t>
      </w:r>
    </w:p>
    <w:p w:rsidR="0052186C" w:rsidRPr="00113FDB" w:rsidRDefault="0052186C" w:rsidP="0052186C">
      <w:pPr>
        <w:tabs>
          <w:tab w:val="left" w:pos="851"/>
        </w:tabs>
        <w:ind w:left="851" w:hanging="851"/>
        <w:rPr>
          <w:sz w:val="24"/>
          <w:szCs w:val="24"/>
          <w:lang w:val="en-US"/>
        </w:rPr>
      </w:pPr>
    </w:p>
    <w:p w:rsidR="0052186C" w:rsidRPr="00113FDB" w:rsidRDefault="0052186C" w:rsidP="0052186C">
      <w:pPr>
        <w:tabs>
          <w:tab w:val="left" w:pos="851"/>
        </w:tabs>
        <w:ind w:left="851" w:hanging="851"/>
        <w:rPr>
          <w:sz w:val="24"/>
          <w:szCs w:val="24"/>
          <w:lang w:val="en-US"/>
        </w:rPr>
      </w:pPr>
    </w:p>
    <w:p w:rsidR="00227481" w:rsidRPr="00113FDB" w:rsidRDefault="00227481" w:rsidP="00227481">
      <w:pPr>
        <w:ind w:left="851" w:hanging="851"/>
        <w:rPr>
          <w:b/>
          <w:sz w:val="24"/>
          <w:szCs w:val="24"/>
          <w:lang w:val="en-US" w:eastAsia="da-DK"/>
        </w:rPr>
      </w:pPr>
      <w:r w:rsidRPr="00113FDB">
        <w:rPr>
          <w:b/>
          <w:sz w:val="24"/>
          <w:szCs w:val="24"/>
          <w:lang w:val="en-US"/>
        </w:rPr>
        <w:t>6.</w:t>
      </w:r>
      <w:r w:rsidRPr="00113FDB">
        <w:rPr>
          <w:b/>
          <w:sz w:val="24"/>
          <w:szCs w:val="24"/>
          <w:lang w:val="en-US"/>
        </w:rPr>
        <w:tab/>
        <w:t>PHARMACEUTICAL PARTICULARS</w:t>
      </w:r>
    </w:p>
    <w:p w:rsidR="00227481" w:rsidRPr="00113FDB" w:rsidRDefault="00227481" w:rsidP="00227481">
      <w:pPr>
        <w:tabs>
          <w:tab w:val="left" w:pos="851"/>
        </w:tabs>
        <w:ind w:left="851"/>
        <w:rPr>
          <w:sz w:val="24"/>
          <w:szCs w:val="24"/>
          <w:lang w:val="en-US"/>
        </w:rPr>
      </w:pPr>
    </w:p>
    <w:p w:rsidR="00227481" w:rsidRPr="00113FDB" w:rsidRDefault="00227481" w:rsidP="00227481">
      <w:pPr>
        <w:ind w:left="851" w:hanging="851"/>
        <w:rPr>
          <w:b/>
          <w:sz w:val="24"/>
          <w:szCs w:val="24"/>
          <w:lang w:val="en-US"/>
        </w:rPr>
      </w:pPr>
      <w:r w:rsidRPr="00113FDB">
        <w:rPr>
          <w:b/>
          <w:sz w:val="24"/>
          <w:szCs w:val="24"/>
          <w:lang w:val="en-US"/>
        </w:rPr>
        <w:t>6.1</w:t>
      </w:r>
      <w:r w:rsidRPr="00113FDB">
        <w:rPr>
          <w:b/>
          <w:sz w:val="24"/>
          <w:szCs w:val="24"/>
          <w:lang w:val="en-US"/>
        </w:rPr>
        <w:tab/>
        <w:t>List of excipients</w:t>
      </w:r>
    </w:p>
    <w:p w:rsidR="0052186C" w:rsidRPr="00113FDB" w:rsidRDefault="0052186C" w:rsidP="0052186C">
      <w:pPr>
        <w:ind w:left="851" w:hanging="851"/>
        <w:rPr>
          <w:sz w:val="24"/>
          <w:szCs w:val="24"/>
          <w:lang w:val="en-US"/>
        </w:rPr>
      </w:pPr>
      <w:r w:rsidRPr="00113FDB">
        <w:rPr>
          <w:sz w:val="24"/>
          <w:szCs w:val="24"/>
          <w:lang w:val="en-US"/>
        </w:rPr>
        <w:tab/>
        <w:t xml:space="preserve">Sodium thiosulphate </w:t>
      </w:r>
    </w:p>
    <w:p w:rsidR="0052186C" w:rsidRPr="00113FDB" w:rsidRDefault="0052186C" w:rsidP="0052186C">
      <w:pPr>
        <w:ind w:left="851"/>
        <w:rPr>
          <w:sz w:val="24"/>
          <w:szCs w:val="24"/>
          <w:lang w:val="en-US"/>
        </w:rPr>
      </w:pPr>
      <w:r w:rsidRPr="00113FDB">
        <w:rPr>
          <w:sz w:val="24"/>
          <w:szCs w:val="24"/>
          <w:lang w:val="en-US"/>
        </w:rPr>
        <w:t xml:space="preserve">Sodium carbonate decahydrate </w:t>
      </w:r>
    </w:p>
    <w:p w:rsidR="0052186C" w:rsidRPr="00113FDB" w:rsidRDefault="0052186C" w:rsidP="0052186C">
      <w:pPr>
        <w:ind w:left="851"/>
        <w:rPr>
          <w:sz w:val="24"/>
          <w:szCs w:val="24"/>
          <w:lang w:val="en-US"/>
        </w:rPr>
      </w:pPr>
      <w:r w:rsidRPr="00113FDB">
        <w:rPr>
          <w:sz w:val="24"/>
          <w:szCs w:val="24"/>
          <w:lang w:val="en-US"/>
        </w:rPr>
        <w:t xml:space="preserve">Sodium hydrogen carbonate </w:t>
      </w:r>
    </w:p>
    <w:p w:rsidR="0052186C" w:rsidRPr="00113FDB" w:rsidRDefault="0052186C" w:rsidP="0052186C">
      <w:pPr>
        <w:ind w:left="851"/>
        <w:rPr>
          <w:sz w:val="24"/>
          <w:szCs w:val="24"/>
          <w:lang w:val="en-US"/>
        </w:rPr>
      </w:pPr>
      <w:r w:rsidRPr="00113FDB">
        <w:rPr>
          <w:sz w:val="24"/>
          <w:szCs w:val="24"/>
          <w:lang w:val="en-US"/>
        </w:rPr>
        <w:t>Hydrochloric acid 1M solution (for pH adjustment)</w:t>
      </w:r>
    </w:p>
    <w:p w:rsidR="0052186C" w:rsidRPr="00113FDB" w:rsidRDefault="0052186C" w:rsidP="0052186C">
      <w:pPr>
        <w:ind w:left="851"/>
        <w:rPr>
          <w:sz w:val="24"/>
          <w:szCs w:val="24"/>
          <w:lang w:val="en-US"/>
        </w:rPr>
      </w:pPr>
      <w:r w:rsidRPr="00113FDB">
        <w:rPr>
          <w:sz w:val="24"/>
          <w:szCs w:val="24"/>
          <w:lang w:val="en-US"/>
        </w:rPr>
        <w:t>Sodium hydroxide 1 M solution (for pH adjustment)</w:t>
      </w:r>
    </w:p>
    <w:p w:rsidR="0052186C" w:rsidRPr="00113FDB" w:rsidRDefault="0052186C" w:rsidP="0052186C">
      <w:pPr>
        <w:ind w:left="851"/>
        <w:rPr>
          <w:sz w:val="24"/>
          <w:szCs w:val="24"/>
          <w:lang w:val="en-US"/>
        </w:rPr>
      </w:pPr>
      <w:r w:rsidRPr="00113FDB">
        <w:rPr>
          <w:sz w:val="24"/>
          <w:szCs w:val="24"/>
          <w:lang w:val="en-US"/>
        </w:rPr>
        <w:t xml:space="preserve">Water for </w:t>
      </w:r>
      <w:r w:rsidR="006156F6" w:rsidRPr="00113FDB">
        <w:rPr>
          <w:sz w:val="24"/>
          <w:szCs w:val="24"/>
          <w:lang w:val="en-US"/>
        </w:rPr>
        <w:t>i</w:t>
      </w:r>
      <w:r w:rsidRPr="00113FDB">
        <w:rPr>
          <w:sz w:val="24"/>
          <w:szCs w:val="24"/>
          <w:lang w:val="en-US"/>
        </w:rPr>
        <w:t>njections</w:t>
      </w:r>
    </w:p>
    <w:p w:rsidR="0052186C" w:rsidRPr="00113FDB" w:rsidRDefault="0052186C" w:rsidP="0052186C">
      <w:pPr>
        <w:tabs>
          <w:tab w:val="left" w:pos="851"/>
        </w:tabs>
        <w:ind w:left="851" w:hanging="851"/>
        <w:rPr>
          <w:sz w:val="24"/>
          <w:szCs w:val="24"/>
          <w:lang w:val="en-US"/>
        </w:rPr>
      </w:pPr>
    </w:p>
    <w:p w:rsidR="00227481" w:rsidRPr="00113FDB" w:rsidRDefault="00227481" w:rsidP="00227481">
      <w:pPr>
        <w:ind w:left="851" w:hanging="851"/>
        <w:rPr>
          <w:b/>
          <w:sz w:val="24"/>
          <w:szCs w:val="24"/>
          <w:lang w:val="en-US" w:eastAsia="da-DK"/>
        </w:rPr>
      </w:pPr>
      <w:r w:rsidRPr="00113FDB">
        <w:rPr>
          <w:b/>
          <w:sz w:val="24"/>
          <w:szCs w:val="24"/>
          <w:lang w:val="en-US"/>
        </w:rPr>
        <w:t>6.2</w:t>
      </w:r>
      <w:r w:rsidRPr="00113FDB">
        <w:rPr>
          <w:b/>
          <w:sz w:val="24"/>
          <w:szCs w:val="24"/>
          <w:lang w:val="en-US"/>
        </w:rPr>
        <w:tab/>
        <w:t>Incompatibilities</w:t>
      </w:r>
    </w:p>
    <w:p w:rsidR="0052186C" w:rsidRPr="00113FDB" w:rsidRDefault="0052186C" w:rsidP="0052186C">
      <w:pPr>
        <w:ind w:left="851" w:hanging="851"/>
        <w:rPr>
          <w:sz w:val="24"/>
          <w:szCs w:val="24"/>
          <w:lang w:val="en-US"/>
        </w:rPr>
      </w:pPr>
      <w:r w:rsidRPr="00113FDB">
        <w:rPr>
          <w:sz w:val="24"/>
          <w:szCs w:val="24"/>
          <w:lang w:val="en-US"/>
        </w:rPr>
        <w:tab/>
        <w:t>Not applicable.</w:t>
      </w:r>
      <w:r w:rsidRPr="00113FDB" w:rsidDel="00B40CE4">
        <w:rPr>
          <w:sz w:val="24"/>
          <w:szCs w:val="24"/>
          <w:lang w:val="en-US"/>
        </w:rPr>
        <w:t xml:space="preserve"> </w:t>
      </w:r>
    </w:p>
    <w:p w:rsidR="0052186C" w:rsidRPr="00113FDB" w:rsidRDefault="0052186C" w:rsidP="0052186C">
      <w:pPr>
        <w:tabs>
          <w:tab w:val="left" w:pos="851"/>
        </w:tabs>
        <w:ind w:left="851" w:hanging="851"/>
        <w:rPr>
          <w:sz w:val="24"/>
          <w:szCs w:val="24"/>
          <w:lang w:val="en-US"/>
        </w:rPr>
      </w:pPr>
    </w:p>
    <w:p w:rsidR="00227481" w:rsidRPr="00113FDB" w:rsidRDefault="00227481" w:rsidP="00227481">
      <w:pPr>
        <w:ind w:left="851" w:hanging="851"/>
        <w:rPr>
          <w:b/>
          <w:sz w:val="24"/>
          <w:szCs w:val="24"/>
          <w:lang w:val="en-US" w:eastAsia="da-DK"/>
        </w:rPr>
      </w:pPr>
      <w:r w:rsidRPr="00113FDB">
        <w:rPr>
          <w:b/>
          <w:sz w:val="24"/>
          <w:szCs w:val="24"/>
          <w:lang w:val="en-US"/>
        </w:rPr>
        <w:t>6.3</w:t>
      </w:r>
      <w:r w:rsidRPr="00113FDB">
        <w:rPr>
          <w:b/>
          <w:sz w:val="24"/>
          <w:szCs w:val="24"/>
          <w:lang w:val="en-US"/>
        </w:rPr>
        <w:tab/>
        <w:t>Shelf life</w:t>
      </w:r>
    </w:p>
    <w:p w:rsidR="0052186C" w:rsidRPr="00113FDB" w:rsidRDefault="0052186C" w:rsidP="0052186C">
      <w:pPr>
        <w:ind w:left="851" w:hanging="851"/>
        <w:rPr>
          <w:sz w:val="24"/>
          <w:szCs w:val="24"/>
          <w:lang w:val="en-US"/>
        </w:rPr>
      </w:pPr>
      <w:r w:rsidRPr="00113FDB">
        <w:rPr>
          <w:sz w:val="24"/>
          <w:szCs w:val="24"/>
          <w:lang w:val="en-US"/>
        </w:rPr>
        <w:tab/>
        <w:t>The shelf</w:t>
      </w:r>
      <w:r w:rsidR="006156F6" w:rsidRPr="00113FDB">
        <w:rPr>
          <w:sz w:val="24"/>
          <w:szCs w:val="24"/>
          <w:lang w:val="en-US"/>
        </w:rPr>
        <w:t xml:space="preserve"> </w:t>
      </w:r>
      <w:r w:rsidRPr="00113FDB">
        <w:rPr>
          <w:sz w:val="24"/>
          <w:szCs w:val="24"/>
          <w:lang w:val="en-US"/>
        </w:rPr>
        <w:t>life for this product is 30 days from the date of production stated on the label.</w:t>
      </w:r>
    </w:p>
    <w:p w:rsidR="0052186C" w:rsidRPr="00113FDB" w:rsidRDefault="0052186C" w:rsidP="0052186C">
      <w:pPr>
        <w:tabs>
          <w:tab w:val="left" w:pos="851"/>
        </w:tabs>
        <w:ind w:left="851" w:hanging="851"/>
        <w:rPr>
          <w:sz w:val="24"/>
          <w:szCs w:val="24"/>
          <w:lang w:val="en-US"/>
        </w:rPr>
      </w:pPr>
    </w:p>
    <w:p w:rsidR="00227481" w:rsidRPr="00113FDB" w:rsidRDefault="00227481" w:rsidP="00227481">
      <w:pPr>
        <w:ind w:left="851" w:hanging="851"/>
        <w:rPr>
          <w:b/>
          <w:sz w:val="24"/>
          <w:szCs w:val="24"/>
          <w:lang w:val="en-US" w:eastAsia="da-DK"/>
        </w:rPr>
      </w:pPr>
      <w:r w:rsidRPr="00113FDB">
        <w:rPr>
          <w:b/>
          <w:sz w:val="24"/>
          <w:szCs w:val="24"/>
          <w:lang w:val="en-US"/>
        </w:rPr>
        <w:t>6.4</w:t>
      </w:r>
      <w:r w:rsidRPr="00113FDB">
        <w:rPr>
          <w:b/>
          <w:sz w:val="24"/>
          <w:szCs w:val="24"/>
          <w:lang w:val="en-US"/>
        </w:rPr>
        <w:tab/>
        <w:t>Special precautions for storage</w:t>
      </w:r>
    </w:p>
    <w:p w:rsidR="0052186C" w:rsidRPr="00113FDB" w:rsidRDefault="0052186C" w:rsidP="00672BAE">
      <w:pPr>
        <w:ind w:left="851"/>
        <w:rPr>
          <w:sz w:val="24"/>
          <w:szCs w:val="24"/>
          <w:lang w:val="en-US"/>
        </w:rPr>
      </w:pPr>
      <w:r w:rsidRPr="00113FDB">
        <w:rPr>
          <w:sz w:val="24"/>
          <w:szCs w:val="24"/>
          <w:lang w:val="en-US"/>
        </w:rPr>
        <w:t xml:space="preserve">Do not store above 25 °C. </w:t>
      </w:r>
    </w:p>
    <w:p w:rsidR="0052186C" w:rsidRPr="00113FDB" w:rsidRDefault="0052186C" w:rsidP="00672BAE">
      <w:pPr>
        <w:ind w:left="851"/>
        <w:rPr>
          <w:sz w:val="24"/>
          <w:szCs w:val="24"/>
          <w:lang w:val="en-US"/>
        </w:rPr>
      </w:pPr>
      <w:r w:rsidRPr="00113FDB">
        <w:rPr>
          <w:sz w:val="24"/>
          <w:szCs w:val="24"/>
          <w:lang w:val="en-US"/>
        </w:rPr>
        <w:t>Store in the original package.</w:t>
      </w:r>
    </w:p>
    <w:p w:rsidR="006156F6" w:rsidRPr="00113FDB" w:rsidRDefault="006156F6" w:rsidP="00672BAE">
      <w:pPr>
        <w:ind w:left="851"/>
        <w:rPr>
          <w:sz w:val="24"/>
          <w:szCs w:val="24"/>
          <w:lang w:val="en-US"/>
        </w:rPr>
      </w:pPr>
    </w:p>
    <w:p w:rsidR="006156F6" w:rsidRPr="00113FDB" w:rsidRDefault="006156F6" w:rsidP="00672BAE">
      <w:pPr>
        <w:ind w:left="851"/>
        <w:rPr>
          <w:sz w:val="24"/>
          <w:szCs w:val="24"/>
          <w:lang w:val="en-GB"/>
        </w:rPr>
      </w:pPr>
      <w:r w:rsidRPr="00113FDB">
        <w:rPr>
          <w:sz w:val="24"/>
          <w:szCs w:val="24"/>
          <w:lang w:val="en-GB"/>
        </w:rPr>
        <w:t>Storage of radiopharmaceuticals should be in accordance with national regulations on radioactive materials.</w:t>
      </w:r>
    </w:p>
    <w:p w:rsidR="0052186C" w:rsidRPr="00113FDB" w:rsidRDefault="0052186C" w:rsidP="00672BAE">
      <w:pPr>
        <w:ind w:left="851"/>
        <w:rPr>
          <w:sz w:val="24"/>
          <w:szCs w:val="24"/>
          <w:lang w:val="en-GB"/>
        </w:rPr>
      </w:pPr>
    </w:p>
    <w:p w:rsidR="00227481" w:rsidRPr="00113FDB" w:rsidRDefault="00227481" w:rsidP="00227481">
      <w:pPr>
        <w:ind w:left="851" w:hanging="851"/>
        <w:rPr>
          <w:b/>
          <w:sz w:val="24"/>
          <w:szCs w:val="24"/>
          <w:lang w:val="en-US" w:eastAsia="da-DK"/>
        </w:rPr>
      </w:pPr>
      <w:r w:rsidRPr="00113FDB">
        <w:rPr>
          <w:b/>
          <w:sz w:val="24"/>
          <w:szCs w:val="24"/>
          <w:lang w:val="en-US"/>
        </w:rPr>
        <w:t>6.5</w:t>
      </w:r>
      <w:r w:rsidRPr="00113FDB">
        <w:rPr>
          <w:b/>
          <w:sz w:val="24"/>
          <w:szCs w:val="24"/>
          <w:lang w:val="en-US"/>
        </w:rPr>
        <w:tab/>
        <w:t>Nature and contents of container</w:t>
      </w:r>
    </w:p>
    <w:p w:rsidR="006156F6" w:rsidRPr="00113FDB" w:rsidRDefault="006156F6" w:rsidP="00672BAE">
      <w:pPr>
        <w:ind w:left="851"/>
        <w:rPr>
          <w:sz w:val="24"/>
          <w:szCs w:val="24"/>
          <w:lang w:val="en-GB"/>
        </w:rPr>
      </w:pPr>
      <w:r w:rsidRPr="00113FDB">
        <w:rPr>
          <w:sz w:val="24"/>
          <w:szCs w:val="24"/>
          <w:lang w:val="en-GB"/>
        </w:rPr>
        <w:t>M</w:t>
      </w:r>
      <w:r w:rsidR="001946D2">
        <w:rPr>
          <w:sz w:val="24"/>
          <w:szCs w:val="24"/>
          <w:lang w:val="en-GB"/>
        </w:rPr>
        <w:t>oniyot</w:t>
      </w:r>
      <w:r w:rsidRPr="00113FDB">
        <w:rPr>
          <w:sz w:val="24"/>
          <w:szCs w:val="24"/>
          <w:lang w:val="en-GB"/>
        </w:rPr>
        <w:t xml:space="preserve">-131 Oral </w:t>
      </w:r>
      <w:r w:rsidR="001946D2">
        <w:rPr>
          <w:sz w:val="24"/>
          <w:szCs w:val="24"/>
          <w:lang w:val="en-GB"/>
        </w:rPr>
        <w:t>S</w:t>
      </w:r>
      <w:r w:rsidRPr="00113FDB">
        <w:rPr>
          <w:sz w:val="24"/>
          <w:szCs w:val="24"/>
          <w:lang w:val="en-GB"/>
        </w:rPr>
        <w:t xml:space="preserve">olution is filled into type I borosilicate glass vials closed with type I </w:t>
      </w:r>
      <w:proofErr w:type="spellStart"/>
      <w:r w:rsidRPr="00113FDB">
        <w:rPr>
          <w:sz w:val="24"/>
          <w:szCs w:val="24"/>
          <w:lang w:val="en-GB"/>
        </w:rPr>
        <w:t>bromobutyl</w:t>
      </w:r>
      <w:proofErr w:type="spellEnd"/>
      <w:r w:rsidRPr="00113FDB">
        <w:rPr>
          <w:sz w:val="24"/>
          <w:szCs w:val="24"/>
          <w:lang w:val="en-GB"/>
        </w:rPr>
        <w:t xml:space="preserve"> rubber stopper and aluminium flip-off cap and contains 5 mL or 10 mL solution. The product is provided in a lead shield.</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sz w:val="24"/>
          <w:szCs w:val="24"/>
          <w:lang w:val="en-GB"/>
        </w:rPr>
        <w:t>Pack sizes: Glass vials contains 5 mL or 10 mL solution</w:t>
      </w:r>
    </w:p>
    <w:p w:rsidR="0052186C" w:rsidRPr="00113FDB" w:rsidRDefault="0052186C" w:rsidP="00672BAE">
      <w:pPr>
        <w:ind w:left="851"/>
        <w:rPr>
          <w:sz w:val="24"/>
          <w:szCs w:val="24"/>
          <w:lang w:val="en-US"/>
        </w:rPr>
      </w:pPr>
      <w:r w:rsidRPr="00113FDB">
        <w:rPr>
          <w:sz w:val="24"/>
          <w:szCs w:val="24"/>
          <w:lang w:val="en-US"/>
        </w:rPr>
        <w:t>Not all pack sizes may be marketed.</w:t>
      </w:r>
    </w:p>
    <w:p w:rsidR="0052186C" w:rsidRPr="00113FDB" w:rsidRDefault="0052186C" w:rsidP="0052186C">
      <w:pPr>
        <w:ind w:left="851" w:hanging="851"/>
        <w:rPr>
          <w:sz w:val="24"/>
          <w:szCs w:val="24"/>
          <w:lang w:val="en-US"/>
        </w:rPr>
      </w:pPr>
    </w:p>
    <w:p w:rsidR="00227481" w:rsidRPr="00113FDB" w:rsidRDefault="00227481" w:rsidP="00227481">
      <w:pPr>
        <w:ind w:left="851" w:hanging="851"/>
        <w:rPr>
          <w:b/>
          <w:sz w:val="24"/>
          <w:szCs w:val="24"/>
          <w:lang w:val="en-GB" w:eastAsia="da-DK"/>
        </w:rPr>
      </w:pPr>
      <w:r w:rsidRPr="00113FDB">
        <w:rPr>
          <w:b/>
          <w:sz w:val="24"/>
          <w:szCs w:val="24"/>
          <w:lang w:val="en-GB"/>
        </w:rPr>
        <w:t>6.6</w:t>
      </w:r>
      <w:r w:rsidRPr="00113FDB">
        <w:rPr>
          <w:b/>
          <w:sz w:val="24"/>
          <w:szCs w:val="24"/>
          <w:lang w:val="en-GB"/>
        </w:rPr>
        <w:tab/>
        <w:t>Special precautions for disposal and other handling</w:t>
      </w:r>
    </w:p>
    <w:p w:rsidR="0052186C" w:rsidRPr="00113FDB" w:rsidRDefault="0052186C" w:rsidP="0052186C">
      <w:pPr>
        <w:rPr>
          <w:sz w:val="24"/>
          <w:szCs w:val="24"/>
          <w:lang w:val="en-GB"/>
        </w:rPr>
      </w:pPr>
    </w:p>
    <w:p w:rsidR="0052186C" w:rsidRPr="00113FDB" w:rsidRDefault="0052186C" w:rsidP="0052186C">
      <w:pPr>
        <w:ind w:left="851"/>
        <w:rPr>
          <w:sz w:val="24"/>
          <w:szCs w:val="24"/>
          <w:u w:val="single"/>
          <w:lang w:val="en-GB"/>
        </w:rPr>
      </w:pPr>
      <w:r w:rsidRPr="00113FDB">
        <w:rPr>
          <w:sz w:val="24"/>
          <w:szCs w:val="24"/>
          <w:u w:val="single"/>
          <w:lang w:val="en-GB"/>
        </w:rPr>
        <w:t>General warnings</w:t>
      </w:r>
    </w:p>
    <w:p w:rsidR="0052186C" w:rsidRPr="00113FDB" w:rsidRDefault="0052186C" w:rsidP="0052186C">
      <w:pPr>
        <w:ind w:left="851"/>
        <w:rPr>
          <w:sz w:val="24"/>
          <w:szCs w:val="24"/>
          <w:lang w:val="en-GB"/>
        </w:rPr>
      </w:pPr>
      <w:r w:rsidRPr="00113FDB">
        <w:rPr>
          <w:sz w:val="24"/>
          <w:szCs w:val="24"/>
          <w:lang w:val="en-GB"/>
        </w:rPr>
        <w:t xml:space="preserve">Radiopharmaceuticals should be received, used and administered only by authorised persons in designated clinical settings. Their receipt, storage, use, transfer and disposal are subject to the regulations and/or appropriate licences of the local competent official organisation. </w:t>
      </w:r>
    </w:p>
    <w:p w:rsidR="0052186C" w:rsidRPr="00113FDB" w:rsidRDefault="0052186C" w:rsidP="0052186C">
      <w:pPr>
        <w:ind w:left="851"/>
        <w:rPr>
          <w:sz w:val="24"/>
          <w:szCs w:val="24"/>
          <w:lang w:val="en-GB"/>
        </w:rPr>
      </w:pPr>
    </w:p>
    <w:p w:rsidR="0052186C" w:rsidRPr="00113FDB" w:rsidRDefault="0052186C" w:rsidP="0052186C">
      <w:pPr>
        <w:ind w:left="851"/>
        <w:rPr>
          <w:sz w:val="24"/>
          <w:szCs w:val="24"/>
          <w:lang w:val="en-GB"/>
        </w:rPr>
      </w:pPr>
      <w:r w:rsidRPr="00113FDB">
        <w:rPr>
          <w:sz w:val="24"/>
          <w:szCs w:val="24"/>
          <w:lang w:val="en-GB"/>
        </w:rPr>
        <w:t>Radiopharmaceuticals should be prepared in a manner which satisfies both radiation safety and pharmaceutical quality requirements.</w:t>
      </w:r>
    </w:p>
    <w:p w:rsidR="0052186C" w:rsidRPr="00113FDB" w:rsidRDefault="0052186C" w:rsidP="0052186C">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Precautions to be taken before handling or administration of the medicinal product</w:t>
      </w:r>
    </w:p>
    <w:p w:rsidR="006156F6" w:rsidRPr="00113FDB" w:rsidRDefault="006156F6" w:rsidP="00672BAE">
      <w:pPr>
        <w:ind w:left="851"/>
        <w:rPr>
          <w:sz w:val="24"/>
          <w:szCs w:val="24"/>
          <w:lang w:val="en-GB"/>
        </w:rPr>
      </w:pPr>
      <w:r w:rsidRPr="00113FDB">
        <w:rPr>
          <w:sz w:val="24"/>
          <w:szCs w:val="24"/>
          <w:lang w:val="en-GB"/>
        </w:rPr>
        <w:t>The administration of sodium iodide (</w:t>
      </w:r>
      <w:r w:rsidRPr="00113FDB">
        <w:rPr>
          <w:sz w:val="24"/>
          <w:szCs w:val="24"/>
          <w:vertAlign w:val="superscript"/>
          <w:lang w:val="en-GB"/>
        </w:rPr>
        <w:t>131</w:t>
      </w:r>
      <w:r w:rsidRPr="00113FDB">
        <w:rPr>
          <w:sz w:val="24"/>
          <w:szCs w:val="24"/>
          <w:lang w:val="en-GB"/>
        </w:rPr>
        <w:t>I) for therapy is likely to result in a relatively high radiation dose to most patients and may result in significant environmental hazard and creates risks for other persons from external radiation or contamination from spill of urine, vomiting, etc. This may be of concern to the immediate family of those individuals undergoing treatment or the general public depending on the level of activity administered. Suitable precautions in accordance with national regulations should therefore be taken concerning the activity eliminated by the patients in order to avoid any contaminations.</w:t>
      </w:r>
    </w:p>
    <w:p w:rsidR="006156F6" w:rsidRPr="00113FDB" w:rsidRDefault="006156F6" w:rsidP="00672BAE">
      <w:pPr>
        <w:ind w:left="851"/>
        <w:rPr>
          <w:sz w:val="24"/>
          <w:szCs w:val="24"/>
          <w:lang w:val="en-GB"/>
        </w:rPr>
      </w:pPr>
      <w:r w:rsidRPr="00113FDB">
        <w:rPr>
          <w:sz w:val="24"/>
          <w:szCs w:val="24"/>
          <w:lang w:val="en-GB"/>
        </w:rPr>
        <w:t>Administration procedures should be carried out in a way to minimize risk of contamination of the medicinal product and irradiation of the operators. Adequate shielding is mandatory.</w:t>
      </w:r>
    </w:p>
    <w:p w:rsidR="006156F6" w:rsidRPr="00113FDB" w:rsidRDefault="006156F6" w:rsidP="00672BAE">
      <w:pPr>
        <w:ind w:left="851"/>
        <w:rPr>
          <w:sz w:val="24"/>
          <w:szCs w:val="24"/>
          <w:lang w:val="en-GB"/>
        </w:rPr>
      </w:pPr>
      <w:r w:rsidRPr="00113FDB">
        <w:rPr>
          <w:sz w:val="24"/>
          <w:szCs w:val="24"/>
          <w:lang w:val="en-GB"/>
        </w:rPr>
        <w:t xml:space="preserve">When opening the container, personnel should be aware that free radioactivity may be registered on monitors. This activity is due to </w:t>
      </w:r>
      <w:r w:rsidRPr="00113FDB">
        <w:rPr>
          <w:sz w:val="24"/>
          <w:szCs w:val="24"/>
          <w:vertAlign w:val="superscript"/>
          <w:lang w:val="en-GB"/>
        </w:rPr>
        <w:t>131</w:t>
      </w:r>
      <w:r w:rsidRPr="00113FDB">
        <w:rPr>
          <w:sz w:val="24"/>
          <w:szCs w:val="24"/>
          <w:lang w:val="en-GB"/>
        </w:rPr>
        <w:t>mXe which is formed for 1.17% in the decay of I-131. Though visible on monitors this does not pose a relevant risk for personnel.</w:t>
      </w:r>
    </w:p>
    <w:p w:rsidR="006156F6" w:rsidRPr="00113FDB" w:rsidRDefault="006156F6" w:rsidP="00672BAE">
      <w:pPr>
        <w:ind w:left="851"/>
        <w:rPr>
          <w:sz w:val="24"/>
          <w:szCs w:val="24"/>
          <w:lang w:val="en-GB"/>
        </w:rPr>
      </w:pPr>
      <w:r w:rsidRPr="00113FDB">
        <w:rPr>
          <w:sz w:val="24"/>
          <w:szCs w:val="24"/>
          <w:lang w:val="en-GB"/>
        </w:rPr>
        <w:t xml:space="preserve">The effective dose rate by inhalation of the </w:t>
      </w:r>
      <w:r w:rsidRPr="00113FDB">
        <w:rPr>
          <w:sz w:val="24"/>
          <w:szCs w:val="24"/>
          <w:vertAlign w:val="superscript"/>
          <w:lang w:val="en-GB"/>
        </w:rPr>
        <w:t>131</w:t>
      </w:r>
      <w:r w:rsidRPr="00113FDB">
        <w:rPr>
          <w:sz w:val="24"/>
          <w:szCs w:val="24"/>
          <w:lang w:val="en-GB"/>
        </w:rPr>
        <w:t>mXe formed is 0.1% of the dose rate at 1 m from a lead-shielded solution.</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Precautions and activity data</w:t>
      </w:r>
    </w:p>
    <w:p w:rsidR="006156F6" w:rsidRPr="00113FDB" w:rsidRDefault="006156F6" w:rsidP="00672BAE">
      <w:pPr>
        <w:ind w:left="851"/>
        <w:rPr>
          <w:sz w:val="24"/>
          <w:szCs w:val="24"/>
          <w:lang w:val="en-GB"/>
        </w:rPr>
      </w:pPr>
      <w:r w:rsidRPr="00113FDB">
        <w:rPr>
          <w:sz w:val="24"/>
          <w:szCs w:val="24"/>
          <w:lang w:val="en-GB"/>
        </w:rPr>
        <w:t>1.3% of iodine (</w:t>
      </w:r>
      <w:r w:rsidRPr="00113FDB">
        <w:rPr>
          <w:sz w:val="24"/>
          <w:szCs w:val="24"/>
          <w:vertAlign w:val="superscript"/>
          <w:lang w:val="en-GB"/>
        </w:rPr>
        <w:t>131</w:t>
      </w:r>
      <w:r w:rsidRPr="00113FDB">
        <w:rPr>
          <w:sz w:val="24"/>
          <w:szCs w:val="24"/>
          <w:lang w:val="en-GB"/>
        </w:rPr>
        <w:t>I) decays via xenon (</w:t>
      </w:r>
      <w:r w:rsidRPr="00113FDB">
        <w:rPr>
          <w:sz w:val="24"/>
          <w:szCs w:val="24"/>
          <w:vertAlign w:val="superscript"/>
          <w:lang w:val="en-GB"/>
        </w:rPr>
        <w:t>131</w:t>
      </w:r>
      <w:r w:rsidRPr="00113FDB">
        <w:rPr>
          <w:sz w:val="24"/>
          <w:szCs w:val="24"/>
          <w:lang w:val="en-GB"/>
        </w:rPr>
        <w:t>mXe) (half-life 12 days) and a small amount of xenon (</w:t>
      </w:r>
      <w:r w:rsidRPr="00113FDB">
        <w:rPr>
          <w:sz w:val="24"/>
          <w:szCs w:val="24"/>
          <w:vertAlign w:val="superscript"/>
          <w:lang w:val="en-GB"/>
        </w:rPr>
        <w:t>131</w:t>
      </w:r>
      <w:r w:rsidRPr="00113FDB">
        <w:rPr>
          <w:sz w:val="24"/>
          <w:szCs w:val="24"/>
          <w:lang w:val="en-GB"/>
        </w:rPr>
        <w:t>mXe) activity may be present in the packaging as a result of diffusion. It is therefore recommended that the transport container be opened in a ventilated enclosure and that, after removal of the vial, the packaging materials are allowed to stand overnight before disposal to permit the release of absorbed xenon (</w:t>
      </w:r>
      <w:r w:rsidRPr="00113FDB">
        <w:rPr>
          <w:sz w:val="24"/>
          <w:szCs w:val="24"/>
          <w:vertAlign w:val="superscript"/>
          <w:lang w:val="en-GB"/>
        </w:rPr>
        <w:t>131</w:t>
      </w:r>
      <w:r w:rsidRPr="00113FDB">
        <w:rPr>
          <w:sz w:val="24"/>
          <w:szCs w:val="24"/>
          <w:lang w:val="en-GB"/>
        </w:rPr>
        <w:t>mXe).</w:t>
      </w:r>
    </w:p>
    <w:p w:rsidR="006156F6" w:rsidRPr="00113FDB" w:rsidRDefault="006156F6" w:rsidP="00672BAE">
      <w:pPr>
        <w:ind w:left="851"/>
        <w:rPr>
          <w:i/>
          <w:iCs/>
          <w:sz w:val="24"/>
          <w:szCs w:val="24"/>
          <w:lang w:val="en-GB"/>
        </w:rPr>
      </w:pPr>
      <w:r w:rsidRPr="00113FDB">
        <w:rPr>
          <w:sz w:val="24"/>
          <w:szCs w:val="24"/>
          <w:lang w:val="en-GB"/>
        </w:rPr>
        <w:t>In addition, there can be limited leakage of volatile iodine-131 activity from the solution.</w:t>
      </w:r>
    </w:p>
    <w:p w:rsidR="006156F6" w:rsidRPr="00113FDB" w:rsidRDefault="006156F6" w:rsidP="00672BAE">
      <w:pPr>
        <w:ind w:left="851"/>
        <w:rPr>
          <w:sz w:val="24"/>
          <w:szCs w:val="24"/>
          <w:lang w:val="en-GB"/>
        </w:rPr>
      </w:pPr>
    </w:p>
    <w:p w:rsidR="006156F6" w:rsidRPr="00113FDB" w:rsidRDefault="006156F6" w:rsidP="00672BAE">
      <w:pPr>
        <w:ind w:left="851"/>
        <w:rPr>
          <w:sz w:val="24"/>
          <w:szCs w:val="24"/>
          <w:lang w:val="en-GB"/>
        </w:rPr>
      </w:pPr>
      <w:r w:rsidRPr="00113FDB">
        <w:rPr>
          <w:sz w:val="24"/>
          <w:szCs w:val="24"/>
          <w:lang w:val="en-GB"/>
        </w:rPr>
        <w:t>The activity of a solution at 12h00 GMT from calibration date can be calculated from the table 1.</w:t>
      </w:r>
    </w:p>
    <w:p w:rsidR="006156F6" w:rsidRPr="00113FDB" w:rsidRDefault="006156F6" w:rsidP="006156F6">
      <w:pPr>
        <w:pStyle w:val="Default"/>
        <w:rPr>
          <w:lang w:val="en-GB"/>
        </w:rPr>
      </w:pPr>
    </w:p>
    <w:p w:rsidR="006156F6" w:rsidRPr="00113FDB" w:rsidRDefault="006156F6" w:rsidP="00EA6162">
      <w:pPr>
        <w:pStyle w:val="Default"/>
        <w:keepNext/>
        <w:rPr>
          <w:b/>
          <w:bCs/>
          <w:lang w:val="en-GB"/>
        </w:rPr>
      </w:pPr>
      <w:r w:rsidRPr="00113FDB">
        <w:rPr>
          <w:b/>
          <w:bCs/>
          <w:lang w:val="en-GB"/>
        </w:rPr>
        <w:t>Table 1</w:t>
      </w:r>
    </w:p>
    <w:p w:rsidR="006156F6" w:rsidRPr="00113FDB" w:rsidRDefault="006156F6" w:rsidP="00EA6162">
      <w:pPr>
        <w:pStyle w:val="Default"/>
        <w:keepNext/>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86"/>
        <w:gridCol w:w="2374"/>
        <w:gridCol w:w="2494"/>
      </w:tblGrid>
      <w:tr w:rsidR="006156F6" w:rsidRPr="00113FDB" w:rsidTr="00672BAE">
        <w:trPr>
          <w:trHeight w:val="96"/>
        </w:trPr>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b/>
                <w:bCs/>
                <w:lang w:val="en-GB"/>
              </w:rPr>
            </w:pPr>
            <w:r w:rsidRPr="00113FDB">
              <w:rPr>
                <w:b/>
                <w:bCs/>
                <w:lang w:val="en-GB"/>
              </w:rPr>
              <w:t>Day</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b/>
                <w:bCs/>
                <w:lang w:val="en-GB"/>
              </w:rPr>
            </w:pPr>
            <w:r w:rsidRPr="00113FDB">
              <w:rPr>
                <w:b/>
                <w:bCs/>
                <w:lang w:val="en-GB"/>
              </w:rPr>
              <w:t xml:space="preserve">Coefficient </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b/>
                <w:bCs/>
                <w:lang w:val="en-GB"/>
              </w:rPr>
            </w:pPr>
            <w:r w:rsidRPr="00113FDB">
              <w:rPr>
                <w:b/>
                <w:bCs/>
                <w:lang w:val="en-GB"/>
              </w:rPr>
              <w:t>Day</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b/>
                <w:bCs/>
                <w:lang w:val="en-GB"/>
              </w:rPr>
            </w:pPr>
            <w:r w:rsidRPr="00113FDB">
              <w:rPr>
                <w:b/>
                <w:bCs/>
                <w:lang w:val="en-GB"/>
              </w:rPr>
              <w:t xml:space="preserve">Coefficient </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-6</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1.677</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5</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0.650</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-5</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1.539</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6</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0.596</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-4</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1.412</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7</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0.547</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-3</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1.295</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8</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0.502</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-2</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1.188</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9</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0.460</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1.090</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10</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0.422</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1.000</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11</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0.387</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0.917</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12</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0.355</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2</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0.842</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13</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0.326</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3</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0.772</w:t>
            </w:r>
          </w:p>
        </w:tc>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14</w:t>
            </w:r>
          </w:p>
        </w:tc>
        <w:tc>
          <w:tcPr>
            <w:tcW w:w="1295"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0.299</w:t>
            </w:r>
          </w:p>
        </w:tc>
      </w:tr>
      <w:tr w:rsidR="006156F6" w:rsidRPr="00113FDB" w:rsidTr="00672BAE">
        <w:tc>
          <w:tcPr>
            <w:tcW w:w="1233"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4</w:t>
            </w:r>
          </w:p>
        </w:tc>
        <w:tc>
          <w:tcPr>
            <w:tcW w:w="1239" w:type="pct"/>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0.708</w:t>
            </w:r>
          </w:p>
        </w:tc>
        <w:tc>
          <w:tcPr>
            <w:tcW w:w="1233" w:type="pct"/>
            <w:tcBorders>
              <w:top w:val="single" w:sz="4" w:space="0" w:color="auto"/>
              <w:left w:val="single" w:sz="4" w:space="0" w:color="auto"/>
              <w:bottom w:val="single" w:sz="4" w:space="0" w:color="auto"/>
              <w:right w:val="single" w:sz="4" w:space="0" w:color="auto"/>
            </w:tcBorders>
          </w:tcPr>
          <w:p w:rsidR="006156F6" w:rsidRPr="00113FDB" w:rsidRDefault="006156F6">
            <w:pPr>
              <w:pStyle w:val="Default"/>
              <w:rPr>
                <w:lang w:val="en-GB"/>
              </w:rPr>
            </w:pPr>
          </w:p>
        </w:tc>
        <w:tc>
          <w:tcPr>
            <w:tcW w:w="1295" w:type="pct"/>
            <w:tcBorders>
              <w:top w:val="single" w:sz="4" w:space="0" w:color="auto"/>
              <w:left w:val="single" w:sz="4" w:space="0" w:color="auto"/>
              <w:bottom w:val="single" w:sz="4" w:space="0" w:color="auto"/>
              <w:right w:val="single" w:sz="4" w:space="0" w:color="auto"/>
            </w:tcBorders>
          </w:tcPr>
          <w:p w:rsidR="006156F6" w:rsidRPr="00113FDB" w:rsidRDefault="006156F6">
            <w:pPr>
              <w:pStyle w:val="Default"/>
              <w:rPr>
                <w:lang w:val="en-GB"/>
              </w:rPr>
            </w:pPr>
          </w:p>
        </w:tc>
      </w:tr>
    </w:tbl>
    <w:p w:rsidR="006156F6" w:rsidRPr="00113FDB" w:rsidRDefault="006156F6" w:rsidP="00EA6162">
      <w:pPr>
        <w:rPr>
          <w:sz w:val="24"/>
          <w:szCs w:val="24"/>
          <w:lang w:val="en-GB"/>
        </w:rPr>
      </w:pPr>
    </w:p>
    <w:p w:rsidR="006156F6" w:rsidRPr="00113FDB" w:rsidRDefault="006156F6" w:rsidP="00672BAE">
      <w:pPr>
        <w:ind w:left="851"/>
        <w:rPr>
          <w:sz w:val="24"/>
          <w:szCs w:val="24"/>
          <w:lang w:val="en-GB"/>
        </w:rPr>
      </w:pPr>
      <w:r w:rsidRPr="00113FDB">
        <w:rPr>
          <w:sz w:val="24"/>
          <w:szCs w:val="24"/>
          <w:lang w:val="en-GB"/>
        </w:rPr>
        <w:t>Any unused medicinal product or waste material should be disposed of in accordance with local requirements.</w:t>
      </w:r>
    </w:p>
    <w:p w:rsidR="006156F6" w:rsidRPr="00113FDB" w:rsidRDefault="006156F6" w:rsidP="006156F6">
      <w:pPr>
        <w:rPr>
          <w:sz w:val="24"/>
          <w:szCs w:val="24"/>
          <w:lang w:val="en-GB"/>
        </w:rPr>
      </w:pPr>
    </w:p>
    <w:p w:rsidR="00227481" w:rsidRPr="00113FDB" w:rsidRDefault="00227481" w:rsidP="00227481">
      <w:pPr>
        <w:tabs>
          <w:tab w:val="left" w:pos="851"/>
        </w:tabs>
        <w:ind w:left="851" w:hanging="851"/>
        <w:jc w:val="both"/>
        <w:rPr>
          <w:b/>
          <w:sz w:val="24"/>
          <w:szCs w:val="24"/>
          <w:lang w:val="en-US" w:eastAsia="da-DK"/>
        </w:rPr>
      </w:pPr>
      <w:r w:rsidRPr="00113FDB">
        <w:rPr>
          <w:b/>
          <w:sz w:val="24"/>
          <w:szCs w:val="24"/>
          <w:lang w:val="en-US"/>
        </w:rPr>
        <w:t>7.</w:t>
      </w:r>
      <w:r w:rsidRPr="00113FDB">
        <w:rPr>
          <w:b/>
          <w:sz w:val="24"/>
          <w:szCs w:val="24"/>
          <w:lang w:val="en-US"/>
        </w:rPr>
        <w:tab/>
        <w:t>MARKETING AUTHORISATION HOLDER</w:t>
      </w:r>
    </w:p>
    <w:p w:rsidR="0052186C" w:rsidRPr="00113FDB" w:rsidRDefault="0052186C" w:rsidP="0052186C">
      <w:pPr>
        <w:autoSpaceDE w:val="0"/>
        <w:autoSpaceDN w:val="0"/>
        <w:adjustRightInd w:val="0"/>
        <w:ind w:left="851" w:hanging="851"/>
        <w:rPr>
          <w:sz w:val="24"/>
          <w:szCs w:val="24"/>
          <w:lang w:val="en-US"/>
        </w:rPr>
      </w:pPr>
      <w:r w:rsidRPr="00113FDB">
        <w:rPr>
          <w:sz w:val="24"/>
          <w:szCs w:val="24"/>
          <w:lang w:val="en-US"/>
        </w:rPr>
        <w:tab/>
      </w:r>
      <w:proofErr w:type="spellStart"/>
      <w:r w:rsidRPr="00113FDB">
        <w:rPr>
          <w:sz w:val="24"/>
          <w:szCs w:val="24"/>
          <w:lang w:val="en-US"/>
        </w:rPr>
        <w:t>Monrol</w:t>
      </w:r>
      <w:proofErr w:type="spellEnd"/>
      <w:r w:rsidRPr="00113FDB">
        <w:rPr>
          <w:sz w:val="24"/>
          <w:szCs w:val="24"/>
          <w:lang w:val="en-US"/>
        </w:rPr>
        <w:t xml:space="preserve"> Europe S.R.L</w:t>
      </w:r>
    </w:p>
    <w:p w:rsidR="0052186C" w:rsidRPr="00113FDB" w:rsidRDefault="0052186C" w:rsidP="0052186C">
      <w:pPr>
        <w:pStyle w:val="Brdtekst"/>
        <w:ind w:left="851"/>
        <w:rPr>
          <w:sz w:val="24"/>
          <w:szCs w:val="24"/>
          <w:lang w:val="en-US"/>
        </w:rPr>
      </w:pPr>
      <w:proofErr w:type="spellStart"/>
      <w:r w:rsidRPr="00113FDB">
        <w:rPr>
          <w:sz w:val="24"/>
          <w:szCs w:val="24"/>
          <w:lang w:val="en-US"/>
        </w:rPr>
        <w:t>Pantelimon</w:t>
      </w:r>
      <w:proofErr w:type="spellEnd"/>
      <w:r w:rsidRPr="00113FDB">
        <w:rPr>
          <w:sz w:val="24"/>
          <w:szCs w:val="24"/>
          <w:lang w:val="en-US"/>
        </w:rPr>
        <w:t xml:space="preserve">, Str. </w:t>
      </w:r>
      <w:proofErr w:type="spellStart"/>
      <w:r w:rsidRPr="00113FDB">
        <w:rPr>
          <w:sz w:val="24"/>
          <w:szCs w:val="24"/>
          <w:lang w:val="en-US"/>
        </w:rPr>
        <w:t>Gradinarilor</w:t>
      </w:r>
      <w:proofErr w:type="spellEnd"/>
      <w:r w:rsidRPr="00113FDB">
        <w:rPr>
          <w:sz w:val="24"/>
          <w:szCs w:val="24"/>
          <w:lang w:val="en-US"/>
        </w:rPr>
        <w:t xml:space="preserve">, no.1  </w:t>
      </w:r>
    </w:p>
    <w:p w:rsidR="0052186C" w:rsidRPr="00113FDB" w:rsidRDefault="0052186C" w:rsidP="0052186C">
      <w:pPr>
        <w:pStyle w:val="Brdtekst"/>
        <w:ind w:left="851"/>
        <w:rPr>
          <w:sz w:val="24"/>
          <w:szCs w:val="24"/>
          <w:lang w:val="en-US"/>
        </w:rPr>
      </w:pPr>
      <w:proofErr w:type="spellStart"/>
      <w:r w:rsidRPr="00113FDB">
        <w:rPr>
          <w:sz w:val="24"/>
          <w:szCs w:val="24"/>
          <w:lang w:val="en-US"/>
        </w:rPr>
        <w:t>Ilfov</w:t>
      </w:r>
      <w:proofErr w:type="spellEnd"/>
    </w:p>
    <w:p w:rsidR="0052186C" w:rsidRPr="00113FDB" w:rsidRDefault="0052186C" w:rsidP="0052186C">
      <w:pPr>
        <w:ind w:left="851"/>
        <w:rPr>
          <w:sz w:val="24"/>
          <w:szCs w:val="24"/>
          <w:lang w:val="en-US"/>
        </w:rPr>
      </w:pPr>
      <w:r w:rsidRPr="00113FDB">
        <w:rPr>
          <w:sz w:val="24"/>
          <w:szCs w:val="24"/>
          <w:lang w:val="en-US"/>
        </w:rPr>
        <w:t>Romania</w:t>
      </w:r>
    </w:p>
    <w:p w:rsidR="0052186C" w:rsidRPr="00113FDB" w:rsidRDefault="0052186C" w:rsidP="0052186C">
      <w:pPr>
        <w:tabs>
          <w:tab w:val="left" w:pos="851"/>
        </w:tabs>
        <w:ind w:left="851" w:hanging="851"/>
        <w:jc w:val="both"/>
        <w:rPr>
          <w:sz w:val="24"/>
          <w:szCs w:val="24"/>
          <w:lang w:val="en-US"/>
        </w:rPr>
      </w:pPr>
    </w:p>
    <w:p w:rsidR="00227481" w:rsidRPr="00113FDB" w:rsidRDefault="00227481" w:rsidP="00227481">
      <w:pPr>
        <w:ind w:left="851" w:hanging="851"/>
        <w:jc w:val="both"/>
        <w:rPr>
          <w:b/>
          <w:sz w:val="24"/>
          <w:szCs w:val="24"/>
          <w:lang w:val="en-US" w:eastAsia="da-DK"/>
        </w:rPr>
      </w:pPr>
      <w:r w:rsidRPr="00113FDB">
        <w:rPr>
          <w:b/>
          <w:sz w:val="24"/>
          <w:szCs w:val="24"/>
          <w:lang w:val="en-US"/>
        </w:rPr>
        <w:t>8.</w:t>
      </w:r>
      <w:r w:rsidRPr="00113FDB">
        <w:rPr>
          <w:b/>
          <w:sz w:val="24"/>
          <w:szCs w:val="24"/>
          <w:lang w:val="en-US"/>
        </w:rPr>
        <w:tab/>
        <w:t>MARKETING AUTHORISATION NUMBER(S)</w:t>
      </w:r>
    </w:p>
    <w:p w:rsidR="0052186C" w:rsidRPr="00113FDB" w:rsidRDefault="0052186C" w:rsidP="0052186C">
      <w:pPr>
        <w:tabs>
          <w:tab w:val="left" w:pos="851"/>
        </w:tabs>
        <w:ind w:left="851" w:hanging="851"/>
        <w:jc w:val="both"/>
        <w:rPr>
          <w:sz w:val="24"/>
          <w:szCs w:val="24"/>
          <w:lang w:val="en-US"/>
        </w:rPr>
      </w:pPr>
      <w:r w:rsidRPr="00113FDB">
        <w:rPr>
          <w:sz w:val="24"/>
          <w:szCs w:val="24"/>
          <w:lang w:val="en-US"/>
        </w:rPr>
        <w:tab/>
        <w:t>02245</w:t>
      </w:r>
    </w:p>
    <w:p w:rsidR="0052186C" w:rsidRPr="00113FDB" w:rsidRDefault="0052186C" w:rsidP="0052186C">
      <w:pPr>
        <w:tabs>
          <w:tab w:val="left" w:pos="851"/>
        </w:tabs>
        <w:ind w:left="851" w:hanging="851"/>
        <w:jc w:val="both"/>
        <w:rPr>
          <w:sz w:val="24"/>
          <w:szCs w:val="24"/>
          <w:lang w:val="en-US"/>
        </w:rPr>
      </w:pPr>
    </w:p>
    <w:p w:rsidR="00227481" w:rsidRPr="00113FDB" w:rsidRDefault="00227481" w:rsidP="00227481">
      <w:pPr>
        <w:tabs>
          <w:tab w:val="left" w:pos="851"/>
        </w:tabs>
        <w:jc w:val="both"/>
        <w:rPr>
          <w:sz w:val="24"/>
          <w:szCs w:val="24"/>
          <w:lang w:val="en-US" w:eastAsia="da-DK"/>
        </w:rPr>
      </w:pPr>
      <w:r w:rsidRPr="00113FDB">
        <w:rPr>
          <w:b/>
          <w:sz w:val="24"/>
          <w:szCs w:val="24"/>
          <w:lang w:val="en-GB"/>
        </w:rPr>
        <w:t>9.</w:t>
      </w:r>
      <w:r w:rsidRPr="00113FDB">
        <w:rPr>
          <w:b/>
          <w:sz w:val="24"/>
          <w:szCs w:val="24"/>
          <w:lang w:val="en-GB"/>
        </w:rPr>
        <w:tab/>
        <w:t>DATE OF FIRST AUTHORISATION</w:t>
      </w:r>
    </w:p>
    <w:p w:rsidR="0052186C" w:rsidRPr="00113FDB" w:rsidRDefault="0052186C" w:rsidP="0052186C">
      <w:pPr>
        <w:ind w:left="851"/>
        <w:jc w:val="both"/>
        <w:rPr>
          <w:sz w:val="24"/>
          <w:szCs w:val="24"/>
          <w:lang w:val="en-GB"/>
        </w:rPr>
      </w:pPr>
      <w:r w:rsidRPr="00113FDB">
        <w:rPr>
          <w:sz w:val="24"/>
          <w:szCs w:val="24"/>
          <w:lang w:val="en-US"/>
        </w:rPr>
        <w:t>27 June 2011</w:t>
      </w:r>
    </w:p>
    <w:p w:rsidR="0052186C" w:rsidRPr="00113FDB" w:rsidRDefault="0052186C" w:rsidP="0052186C">
      <w:pPr>
        <w:tabs>
          <w:tab w:val="left" w:pos="851"/>
        </w:tabs>
        <w:ind w:left="851" w:hanging="851"/>
        <w:jc w:val="both"/>
        <w:rPr>
          <w:sz w:val="24"/>
          <w:szCs w:val="24"/>
          <w:lang w:val="en-GB"/>
        </w:rPr>
      </w:pPr>
    </w:p>
    <w:p w:rsidR="00227481" w:rsidRPr="00113FDB" w:rsidRDefault="00227481" w:rsidP="00227481">
      <w:pPr>
        <w:tabs>
          <w:tab w:val="left" w:pos="851"/>
        </w:tabs>
        <w:jc w:val="both"/>
        <w:rPr>
          <w:sz w:val="24"/>
          <w:szCs w:val="24"/>
          <w:lang w:val="en-GB" w:eastAsia="da-DK"/>
        </w:rPr>
      </w:pPr>
      <w:r w:rsidRPr="00113FDB">
        <w:rPr>
          <w:b/>
          <w:sz w:val="24"/>
          <w:szCs w:val="24"/>
          <w:lang w:val="en-GB"/>
        </w:rPr>
        <w:t>10.</w:t>
      </w:r>
      <w:r w:rsidRPr="00113FDB">
        <w:rPr>
          <w:b/>
          <w:sz w:val="24"/>
          <w:szCs w:val="24"/>
          <w:lang w:val="en-GB"/>
        </w:rPr>
        <w:tab/>
        <w:t>DATE OF REVISION OF THE TEXT</w:t>
      </w:r>
    </w:p>
    <w:p w:rsidR="0052186C" w:rsidRPr="00113FDB" w:rsidRDefault="0052186C" w:rsidP="0052186C">
      <w:pPr>
        <w:tabs>
          <w:tab w:val="left" w:pos="851"/>
        </w:tabs>
        <w:ind w:left="851" w:hanging="851"/>
        <w:jc w:val="both"/>
        <w:rPr>
          <w:sz w:val="24"/>
          <w:szCs w:val="24"/>
          <w:lang w:val="en-GB"/>
        </w:rPr>
      </w:pPr>
      <w:r w:rsidRPr="00113FDB">
        <w:rPr>
          <w:sz w:val="24"/>
          <w:szCs w:val="24"/>
          <w:lang w:val="en-GB"/>
        </w:rPr>
        <w:tab/>
      </w:r>
      <w:r w:rsidR="001946D2">
        <w:rPr>
          <w:sz w:val="24"/>
          <w:szCs w:val="24"/>
          <w:lang w:val="en-US"/>
        </w:rPr>
        <w:t>10 November 2023</w:t>
      </w:r>
    </w:p>
    <w:p w:rsidR="0052186C" w:rsidRPr="00113FDB" w:rsidRDefault="0052186C" w:rsidP="0052186C">
      <w:pPr>
        <w:tabs>
          <w:tab w:val="left" w:pos="851"/>
        </w:tabs>
        <w:ind w:left="851" w:hanging="851"/>
        <w:jc w:val="both"/>
        <w:rPr>
          <w:sz w:val="24"/>
          <w:szCs w:val="24"/>
          <w:lang w:val="en-GB"/>
        </w:rPr>
      </w:pPr>
    </w:p>
    <w:p w:rsidR="00227481" w:rsidRPr="00113FDB" w:rsidRDefault="00227481" w:rsidP="00227481">
      <w:pPr>
        <w:tabs>
          <w:tab w:val="left" w:pos="851"/>
        </w:tabs>
        <w:jc w:val="both"/>
        <w:rPr>
          <w:b/>
          <w:sz w:val="24"/>
          <w:szCs w:val="24"/>
          <w:lang w:val="en-GB" w:eastAsia="da-DK"/>
        </w:rPr>
      </w:pPr>
      <w:r w:rsidRPr="00113FDB">
        <w:rPr>
          <w:b/>
          <w:sz w:val="24"/>
          <w:szCs w:val="24"/>
          <w:lang w:val="en-GB"/>
        </w:rPr>
        <w:t>11.</w:t>
      </w:r>
      <w:r w:rsidRPr="00113FDB">
        <w:rPr>
          <w:b/>
          <w:sz w:val="24"/>
          <w:szCs w:val="24"/>
          <w:lang w:val="en-GB"/>
        </w:rPr>
        <w:tab/>
        <w:t>DOSIMETRY</w:t>
      </w:r>
    </w:p>
    <w:p w:rsidR="006156F6" w:rsidRPr="00113FDB" w:rsidRDefault="006156F6" w:rsidP="00672BAE">
      <w:pPr>
        <w:ind w:left="851"/>
        <w:rPr>
          <w:sz w:val="24"/>
          <w:szCs w:val="24"/>
          <w:lang w:val="en-GB"/>
        </w:rPr>
      </w:pPr>
      <w:r w:rsidRPr="00113FDB">
        <w:rPr>
          <w:sz w:val="24"/>
          <w:szCs w:val="24"/>
          <w:lang w:val="en-GB"/>
        </w:rPr>
        <w:t>The data listed below are from ICRP (International Commission on Radiological Protection, Radiation Dose to Patients from Radiopharmaceuticals) publication 128. The biokinetic model is described as a compartment model including inorganic iodide as well as organically bound iodine released to the body tissues following discharge from the thyroid. The ICRP model refers to oral administration.</w:t>
      </w:r>
    </w:p>
    <w:p w:rsidR="006156F6" w:rsidRPr="00113FDB" w:rsidRDefault="006156F6" w:rsidP="00672BAE">
      <w:pPr>
        <w:ind w:left="851"/>
        <w:rPr>
          <w:sz w:val="24"/>
          <w:szCs w:val="24"/>
          <w:lang w:val="en-GB"/>
        </w:rPr>
      </w:pPr>
      <w:r w:rsidRPr="00113FDB">
        <w:rPr>
          <w:sz w:val="24"/>
          <w:szCs w:val="24"/>
          <w:lang w:val="en-GB"/>
        </w:rPr>
        <w:t xml:space="preserve">As part of the risk-benefit assessment it is advised that the effective dose and likely radiation doses to individual target organ(s) are calculated prior to administration. The activity might then be adjusted according to thyroid volume, biological half-life and the “re-cycling” factor which </w:t>
      </w:r>
      <w:proofErr w:type="gramStart"/>
      <w:r w:rsidRPr="00113FDB">
        <w:rPr>
          <w:sz w:val="24"/>
          <w:szCs w:val="24"/>
          <w:lang w:val="en-GB"/>
        </w:rPr>
        <w:t>takes into account</w:t>
      </w:r>
      <w:proofErr w:type="gramEnd"/>
      <w:r w:rsidRPr="00113FDB">
        <w:rPr>
          <w:sz w:val="24"/>
          <w:szCs w:val="24"/>
          <w:lang w:val="en-GB"/>
        </w:rPr>
        <w:t xml:space="preserve"> the physiological status of the patient (including iodine depletion) and the underlying pathology.</w:t>
      </w:r>
    </w:p>
    <w:p w:rsidR="006156F6" w:rsidRPr="00113FDB" w:rsidRDefault="006156F6" w:rsidP="00672BAE">
      <w:pPr>
        <w:ind w:left="851"/>
        <w:rPr>
          <w:sz w:val="24"/>
          <w:szCs w:val="24"/>
          <w:lang w:val="en-GB"/>
        </w:rPr>
      </w:pPr>
    </w:p>
    <w:p w:rsidR="006156F6" w:rsidRPr="001946D2" w:rsidRDefault="006156F6" w:rsidP="00672BAE">
      <w:pPr>
        <w:ind w:left="851"/>
        <w:rPr>
          <w:sz w:val="24"/>
          <w:szCs w:val="24"/>
          <w:u w:val="single"/>
          <w:lang w:val="en-GB"/>
        </w:rPr>
      </w:pPr>
      <w:r w:rsidRPr="001946D2">
        <w:rPr>
          <w:sz w:val="24"/>
          <w:szCs w:val="24"/>
          <w:u w:val="single"/>
          <w:lang w:val="en-GB"/>
        </w:rPr>
        <w:t>Doses to the following target organs can be used</w:t>
      </w:r>
    </w:p>
    <w:p w:rsidR="006156F6" w:rsidRPr="00113FDB" w:rsidRDefault="006156F6" w:rsidP="00672BAE">
      <w:pPr>
        <w:ind w:left="851"/>
        <w:rPr>
          <w:sz w:val="24"/>
          <w:szCs w:val="24"/>
          <w:lang w:val="en-GB"/>
        </w:rPr>
      </w:pPr>
      <w:r w:rsidRPr="00113FDB">
        <w:rPr>
          <w:sz w:val="24"/>
          <w:szCs w:val="24"/>
          <w:lang w:val="en-GB"/>
        </w:rPr>
        <w:t xml:space="preserve"> </w:t>
      </w:r>
    </w:p>
    <w:tbl>
      <w:tblPr>
        <w:tblW w:w="87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09"/>
      </w:tblGrid>
      <w:tr w:rsidR="006156F6" w:rsidRPr="00113FDB" w:rsidTr="00672BAE">
        <w:tc>
          <w:tcPr>
            <w:tcW w:w="3969" w:type="dxa"/>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lang w:val="en-GB"/>
              </w:rPr>
            </w:pPr>
            <w:r w:rsidRPr="00113FDB">
              <w:rPr>
                <w:lang w:val="en-GB"/>
              </w:rPr>
              <w:t>Unifocal autonomy</w:t>
            </w:r>
          </w:p>
        </w:tc>
        <w:tc>
          <w:tcPr>
            <w:tcW w:w="4809" w:type="dxa"/>
            <w:tcBorders>
              <w:top w:val="single" w:sz="4" w:space="0" w:color="auto"/>
              <w:left w:val="single" w:sz="4" w:space="0" w:color="auto"/>
              <w:bottom w:val="single" w:sz="4" w:space="0" w:color="auto"/>
              <w:right w:val="single" w:sz="4" w:space="0" w:color="auto"/>
            </w:tcBorders>
            <w:hideMark/>
          </w:tcPr>
          <w:p w:rsidR="006156F6" w:rsidRPr="00113FDB" w:rsidRDefault="006156F6" w:rsidP="00EA6162">
            <w:pPr>
              <w:pStyle w:val="Default"/>
              <w:keepNext/>
              <w:rPr>
                <w:lang w:val="en-GB"/>
              </w:rPr>
            </w:pPr>
            <w:r w:rsidRPr="00113FDB">
              <w:rPr>
                <w:lang w:val="en-GB"/>
              </w:rPr>
              <w:t xml:space="preserve">Target organ dose 300 – 400 </w:t>
            </w:r>
            <w:proofErr w:type="spellStart"/>
            <w:r w:rsidRPr="00113FDB">
              <w:rPr>
                <w:lang w:val="en-GB"/>
              </w:rPr>
              <w:t>Gy</w:t>
            </w:r>
            <w:proofErr w:type="spellEnd"/>
            <w:r w:rsidRPr="00113FDB">
              <w:rPr>
                <w:lang w:val="en-GB"/>
              </w:rPr>
              <w:t xml:space="preserve"> </w:t>
            </w:r>
          </w:p>
        </w:tc>
      </w:tr>
      <w:tr w:rsidR="006156F6" w:rsidRPr="00113FDB" w:rsidTr="00672BAE">
        <w:tc>
          <w:tcPr>
            <w:tcW w:w="3969"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Multifocal or disseminated autonomy</w:t>
            </w:r>
          </w:p>
        </w:tc>
        <w:tc>
          <w:tcPr>
            <w:tcW w:w="4809"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 xml:space="preserve">Target organ dose 150 – 200 </w:t>
            </w:r>
            <w:proofErr w:type="spellStart"/>
            <w:r w:rsidRPr="00113FDB">
              <w:rPr>
                <w:lang w:val="en-GB"/>
              </w:rPr>
              <w:t>Gy</w:t>
            </w:r>
            <w:proofErr w:type="spellEnd"/>
            <w:r w:rsidRPr="00113FDB">
              <w:rPr>
                <w:lang w:val="en-GB"/>
              </w:rPr>
              <w:t xml:space="preserve"> </w:t>
            </w:r>
          </w:p>
        </w:tc>
      </w:tr>
      <w:tr w:rsidR="006156F6" w:rsidRPr="00113FDB" w:rsidTr="00672BAE">
        <w:tc>
          <w:tcPr>
            <w:tcW w:w="3969" w:type="dxa"/>
            <w:tcBorders>
              <w:top w:val="single" w:sz="4" w:space="0" w:color="auto"/>
              <w:left w:val="single" w:sz="4" w:space="0" w:color="auto"/>
              <w:bottom w:val="single" w:sz="4" w:space="0" w:color="auto"/>
              <w:right w:val="single" w:sz="4" w:space="0" w:color="auto"/>
            </w:tcBorders>
            <w:hideMark/>
          </w:tcPr>
          <w:p w:rsidR="006156F6" w:rsidRPr="00113FDB" w:rsidRDefault="006156F6">
            <w:pPr>
              <w:pStyle w:val="Default"/>
              <w:rPr>
                <w:lang w:val="en-GB"/>
              </w:rPr>
            </w:pPr>
            <w:r w:rsidRPr="00113FDB">
              <w:rPr>
                <w:lang w:val="en-GB"/>
              </w:rPr>
              <w:t xml:space="preserve">Graves’ disease (Morbus </w:t>
            </w:r>
            <w:proofErr w:type="spellStart"/>
            <w:r w:rsidRPr="00113FDB">
              <w:rPr>
                <w:lang w:val="en-GB"/>
              </w:rPr>
              <w:t>Basedow</w:t>
            </w:r>
            <w:proofErr w:type="spellEnd"/>
            <w:r w:rsidRPr="00113FDB">
              <w:rPr>
                <w:lang w:val="en-GB"/>
              </w:rPr>
              <w:t>)</w:t>
            </w:r>
          </w:p>
        </w:tc>
        <w:tc>
          <w:tcPr>
            <w:tcW w:w="4809" w:type="dxa"/>
            <w:tcBorders>
              <w:top w:val="single" w:sz="4" w:space="0" w:color="auto"/>
              <w:left w:val="single" w:sz="4" w:space="0" w:color="auto"/>
              <w:bottom w:val="single" w:sz="4" w:space="0" w:color="auto"/>
              <w:right w:val="single" w:sz="4" w:space="0" w:color="auto"/>
            </w:tcBorders>
            <w:hideMark/>
          </w:tcPr>
          <w:p w:rsidR="006156F6" w:rsidRPr="00113FDB" w:rsidRDefault="006156F6">
            <w:pPr>
              <w:autoSpaceDE w:val="0"/>
              <w:autoSpaceDN w:val="0"/>
              <w:adjustRightInd w:val="0"/>
              <w:rPr>
                <w:sz w:val="24"/>
                <w:szCs w:val="24"/>
                <w:lang w:val="en-GB"/>
              </w:rPr>
            </w:pPr>
            <w:r w:rsidRPr="00113FDB">
              <w:rPr>
                <w:sz w:val="24"/>
                <w:szCs w:val="24"/>
                <w:lang w:val="en-GB"/>
              </w:rPr>
              <w:t xml:space="preserve">Target organ dose 200 </w:t>
            </w:r>
            <w:proofErr w:type="spellStart"/>
            <w:r w:rsidRPr="00113FDB">
              <w:rPr>
                <w:sz w:val="24"/>
                <w:szCs w:val="24"/>
                <w:lang w:val="en-GB"/>
              </w:rPr>
              <w:t>Gy</w:t>
            </w:r>
            <w:proofErr w:type="spellEnd"/>
          </w:p>
        </w:tc>
      </w:tr>
    </w:tbl>
    <w:p w:rsidR="006156F6" w:rsidRPr="00113FDB" w:rsidRDefault="006156F6" w:rsidP="006156F6">
      <w:pPr>
        <w:autoSpaceDE w:val="0"/>
        <w:autoSpaceDN w:val="0"/>
        <w:adjustRightInd w:val="0"/>
        <w:rPr>
          <w:sz w:val="24"/>
          <w:szCs w:val="24"/>
          <w:lang w:val="en-GB"/>
        </w:rPr>
      </w:pPr>
    </w:p>
    <w:p w:rsidR="006156F6" w:rsidRPr="00113FDB" w:rsidRDefault="006156F6" w:rsidP="00672BAE">
      <w:pPr>
        <w:ind w:left="851"/>
        <w:rPr>
          <w:sz w:val="24"/>
          <w:szCs w:val="24"/>
          <w:lang w:val="en-GB"/>
        </w:rPr>
      </w:pPr>
      <w:r w:rsidRPr="00113FDB">
        <w:rPr>
          <w:sz w:val="24"/>
          <w:szCs w:val="24"/>
          <w:lang w:val="en-GB"/>
        </w:rPr>
        <w:t>The radiation exposure mainly affects the thyroid. The radiation exposure of the other organs is in the range of thousandths lower than that of the thyroid. It depends on the dietary intake of iodine (the uptake of radioiodine is increased up to 90% in iodine deficient areas and it is decreased to 5% in iodine rich areas). It further depends on the thyroid function (</w:t>
      </w:r>
      <w:proofErr w:type="spellStart"/>
      <w:r w:rsidRPr="00113FDB">
        <w:rPr>
          <w:sz w:val="24"/>
          <w:szCs w:val="24"/>
          <w:lang w:val="en-GB"/>
        </w:rPr>
        <w:t>eu</w:t>
      </w:r>
      <w:proofErr w:type="spellEnd"/>
      <w:r w:rsidRPr="00113FDB">
        <w:rPr>
          <w:sz w:val="24"/>
          <w:szCs w:val="24"/>
          <w:lang w:val="en-GB"/>
        </w:rPr>
        <w:t xml:space="preserve">-, hyper-, or </w:t>
      </w:r>
      <w:proofErr w:type="spellStart"/>
      <w:r w:rsidRPr="00113FDB">
        <w:rPr>
          <w:sz w:val="24"/>
          <w:szCs w:val="24"/>
          <w:lang w:val="en-GB"/>
        </w:rPr>
        <w:t>hypothroidism</w:t>
      </w:r>
      <w:proofErr w:type="spellEnd"/>
      <w:r w:rsidRPr="00113FDB">
        <w:rPr>
          <w:sz w:val="24"/>
          <w:szCs w:val="24"/>
          <w:lang w:val="en-GB"/>
        </w:rPr>
        <w:t>) and on the presence of iodine accumulating tissues in the body. (e.g. the situation after excision of the thyroid, the presence of iodine accumulating metastases and on thyroid blockage). The radiation exposure of all other organs is correspondingly higher or lower, depending on the degree of accumulation in the thyroid.</w:t>
      </w:r>
    </w:p>
    <w:p w:rsidR="006156F6" w:rsidRPr="00113FDB" w:rsidRDefault="006156F6" w:rsidP="00672BAE">
      <w:pPr>
        <w:ind w:left="851"/>
        <w:rPr>
          <w:sz w:val="24"/>
          <w:szCs w:val="24"/>
          <w:lang w:val="en-GB"/>
        </w:rPr>
      </w:pPr>
    </w:p>
    <w:p w:rsidR="006156F6" w:rsidRPr="00113FDB" w:rsidRDefault="006156F6" w:rsidP="006156F6">
      <w:pPr>
        <w:autoSpaceDE w:val="0"/>
        <w:autoSpaceDN w:val="0"/>
        <w:adjustRightInd w:val="0"/>
        <w:rPr>
          <w:b/>
          <w:bCs/>
          <w:sz w:val="24"/>
          <w:szCs w:val="24"/>
          <w:lang w:val="en-GB"/>
        </w:rPr>
      </w:pPr>
      <w:r w:rsidRPr="00113FDB">
        <w:rPr>
          <w:b/>
          <w:bCs/>
          <w:sz w:val="24"/>
          <w:szCs w:val="24"/>
          <w:lang w:val="en-GB"/>
        </w:rPr>
        <w:t>Thyroid blocked, uptake 0%, oral administration</w:t>
      </w:r>
    </w:p>
    <w:p w:rsidR="006156F6" w:rsidRPr="00113FDB" w:rsidRDefault="006156F6" w:rsidP="006156F6">
      <w:pPr>
        <w:autoSpaceDE w:val="0"/>
        <w:autoSpaceDN w:val="0"/>
        <w:adjustRightInd w:val="0"/>
        <w:rPr>
          <w:sz w:val="24"/>
          <w:szCs w:val="24"/>
          <w:lang w:val="en-GB"/>
        </w:rPr>
      </w:pPr>
    </w:p>
    <w:tbl>
      <w:tblPr>
        <w:tblW w:w="5000" w:type="pct"/>
        <w:tblCellMar>
          <w:left w:w="70" w:type="dxa"/>
          <w:right w:w="70" w:type="dxa"/>
        </w:tblCellMar>
        <w:tblLook w:val="04A0" w:firstRow="1" w:lastRow="0" w:firstColumn="1" w:lastColumn="0" w:noHBand="0" w:noVBand="1"/>
      </w:tblPr>
      <w:tblGrid>
        <w:gridCol w:w="2865"/>
        <w:gridCol w:w="1278"/>
        <w:gridCol w:w="1414"/>
        <w:gridCol w:w="1368"/>
        <w:gridCol w:w="1291"/>
        <w:gridCol w:w="1402"/>
        <w:tblGridChange w:id="2">
          <w:tblGrid>
            <w:gridCol w:w="2865"/>
            <w:gridCol w:w="1278"/>
            <w:gridCol w:w="1414"/>
            <w:gridCol w:w="1368"/>
            <w:gridCol w:w="1291"/>
            <w:gridCol w:w="1402"/>
          </w:tblGrid>
        </w:tblGridChange>
      </w:tblGrid>
      <w:tr w:rsidR="006156F6" w:rsidRPr="00113FDB" w:rsidTr="00672BAE">
        <w:trPr>
          <w:trHeight w:val="315"/>
          <w:tblHeader/>
        </w:trPr>
        <w:tc>
          <w:tcPr>
            <w:tcW w:w="1497" w:type="pct"/>
            <w:tcBorders>
              <w:top w:val="single" w:sz="8" w:space="0" w:color="auto"/>
              <w:left w:val="single" w:sz="8" w:space="0" w:color="auto"/>
              <w:bottom w:val="single" w:sz="8" w:space="0" w:color="auto"/>
              <w:right w:val="single" w:sz="8" w:space="0" w:color="auto"/>
            </w:tcBorders>
            <w:noWrap/>
          </w:tcPr>
          <w:p w:rsidR="006156F6" w:rsidRPr="00113FDB" w:rsidRDefault="006156F6">
            <w:pPr>
              <w:rPr>
                <w:color w:val="000000"/>
                <w:sz w:val="24"/>
                <w:szCs w:val="24"/>
                <w:lang w:val="en-GB" w:eastAsia="tr-TR"/>
              </w:rPr>
            </w:pPr>
          </w:p>
        </w:tc>
        <w:tc>
          <w:tcPr>
            <w:tcW w:w="3500" w:type="pct"/>
            <w:gridSpan w:val="5"/>
            <w:tcBorders>
              <w:top w:val="single" w:sz="8" w:space="0" w:color="auto"/>
              <w:left w:val="nil"/>
              <w:bottom w:val="single" w:sz="8" w:space="0" w:color="auto"/>
              <w:right w:val="single" w:sz="8" w:space="0" w:color="auto"/>
            </w:tcBorders>
            <w:noWrap/>
            <w:hideMark/>
          </w:tcPr>
          <w:p w:rsidR="006156F6" w:rsidRPr="00113FDB" w:rsidRDefault="006156F6" w:rsidP="00EA6162">
            <w:pPr>
              <w:autoSpaceDE w:val="0"/>
              <w:autoSpaceDN w:val="0"/>
              <w:adjustRightInd w:val="0"/>
              <w:rPr>
                <w:color w:val="000000"/>
                <w:sz w:val="24"/>
                <w:szCs w:val="24"/>
                <w:lang w:val="en-GB" w:eastAsia="tr-TR"/>
              </w:rPr>
            </w:pPr>
            <w:r w:rsidRPr="00113FDB">
              <w:rPr>
                <w:b/>
                <w:bCs/>
                <w:sz w:val="24"/>
                <w:szCs w:val="24"/>
                <w:lang w:val="en-GB"/>
              </w:rPr>
              <w:t>Absorbed dose per unit activity administered (</w:t>
            </w:r>
            <w:proofErr w:type="spellStart"/>
            <w:r w:rsidRPr="00113FDB">
              <w:rPr>
                <w:b/>
                <w:bCs/>
                <w:sz w:val="24"/>
                <w:szCs w:val="24"/>
                <w:lang w:val="en-GB"/>
              </w:rPr>
              <w:t>mGy</w:t>
            </w:r>
            <w:proofErr w:type="spellEnd"/>
            <w:r w:rsidRPr="00113FDB">
              <w:rPr>
                <w:b/>
                <w:bCs/>
                <w:sz w:val="24"/>
                <w:szCs w:val="24"/>
                <w:lang w:val="en-GB"/>
              </w:rPr>
              <w:t>/</w:t>
            </w:r>
            <w:proofErr w:type="spellStart"/>
            <w:r w:rsidRPr="00113FDB">
              <w:rPr>
                <w:b/>
                <w:bCs/>
                <w:sz w:val="24"/>
                <w:szCs w:val="24"/>
                <w:lang w:val="en-GB"/>
              </w:rPr>
              <w:t>MBq</w:t>
            </w:r>
            <w:proofErr w:type="spellEnd"/>
            <w:r w:rsidRPr="00113FDB">
              <w:rPr>
                <w:b/>
                <w:bCs/>
                <w:sz w:val="24"/>
                <w:szCs w:val="24"/>
                <w:lang w:val="en-GB"/>
              </w:rPr>
              <w:t>)</w:t>
            </w:r>
          </w:p>
        </w:tc>
      </w:tr>
      <w:tr w:rsidR="006156F6" w:rsidRPr="00113FDB" w:rsidTr="00672BAE">
        <w:trPr>
          <w:trHeight w:val="315"/>
        </w:trPr>
        <w:tc>
          <w:tcPr>
            <w:tcW w:w="1497" w:type="pct"/>
            <w:tcBorders>
              <w:top w:val="single" w:sz="8" w:space="0" w:color="auto"/>
              <w:left w:val="single" w:sz="8" w:space="0" w:color="auto"/>
              <w:bottom w:val="single" w:sz="8" w:space="0" w:color="auto"/>
              <w:right w:val="single" w:sz="8" w:space="0" w:color="auto"/>
            </w:tcBorders>
            <w:noWrap/>
            <w:hideMark/>
          </w:tcPr>
          <w:p w:rsidR="006156F6" w:rsidRPr="00113FDB" w:rsidRDefault="006156F6">
            <w:pPr>
              <w:rPr>
                <w:b/>
                <w:bCs/>
                <w:color w:val="000000"/>
                <w:sz w:val="24"/>
                <w:szCs w:val="24"/>
                <w:lang w:val="en-GB"/>
              </w:rPr>
            </w:pPr>
            <w:r w:rsidRPr="00113FDB">
              <w:rPr>
                <w:b/>
                <w:bCs/>
                <w:color w:val="000000"/>
                <w:sz w:val="24"/>
                <w:szCs w:val="24"/>
                <w:lang w:val="en-GB"/>
              </w:rPr>
              <w:t xml:space="preserve">Organ </w:t>
            </w:r>
          </w:p>
        </w:tc>
        <w:tc>
          <w:tcPr>
            <w:tcW w:w="672" w:type="pct"/>
            <w:tcBorders>
              <w:top w:val="single" w:sz="8" w:space="0" w:color="auto"/>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rPr>
            </w:pPr>
            <w:r w:rsidRPr="00113FDB">
              <w:rPr>
                <w:b/>
                <w:bCs/>
                <w:color w:val="000000"/>
                <w:sz w:val="24"/>
                <w:szCs w:val="24"/>
                <w:lang w:val="en-GB"/>
              </w:rPr>
              <w:t>Adult</w:t>
            </w:r>
          </w:p>
        </w:tc>
        <w:tc>
          <w:tcPr>
            <w:tcW w:w="743" w:type="pct"/>
            <w:tcBorders>
              <w:top w:val="single" w:sz="8" w:space="0" w:color="auto"/>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rPr>
            </w:pPr>
            <w:r w:rsidRPr="00113FDB">
              <w:rPr>
                <w:b/>
                <w:bCs/>
                <w:color w:val="000000"/>
                <w:sz w:val="24"/>
                <w:szCs w:val="24"/>
                <w:lang w:val="en-GB"/>
              </w:rPr>
              <w:t>15 years old</w:t>
            </w:r>
          </w:p>
        </w:tc>
        <w:tc>
          <w:tcPr>
            <w:tcW w:w="672" w:type="pct"/>
            <w:tcBorders>
              <w:top w:val="single" w:sz="8" w:space="0" w:color="auto"/>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rPr>
            </w:pPr>
            <w:r w:rsidRPr="00113FDB">
              <w:rPr>
                <w:b/>
                <w:bCs/>
                <w:color w:val="000000"/>
                <w:sz w:val="24"/>
                <w:szCs w:val="24"/>
                <w:lang w:val="en-GB"/>
              </w:rPr>
              <w:t>10 years old</w:t>
            </w:r>
          </w:p>
        </w:tc>
        <w:tc>
          <w:tcPr>
            <w:tcW w:w="679" w:type="pct"/>
            <w:tcBorders>
              <w:top w:val="single" w:sz="8" w:space="0" w:color="auto"/>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rPr>
            </w:pPr>
            <w:r w:rsidRPr="00113FDB">
              <w:rPr>
                <w:b/>
                <w:bCs/>
                <w:color w:val="000000"/>
                <w:sz w:val="24"/>
                <w:szCs w:val="24"/>
                <w:lang w:val="en-GB"/>
              </w:rPr>
              <w:t>5 years old</w:t>
            </w:r>
          </w:p>
        </w:tc>
        <w:tc>
          <w:tcPr>
            <w:tcW w:w="733" w:type="pct"/>
            <w:tcBorders>
              <w:top w:val="single" w:sz="8" w:space="0" w:color="auto"/>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rPr>
            </w:pPr>
            <w:r w:rsidRPr="00113FDB">
              <w:rPr>
                <w:b/>
                <w:bCs/>
                <w:color w:val="000000"/>
                <w:sz w:val="24"/>
                <w:szCs w:val="24"/>
                <w:lang w:val="en-GB"/>
              </w:rPr>
              <w:t>1 year old</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Adrenals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0.054</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73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Bone surfaces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0.030</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0.037</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0.059</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0.092</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Brain</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0.021</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0.026</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0.043</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0.071</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Breast</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0.020</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0.025</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0.042</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Gallbladder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0.037</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0.048</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0.085</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0.21</w:t>
            </w:r>
          </w:p>
        </w:tc>
      </w:tr>
      <w:tr w:rsidR="006156F6" w:rsidRPr="00113FDB" w:rsidTr="00672BAE">
        <w:trPr>
          <w:trHeight w:val="330"/>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GI-tract</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 </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 </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 </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 </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 </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Stomach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0.87</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1.1</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2.8</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5.9</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Small intestine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0.035</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0.044</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0.070</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0.11</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Colon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0.30</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0.50</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0.92</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(ULI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0.25</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0.42</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0.75)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(LLI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0.17</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0.22</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0.37</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0.61</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rsidP="00EA6162">
            <w:pPr>
              <w:pStyle w:val="TableParagraph"/>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Heart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0.062</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0.080</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0.20</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0.37</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pStyle w:val="TableParagraph"/>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Kidneys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0.27</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0.32</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Liver</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0.065</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0.16</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Lungs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0.053</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0.068</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0.36</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rsidP="00EA6162">
            <w:pPr>
              <w:pStyle w:val="Default"/>
              <w:rPr>
                <w:lang w:val="en-GB"/>
              </w:rPr>
            </w:pPr>
            <w:r w:rsidRPr="00113FDB">
              <w:rPr>
                <w:lang w:val="en-GB"/>
              </w:rPr>
              <w:t xml:space="preserve">Muscles </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0.026</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0.032</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rsidP="00EA6162">
            <w:pPr>
              <w:pStyle w:val="Default"/>
              <w:rPr>
                <w:lang w:val="en-GB"/>
              </w:rPr>
            </w:pPr>
            <w:r w:rsidRPr="00113FDB">
              <w:rPr>
                <w:lang w:val="en-GB"/>
              </w:rPr>
              <w:t xml:space="preserve">Oesophagus </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0.049</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 xml:space="preserve">Ovaries </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0.038</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0.049</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0.11</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Pancreas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0.16</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0.28</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Red marrow</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0.031</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0.038</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0.095</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Salivary glands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0.27</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0.44</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0.86</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Skin</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0.019</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0.038</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0.062</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 xml:space="preserve">Spleen </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0.077</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0.34</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Testes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0.025</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0.055</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0.084</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Thymus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0.049</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0.079</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Thyroid</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2.2</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3.6</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5.6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13</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25</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Urinary bladder wall</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0.54</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0.70</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1.4</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1.8</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Uterus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0.045</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0.056</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0.090</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0.21</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color w:val="000000"/>
                <w:sz w:val="24"/>
                <w:szCs w:val="24"/>
                <w:lang w:val="en-GB" w:eastAsia="tr-TR"/>
              </w:rPr>
            </w:pPr>
            <w:r w:rsidRPr="00113FDB">
              <w:rPr>
                <w:color w:val="000000"/>
                <w:sz w:val="24"/>
                <w:szCs w:val="24"/>
                <w:lang w:val="en-GB" w:eastAsia="tr-TR"/>
              </w:rPr>
              <w:t>Remaining organs</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0.029</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0.037</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0.10</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r>
      <w:tr w:rsidR="006156F6" w:rsidRPr="00113FDB" w:rsidTr="00672BAE">
        <w:trPr>
          <w:trHeight w:val="315"/>
        </w:trPr>
        <w:tc>
          <w:tcPr>
            <w:tcW w:w="1497" w:type="pct"/>
            <w:tcBorders>
              <w:top w:val="nil"/>
              <w:left w:val="single" w:sz="8" w:space="0" w:color="auto"/>
              <w:bottom w:val="single" w:sz="8" w:space="0" w:color="auto"/>
              <w:right w:val="single" w:sz="8" w:space="0" w:color="auto"/>
            </w:tcBorders>
            <w:noWrap/>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Effective dose (mSv/</w:t>
            </w:r>
            <w:proofErr w:type="spellStart"/>
            <w:r w:rsidRPr="00113FDB">
              <w:rPr>
                <w:b/>
                <w:bCs/>
                <w:color w:val="000000"/>
                <w:sz w:val="24"/>
                <w:szCs w:val="24"/>
                <w:lang w:val="en-GB" w:eastAsia="tr-TR"/>
              </w:rPr>
              <w:t>MBq</w:t>
            </w:r>
            <w:proofErr w:type="spellEnd"/>
            <w:r w:rsidRPr="00113FDB">
              <w:rPr>
                <w:b/>
                <w:bCs/>
                <w:color w:val="000000"/>
                <w:sz w:val="24"/>
                <w:szCs w:val="24"/>
                <w:lang w:val="en-GB" w:eastAsia="tr-TR"/>
              </w:rPr>
              <w:t>)</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eastAsia="tr-TR"/>
              </w:rPr>
            </w:pPr>
            <w:r w:rsidRPr="00113FDB">
              <w:rPr>
                <w:b/>
                <w:bCs/>
                <w:color w:val="000000"/>
                <w:sz w:val="24"/>
                <w:szCs w:val="24"/>
                <w:lang w:val="en-GB" w:eastAsia="tr-TR"/>
              </w:rPr>
              <w:t>0.28</w:t>
            </w:r>
          </w:p>
        </w:tc>
        <w:tc>
          <w:tcPr>
            <w:tcW w:w="743" w:type="pct"/>
            <w:tcBorders>
              <w:top w:val="nil"/>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eastAsia="tr-TR"/>
              </w:rPr>
            </w:pPr>
            <w:r w:rsidRPr="00113FDB">
              <w:rPr>
                <w:b/>
                <w:bCs/>
                <w:color w:val="000000"/>
                <w:sz w:val="24"/>
                <w:szCs w:val="24"/>
                <w:lang w:val="en-GB" w:eastAsia="tr-TR"/>
              </w:rPr>
              <w:t>0.40</w:t>
            </w:r>
          </w:p>
        </w:tc>
        <w:tc>
          <w:tcPr>
            <w:tcW w:w="672" w:type="pct"/>
            <w:tcBorders>
              <w:top w:val="nil"/>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eastAsia="tr-TR"/>
              </w:rPr>
            </w:pPr>
            <w:r w:rsidRPr="00113FDB">
              <w:rPr>
                <w:b/>
                <w:bCs/>
                <w:color w:val="000000"/>
                <w:sz w:val="24"/>
                <w:szCs w:val="24"/>
                <w:lang w:val="en-GB" w:eastAsia="tr-TR"/>
              </w:rPr>
              <w:t>0.61</w:t>
            </w:r>
          </w:p>
        </w:tc>
        <w:tc>
          <w:tcPr>
            <w:tcW w:w="679" w:type="pct"/>
            <w:tcBorders>
              <w:top w:val="nil"/>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eastAsia="tr-TR"/>
              </w:rPr>
            </w:pPr>
            <w:r w:rsidRPr="00113FDB">
              <w:rPr>
                <w:b/>
                <w:bCs/>
                <w:color w:val="000000"/>
                <w:sz w:val="24"/>
                <w:szCs w:val="24"/>
                <w:lang w:val="en-GB" w:eastAsia="tr-TR"/>
              </w:rPr>
              <w:t>1.2</w:t>
            </w:r>
          </w:p>
        </w:tc>
        <w:tc>
          <w:tcPr>
            <w:tcW w:w="736" w:type="pct"/>
            <w:tcBorders>
              <w:top w:val="nil"/>
              <w:left w:val="nil"/>
              <w:bottom w:val="single" w:sz="8" w:space="0" w:color="auto"/>
              <w:right w:val="single" w:sz="8" w:space="0" w:color="auto"/>
            </w:tcBorders>
            <w:noWrap/>
            <w:hideMark/>
          </w:tcPr>
          <w:p w:rsidR="006156F6" w:rsidRPr="00113FDB" w:rsidRDefault="006156F6" w:rsidP="00EA6162">
            <w:pPr>
              <w:rPr>
                <w:b/>
                <w:bCs/>
                <w:color w:val="000000"/>
                <w:sz w:val="24"/>
                <w:szCs w:val="24"/>
                <w:lang w:val="en-GB" w:eastAsia="tr-TR"/>
              </w:rPr>
            </w:pPr>
            <w:r w:rsidRPr="00113FDB">
              <w:rPr>
                <w:b/>
                <w:bCs/>
                <w:color w:val="000000"/>
                <w:sz w:val="24"/>
                <w:szCs w:val="24"/>
                <w:lang w:val="en-GB" w:eastAsia="tr-TR"/>
              </w:rPr>
              <w:t>2.3</w:t>
            </w:r>
          </w:p>
        </w:tc>
      </w:tr>
    </w:tbl>
    <w:p w:rsidR="006156F6" w:rsidRPr="00113FDB" w:rsidRDefault="006156F6" w:rsidP="006156F6">
      <w:pPr>
        <w:autoSpaceDE w:val="0"/>
        <w:autoSpaceDN w:val="0"/>
        <w:adjustRightInd w:val="0"/>
        <w:rPr>
          <w:sz w:val="24"/>
          <w:szCs w:val="24"/>
          <w:lang w:val="en-GB"/>
        </w:rPr>
      </w:pPr>
    </w:p>
    <w:p w:rsidR="006156F6" w:rsidRPr="00113FDB" w:rsidRDefault="006156F6" w:rsidP="006156F6">
      <w:pPr>
        <w:autoSpaceDE w:val="0"/>
        <w:autoSpaceDN w:val="0"/>
        <w:adjustRightInd w:val="0"/>
        <w:rPr>
          <w:b/>
          <w:bCs/>
          <w:sz w:val="24"/>
          <w:szCs w:val="24"/>
          <w:lang w:val="en-GB"/>
        </w:rPr>
      </w:pPr>
      <w:r w:rsidRPr="00113FDB">
        <w:rPr>
          <w:b/>
          <w:bCs/>
          <w:sz w:val="24"/>
          <w:szCs w:val="24"/>
          <w:lang w:val="en-GB"/>
        </w:rPr>
        <w:t>Thyroid low uptake, oral administration</w:t>
      </w:r>
    </w:p>
    <w:p w:rsidR="006156F6" w:rsidRPr="00113FDB" w:rsidRDefault="006156F6" w:rsidP="006156F6">
      <w:pPr>
        <w:autoSpaceDE w:val="0"/>
        <w:autoSpaceDN w:val="0"/>
        <w:adjustRightInd w:val="0"/>
        <w:rPr>
          <w:b/>
          <w:bCs/>
          <w:sz w:val="24"/>
          <w:szCs w:val="24"/>
          <w:lang w:val="en-GB"/>
        </w:rPr>
      </w:pPr>
    </w:p>
    <w:tbl>
      <w:tblPr>
        <w:tblW w:w="5000" w:type="pct"/>
        <w:tblCellMar>
          <w:left w:w="70" w:type="dxa"/>
          <w:right w:w="70" w:type="dxa"/>
        </w:tblCellMar>
        <w:tblLook w:val="04A0" w:firstRow="1" w:lastRow="0" w:firstColumn="1" w:lastColumn="0" w:noHBand="0" w:noVBand="1"/>
      </w:tblPr>
      <w:tblGrid>
        <w:gridCol w:w="2684"/>
        <w:gridCol w:w="1602"/>
        <w:gridCol w:w="1337"/>
        <w:gridCol w:w="1470"/>
        <w:gridCol w:w="1202"/>
        <w:gridCol w:w="1323"/>
        <w:tblGridChange w:id="3">
          <w:tblGrid>
            <w:gridCol w:w="2684"/>
            <w:gridCol w:w="1602"/>
            <w:gridCol w:w="1337"/>
            <w:gridCol w:w="1470"/>
            <w:gridCol w:w="1202"/>
            <w:gridCol w:w="1323"/>
          </w:tblGrid>
        </w:tblGridChange>
      </w:tblGrid>
      <w:tr w:rsidR="006156F6" w:rsidRPr="00113FDB" w:rsidTr="00672BAE">
        <w:trPr>
          <w:trHeight w:val="317"/>
        </w:trPr>
        <w:tc>
          <w:tcPr>
            <w:tcW w:w="1395" w:type="pct"/>
            <w:tcBorders>
              <w:top w:val="single" w:sz="8" w:space="0" w:color="auto"/>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p>
        </w:tc>
        <w:tc>
          <w:tcPr>
            <w:tcW w:w="3605" w:type="pct"/>
            <w:gridSpan w:val="5"/>
            <w:tcBorders>
              <w:top w:val="single" w:sz="8" w:space="0" w:color="auto"/>
              <w:left w:val="nil"/>
              <w:bottom w:val="single" w:sz="8" w:space="0" w:color="auto"/>
              <w:right w:val="single" w:sz="8" w:space="0" w:color="auto"/>
            </w:tcBorders>
            <w:hideMark/>
          </w:tcPr>
          <w:p w:rsidR="006156F6" w:rsidRPr="00113FDB" w:rsidRDefault="006156F6" w:rsidP="00EA6162">
            <w:pPr>
              <w:jc w:val="right"/>
              <w:rPr>
                <w:color w:val="000000"/>
                <w:sz w:val="24"/>
                <w:szCs w:val="24"/>
                <w:lang w:val="en-GB" w:eastAsia="tr-TR"/>
              </w:rPr>
            </w:pPr>
            <w:r w:rsidRPr="00113FDB">
              <w:rPr>
                <w:b/>
                <w:bCs/>
                <w:sz w:val="24"/>
                <w:szCs w:val="24"/>
                <w:lang w:val="en-GB"/>
              </w:rPr>
              <w:t>Absorbed dose per unit activity administered (</w:t>
            </w:r>
            <w:proofErr w:type="spellStart"/>
            <w:r w:rsidRPr="00113FDB">
              <w:rPr>
                <w:b/>
                <w:bCs/>
                <w:sz w:val="24"/>
                <w:szCs w:val="24"/>
                <w:lang w:val="en-GB"/>
              </w:rPr>
              <w:t>mGy</w:t>
            </w:r>
            <w:proofErr w:type="spellEnd"/>
            <w:r w:rsidRPr="00113FDB">
              <w:rPr>
                <w:b/>
                <w:bCs/>
                <w:sz w:val="24"/>
                <w:szCs w:val="24"/>
                <w:lang w:val="en-GB"/>
              </w:rPr>
              <w:t>/</w:t>
            </w:r>
            <w:proofErr w:type="spellStart"/>
            <w:r w:rsidRPr="00113FDB">
              <w:rPr>
                <w:b/>
                <w:bCs/>
                <w:sz w:val="24"/>
                <w:szCs w:val="24"/>
                <w:lang w:val="en-GB"/>
              </w:rPr>
              <w:t>MBq</w:t>
            </w:r>
            <w:proofErr w:type="spellEnd"/>
            <w:r w:rsidRPr="00113FDB">
              <w:rPr>
                <w:b/>
                <w:bCs/>
                <w:sz w:val="24"/>
                <w:szCs w:val="24"/>
                <w:lang w:val="en-GB"/>
              </w:rPr>
              <w:t>)</w:t>
            </w:r>
          </w:p>
        </w:tc>
      </w:tr>
      <w:tr w:rsidR="006156F6" w:rsidRPr="00113FDB" w:rsidTr="00672BAE">
        <w:trPr>
          <w:trHeight w:val="20"/>
        </w:trPr>
        <w:tc>
          <w:tcPr>
            <w:tcW w:w="1395" w:type="pct"/>
            <w:tcBorders>
              <w:top w:val="single" w:sz="8" w:space="0" w:color="auto"/>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Organ</w:t>
            </w:r>
          </w:p>
        </w:tc>
        <w:tc>
          <w:tcPr>
            <w:tcW w:w="833" w:type="pct"/>
            <w:tcBorders>
              <w:top w:val="single" w:sz="8" w:space="0" w:color="auto"/>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Adult</w:t>
            </w:r>
          </w:p>
        </w:tc>
        <w:tc>
          <w:tcPr>
            <w:tcW w:w="695" w:type="pct"/>
            <w:tcBorders>
              <w:top w:val="single" w:sz="8" w:space="0" w:color="auto"/>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15 years old</w:t>
            </w:r>
          </w:p>
        </w:tc>
        <w:tc>
          <w:tcPr>
            <w:tcW w:w="764" w:type="pct"/>
            <w:tcBorders>
              <w:top w:val="single" w:sz="8" w:space="0" w:color="auto"/>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10 years old</w:t>
            </w:r>
          </w:p>
        </w:tc>
        <w:tc>
          <w:tcPr>
            <w:tcW w:w="625" w:type="pct"/>
            <w:tcBorders>
              <w:top w:val="single" w:sz="8" w:space="0" w:color="auto"/>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5 years old</w:t>
            </w:r>
          </w:p>
        </w:tc>
        <w:tc>
          <w:tcPr>
            <w:tcW w:w="688" w:type="pct"/>
            <w:tcBorders>
              <w:top w:val="single" w:sz="8" w:space="0" w:color="auto"/>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b/>
                <w:bCs/>
                <w:color w:val="000000"/>
                <w:sz w:val="24"/>
                <w:szCs w:val="24"/>
                <w:lang w:val="en-GB" w:eastAsia="tr-TR"/>
              </w:rPr>
              <w:t>1 year old</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Adrenals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0.051</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0.067</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Bone surfaces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0.089</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0.14</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0.22</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Brain</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0.093</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Breast</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0.038</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0.17</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Gallbladder wall</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0.043</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0.057</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0.36</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GI-tract</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Stomach wall</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0.77</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1.0</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1.5</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2.5</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5.3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Small intestine wall</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0.033</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0.043</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0.073</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0.11</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Colon wall</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0.14</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0.18</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0.32</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0.58</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(ULI wall</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0.18</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0.27</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0.49</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1.0)</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(LLI wall</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0.17</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0.39</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0.71</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1.6)</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pStyle w:val="TableParagraph"/>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Heart wall</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0.089</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0.22</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0.21</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0.36</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0.77</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Kidneys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0.27</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0.84</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Liver</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0.093</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0.34</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0.24</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0.46</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Lungs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0.13</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0.22</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0.38</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0.79</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Muscles</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0.084</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0.11</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0.17</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0.27</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sz w:val="24"/>
                <w:szCs w:val="24"/>
                <w:lang w:val="en-GB"/>
              </w:rPr>
              <w:t>Oesophagus</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0.58</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Ovaries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0.037</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0.049</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0.13</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Pancreas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0.064</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0.13</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0.21</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Red marrow</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0.072</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0.086</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0.19</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0.37</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Salivary glands</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0.22</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0.27</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0.36</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0.49</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0.72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Skin</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0.043</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0.053</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Spleen</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0.069</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0.089</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0.26</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Testes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0.024</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0.032</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0.056</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0.095</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Thymus</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0.59</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Thyroid</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280</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450</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670</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1400</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2300</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Urinary bladder wall</w:t>
            </w:r>
          </w:p>
        </w:tc>
        <w:tc>
          <w:tcPr>
            <w:tcW w:w="83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0.45</w:t>
            </w:r>
          </w:p>
        </w:tc>
        <w:tc>
          <w:tcPr>
            <w:tcW w:w="69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0.58</w:t>
            </w:r>
          </w:p>
        </w:tc>
        <w:tc>
          <w:tcPr>
            <w:tcW w:w="76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0.89</w:t>
            </w:r>
          </w:p>
        </w:tc>
        <w:tc>
          <w:tcPr>
            <w:tcW w:w="625"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c>
          <w:tcPr>
            <w:tcW w:w="688"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1.6</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Uterus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0.042</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0.054</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0.09</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Remaining organs</w:t>
            </w:r>
          </w:p>
        </w:tc>
        <w:tc>
          <w:tcPr>
            <w:tcW w:w="833"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0.048</w:t>
            </w:r>
          </w:p>
        </w:tc>
        <w:tc>
          <w:tcPr>
            <w:tcW w:w="69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0.11</w:t>
            </w:r>
          </w:p>
        </w:tc>
        <w:tc>
          <w:tcPr>
            <w:tcW w:w="764"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0.17</w:t>
            </w:r>
          </w:p>
        </w:tc>
        <w:tc>
          <w:tcPr>
            <w:tcW w:w="625"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0.25</w:t>
            </w:r>
          </w:p>
        </w:tc>
        <w:tc>
          <w:tcPr>
            <w:tcW w:w="68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Effective dose (mSv/</w:t>
            </w:r>
            <w:proofErr w:type="spellStart"/>
            <w:r w:rsidRPr="00113FDB">
              <w:rPr>
                <w:b/>
                <w:bCs/>
                <w:color w:val="000000"/>
                <w:sz w:val="24"/>
                <w:szCs w:val="24"/>
                <w:lang w:val="en-GB" w:eastAsia="tr-TR"/>
              </w:rPr>
              <w:t>MBq</w:t>
            </w:r>
            <w:proofErr w:type="spellEnd"/>
            <w:r w:rsidRPr="00113FDB">
              <w:rPr>
                <w:b/>
                <w:bCs/>
                <w:color w:val="000000"/>
                <w:sz w:val="24"/>
                <w:szCs w:val="24"/>
                <w:lang w:val="en-GB" w:eastAsia="tr-TR"/>
              </w:rPr>
              <w:t>)</w:t>
            </w:r>
          </w:p>
        </w:tc>
        <w:tc>
          <w:tcPr>
            <w:tcW w:w="833"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14</w:t>
            </w:r>
          </w:p>
        </w:tc>
        <w:tc>
          <w:tcPr>
            <w:tcW w:w="695"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23</w:t>
            </w:r>
          </w:p>
        </w:tc>
        <w:tc>
          <w:tcPr>
            <w:tcW w:w="764"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34</w:t>
            </w:r>
          </w:p>
        </w:tc>
        <w:tc>
          <w:tcPr>
            <w:tcW w:w="625"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71</w:t>
            </w:r>
          </w:p>
        </w:tc>
        <w:tc>
          <w:tcPr>
            <w:tcW w:w="688"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110</w:t>
            </w:r>
          </w:p>
        </w:tc>
      </w:tr>
    </w:tbl>
    <w:p w:rsidR="006156F6" w:rsidRPr="00113FDB" w:rsidRDefault="006156F6" w:rsidP="006156F6">
      <w:pPr>
        <w:autoSpaceDE w:val="0"/>
        <w:autoSpaceDN w:val="0"/>
        <w:adjustRightInd w:val="0"/>
        <w:rPr>
          <w:b/>
          <w:bCs/>
          <w:sz w:val="24"/>
          <w:szCs w:val="24"/>
          <w:lang w:val="en-GB"/>
        </w:rPr>
      </w:pPr>
    </w:p>
    <w:p w:rsidR="006156F6" w:rsidRPr="00113FDB" w:rsidRDefault="006156F6" w:rsidP="006156F6">
      <w:pPr>
        <w:autoSpaceDE w:val="0"/>
        <w:autoSpaceDN w:val="0"/>
        <w:adjustRightInd w:val="0"/>
        <w:rPr>
          <w:b/>
          <w:bCs/>
          <w:sz w:val="24"/>
          <w:szCs w:val="24"/>
          <w:lang w:val="en-GB"/>
        </w:rPr>
      </w:pPr>
      <w:r w:rsidRPr="00113FDB">
        <w:rPr>
          <w:b/>
          <w:bCs/>
          <w:sz w:val="24"/>
          <w:szCs w:val="24"/>
          <w:lang w:val="en-GB"/>
        </w:rPr>
        <w:t>Thyroid medium uptake, oral administration</w:t>
      </w:r>
    </w:p>
    <w:p w:rsidR="006156F6" w:rsidRPr="00113FDB" w:rsidRDefault="006156F6" w:rsidP="006156F6">
      <w:pPr>
        <w:autoSpaceDE w:val="0"/>
        <w:autoSpaceDN w:val="0"/>
        <w:adjustRightInd w:val="0"/>
        <w:rPr>
          <w:b/>
          <w:bCs/>
          <w:sz w:val="24"/>
          <w:szCs w:val="24"/>
          <w:lang w:val="en-GB"/>
        </w:rPr>
      </w:pPr>
      <w:r w:rsidRPr="00113FDB">
        <w:rPr>
          <w:b/>
          <w:bCs/>
          <w:sz w:val="24"/>
          <w:szCs w:val="24"/>
          <w:lang w:val="en-GB"/>
        </w:rPr>
        <w:t xml:space="preserve"> </w:t>
      </w:r>
    </w:p>
    <w:tbl>
      <w:tblPr>
        <w:tblW w:w="5000" w:type="pct"/>
        <w:tblCellMar>
          <w:left w:w="70" w:type="dxa"/>
          <w:right w:w="70" w:type="dxa"/>
        </w:tblCellMar>
        <w:tblLook w:val="04A0" w:firstRow="1" w:lastRow="0" w:firstColumn="1" w:lastColumn="0" w:noHBand="0" w:noVBand="1"/>
      </w:tblPr>
      <w:tblGrid>
        <w:gridCol w:w="2684"/>
        <w:gridCol w:w="1600"/>
        <w:gridCol w:w="1335"/>
        <w:gridCol w:w="1468"/>
        <w:gridCol w:w="1200"/>
        <w:gridCol w:w="1331"/>
        <w:tblGridChange w:id="4">
          <w:tblGrid>
            <w:gridCol w:w="2684"/>
            <w:gridCol w:w="1600"/>
            <w:gridCol w:w="1335"/>
            <w:gridCol w:w="1468"/>
            <w:gridCol w:w="1200"/>
            <w:gridCol w:w="1331"/>
          </w:tblGrid>
        </w:tblGridChange>
      </w:tblGrid>
      <w:tr w:rsidR="006156F6" w:rsidRPr="00113FDB" w:rsidTr="00672BAE">
        <w:trPr>
          <w:trHeight w:val="20"/>
        </w:trPr>
        <w:tc>
          <w:tcPr>
            <w:tcW w:w="1395" w:type="pct"/>
            <w:tcBorders>
              <w:top w:val="single" w:sz="8" w:space="0" w:color="auto"/>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3605" w:type="pct"/>
            <w:gridSpan w:val="5"/>
            <w:tcBorders>
              <w:top w:val="single" w:sz="8" w:space="0" w:color="auto"/>
              <w:left w:val="nil"/>
              <w:bottom w:val="single" w:sz="8" w:space="0" w:color="auto"/>
              <w:right w:val="single" w:sz="8" w:space="0" w:color="auto"/>
            </w:tcBorders>
            <w:hideMark/>
          </w:tcPr>
          <w:p w:rsidR="006156F6" w:rsidRPr="00113FDB" w:rsidRDefault="006156F6" w:rsidP="00EA6162">
            <w:pPr>
              <w:jc w:val="center"/>
              <w:rPr>
                <w:color w:val="000000"/>
                <w:sz w:val="24"/>
                <w:szCs w:val="24"/>
                <w:lang w:val="en-GB" w:eastAsia="tr-TR"/>
              </w:rPr>
            </w:pPr>
            <w:r w:rsidRPr="00113FDB">
              <w:rPr>
                <w:b/>
                <w:bCs/>
                <w:sz w:val="24"/>
                <w:szCs w:val="24"/>
                <w:lang w:val="en-GB"/>
              </w:rPr>
              <w:t>Absorbed dose per unit activity administered (</w:t>
            </w:r>
            <w:proofErr w:type="spellStart"/>
            <w:r w:rsidRPr="00113FDB">
              <w:rPr>
                <w:b/>
                <w:bCs/>
                <w:sz w:val="24"/>
                <w:szCs w:val="24"/>
                <w:lang w:val="en-GB"/>
              </w:rPr>
              <w:t>mGy</w:t>
            </w:r>
            <w:proofErr w:type="spellEnd"/>
            <w:r w:rsidRPr="00113FDB">
              <w:rPr>
                <w:b/>
                <w:bCs/>
                <w:sz w:val="24"/>
                <w:szCs w:val="24"/>
                <w:lang w:val="en-GB"/>
              </w:rPr>
              <w:t>/</w:t>
            </w:r>
            <w:proofErr w:type="spellStart"/>
            <w:r w:rsidRPr="00113FDB">
              <w:rPr>
                <w:b/>
                <w:bCs/>
                <w:sz w:val="24"/>
                <w:szCs w:val="24"/>
                <w:lang w:val="en-GB"/>
              </w:rPr>
              <w:t>MBq</w:t>
            </w:r>
            <w:proofErr w:type="spellEnd"/>
            <w:r w:rsidRPr="00113FDB">
              <w:rPr>
                <w:b/>
                <w:bCs/>
                <w:sz w:val="24"/>
                <w:szCs w:val="24"/>
                <w:lang w:val="en-GB"/>
              </w:rPr>
              <w:t xml:space="preserve">) </w:t>
            </w:r>
          </w:p>
        </w:tc>
      </w:tr>
      <w:tr w:rsidR="006156F6" w:rsidRPr="00113FDB" w:rsidTr="00672BAE">
        <w:trPr>
          <w:trHeight w:val="20"/>
        </w:trPr>
        <w:tc>
          <w:tcPr>
            <w:tcW w:w="1395" w:type="pct"/>
            <w:tcBorders>
              <w:top w:val="single" w:sz="8" w:space="0" w:color="auto"/>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b/>
                <w:bCs/>
                <w:color w:val="000000"/>
                <w:sz w:val="24"/>
                <w:szCs w:val="24"/>
                <w:lang w:val="en-GB" w:eastAsia="tr-TR"/>
              </w:rPr>
              <w:t xml:space="preserve">Organ </w:t>
            </w:r>
          </w:p>
        </w:tc>
        <w:tc>
          <w:tcPr>
            <w:tcW w:w="832" w:type="pct"/>
            <w:tcBorders>
              <w:top w:val="single" w:sz="8" w:space="0" w:color="auto"/>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b/>
                <w:bCs/>
                <w:color w:val="000000"/>
                <w:sz w:val="24"/>
                <w:szCs w:val="24"/>
                <w:lang w:val="en-GB" w:eastAsia="tr-TR"/>
              </w:rPr>
              <w:t xml:space="preserve">Adult </w:t>
            </w:r>
          </w:p>
        </w:tc>
        <w:tc>
          <w:tcPr>
            <w:tcW w:w="694" w:type="pct"/>
            <w:tcBorders>
              <w:top w:val="single" w:sz="8" w:space="0" w:color="auto"/>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b/>
                <w:bCs/>
                <w:color w:val="000000"/>
                <w:sz w:val="24"/>
                <w:szCs w:val="24"/>
                <w:lang w:val="en-GB" w:eastAsia="tr-TR"/>
              </w:rPr>
              <w:t>15 years old</w:t>
            </w:r>
          </w:p>
        </w:tc>
        <w:tc>
          <w:tcPr>
            <w:tcW w:w="763" w:type="pct"/>
            <w:tcBorders>
              <w:top w:val="single" w:sz="8" w:space="0" w:color="auto"/>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b/>
                <w:bCs/>
                <w:color w:val="000000"/>
                <w:sz w:val="24"/>
                <w:szCs w:val="24"/>
                <w:lang w:val="en-GB" w:eastAsia="tr-TR"/>
              </w:rPr>
              <w:t>10 years old</w:t>
            </w:r>
          </w:p>
        </w:tc>
        <w:tc>
          <w:tcPr>
            <w:tcW w:w="624" w:type="pct"/>
            <w:tcBorders>
              <w:top w:val="single" w:sz="8" w:space="0" w:color="auto"/>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b/>
                <w:bCs/>
                <w:color w:val="000000"/>
                <w:sz w:val="24"/>
                <w:szCs w:val="24"/>
                <w:lang w:val="en-GB" w:eastAsia="tr-TR"/>
              </w:rPr>
              <w:t>5 years old</w:t>
            </w:r>
          </w:p>
        </w:tc>
        <w:tc>
          <w:tcPr>
            <w:tcW w:w="693" w:type="pct"/>
            <w:tcBorders>
              <w:top w:val="single" w:sz="8" w:space="0" w:color="auto"/>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b/>
                <w:bCs/>
                <w:color w:val="000000"/>
                <w:sz w:val="24"/>
                <w:szCs w:val="24"/>
                <w:lang w:val="en-GB" w:eastAsia="tr-TR"/>
              </w:rPr>
              <w:t>1 year old</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Adrenals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0.055</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0.074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0.13</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0.24</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Bone surfaces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0.19</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Brain</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0.24</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0.39</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Breast</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0.048</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0.063</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rPr>
              <w:t>0.13</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0.43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Gallbladder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0.046</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0.063</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0.21</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GI-tract</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rPr>
            </w:pPr>
            <w:r w:rsidRPr="00113FDB">
              <w:rPr>
                <w:rFonts w:ascii="Times New Roman" w:hAnsi="Times New Roman"/>
                <w:color w:val="000000"/>
                <w:sz w:val="24"/>
                <w:szCs w:val="24"/>
                <w:lang w:val="en-GB"/>
              </w:rPr>
              <w:t>Stomach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0.71</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0.95</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1.4</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2.4</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rPr>
            </w:pPr>
            <w:r w:rsidRPr="00113FDB">
              <w:rPr>
                <w:rFonts w:ascii="Times New Roman" w:hAnsi="Times New Roman"/>
                <w:color w:val="000000"/>
                <w:sz w:val="24"/>
                <w:szCs w:val="24"/>
                <w:lang w:val="en-GB"/>
              </w:rPr>
              <w:t xml:space="preserve">Small </w:t>
            </w:r>
            <w:r w:rsidRPr="00113FDB">
              <w:rPr>
                <w:rFonts w:ascii="Times New Roman" w:hAnsi="Times New Roman"/>
                <w:color w:val="000000"/>
                <w:sz w:val="24"/>
                <w:szCs w:val="24"/>
                <w:lang w:val="en-GB" w:eastAsia="tr-TR"/>
              </w:rPr>
              <w:t>intestine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0.032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0.043</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0.075</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0.11</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Colon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0.34</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rPr>
            </w:pPr>
            <w:r w:rsidRPr="00113FDB">
              <w:rPr>
                <w:rFonts w:ascii="Times New Roman" w:hAnsi="Times New Roman"/>
                <w:color w:val="000000"/>
                <w:sz w:val="24"/>
                <w:szCs w:val="24"/>
                <w:lang w:val="en-GB" w:eastAsia="tr-TR"/>
              </w:rPr>
              <w:t>(</w:t>
            </w:r>
            <w:r w:rsidRPr="00113FDB">
              <w:rPr>
                <w:rFonts w:ascii="Times New Roman" w:hAnsi="Times New Roman"/>
                <w:color w:val="000000"/>
                <w:sz w:val="24"/>
                <w:szCs w:val="24"/>
                <w:lang w:val="en-GB"/>
              </w:rPr>
              <w:t>ULI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0.15</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0.28</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rPr>
            </w:pPr>
            <w:r w:rsidRPr="00113FDB">
              <w:rPr>
                <w:rFonts w:ascii="Times New Roman" w:hAnsi="Times New Roman"/>
                <w:color w:val="000000"/>
                <w:sz w:val="24"/>
                <w:szCs w:val="24"/>
                <w:lang w:val="en-GB" w:eastAsia="tr-TR"/>
              </w:rPr>
              <w:t>(</w:t>
            </w:r>
            <w:r w:rsidRPr="00113FDB">
              <w:rPr>
                <w:rFonts w:ascii="Times New Roman" w:hAnsi="Times New Roman"/>
                <w:color w:val="000000"/>
                <w:sz w:val="24"/>
                <w:szCs w:val="24"/>
                <w:lang w:val="en-GB"/>
              </w:rPr>
              <w:t>LLI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0.17</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0.22</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0.4</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0.76</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Heart wall</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0.25</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0.45</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rPr>
              <w:t>Kidneys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0.27</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0.34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0.53</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0.93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2.1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Liver</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0.18</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0.31</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0.62</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1.7</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Lungs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0.13</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0.16</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0.28</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Muscles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0.24</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0.38</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0.66</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pStyle w:val="Default"/>
              <w:rPr>
                <w:lang w:val="en-GB"/>
              </w:rPr>
            </w:pPr>
            <w:r w:rsidRPr="00113FDB">
              <w:rPr>
                <w:lang w:val="en-GB"/>
              </w:rPr>
              <w:t xml:space="preserve">Oesophagus </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0.22</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0.45</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0.87</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1.7</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 xml:space="preserve">Ovaries </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0.036</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0.049</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0.082</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0.15</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rPr>
              <w:t>0.</w:t>
            </w:r>
            <w:r w:rsidRPr="00113FDB">
              <w:rPr>
                <w:color w:val="000000"/>
                <w:sz w:val="24"/>
                <w:szCs w:val="24"/>
                <w:lang w:val="en-GB" w:eastAsia="tr-TR"/>
              </w:rPr>
              <w:t>33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Pancreas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0.066</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0.084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0.14</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0.24</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0.49</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Red marrow</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0.095</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0.11</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0.15</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0.24</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0.48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pStyle w:val="Default"/>
              <w:rPr>
                <w:lang w:val="en-GB"/>
              </w:rPr>
            </w:pPr>
            <w:r w:rsidRPr="00113FDB">
              <w:rPr>
                <w:lang w:val="en-GB"/>
              </w:rPr>
              <w:t xml:space="preserve">Salivary glands </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0.24</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0.32</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0.64</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pStyle w:val="Default"/>
              <w:rPr>
                <w:lang w:val="en-GB"/>
              </w:rPr>
            </w:pPr>
            <w:r w:rsidRPr="00113FDB">
              <w:rPr>
                <w:lang w:val="en-GB"/>
              </w:rPr>
              <w:t>Skin</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0.072</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0.16</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 xml:space="preserve">Spleen </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0.023</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0.096</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0.16</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0.29</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0.68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Testes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0.023</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0.032</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0.056</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0.10</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0.23</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Thymus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0.22</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0.45</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0.87</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1.7</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Thyroid</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430</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690</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1000</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2200</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3600</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rsidP="00EA6162">
            <w:pPr>
              <w:pStyle w:val="Default"/>
              <w:rPr>
                <w:lang w:val="en-GB"/>
              </w:rPr>
            </w:pPr>
            <w:r w:rsidRPr="00113FDB">
              <w:rPr>
                <w:lang w:val="en-GB"/>
              </w:rPr>
              <w:t xml:space="preserve">Urinary bladder wall </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0.39</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0.51</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0.79</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1.1</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1.5</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rPr>
              <w:t>Uterus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0.040</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0.053</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0.089</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0.15</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0.32</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rPr>
            </w:pPr>
            <w:r w:rsidRPr="00113FDB">
              <w:rPr>
                <w:color w:val="000000"/>
                <w:sz w:val="24"/>
                <w:szCs w:val="24"/>
                <w:lang w:val="en-GB" w:eastAsia="tr-TR"/>
              </w:rPr>
              <w:t>Remaining organs</w:t>
            </w:r>
          </w:p>
        </w:tc>
        <w:tc>
          <w:tcPr>
            <w:tcW w:w="832"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rPr>
              <w:t>0.11</w:t>
            </w:r>
          </w:p>
        </w:tc>
        <w:tc>
          <w:tcPr>
            <w:tcW w:w="69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0.15</w:t>
            </w:r>
          </w:p>
        </w:tc>
        <w:tc>
          <w:tcPr>
            <w:tcW w:w="76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0.23</w:t>
            </w:r>
          </w:p>
        </w:tc>
        <w:tc>
          <w:tcPr>
            <w:tcW w:w="624"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0.33</w:t>
            </w:r>
          </w:p>
        </w:tc>
        <w:tc>
          <w:tcPr>
            <w:tcW w:w="693" w:type="pct"/>
            <w:tcBorders>
              <w:top w:val="nil"/>
              <w:left w:val="nil"/>
              <w:bottom w:val="single" w:sz="8" w:space="0" w:color="auto"/>
              <w:right w:val="single" w:sz="8" w:space="0" w:color="auto"/>
            </w:tcBorders>
            <w:hideMark/>
          </w:tcPr>
          <w:p w:rsidR="006156F6" w:rsidRPr="00113FDB" w:rsidRDefault="006156F6" w:rsidP="00EA6162">
            <w:pPr>
              <w:rPr>
                <w:color w:val="000000"/>
                <w:sz w:val="24"/>
                <w:szCs w:val="24"/>
                <w:lang w:val="en-GB"/>
              </w:rPr>
            </w:pPr>
            <w:r w:rsidRPr="00113FDB">
              <w:rPr>
                <w:color w:val="000000"/>
                <w:sz w:val="24"/>
                <w:szCs w:val="24"/>
                <w:lang w:val="en-GB" w:eastAsia="tr-TR"/>
              </w:rPr>
              <w:t>0.58</w:t>
            </w:r>
          </w:p>
        </w:tc>
      </w:tr>
      <w:tr w:rsidR="006156F6" w:rsidRPr="00113FDB" w:rsidTr="00672BAE">
        <w:trPr>
          <w:trHeight w:val="20"/>
        </w:trPr>
        <w:tc>
          <w:tcPr>
            <w:tcW w:w="1395" w:type="pct"/>
            <w:tcBorders>
              <w:top w:val="nil"/>
              <w:left w:val="single" w:sz="8" w:space="0" w:color="auto"/>
              <w:bottom w:val="single" w:sz="8" w:space="0" w:color="auto"/>
              <w:right w:val="single" w:sz="8" w:space="0" w:color="auto"/>
            </w:tcBorders>
            <w:hideMark/>
          </w:tcPr>
          <w:p w:rsidR="006156F6" w:rsidRPr="00113FDB" w:rsidRDefault="006156F6">
            <w:pPr>
              <w:rPr>
                <w:b/>
                <w:color w:val="000000"/>
                <w:sz w:val="24"/>
                <w:szCs w:val="24"/>
                <w:lang w:val="en-GB"/>
              </w:rPr>
            </w:pPr>
            <w:r w:rsidRPr="00113FDB">
              <w:rPr>
                <w:b/>
                <w:color w:val="000000"/>
                <w:sz w:val="24"/>
                <w:szCs w:val="24"/>
                <w:lang w:val="en-GB"/>
              </w:rPr>
              <w:t>Effective dose (mSv/</w:t>
            </w:r>
            <w:proofErr w:type="spellStart"/>
            <w:r w:rsidRPr="00113FDB">
              <w:rPr>
                <w:b/>
                <w:color w:val="000000"/>
                <w:sz w:val="24"/>
                <w:szCs w:val="24"/>
                <w:lang w:val="en-GB"/>
              </w:rPr>
              <w:t>MBq</w:t>
            </w:r>
            <w:proofErr w:type="spellEnd"/>
            <w:r w:rsidRPr="00113FDB">
              <w:rPr>
                <w:b/>
                <w:color w:val="000000"/>
                <w:sz w:val="24"/>
                <w:szCs w:val="24"/>
                <w:lang w:val="en-GB"/>
              </w:rPr>
              <w:t>)</w:t>
            </w:r>
          </w:p>
        </w:tc>
        <w:tc>
          <w:tcPr>
            <w:tcW w:w="832" w:type="pct"/>
            <w:tcBorders>
              <w:top w:val="nil"/>
              <w:left w:val="nil"/>
              <w:bottom w:val="single" w:sz="8" w:space="0" w:color="auto"/>
              <w:right w:val="single" w:sz="8" w:space="0" w:color="auto"/>
            </w:tcBorders>
            <w:hideMark/>
          </w:tcPr>
          <w:p w:rsidR="006156F6" w:rsidRPr="00113FDB" w:rsidRDefault="006156F6" w:rsidP="00EA6162">
            <w:pPr>
              <w:rPr>
                <w:b/>
                <w:color w:val="000000"/>
                <w:sz w:val="24"/>
                <w:szCs w:val="24"/>
                <w:lang w:val="en-GB"/>
              </w:rPr>
            </w:pPr>
            <w:r w:rsidRPr="00113FDB">
              <w:rPr>
                <w:b/>
                <w:bCs/>
                <w:color w:val="000000"/>
                <w:sz w:val="24"/>
                <w:szCs w:val="24"/>
                <w:lang w:val="en-GB" w:eastAsia="tr-TR"/>
              </w:rPr>
              <w:t>22</w:t>
            </w:r>
          </w:p>
        </w:tc>
        <w:tc>
          <w:tcPr>
            <w:tcW w:w="694" w:type="pct"/>
            <w:tcBorders>
              <w:top w:val="nil"/>
              <w:left w:val="nil"/>
              <w:bottom w:val="single" w:sz="8" w:space="0" w:color="auto"/>
              <w:right w:val="single" w:sz="8" w:space="0" w:color="auto"/>
            </w:tcBorders>
            <w:hideMark/>
          </w:tcPr>
          <w:p w:rsidR="006156F6" w:rsidRPr="00113FDB" w:rsidRDefault="006156F6" w:rsidP="00EA6162">
            <w:pPr>
              <w:rPr>
                <w:b/>
                <w:color w:val="000000"/>
                <w:sz w:val="24"/>
                <w:szCs w:val="24"/>
                <w:lang w:val="en-GB"/>
              </w:rPr>
            </w:pPr>
            <w:r w:rsidRPr="00113FDB">
              <w:rPr>
                <w:b/>
                <w:bCs/>
                <w:color w:val="000000"/>
                <w:sz w:val="24"/>
                <w:szCs w:val="24"/>
                <w:lang w:val="en-GB" w:eastAsia="tr-TR"/>
              </w:rPr>
              <w:t>35</w:t>
            </w:r>
          </w:p>
        </w:tc>
        <w:tc>
          <w:tcPr>
            <w:tcW w:w="763" w:type="pct"/>
            <w:tcBorders>
              <w:top w:val="nil"/>
              <w:left w:val="nil"/>
              <w:bottom w:val="single" w:sz="8" w:space="0" w:color="auto"/>
              <w:right w:val="single" w:sz="8" w:space="0" w:color="auto"/>
            </w:tcBorders>
            <w:hideMark/>
          </w:tcPr>
          <w:p w:rsidR="006156F6" w:rsidRPr="00113FDB" w:rsidRDefault="006156F6" w:rsidP="00EA6162">
            <w:pPr>
              <w:rPr>
                <w:b/>
                <w:color w:val="000000"/>
                <w:sz w:val="24"/>
                <w:szCs w:val="24"/>
                <w:lang w:val="en-GB"/>
              </w:rPr>
            </w:pPr>
            <w:r w:rsidRPr="00113FDB">
              <w:rPr>
                <w:b/>
                <w:bCs/>
                <w:color w:val="000000"/>
                <w:sz w:val="24"/>
                <w:szCs w:val="24"/>
                <w:lang w:val="en-GB" w:eastAsia="tr-TR"/>
              </w:rPr>
              <w:t>53</w:t>
            </w:r>
          </w:p>
        </w:tc>
        <w:tc>
          <w:tcPr>
            <w:tcW w:w="624" w:type="pct"/>
            <w:tcBorders>
              <w:top w:val="nil"/>
              <w:left w:val="nil"/>
              <w:bottom w:val="single" w:sz="8" w:space="0" w:color="auto"/>
              <w:right w:val="single" w:sz="8" w:space="0" w:color="auto"/>
            </w:tcBorders>
            <w:hideMark/>
          </w:tcPr>
          <w:p w:rsidR="006156F6" w:rsidRPr="00113FDB" w:rsidRDefault="006156F6" w:rsidP="00EA6162">
            <w:pPr>
              <w:rPr>
                <w:b/>
                <w:color w:val="000000"/>
                <w:sz w:val="24"/>
                <w:szCs w:val="24"/>
                <w:lang w:val="en-GB"/>
              </w:rPr>
            </w:pPr>
            <w:r w:rsidRPr="00113FDB">
              <w:rPr>
                <w:b/>
                <w:bCs/>
                <w:color w:val="000000"/>
                <w:sz w:val="24"/>
                <w:szCs w:val="24"/>
                <w:lang w:val="en-GB" w:eastAsia="tr-TR"/>
              </w:rPr>
              <w:t>110</w:t>
            </w:r>
          </w:p>
        </w:tc>
        <w:tc>
          <w:tcPr>
            <w:tcW w:w="693" w:type="pct"/>
            <w:tcBorders>
              <w:top w:val="nil"/>
              <w:left w:val="nil"/>
              <w:bottom w:val="single" w:sz="8" w:space="0" w:color="auto"/>
              <w:right w:val="single" w:sz="8" w:space="0" w:color="auto"/>
            </w:tcBorders>
            <w:hideMark/>
          </w:tcPr>
          <w:p w:rsidR="006156F6" w:rsidRPr="00113FDB" w:rsidRDefault="006156F6" w:rsidP="00EA6162">
            <w:pPr>
              <w:rPr>
                <w:b/>
                <w:color w:val="000000"/>
                <w:sz w:val="24"/>
                <w:szCs w:val="24"/>
                <w:lang w:val="en-GB"/>
              </w:rPr>
            </w:pPr>
            <w:r w:rsidRPr="00113FDB">
              <w:rPr>
                <w:b/>
                <w:bCs/>
                <w:color w:val="000000"/>
                <w:sz w:val="24"/>
                <w:szCs w:val="24"/>
                <w:lang w:val="en-GB" w:eastAsia="tr-TR"/>
              </w:rPr>
              <w:t>180</w:t>
            </w:r>
          </w:p>
        </w:tc>
      </w:tr>
    </w:tbl>
    <w:p w:rsidR="006156F6" w:rsidRPr="00113FDB" w:rsidRDefault="006156F6" w:rsidP="006156F6">
      <w:pPr>
        <w:autoSpaceDE w:val="0"/>
        <w:autoSpaceDN w:val="0"/>
        <w:adjustRightInd w:val="0"/>
        <w:rPr>
          <w:sz w:val="24"/>
          <w:szCs w:val="24"/>
          <w:lang w:val="en-GB"/>
        </w:rPr>
      </w:pPr>
    </w:p>
    <w:p w:rsidR="006156F6" w:rsidRPr="00113FDB" w:rsidRDefault="006156F6" w:rsidP="006156F6">
      <w:pPr>
        <w:autoSpaceDE w:val="0"/>
        <w:autoSpaceDN w:val="0"/>
        <w:adjustRightInd w:val="0"/>
        <w:rPr>
          <w:sz w:val="24"/>
          <w:szCs w:val="24"/>
          <w:lang w:val="en-GB"/>
        </w:rPr>
      </w:pPr>
    </w:p>
    <w:p w:rsidR="006156F6" w:rsidRPr="00113FDB" w:rsidRDefault="006156F6" w:rsidP="006156F6">
      <w:pPr>
        <w:autoSpaceDE w:val="0"/>
        <w:autoSpaceDN w:val="0"/>
        <w:adjustRightInd w:val="0"/>
        <w:rPr>
          <w:sz w:val="24"/>
          <w:szCs w:val="24"/>
          <w:lang w:val="en-GB"/>
        </w:rPr>
      </w:pPr>
      <w:r w:rsidRPr="00113FDB">
        <w:rPr>
          <w:b/>
          <w:bCs/>
          <w:sz w:val="24"/>
          <w:szCs w:val="24"/>
          <w:lang w:val="en-GB"/>
        </w:rPr>
        <w:t>Thyroid high uptake, oral administration</w:t>
      </w:r>
    </w:p>
    <w:p w:rsidR="006156F6" w:rsidRPr="00113FDB" w:rsidRDefault="006156F6" w:rsidP="006156F6">
      <w:pPr>
        <w:autoSpaceDE w:val="0"/>
        <w:autoSpaceDN w:val="0"/>
        <w:adjustRightInd w:val="0"/>
        <w:rPr>
          <w:sz w:val="24"/>
          <w:szCs w:val="24"/>
          <w:lang w:val="en-GB"/>
        </w:rPr>
      </w:pPr>
    </w:p>
    <w:tbl>
      <w:tblPr>
        <w:tblW w:w="5000" w:type="pct"/>
        <w:tblCellMar>
          <w:left w:w="70" w:type="dxa"/>
          <w:right w:w="70" w:type="dxa"/>
        </w:tblCellMar>
        <w:tblLook w:val="04A0" w:firstRow="1" w:lastRow="0" w:firstColumn="1" w:lastColumn="0" w:noHBand="0" w:noVBand="1"/>
      </w:tblPr>
      <w:tblGrid>
        <w:gridCol w:w="2718"/>
        <w:gridCol w:w="1593"/>
        <w:gridCol w:w="1327"/>
        <w:gridCol w:w="1460"/>
        <w:gridCol w:w="1195"/>
        <w:gridCol w:w="1325"/>
        <w:tblGridChange w:id="5">
          <w:tblGrid>
            <w:gridCol w:w="2718"/>
            <w:gridCol w:w="1593"/>
            <w:gridCol w:w="1327"/>
            <w:gridCol w:w="1460"/>
            <w:gridCol w:w="1195"/>
            <w:gridCol w:w="1325"/>
          </w:tblGrid>
        </w:tblGridChange>
      </w:tblGrid>
      <w:tr w:rsidR="006156F6" w:rsidRPr="00113FDB" w:rsidTr="00672BAE">
        <w:trPr>
          <w:trHeight w:val="20"/>
        </w:trPr>
        <w:tc>
          <w:tcPr>
            <w:tcW w:w="1413" w:type="pct"/>
            <w:tcBorders>
              <w:top w:val="single" w:sz="8" w:space="0" w:color="auto"/>
              <w:left w:val="single" w:sz="8" w:space="0" w:color="auto"/>
              <w:bottom w:val="single" w:sz="8" w:space="0" w:color="auto"/>
              <w:right w:val="single" w:sz="8" w:space="0" w:color="auto"/>
            </w:tcBorders>
            <w:vAlign w:val="center"/>
            <w:hideMark/>
          </w:tcPr>
          <w:p w:rsidR="006156F6" w:rsidRPr="00113FDB" w:rsidRDefault="006156F6">
            <w:pPr>
              <w:rPr>
                <w:b/>
                <w:bCs/>
                <w:color w:val="000000"/>
                <w:sz w:val="24"/>
                <w:szCs w:val="24"/>
                <w:lang w:val="en-GB" w:eastAsia="tr-TR"/>
              </w:rPr>
            </w:pPr>
          </w:p>
        </w:tc>
        <w:tc>
          <w:tcPr>
            <w:tcW w:w="3587" w:type="pct"/>
            <w:gridSpan w:val="5"/>
            <w:tcBorders>
              <w:top w:val="single" w:sz="8" w:space="0" w:color="auto"/>
              <w:left w:val="nil"/>
              <w:bottom w:val="single" w:sz="8" w:space="0" w:color="auto"/>
              <w:right w:val="single" w:sz="8" w:space="0" w:color="auto"/>
            </w:tcBorders>
            <w:vAlign w:val="center"/>
            <w:hideMark/>
          </w:tcPr>
          <w:p w:rsidR="006156F6" w:rsidRPr="00113FDB" w:rsidRDefault="006156F6" w:rsidP="00EA6162">
            <w:pPr>
              <w:pStyle w:val="Default"/>
              <w:rPr>
                <w:b/>
                <w:bCs/>
                <w:lang w:val="en-GB" w:eastAsia="tr-TR"/>
              </w:rPr>
            </w:pPr>
            <w:r w:rsidRPr="00113FDB">
              <w:rPr>
                <w:b/>
                <w:bCs/>
                <w:lang w:val="en-GB"/>
              </w:rPr>
              <w:t>Absorbed dose per unit activity administered (</w:t>
            </w:r>
            <w:proofErr w:type="spellStart"/>
            <w:r w:rsidRPr="00113FDB">
              <w:rPr>
                <w:b/>
                <w:bCs/>
                <w:lang w:val="en-GB"/>
              </w:rPr>
              <w:t>mGy</w:t>
            </w:r>
            <w:proofErr w:type="spellEnd"/>
            <w:r w:rsidRPr="00113FDB">
              <w:rPr>
                <w:b/>
                <w:bCs/>
                <w:lang w:val="en-GB"/>
              </w:rPr>
              <w:t>/</w:t>
            </w:r>
            <w:proofErr w:type="spellStart"/>
            <w:r w:rsidRPr="00113FDB">
              <w:rPr>
                <w:b/>
                <w:bCs/>
                <w:lang w:val="en-GB"/>
              </w:rPr>
              <w:t>MBq</w:t>
            </w:r>
            <w:proofErr w:type="spellEnd"/>
            <w:r w:rsidRPr="00113FDB">
              <w:rPr>
                <w:b/>
                <w:bCs/>
                <w:lang w:val="en-GB"/>
              </w:rPr>
              <w:t>)</w:t>
            </w:r>
          </w:p>
        </w:tc>
      </w:tr>
      <w:tr w:rsidR="006156F6" w:rsidRPr="00113FDB" w:rsidTr="00672BAE">
        <w:trPr>
          <w:trHeight w:val="20"/>
        </w:trPr>
        <w:tc>
          <w:tcPr>
            <w:tcW w:w="1413" w:type="pct"/>
            <w:tcBorders>
              <w:top w:val="single" w:sz="8" w:space="0" w:color="auto"/>
              <w:left w:val="single" w:sz="8" w:space="0" w:color="auto"/>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 xml:space="preserve">Organ </w:t>
            </w:r>
          </w:p>
        </w:tc>
        <w:tc>
          <w:tcPr>
            <w:tcW w:w="828" w:type="pct"/>
            <w:tcBorders>
              <w:top w:val="single" w:sz="8" w:space="0" w:color="auto"/>
              <w:left w:val="nil"/>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 xml:space="preserve">Adult </w:t>
            </w:r>
          </w:p>
        </w:tc>
        <w:tc>
          <w:tcPr>
            <w:tcW w:w="690" w:type="pct"/>
            <w:tcBorders>
              <w:top w:val="single" w:sz="8" w:space="0" w:color="auto"/>
              <w:left w:val="nil"/>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15 years old</w:t>
            </w:r>
          </w:p>
        </w:tc>
        <w:tc>
          <w:tcPr>
            <w:tcW w:w="759" w:type="pct"/>
            <w:tcBorders>
              <w:top w:val="single" w:sz="8" w:space="0" w:color="auto"/>
              <w:left w:val="nil"/>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10 years old</w:t>
            </w:r>
          </w:p>
        </w:tc>
        <w:tc>
          <w:tcPr>
            <w:tcW w:w="621" w:type="pct"/>
            <w:tcBorders>
              <w:top w:val="single" w:sz="8" w:space="0" w:color="auto"/>
              <w:left w:val="nil"/>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5 years old</w:t>
            </w:r>
          </w:p>
        </w:tc>
        <w:tc>
          <w:tcPr>
            <w:tcW w:w="690" w:type="pct"/>
            <w:tcBorders>
              <w:top w:val="single" w:sz="8" w:space="0" w:color="auto"/>
              <w:left w:val="nil"/>
              <w:bottom w:val="single" w:sz="8" w:space="0" w:color="auto"/>
              <w:right w:val="single" w:sz="8" w:space="0" w:color="auto"/>
            </w:tcBorders>
            <w:hideMark/>
          </w:tcPr>
          <w:p w:rsidR="006156F6" w:rsidRPr="00113FDB" w:rsidRDefault="006156F6">
            <w:pPr>
              <w:rPr>
                <w:b/>
                <w:bCs/>
                <w:color w:val="000000"/>
                <w:sz w:val="24"/>
                <w:szCs w:val="24"/>
                <w:lang w:val="en-GB"/>
              </w:rPr>
            </w:pPr>
            <w:r w:rsidRPr="00113FDB">
              <w:rPr>
                <w:b/>
                <w:bCs/>
                <w:color w:val="000000"/>
                <w:sz w:val="24"/>
                <w:szCs w:val="24"/>
                <w:lang w:val="en-GB"/>
              </w:rPr>
              <w:t>1 year old</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Adrenals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0.059</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0.082</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0.66</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Bone surfaces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0.16</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0.18</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0.24</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0.37</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0.65</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pPr>
              <w:rPr>
                <w:color w:val="000000"/>
                <w:sz w:val="24"/>
                <w:szCs w:val="24"/>
                <w:lang w:val="en-GB" w:eastAsia="tr-TR"/>
              </w:rPr>
            </w:pPr>
            <w:r w:rsidRPr="00113FDB">
              <w:rPr>
                <w:color w:val="000000"/>
                <w:sz w:val="24"/>
                <w:szCs w:val="24"/>
                <w:lang w:val="en-GB" w:eastAsia="tr-TR"/>
              </w:rPr>
              <w:t>Brain</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0.17</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0.18</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0.23</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0.30</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0.49</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Breast</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0.077</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0.17</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0.54</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pPr>
              <w:rPr>
                <w:color w:val="000000"/>
                <w:sz w:val="24"/>
                <w:szCs w:val="24"/>
                <w:lang w:val="en-GB" w:eastAsia="tr-TR"/>
              </w:rPr>
            </w:pPr>
            <w:r w:rsidRPr="00113FDB">
              <w:rPr>
                <w:color w:val="000000"/>
                <w:sz w:val="24"/>
                <w:szCs w:val="24"/>
                <w:lang w:val="en-GB" w:eastAsia="tr-TR"/>
              </w:rPr>
              <w:t>Gallbladder wall</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0.049</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0.068</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0.24</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0.54</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GI-tract</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Stomach wall</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0.66</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0.88</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1.3</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4.7</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Small intestine wall</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0.043</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0.077</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0.26</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Colon wall</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0.14</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0.35</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0.68</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1.6</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(ULI wall</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0.16</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1.4)</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pStyle w:val="TableParagraph"/>
              <w:ind w:left="226"/>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(LLI wall</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0.16</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0.22</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0.42</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0.81</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2.0)</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TableParagraph"/>
              <w:rPr>
                <w:rFonts w:ascii="Times New Roman" w:hAnsi="Times New Roman"/>
                <w:color w:val="000000"/>
                <w:sz w:val="24"/>
                <w:szCs w:val="24"/>
                <w:lang w:val="en-GB" w:eastAsia="tr-TR"/>
              </w:rPr>
            </w:pPr>
            <w:r w:rsidRPr="00113FDB">
              <w:rPr>
                <w:rFonts w:ascii="Times New Roman" w:hAnsi="Times New Roman"/>
                <w:color w:val="000000"/>
                <w:sz w:val="24"/>
                <w:szCs w:val="24"/>
                <w:lang w:val="en-GB" w:eastAsia="tr-TR"/>
              </w:rPr>
              <w:t>Heart wall</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0.12</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0.16</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0.30</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0.55</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Kidneys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0.27</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0.35</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0.55</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1.0</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2.4</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Liver</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0.14</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0.22</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0.39</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0.79</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2.2</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Lungs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0.35</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0.61</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1.3</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Default"/>
              <w:rPr>
                <w:lang w:val="en-GB"/>
              </w:rPr>
            </w:pPr>
            <w:r w:rsidRPr="00113FDB">
              <w:rPr>
                <w:lang w:val="en-GB"/>
              </w:rPr>
              <w:t xml:space="preserve">Muscles </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0.15</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0.31</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0.49</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0.86</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Default"/>
              <w:rPr>
                <w:lang w:val="en-GB"/>
              </w:rPr>
            </w:pPr>
            <w:r w:rsidRPr="00113FDB">
              <w:rPr>
                <w:lang w:val="en-GB"/>
              </w:rPr>
              <w:t xml:space="preserve">Oesophagus </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0.28</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0.59</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2.3</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 xml:space="preserve">Ovaries </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0.035</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0.049</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0.084</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0.16</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0.37</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Pancreas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0.068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0.088</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0.27</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0.57</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Red marrow</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0.14</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0.19</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0.29</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0.59</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Default"/>
              <w:rPr>
                <w:lang w:val="en-GB"/>
              </w:rPr>
            </w:pPr>
            <w:r w:rsidRPr="00113FDB">
              <w:rPr>
                <w:lang w:val="en-GB"/>
              </w:rPr>
              <w:t>Salivary glands</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0.16</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0.27</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0.37</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0.55</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pPr>
              <w:rPr>
                <w:color w:val="000000"/>
                <w:sz w:val="24"/>
                <w:szCs w:val="24"/>
                <w:lang w:val="en-GB" w:eastAsia="tr-TR"/>
              </w:rPr>
            </w:pPr>
            <w:r w:rsidRPr="00113FDB">
              <w:rPr>
                <w:color w:val="000000"/>
                <w:sz w:val="24"/>
                <w:szCs w:val="24"/>
                <w:lang w:val="en-GB" w:eastAsia="tr-TR"/>
              </w:rPr>
              <w:t>Skin</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0.071</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0.087</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0.13</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0.41</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 xml:space="preserve">Spleen </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0.075</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0.10</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0.18</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0.33</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0.8</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Testes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0.022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0.031</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0.057</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0.11</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0.27</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Default"/>
              <w:rPr>
                <w:lang w:val="en-GB"/>
              </w:rPr>
            </w:pPr>
            <w:r w:rsidRPr="00113FDB">
              <w:rPr>
                <w:lang w:val="en-GB"/>
              </w:rPr>
              <w:t xml:space="preserve">Thymus </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0.19</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0.28</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0.59</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1.2</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2.3</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Thyroid</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580</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940</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1400</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3000</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4900</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vAlign w:val="center"/>
            <w:hideMark/>
          </w:tcPr>
          <w:p w:rsidR="006156F6" w:rsidRPr="00113FDB" w:rsidRDefault="006156F6" w:rsidP="00EA6162">
            <w:pPr>
              <w:pStyle w:val="Default"/>
              <w:rPr>
                <w:lang w:val="en-GB"/>
              </w:rPr>
            </w:pPr>
            <w:r w:rsidRPr="00113FDB">
              <w:rPr>
                <w:lang w:val="en-GB"/>
              </w:rPr>
              <w:t xml:space="preserve">Urinary bladder wall </w:t>
            </w:r>
          </w:p>
        </w:tc>
        <w:tc>
          <w:tcPr>
            <w:tcW w:w="828"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0.34</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0.44</w:t>
            </w:r>
          </w:p>
        </w:tc>
        <w:tc>
          <w:tcPr>
            <w:tcW w:w="759"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0.68</w:t>
            </w:r>
          </w:p>
        </w:tc>
        <w:tc>
          <w:tcPr>
            <w:tcW w:w="621"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0.95</w:t>
            </w:r>
          </w:p>
        </w:tc>
        <w:tc>
          <w:tcPr>
            <w:tcW w:w="690" w:type="pct"/>
            <w:tcBorders>
              <w:top w:val="nil"/>
              <w:left w:val="nil"/>
              <w:bottom w:val="single" w:sz="8" w:space="0" w:color="auto"/>
              <w:right w:val="single" w:sz="8" w:space="0" w:color="auto"/>
            </w:tcBorders>
            <w:vAlign w:val="center"/>
            <w:hideMark/>
          </w:tcPr>
          <w:p w:rsidR="006156F6" w:rsidRPr="00113FDB" w:rsidRDefault="006156F6" w:rsidP="00EA6162">
            <w:pPr>
              <w:rPr>
                <w:color w:val="000000"/>
                <w:sz w:val="24"/>
                <w:szCs w:val="24"/>
                <w:lang w:val="en-GB" w:eastAsia="tr-TR"/>
              </w:rPr>
            </w:pPr>
            <w:r w:rsidRPr="00113FDB">
              <w:rPr>
                <w:color w:val="000000"/>
                <w:sz w:val="24"/>
                <w:szCs w:val="24"/>
                <w:lang w:val="en-GB" w:eastAsia="tr-TR"/>
              </w:rPr>
              <w:t>1.3</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Uterus</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0.038</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0.051</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0.089</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0.16</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0.36</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rsidP="00EA6162">
            <w:pPr>
              <w:rPr>
                <w:sz w:val="24"/>
                <w:szCs w:val="24"/>
                <w:lang w:val="en-GB"/>
              </w:rPr>
            </w:pPr>
            <w:r w:rsidRPr="00113FDB">
              <w:rPr>
                <w:sz w:val="24"/>
                <w:szCs w:val="24"/>
                <w:lang w:val="en-GB"/>
              </w:rPr>
              <w:t xml:space="preserve">Remaining organs </w:t>
            </w:r>
          </w:p>
        </w:tc>
        <w:tc>
          <w:tcPr>
            <w:tcW w:w="828"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0.15</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0.19</w:t>
            </w:r>
          </w:p>
        </w:tc>
        <w:tc>
          <w:tcPr>
            <w:tcW w:w="759"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0.29</w:t>
            </w:r>
          </w:p>
        </w:tc>
        <w:tc>
          <w:tcPr>
            <w:tcW w:w="621"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0.42</w:t>
            </w:r>
          </w:p>
        </w:tc>
        <w:tc>
          <w:tcPr>
            <w:tcW w:w="690" w:type="pct"/>
            <w:tcBorders>
              <w:top w:val="nil"/>
              <w:left w:val="nil"/>
              <w:bottom w:val="single" w:sz="8" w:space="0" w:color="auto"/>
              <w:right w:val="single" w:sz="8" w:space="0" w:color="auto"/>
            </w:tcBorders>
            <w:hideMark/>
          </w:tcPr>
          <w:p w:rsidR="006156F6" w:rsidRPr="00113FDB" w:rsidRDefault="006156F6">
            <w:pPr>
              <w:rPr>
                <w:color w:val="000000"/>
                <w:sz w:val="24"/>
                <w:szCs w:val="24"/>
                <w:lang w:val="en-GB" w:eastAsia="tr-TR"/>
              </w:rPr>
            </w:pPr>
            <w:r w:rsidRPr="00113FDB">
              <w:rPr>
                <w:color w:val="000000"/>
                <w:sz w:val="24"/>
                <w:szCs w:val="24"/>
                <w:lang w:val="en-GB" w:eastAsia="tr-TR"/>
              </w:rPr>
              <w:t>0.74</w:t>
            </w:r>
          </w:p>
        </w:tc>
      </w:tr>
      <w:tr w:rsidR="006156F6" w:rsidRPr="00113FDB" w:rsidTr="00672BAE">
        <w:trPr>
          <w:trHeight w:val="20"/>
        </w:trPr>
        <w:tc>
          <w:tcPr>
            <w:tcW w:w="1413" w:type="pct"/>
            <w:tcBorders>
              <w:top w:val="nil"/>
              <w:left w:val="single" w:sz="8" w:space="0" w:color="auto"/>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Effective dose (mSv/</w:t>
            </w:r>
            <w:proofErr w:type="spellStart"/>
            <w:r w:rsidRPr="00113FDB">
              <w:rPr>
                <w:b/>
                <w:bCs/>
                <w:color w:val="000000"/>
                <w:sz w:val="24"/>
                <w:szCs w:val="24"/>
                <w:lang w:val="en-GB" w:eastAsia="tr-TR"/>
              </w:rPr>
              <w:t>MBq</w:t>
            </w:r>
            <w:proofErr w:type="spellEnd"/>
            <w:r w:rsidRPr="00113FDB">
              <w:rPr>
                <w:b/>
                <w:bCs/>
                <w:color w:val="000000"/>
                <w:sz w:val="24"/>
                <w:szCs w:val="24"/>
                <w:lang w:val="en-GB" w:eastAsia="tr-TR"/>
              </w:rPr>
              <w:t>)</w:t>
            </w:r>
          </w:p>
        </w:tc>
        <w:tc>
          <w:tcPr>
            <w:tcW w:w="828"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29</w:t>
            </w:r>
          </w:p>
        </w:tc>
        <w:tc>
          <w:tcPr>
            <w:tcW w:w="690"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47</w:t>
            </w:r>
          </w:p>
        </w:tc>
        <w:tc>
          <w:tcPr>
            <w:tcW w:w="759"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71</w:t>
            </w:r>
          </w:p>
        </w:tc>
        <w:tc>
          <w:tcPr>
            <w:tcW w:w="621"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150</w:t>
            </w:r>
          </w:p>
        </w:tc>
        <w:tc>
          <w:tcPr>
            <w:tcW w:w="690" w:type="pct"/>
            <w:tcBorders>
              <w:top w:val="nil"/>
              <w:left w:val="nil"/>
              <w:bottom w:val="single" w:sz="8" w:space="0" w:color="auto"/>
              <w:right w:val="single" w:sz="8" w:space="0" w:color="auto"/>
            </w:tcBorders>
            <w:hideMark/>
          </w:tcPr>
          <w:p w:rsidR="006156F6" w:rsidRPr="00113FDB" w:rsidRDefault="006156F6">
            <w:pPr>
              <w:rPr>
                <w:b/>
                <w:bCs/>
                <w:color w:val="000000"/>
                <w:sz w:val="24"/>
                <w:szCs w:val="24"/>
                <w:lang w:val="en-GB" w:eastAsia="tr-TR"/>
              </w:rPr>
            </w:pPr>
            <w:r w:rsidRPr="00113FDB">
              <w:rPr>
                <w:b/>
                <w:bCs/>
                <w:color w:val="000000"/>
                <w:sz w:val="24"/>
                <w:szCs w:val="24"/>
                <w:lang w:val="en-GB" w:eastAsia="tr-TR"/>
              </w:rPr>
              <w:t>250</w:t>
            </w:r>
          </w:p>
        </w:tc>
      </w:tr>
    </w:tbl>
    <w:p w:rsidR="006156F6" w:rsidRPr="00113FDB" w:rsidRDefault="006156F6" w:rsidP="006156F6">
      <w:pPr>
        <w:autoSpaceDE w:val="0"/>
        <w:autoSpaceDN w:val="0"/>
        <w:adjustRightInd w:val="0"/>
        <w:rPr>
          <w:sz w:val="24"/>
          <w:szCs w:val="24"/>
          <w:lang w:val="en-GB"/>
        </w:rPr>
      </w:pPr>
    </w:p>
    <w:p w:rsidR="00227481" w:rsidRPr="00113FDB" w:rsidRDefault="00227481" w:rsidP="00227481">
      <w:pPr>
        <w:tabs>
          <w:tab w:val="left" w:pos="851"/>
        </w:tabs>
        <w:jc w:val="both"/>
        <w:rPr>
          <w:b/>
          <w:sz w:val="24"/>
          <w:szCs w:val="24"/>
          <w:lang w:val="en-US" w:eastAsia="da-DK"/>
        </w:rPr>
      </w:pPr>
      <w:r w:rsidRPr="00113FDB">
        <w:rPr>
          <w:b/>
          <w:sz w:val="24"/>
          <w:szCs w:val="24"/>
          <w:lang w:val="en-GB"/>
        </w:rPr>
        <w:t>12.</w:t>
      </w:r>
      <w:r w:rsidRPr="00113FDB">
        <w:rPr>
          <w:b/>
          <w:sz w:val="24"/>
          <w:szCs w:val="24"/>
          <w:lang w:val="en-GB"/>
        </w:rPr>
        <w:tab/>
        <w:t>INSTRUCTION</w:t>
      </w:r>
      <w:r w:rsidRPr="00113FDB">
        <w:rPr>
          <w:b/>
          <w:sz w:val="24"/>
          <w:szCs w:val="24"/>
          <w:lang w:val="en-US"/>
        </w:rPr>
        <w:t>S FOR PREPARATION OF RADIOPHARMACEUTICALS</w:t>
      </w:r>
    </w:p>
    <w:p w:rsidR="0052186C" w:rsidRPr="00113FDB" w:rsidRDefault="0052186C" w:rsidP="00672BAE">
      <w:pPr>
        <w:ind w:left="851"/>
        <w:rPr>
          <w:sz w:val="24"/>
          <w:szCs w:val="24"/>
          <w:lang w:val="en-US"/>
        </w:rPr>
      </w:pPr>
      <w:r w:rsidRPr="00113FDB">
        <w:rPr>
          <w:sz w:val="24"/>
          <w:szCs w:val="24"/>
          <w:lang w:val="en-US"/>
        </w:rPr>
        <w:t xml:space="preserve">As with any pharmaceutical product, if at any time in the preparation of this product the integrity of this vial is compromised it should not be used. </w:t>
      </w:r>
    </w:p>
    <w:p w:rsidR="0052186C" w:rsidRPr="00113FDB" w:rsidRDefault="0052186C" w:rsidP="00672BAE">
      <w:pPr>
        <w:ind w:left="851"/>
        <w:rPr>
          <w:sz w:val="24"/>
          <w:szCs w:val="24"/>
          <w:lang w:val="en-US"/>
        </w:rPr>
      </w:pPr>
    </w:p>
    <w:p w:rsidR="00C31759" w:rsidRPr="00113FDB" w:rsidRDefault="00C31759" w:rsidP="00672BAE">
      <w:pPr>
        <w:ind w:left="851"/>
        <w:rPr>
          <w:sz w:val="24"/>
          <w:szCs w:val="24"/>
          <w:lang w:val="en-GB"/>
        </w:rPr>
      </w:pPr>
      <w:r w:rsidRPr="00113FDB">
        <w:rPr>
          <w:bCs/>
          <w:sz w:val="24"/>
          <w:szCs w:val="24"/>
          <w:lang w:val="en-GB"/>
        </w:rPr>
        <w:t>Sodium iodide I-131 solution is ready for oral administration.</w:t>
      </w:r>
    </w:p>
    <w:p w:rsidR="0052186C" w:rsidRPr="00113FDB" w:rsidRDefault="0052186C" w:rsidP="00672BAE">
      <w:pPr>
        <w:ind w:left="851"/>
        <w:rPr>
          <w:sz w:val="24"/>
          <w:szCs w:val="24"/>
          <w:lang w:val="en-US"/>
        </w:rPr>
      </w:pPr>
      <w:r w:rsidRPr="00113FDB">
        <w:rPr>
          <w:sz w:val="24"/>
          <w:szCs w:val="24"/>
          <w:lang w:val="en-US"/>
        </w:rPr>
        <w:t>Take precautions to minimize radiation exposure by the use of suitable shielding. Water proof glove should be worn while handling radiopharmaceuticals.</w:t>
      </w:r>
    </w:p>
    <w:p w:rsidR="0052186C" w:rsidRPr="00113FDB" w:rsidRDefault="0052186C" w:rsidP="00672BAE">
      <w:pPr>
        <w:ind w:left="851"/>
        <w:rPr>
          <w:sz w:val="24"/>
          <w:szCs w:val="24"/>
          <w:lang w:val="en-US"/>
        </w:rPr>
      </w:pPr>
      <w:r w:rsidRPr="00113FDB">
        <w:rPr>
          <w:sz w:val="24"/>
          <w:szCs w:val="24"/>
          <w:lang w:val="en-US"/>
        </w:rPr>
        <w:t xml:space="preserve">The solution should be inspected visually for particulate matter and discoloration. The solution should not be used if </w:t>
      </w:r>
      <w:proofErr w:type="spellStart"/>
      <w:r w:rsidRPr="00113FDB">
        <w:rPr>
          <w:sz w:val="24"/>
          <w:szCs w:val="24"/>
          <w:lang w:val="en-US"/>
        </w:rPr>
        <w:t>discolo</w:t>
      </w:r>
      <w:r w:rsidR="00C31759" w:rsidRPr="00113FDB">
        <w:rPr>
          <w:sz w:val="24"/>
          <w:szCs w:val="24"/>
          <w:lang w:val="en-US"/>
        </w:rPr>
        <w:t>u</w:t>
      </w:r>
      <w:r w:rsidRPr="00113FDB">
        <w:rPr>
          <w:sz w:val="24"/>
          <w:szCs w:val="24"/>
          <w:lang w:val="en-US"/>
        </w:rPr>
        <w:t>red</w:t>
      </w:r>
      <w:proofErr w:type="spellEnd"/>
      <w:r w:rsidRPr="00113FDB">
        <w:rPr>
          <w:sz w:val="24"/>
          <w:szCs w:val="24"/>
          <w:lang w:val="en-US"/>
        </w:rPr>
        <w:t xml:space="preserve"> or found to contain particulate matter. However</w:t>
      </w:r>
      <w:r w:rsidR="001946D2">
        <w:rPr>
          <w:sz w:val="24"/>
          <w:szCs w:val="24"/>
          <w:lang w:val="en-US"/>
        </w:rPr>
        <w:t>,</w:t>
      </w:r>
      <w:r w:rsidRPr="00113FDB">
        <w:rPr>
          <w:sz w:val="24"/>
          <w:szCs w:val="24"/>
          <w:lang w:val="en-US"/>
        </w:rPr>
        <w:t xml:space="preserve"> it is well known that glass tends to darken in the presence of high radioactivity.</w:t>
      </w:r>
    </w:p>
    <w:p w:rsidR="009260DE" w:rsidRPr="00113FDB" w:rsidRDefault="0052186C" w:rsidP="00672BAE">
      <w:pPr>
        <w:ind w:left="851"/>
        <w:rPr>
          <w:sz w:val="24"/>
          <w:szCs w:val="24"/>
          <w:lang w:val="en-US"/>
        </w:rPr>
      </w:pPr>
      <w:r w:rsidRPr="00113FDB">
        <w:rPr>
          <w:sz w:val="24"/>
          <w:szCs w:val="24"/>
          <w:lang w:val="en-US"/>
        </w:rPr>
        <w:t>To prepare a necessary patient dose, using the calibration date and the radioactive concentration on the label of the product vial calculate the required volume for the dose</w:t>
      </w:r>
      <w:r w:rsidRPr="00113FDB">
        <w:rPr>
          <w:i/>
          <w:iCs/>
          <w:sz w:val="24"/>
          <w:szCs w:val="24"/>
          <w:lang w:val="en-US"/>
        </w:rPr>
        <w:t xml:space="preserve">. </w:t>
      </w:r>
      <w:r w:rsidRPr="00113FDB">
        <w:rPr>
          <w:sz w:val="24"/>
          <w:szCs w:val="24"/>
          <w:lang w:val="en-US"/>
        </w:rPr>
        <w:t>Using a shielded syringe, remove the required volume from the product vial and transfer it to a suitable cup for administration. The patient dose should be measured by a calibrator prior to administration.</w:t>
      </w:r>
    </w:p>
    <w:sectPr w:rsidR="009260DE" w:rsidRPr="00113FD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6CC" w:rsidRDefault="000B46CC">
      <w:r>
        <w:separator/>
      </w:r>
    </w:p>
  </w:endnote>
  <w:endnote w:type="continuationSeparator" w:id="0">
    <w:p w:rsidR="000B46CC" w:rsidRDefault="000B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6CC" w:rsidRDefault="000B46CC">
    <w:pPr>
      <w:pStyle w:val="Sidefod"/>
      <w:pBdr>
        <w:bottom w:val="single" w:sz="6" w:space="1" w:color="auto"/>
      </w:pBdr>
    </w:pPr>
  </w:p>
  <w:p w:rsidR="000B46CC" w:rsidRDefault="000B46CC" w:rsidP="00C42586">
    <w:pPr>
      <w:pStyle w:val="Sidefod"/>
      <w:tabs>
        <w:tab w:val="clear" w:pos="4819"/>
        <w:tab w:val="left" w:pos="8505"/>
      </w:tabs>
      <w:rPr>
        <w:i/>
        <w:sz w:val="18"/>
        <w:szCs w:val="18"/>
      </w:rPr>
    </w:pPr>
  </w:p>
  <w:p w:rsidR="000B46CC" w:rsidRPr="00B373D7" w:rsidRDefault="000B46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Moniyot-131 Oral Solution, oral solution.docx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6CC" w:rsidRDefault="000B46CC">
      <w:r>
        <w:separator/>
      </w:r>
    </w:p>
  </w:footnote>
  <w:footnote w:type="continuationSeparator" w:id="0">
    <w:p w:rsidR="000B46CC" w:rsidRDefault="000B4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A264370"/>
    <w:lvl w:ilvl="0">
      <w:numFmt w:val="decimal"/>
      <w:lvlText w:val="*"/>
      <w:lvlJc w:val="left"/>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4F30B13"/>
    <w:multiLevelType w:val="hybridMultilevel"/>
    <w:tmpl w:val="80162B58"/>
    <w:lvl w:ilvl="0" w:tplc="A88A61CC">
      <w:start w:val="1"/>
      <w:numFmt w:val="bullet"/>
      <w:lvlText w:val=""/>
      <w:lvlJc w:val="left"/>
      <w:pPr>
        <w:tabs>
          <w:tab w:val="num" w:pos="720"/>
        </w:tabs>
        <w:ind w:left="720" w:hanging="360"/>
      </w:pPr>
      <w:rPr>
        <w:rFonts w:ascii="Symbol" w:hAnsi="Symbol" w:hint="default"/>
        <w:strike w:val="0"/>
        <w:color w:val="auto"/>
      </w:rPr>
    </w:lvl>
    <w:lvl w:ilvl="1" w:tplc="7FAC6AF6">
      <w:start w:val="1"/>
      <w:numFmt w:val="bullet"/>
      <w:lvlText w:val=""/>
      <w:lvlJc w:val="left"/>
      <w:pPr>
        <w:tabs>
          <w:tab w:val="num" w:pos="1440"/>
        </w:tabs>
        <w:ind w:left="1440" w:hanging="360"/>
      </w:pPr>
      <w:rPr>
        <w:rFonts w:ascii="Symbol" w:hAnsi="Symbol" w:hint="default"/>
        <w:strike w:val="0"/>
        <w:color w:val="auto"/>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25440"/>
    <w:multiLevelType w:val="multilevel"/>
    <w:tmpl w:val="E3B4123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1445CB"/>
    <w:multiLevelType w:val="hybridMultilevel"/>
    <w:tmpl w:val="2B780D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EAD2DFF"/>
    <w:multiLevelType w:val="multilevel"/>
    <w:tmpl w:val="8ACE93B2"/>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E940D4"/>
    <w:multiLevelType w:val="hybridMultilevel"/>
    <w:tmpl w:val="ACDAD878"/>
    <w:lvl w:ilvl="0" w:tplc="7338B85A">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2185F"/>
    <w:multiLevelType w:val="hybridMultilevel"/>
    <w:tmpl w:val="3DF0713A"/>
    <w:lvl w:ilvl="0" w:tplc="9C3E74B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E4F26"/>
    <w:multiLevelType w:val="hybridMultilevel"/>
    <w:tmpl w:val="063CA7A4"/>
    <w:lvl w:ilvl="0" w:tplc="9C3E74B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6C24842"/>
    <w:multiLevelType w:val="hybridMultilevel"/>
    <w:tmpl w:val="7E4A49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448E5"/>
    <w:multiLevelType w:val="multilevel"/>
    <w:tmpl w:val="E76CCD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45D74"/>
    <w:multiLevelType w:val="hybridMultilevel"/>
    <w:tmpl w:val="E76CCD28"/>
    <w:lvl w:ilvl="0" w:tplc="CE0C41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20FD3"/>
    <w:multiLevelType w:val="hybridMultilevel"/>
    <w:tmpl w:val="905E0F86"/>
    <w:lvl w:ilvl="0" w:tplc="0638EA5A">
      <w:start w:val="1"/>
      <w:numFmt w:val="bullet"/>
      <w:lvlText w:val=""/>
      <w:lvlJc w:val="left"/>
      <w:pPr>
        <w:tabs>
          <w:tab w:val="num" w:pos="1723"/>
        </w:tabs>
        <w:ind w:left="1723" w:hanging="360"/>
      </w:pPr>
      <w:rPr>
        <w:rFonts w:ascii="Symbol" w:hAnsi="Symbol" w:hint="default"/>
        <w:color w:val="auto"/>
        <w:sz w:val="20"/>
        <w:szCs w:val="20"/>
      </w:rPr>
    </w:lvl>
    <w:lvl w:ilvl="1" w:tplc="04090003" w:tentative="1">
      <w:start w:val="1"/>
      <w:numFmt w:val="bullet"/>
      <w:lvlText w:val="o"/>
      <w:lvlJc w:val="left"/>
      <w:pPr>
        <w:tabs>
          <w:tab w:val="num" w:pos="2443"/>
        </w:tabs>
        <w:ind w:left="2443" w:hanging="360"/>
      </w:pPr>
      <w:rPr>
        <w:rFonts w:ascii="Courier New" w:hAnsi="Courier New" w:cs="Courier New" w:hint="default"/>
      </w:rPr>
    </w:lvl>
    <w:lvl w:ilvl="2" w:tplc="04090005" w:tentative="1">
      <w:start w:val="1"/>
      <w:numFmt w:val="bullet"/>
      <w:lvlText w:val=""/>
      <w:lvlJc w:val="left"/>
      <w:pPr>
        <w:tabs>
          <w:tab w:val="num" w:pos="3163"/>
        </w:tabs>
        <w:ind w:left="3163" w:hanging="360"/>
      </w:pPr>
      <w:rPr>
        <w:rFonts w:ascii="Wingdings" w:hAnsi="Wingdings" w:hint="default"/>
      </w:rPr>
    </w:lvl>
    <w:lvl w:ilvl="3" w:tplc="04090001" w:tentative="1">
      <w:start w:val="1"/>
      <w:numFmt w:val="bullet"/>
      <w:lvlText w:val=""/>
      <w:lvlJc w:val="left"/>
      <w:pPr>
        <w:tabs>
          <w:tab w:val="num" w:pos="3883"/>
        </w:tabs>
        <w:ind w:left="3883" w:hanging="360"/>
      </w:pPr>
      <w:rPr>
        <w:rFonts w:ascii="Symbol" w:hAnsi="Symbol" w:hint="default"/>
      </w:rPr>
    </w:lvl>
    <w:lvl w:ilvl="4" w:tplc="04090003" w:tentative="1">
      <w:start w:val="1"/>
      <w:numFmt w:val="bullet"/>
      <w:lvlText w:val="o"/>
      <w:lvlJc w:val="left"/>
      <w:pPr>
        <w:tabs>
          <w:tab w:val="num" w:pos="4603"/>
        </w:tabs>
        <w:ind w:left="4603" w:hanging="360"/>
      </w:pPr>
      <w:rPr>
        <w:rFonts w:ascii="Courier New" w:hAnsi="Courier New" w:cs="Courier New" w:hint="default"/>
      </w:rPr>
    </w:lvl>
    <w:lvl w:ilvl="5" w:tplc="04090005" w:tentative="1">
      <w:start w:val="1"/>
      <w:numFmt w:val="bullet"/>
      <w:lvlText w:val=""/>
      <w:lvlJc w:val="left"/>
      <w:pPr>
        <w:tabs>
          <w:tab w:val="num" w:pos="5323"/>
        </w:tabs>
        <w:ind w:left="5323" w:hanging="360"/>
      </w:pPr>
      <w:rPr>
        <w:rFonts w:ascii="Wingdings" w:hAnsi="Wingdings" w:hint="default"/>
      </w:rPr>
    </w:lvl>
    <w:lvl w:ilvl="6" w:tplc="04090001" w:tentative="1">
      <w:start w:val="1"/>
      <w:numFmt w:val="bullet"/>
      <w:lvlText w:val=""/>
      <w:lvlJc w:val="left"/>
      <w:pPr>
        <w:tabs>
          <w:tab w:val="num" w:pos="6043"/>
        </w:tabs>
        <w:ind w:left="6043" w:hanging="360"/>
      </w:pPr>
      <w:rPr>
        <w:rFonts w:ascii="Symbol" w:hAnsi="Symbol" w:hint="default"/>
      </w:rPr>
    </w:lvl>
    <w:lvl w:ilvl="7" w:tplc="04090003" w:tentative="1">
      <w:start w:val="1"/>
      <w:numFmt w:val="bullet"/>
      <w:lvlText w:val="o"/>
      <w:lvlJc w:val="left"/>
      <w:pPr>
        <w:tabs>
          <w:tab w:val="num" w:pos="6763"/>
        </w:tabs>
        <w:ind w:left="6763" w:hanging="360"/>
      </w:pPr>
      <w:rPr>
        <w:rFonts w:ascii="Courier New" w:hAnsi="Courier New" w:cs="Courier New" w:hint="default"/>
      </w:rPr>
    </w:lvl>
    <w:lvl w:ilvl="8" w:tplc="04090005" w:tentative="1">
      <w:start w:val="1"/>
      <w:numFmt w:val="bullet"/>
      <w:lvlText w:val=""/>
      <w:lvlJc w:val="left"/>
      <w:pPr>
        <w:tabs>
          <w:tab w:val="num" w:pos="7483"/>
        </w:tabs>
        <w:ind w:left="7483" w:hanging="360"/>
      </w:pPr>
      <w:rPr>
        <w:rFonts w:ascii="Wingdings" w:hAnsi="Wingdings" w:hint="default"/>
      </w:rPr>
    </w:lvl>
  </w:abstractNum>
  <w:abstractNum w:abstractNumId="15" w15:restartNumberingAfterBreak="0">
    <w:nsid w:val="2DFF4FBD"/>
    <w:multiLevelType w:val="hybridMultilevel"/>
    <w:tmpl w:val="B64AB16C"/>
    <w:lvl w:ilvl="0" w:tplc="0638EA5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7E07"/>
    <w:multiLevelType w:val="hybridMultilevel"/>
    <w:tmpl w:val="4F54D8E4"/>
    <w:lvl w:ilvl="0" w:tplc="0638EA5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377CFD"/>
    <w:multiLevelType w:val="hybridMultilevel"/>
    <w:tmpl w:val="A9906994"/>
    <w:lvl w:ilvl="0" w:tplc="0638EA5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3CD07BA"/>
    <w:multiLevelType w:val="multilevel"/>
    <w:tmpl w:val="ACDAD878"/>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1" w15:restartNumberingAfterBreak="0">
    <w:nsid w:val="37A02A36"/>
    <w:multiLevelType w:val="multilevel"/>
    <w:tmpl w:val="3E06D7E6"/>
    <w:lvl w:ilvl="0">
      <w:start w:val="1"/>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85314E4"/>
    <w:multiLevelType w:val="hybridMultilevel"/>
    <w:tmpl w:val="66B001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FE3A3D"/>
    <w:multiLevelType w:val="multilevel"/>
    <w:tmpl w:val="DA5A497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AA00DC"/>
    <w:multiLevelType w:val="hybridMultilevel"/>
    <w:tmpl w:val="110A2484"/>
    <w:lvl w:ilvl="0" w:tplc="041F0001">
      <w:start w:val="1"/>
      <w:numFmt w:val="bullet"/>
      <w:lvlText w:val=""/>
      <w:lvlJc w:val="left"/>
      <w:pPr>
        <w:ind w:left="1260" w:hanging="540"/>
      </w:pPr>
      <w:rPr>
        <w:rFonts w:ascii="Symbol" w:hAnsi="Symbol" w:hint="default"/>
      </w:rPr>
    </w:lvl>
    <w:lvl w:ilvl="1" w:tplc="422600A0">
      <w:numFmt w:val="bullet"/>
      <w:lvlText w:val="•"/>
      <w:lvlJc w:val="left"/>
      <w:pPr>
        <w:ind w:left="1980" w:hanging="54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3A8C4F9C"/>
    <w:multiLevelType w:val="hybridMultilevel"/>
    <w:tmpl w:val="C2525446"/>
    <w:lvl w:ilvl="0" w:tplc="7338B85A">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02394"/>
    <w:multiLevelType w:val="multilevel"/>
    <w:tmpl w:val="FB6872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5819A4"/>
    <w:multiLevelType w:val="hybridMultilevel"/>
    <w:tmpl w:val="9BE066EC"/>
    <w:lvl w:ilvl="0" w:tplc="7B6A1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FE60DE"/>
    <w:multiLevelType w:val="hybridMultilevel"/>
    <w:tmpl w:val="C76E4CE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5990D65"/>
    <w:multiLevelType w:val="hybridMultilevel"/>
    <w:tmpl w:val="FB687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12E2B"/>
    <w:multiLevelType w:val="multilevel"/>
    <w:tmpl w:val="3DF0713A"/>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3669DC"/>
    <w:multiLevelType w:val="multilevel"/>
    <w:tmpl w:val="DAD2282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8" w15:restartNumberingAfterBreak="0">
    <w:nsid w:val="6A59333F"/>
    <w:multiLevelType w:val="hybridMultilevel"/>
    <w:tmpl w:val="7C206DE2"/>
    <w:lvl w:ilvl="0" w:tplc="9C3E74B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23138"/>
    <w:multiLevelType w:val="hybridMultilevel"/>
    <w:tmpl w:val="E05601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4831166"/>
    <w:multiLevelType w:val="hybridMultilevel"/>
    <w:tmpl w:val="6554DB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8F50B0"/>
    <w:multiLevelType w:val="hybridMultilevel"/>
    <w:tmpl w:val="5BC06410"/>
    <w:lvl w:ilvl="0" w:tplc="0638EA5A">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89493C"/>
    <w:multiLevelType w:val="multilevel"/>
    <w:tmpl w:val="C252544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8"/>
  </w:num>
  <w:num w:numId="8">
    <w:abstractNumId w:val="31"/>
  </w:num>
  <w:num w:numId="9">
    <w:abstractNumId w:val="10"/>
  </w:num>
  <w:num w:numId="10">
    <w:abstractNumId w:val="1"/>
  </w:num>
  <w:num w:numId="11">
    <w:abstractNumId w:val="37"/>
  </w:num>
  <w:num w:numId="12">
    <w:abstractNumId w:val="2"/>
  </w:num>
  <w:num w:numId="13">
    <w:abstractNumId w:val="22"/>
  </w:num>
  <w:num w:numId="14">
    <w:abstractNumId w:val="5"/>
  </w:num>
  <w:num w:numId="15">
    <w:abstractNumId w:val="11"/>
  </w:num>
  <w:num w:numId="16">
    <w:abstractNumId w:val="21"/>
  </w:num>
  <w:num w:numId="17">
    <w:abstractNumId w:val="35"/>
  </w:num>
  <w:num w:numId="18">
    <w:abstractNumId w:val="6"/>
  </w:num>
  <w:num w:numId="19">
    <w:abstractNumId w:val="23"/>
  </w:num>
  <w:num w:numId="20">
    <w:abstractNumId w:val="4"/>
  </w:num>
  <w:num w:numId="21">
    <w:abstractNumId w:val="38"/>
  </w:num>
  <w:num w:numId="22">
    <w:abstractNumId w:val="8"/>
  </w:num>
  <w:num w:numId="23">
    <w:abstractNumId w:val="34"/>
  </w:num>
  <w:num w:numId="24">
    <w:abstractNumId w:val="33"/>
  </w:num>
  <w:num w:numId="25">
    <w:abstractNumId w:val="26"/>
  </w:num>
  <w:num w:numId="26">
    <w:abstractNumId w:val="13"/>
  </w:num>
  <w:num w:numId="27">
    <w:abstractNumId w:val="12"/>
  </w:num>
  <w:num w:numId="28">
    <w:abstractNumId w:val="17"/>
  </w:num>
  <w:num w:numId="29">
    <w:abstractNumId w:val="41"/>
  </w:num>
  <w:num w:numId="30">
    <w:abstractNumId w:val="16"/>
  </w:num>
  <w:num w:numId="31">
    <w:abstractNumId w:val="15"/>
  </w:num>
  <w:num w:numId="32">
    <w:abstractNumId w:val="9"/>
  </w:num>
  <w:num w:numId="33">
    <w:abstractNumId w:val="0"/>
    <w:lvlOverride w:ilvl="0">
      <w:lvl w:ilvl="0">
        <w:start w:val="1"/>
        <w:numFmt w:val="bullet"/>
        <w:lvlText w:val=""/>
        <w:legacy w:legacy="1" w:legacySpace="0" w:legacyIndent="283"/>
        <w:lvlJc w:val="left"/>
        <w:pPr>
          <w:ind w:left="283" w:hanging="283"/>
        </w:pPr>
        <w:rPr>
          <w:rFonts w:ascii="Symbol" w:hAnsi="Symbol" w:hint="default"/>
          <w:lang w:val="en-GB"/>
        </w:rPr>
      </w:lvl>
    </w:lvlOverride>
  </w:num>
  <w:num w:numId="34">
    <w:abstractNumId w:val="14"/>
  </w:num>
  <w:num w:numId="35">
    <w:abstractNumId w:val="40"/>
  </w:num>
  <w:num w:numId="36">
    <w:abstractNumId w:val="30"/>
  </w:num>
  <w:num w:numId="37">
    <w:abstractNumId w:val="39"/>
  </w:num>
  <w:num w:numId="38">
    <w:abstractNumId w:val="24"/>
  </w:num>
  <w:num w:numId="39">
    <w:abstractNumId w:val="3"/>
  </w:num>
  <w:num w:numId="40">
    <w:abstractNumId w:val="29"/>
  </w:num>
  <w:num w:numId="41">
    <w:abstractNumId w:val="25"/>
  </w:num>
  <w:num w:numId="42">
    <w:abstractNumId w:val="7"/>
  </w:num>
  <w:num w:numId="43">
    <w:abstractNumId w:val="42"/>
  </w:num>
  <w:num w:numId="44">
    <w:abstractNumId w:val="19"/>
  </w:num>
  <w:num w:numId="45">
    <w:abstractNumId w:val="22"/>
    <w:lvlOverride w:ilvl="0"/>
    <w:lvlOverride w:ilvl="1"/>
    <w:lvlOverride w:ilvl="2"/>
    <w:lvlOverride w:ilvl="3"/>
    <w:lvlOverride w:ilvl="4"/>
    <w:lvlOverride w:ilvl="5"/>
    <w:lvlOverride w:ilvl="6"/>
    <w:lvlOverride w:ilvl="7"/>
    <w:lvlOverride w:ilvl="8"/>
  </w:num>
  <w:num w:numId="4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C"/>
    <w:rsid w:val="000259B9"/>
    <w:rsid w:val="00041491"/>
    <w:rsid w:val="00050D16"/>
    <w:rsid w:val="00074F2A"/>
    <w:rsid w:val="000A1CA8"/>
    <w:rsid w:val="000A466B"/>
    <w:rsid w:val="000B058C"/>
    <w:rsid w:val="000B46CC"/>
    <w:rsid w:val="000E4EE6"/>
    <w:rsid w:val="00113FDB"/>
    <w:rsid w:val="001454E2"/>
    <w:rsid w:val="001946D2"/>
    <w:rsid w:val="00206CE8"/>
    <w:rsid w:val="0021526C"/>
    <w:rsid w:val="00227481"/>
    <w:rsid w:val="0024404B"/>
    <w:rsid w:val="00283A2B"/>
    <w:rsid w:val="002A67EB"/>
    <w:rsid w:val="002B30AD"/>
    <w:rsid w:val="002C2C01"/>
    <w:rsid w:val="003A29AE"/>
    <w:rsid w:val="003A32D7"/>
    <w:rsid w:val="003B4074"/>
    <w:rsid w:val="003C769A"/>
    <w:rsid w:val="003F1838"/>
    <w:rsid w:val="0045746C"/>
    <w:rsid w:val="0049104B"/>
    <w:rsid w:val="004E3B12"/>
    <w:rsid w:val="0052186C"/>
    <w:rsid w:val="00532310"/>
    <w:rsid w:val="00560ECC"/>
    <w:rsid w:val="00565F0F"/>
    <w:rsid w:val="00594A86"/>
    <w:rsid w:val="00596D86"/>
    <w:rsid w:val="006156F6"/>
    <w:rsid w:val="00637F5A"/>
    <w:rsid w:val="006560B1"/>
    <w:rsid w:val="00672BAE"/>
    <w:rsid w:val="006756DD"/>
    <w:rsid w:val="006A10ED"/>
    <w:rsid w:val="00737275"/>
    <w:rsid w:val="00740EEC"/>
    <w:rsid w:val="0078011A"/>
    <w:rsid w:val="00782AF4"/>
    <w:rsid w:val="00787096"/>
    <w:rsid w:val="00790EE7"/>
    <w:rsid w:val="0079158B"/>
    <w:rsid w:val="007B6649"/>
    <w:rsid w:val="007D1A04"/>
    <w:rsid w:val="0081546F"/>
    <w:rsid w:val="0082576E"/>
    <w:rsid w:val="008C4C5E"/>
    <w:rsid w:val="00907F75"/>
    <w:rsid w:val="009260DE"/>
    <w:rsid w:val="0093258A"/>
    <w:rsid w:val="00994B61"/>
    <w:rsid w:val="009C7BA3"/>
    <w:rsid w:val="009D1F5A"/>
    <w:rsid w:val="00B003BF"/>
    <w:rsid w:val="00B373D7"/>
    <w:rsid w:val="00C31759"/>
    <w:rsid w:val="00C36276"/>
    <w:rsid w:val="00C42586"/>
    <w:rsid w:val="00C60CCD"/>
    <w:rsid w:val="00C84483"/>
    <w:rsid w:val="00C95551"/>
    <w:rsid w:val="00CB20D7"/>
    <w:rsid w:val="00CE2498"/>
    <w:rsid w:val="00D020B0"/>
    <w:rsid w:val="00D11748"/>
    <w:rsid w:val="00D366CF"/>
    <w:rsid w:val="00E108AA"/>
    <w:rsid w:val="00E31812"/>
    <w:rsid w:val="00E3749A"/>
    <w:rsid w:val="00E564FF"/>
    <w:rsid w:val="00E6045F"/>
    <w:rsid w:val="00E7437F"/>
    <w:rsid w:val="00E865B8"/>
    <w:rsid w:val="00EA6162"/>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E78D82"/>
  <w15:chartTrackingRefBased/>
  <w15:docId w15:val="{EA2F067A-1893-47D4-8855-C10CCFF7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52186C"/>
    <w:pPr>
      <w:keepNext/>
      <w:widowControl w:val="0"/>
      <w:tabs>
        <w:tab w:val="center" w:pos="4680"/>
      </w:tabs>
      <w:jc w:val="center"/>
      <w:outlineLvl w:val="1"/>
    </w:pPr>
    <w:rPr>
      <w:b/>
      <w:snapToGrid w:val="0"/>
      <w:sz w:val="24"/>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52186C"/>
    <w:rPr>
      <w:b/>
      <w:snapToGrid w:val="0"/>
      <w:sz w:val="24"/>
      <w:lang w:val="en-US"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rsid w:val="0052186C"/>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52186C"/>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character" w:styleId="Pladsholdertekst">
    <w:name w:val="Placeholder Text"/>
    <w:basedOn w:val="Standardskrifttypeiafsnit"/>
    <w:uiPriority w:val="99"/>
    <w:semiHidden/>
    <w:rsid w:val="0052186C"/>
    <w:rPr>
      <w:color w:val="808080"/>
    </w:rPr>
  </w:style>
  <w:style w:type="paragraph" w:styleId="Brdtekst">
    <w:name w:val="Body Text"/>
    <w:basedOn w:val="Normal"/>
    <w:link w:val="BrdtekstTegn"/>
    <w:uiPriority w:val="99"/>
    <w:unhideWhenUsed/>
    <w:rsid w:val="0052186C"/>
    <w:pPr>
      <w:jc w:val="both"/>
    </w:pPr>
    <w:rPr>
      <w:sz w:val="28"/>
      <w:szCs w:val="28"/>
      <w:lang w:val="tr-TR" w:eastAsia="tr-TR"/>
    </w:rPr>
  </w:style>
  <w:style w:type="character" w:customStyle="1" w:styleId="BrdtekstTegn">
    <w:name w:val="Brødtekst Tegn"/>
    <w:basedOn w:val="Standardskrifttypeiafsnit"/>
    <w:link w:val="Brdtekst"/>
    <w:uiPriority w:val="99"/>
    <w:rsid w:val="0052186C"/>
    <w:rPr>
      <w:sz w:val="28"/>
      <w:szCs w:val="28"/>
      <w:lang w:val="tr-TR" w:eastAsia="tr-TR"/>
    </w:rPr>
  </w:style>
  <w:style w:type="paragraph" w:styleId="Listeafsnit">
    <w:name w:val="List Paragraph"/>
    <w:basedOn w:val="Normal"/>
    <w:uiPriority w:val="99"/>
    <w:qFormat/>
    <w:rsid w:val="0052186C"/>
    <w:pPr>
      <w:ind w:left="720"/>
      <w:contextualSpacing/>
    </w:pPr>
    <w:rPr>
      <w:lang w:eastAsia="da-DK"/>
    </w:rPr>
  </w:style>
  <w:style w:type="paragraph" w:styleId="NormalWeb">
    <w:name w:val="Normal (Web)"/>
    <w:basedOn w:val="Normal"/>
    <w:rsid w:val="0052186C"/>
    <w:pPr>
      <w:spacing w:before="100" w:beforeAutospacing="1" w:after="100" w:afterAutospacing="1"/>
    </w:pPr>
    <w:rPr>
      <w:sz w:val="24"/>
      <w:szCs w:val="24"/>
      <w:lang w:val="en-US"/>
    </w:rPr>
  </w:style>
  <w:style w:type="character" w:styleId="Hyperlink">
    <w:name w:val="Hyperlink"/>
    <w:basedOn w:val="Standardskrifttypeiafsnit"/>
    <w:rsid w:val="0052186C"/>
    <w:rPr>
      <w:color w:val="0000FF"/>
      <w:u w:val="single"/>
    </w:rPr>
  </w:style>
  <w:style w:type="character" w:customStyle="1" w:styleId="KommentaremneTegn1">
    <w:name w:val="Kommentaremne Tegn1"/>
    <w:basedOn w:val="KommentartekstTegn"/>
    <w:rsid w:val="0052186C"/>
    <w:rPr>
      <w:b/>
      <w:bCs/>
      <w:lang w:eastAsia="en-US"/>
    </w:rPr>
  </w:style>
  <w:style w:type="paragraph" w:styleId="Indholdsfortegnelse1">
    <w:name w:val="toc 1"/>
    <w:basedOn w:val="Normal"/>
    <w:next w:val="Normal"/>
    <w:autoRedefine/>
    <w:rsid w:val="0052186C"/>
    <w:pPr>
      <w:widowControl w:val="0"/>
      <w:jc w:val="center"/>
    </w:pPr>
    <w:rPr>
      <w:b/>
      <w:snapToGrid w:val="0"/>
      <w:sz w:val="24"/>
      <w:lang w:val="en-US"/>
    </w:rPr>
  </w:style>
  <w:style w:type="paragraph" w:customStyle="1" w:styleId="Default">
    <w:name w:val="Default"/>
    <w:rsid w:val="00227481"/>
    <w:pPr>
      <w:autoSpaceDE w:val="0"/>
      <w:autoSpaceDN w:val="0"/>
      <w:adjustRightInd w:val="0"/>
    </w:pPr>
    <w:rPr>
      <w:color w:val="000000"/>
      <w:sz w:val="24"/>
      <w:szCs w:val="24"/>
      <w:lang w:val="en-US" w:eastAsia="en-US"/>
    </w:rPr>
  </w:style>
  <w:style w:type="paragraph" w:customStyle="1" w:styleId="TableParagraph">
    <w:name w:val="Table Paragraph"/>
    <w:basedOn w:val="Normal"/>
    <w:uiPriority w:val="99"/>
    <w:rsid w:val="006156F6"/>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557">
      <w:bodyDiv w:val="1"/>
      <w:marLeft w:val="0"/>
      <w:marRight w:val="0"/>
      <w:marTop w:val="0"/>
      <w:marBottom w:val="0"/>
      <w:divBdr>
        <w:top w:val="none" w:sz="0" w:space="0" w:color="auto"/>
        <w:left w:val="none" w:sz="0" w:space="0" w:color="auto"/>
        <w:bottom w:val="none" w:sz="0" w:space="0" w:color="auto"/>
        <w:right w:val="none" w:sz="0" w:space="0" w:color="auto"/>
      </w:divBdr>
    </w:div>
    <w:div w:id="1389587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914821">
      <w:bodyDiv w:val="1"/>
      <w:marLeft w:val="0"/>
      <w:marRight w:val="0"/>
      <w:marTop w:val="0"/>
      <w:marBottom w:val="0"/>
      <w:divBdr>
        <w:top w:val="none" w:sz="0" w:space="0" w:color="auto"/>
        <w:left w:val="none" w:sz="0" w:space="0" w:color="auto"/>
        <w:bottom w:val="none" w:sz="0" w:space="0" w:color="auto"/>
        <w:right w:val="none" w:sz="0" w:space="0" w:color="auto"/>
      </w:divBdr>
    </w:div>
    <w:div w:id="250546963">
      <w:bodyDiv w:val="1"/>
      <w:marLeft w:val="0"/>
      <w:marRight w:val="0"/>
      <w:marTop w:val="0"/>
      <w:marBottom w:val="0"/>
      <w:divBdr>
        <w:top w:val="none" w:sz="0" w:space="0" w:color="auto"/>
        <w:left w:val="none" w:sz="0" w:space="0" w:color="auto"/>
        <w:bottom w:val="none" w:sz="0" w:space="0" w:color="auto"/>
        <w:right w:val="none" w:sz="0" w:space="0" w:color="auto"/>
      </w:divBdr>
    </w:div>
    <w:div w:id="369378807">
      <w:bodyDiv w:val="1"/>
      <w:marLeft w:val="0"/>
      <w:marRight w:val="0"/>
      <w:marTop w:val="0"/>
      <w:marBottom w:val="0"/>
      <w:divBdr>
        <w:top w:val="none" w:sz="0" w:space="0" w:color="auto"/>
        <w:left w:val="none" w:sz="0" w:space="0" w:color="auto"/>
        <w:bottom w:val="none" w:sz="0" w:space="0" w:color="auto"/>
        <w:right w:val="none" w:sz="0" w:space="0" w:color="auto"/>
      </w:divBdr>
    </w:div>
    <w:div w:id="370112465">
      <w:bodyDiv w:val="1"/>
      <w:marLeft w:val="0"/>
      <w:marRight w:val="0"/>
      <w:marTop w:val="0"/>
      <w:marBottom w:val="0"/>
      <w:divBdr>
        <w:top w:val="none" w:sz="0" w:space="0" w:color="auto"/>
        <w:left w:val="none" w:sz="0" w:space="0" w:color="auto"/>
        <w:bottom w:val="none" w:sz="0" w:space="0" w:color="auto"/>
        <w:right w:val="none" w:sz="0" w:space="0" w:color="auto"/>
      </w:divBdr>
    </w:div>
    <w:div w:id="386298399">
      <w:bodyDiv w:val="1"/>
      <w:marLeft w:val="0"/>
      <w:marRight w:val="0"/>
      <w:marTop w:val="0"/>
      <w:marBottom w:val="0"/>
      <w:divBdr>
        <w:top w:val="none" w:sz="0" w:space="0" w:color="auto"/>
        <w:left w:val="none" w:sz="0" w:space="0" w:color="auto"/>
        <w:bottom w:val="none" w:sz="0" w:space="0" w:color="auto"/>
        <w:right w:val="none" w:sz="0" w:space="0" w:color="auto"/>
      </w:divBdr>
    </w:div>
    <w:div w:id="426075508">
      <w:bodyDiv w:val="1"/>
      <w:marLeft w:val="0"/>
      <w:marRight w:val="0"/>
      <w:marTop w:val="0"/>
      <w:marBottom w:val="0"/>
      <w:divBdr>
        <w:top w:val="none" w:sz="0" w:space="0" w:color="auto"/>
        <w:left w:val="none" w:sz="0" w:space="0" w:color="auto"/>
        <w:bottom w:val="none" w:sz="0" w:space="0" w:color="auto"/>
        <w:right w:val="none" w:sz="0" w:space="0" w:color="auto"/>
      </w:divBdr>
    </w:div>
    <w:div w:id="513962624">
      <w:bodyDiv w:val="1"/>
      <w:marLeft w:val="0"/>
      <w:marRight w:val="0"/>
      <w:marTop w:val="0"/>
      <w:marBottom w:val="0"/>
      <w:divBdr>
        <w:top w:val="none" w:sz="0" w:space="0" w:color="auto"/>
        <w:left w:val="none" w:sz="0" w:space="0" w:color="auto"/>
        <w:bottom w:val="none" w:sz="0" w:space="0" w:color="auto"/>
        <w:right w:val="none" w:sz="0" w:space="0" w:color="auto"/>
      </w:divBdr>
    </w:div>
    <w:div w:id="540094456">
      <w:bodyDiv w:val="1"/>
      <w:marLeft w:val="0"/>
      <w:marRight w:val="0"/>
      <w:marTop w:val="0"/>
      <w:marBottom w:val="0"/>
      <w:divBdr>
        <w:top w:val="none" w:sz="0" w:space="0" w:color="auto"/>
        <w:left w:val="none" w:sz="0" w:space="0" w:color="auto"/>
        <w:bottom w:val="none" w:sz="0" w:space="0" w:color="auto"/>
        <w:right w:val="none" w:sz="0" w:space="0" w:color="auto"/>
      </w:divBdr>
    </w:div>
    <w:div w:id="604265602">
      <w:bodyDiv w:val="1"/>
      <w:marLeft w:val="0"/>
      <w:marRight w:val="0"/>
      <w:marTop w:val="0"/>
      <w:marBottom w:val="0"/>
      <w:divBdr>
        <w:top w:val="none" w:sz="0" w:space="0" w:color="auto"/>
        <w:left w:val="none" w:sz="0" w:space="0" w:color="auto"/>
        <w:bottom w:val="none" w:sz="0" w:space="0" w:color="auto"/>
        <w:right w:val="none" w:sz="0" w:space="0" w:color="auto"/>
      </w:divBdr>
    </w:div>
    <w:div w:id="611782961">
      <w:bodyDiv w:val="1"/>
      <w:marLeft w:val="0"/>
      <w:marRight w:val="0"/>
      <w:marTop w:val="0"/>
      <w:marBottom w:val="0"/>
      <w:divBdr>
        <w:top w:val="none" w:sz="0" w:space="0" w:color="auto"/>
        <w:left w:val="none" w:sz="0" w:space="0" w:color="auto"/>
        <w:bottom w:val="none" w:sz="0" w:space="0" w:color="auto"/>
        <w:right w:val="none" w:sz="0" w:space="0" w:color="auto"/>
      </w:divBdr>
    </w:div>
    <w:div w:id="700937828">
      <w:bodyDiv w:val="1"/>
      <w:marLeft w:val="0"/>
      <w:marRight w:val="0"/>
      <w:marTop w:val="0"/>
      <w:marBottom w:val="0"/>
      <w:divBdr>
        <w:top w:val="none" w:sz="0" w:space="0" w:color="auto"/>
        <w:left w:val="none" w:sz="0" w:space="0" w:color="auto"/>
        <w:bottom w:val="none" w:sz="0" w:space="0" w:color="auto"/>
        <w:right w:val="none" w:sz="0" w:space="0" w:color="auto"/>
      </w:divBdr>
    </w:div>
    <w:div w:id="1024601170">
      <w:bodyDiv w:val="1"/>
      <w:marLeft w:val="0"/>
      <w:marRight w:val="0"/>
      <w:marTop w:val="0"/>
      <w:marBottom w:val="0"/>
      <w:divBdr>
        <w:top w:val="none" w:sz="0" w:space="0" w:color="auto"/>
        <w:left w:val="none" w:sz="0" w:space="0" w:color="auto"/>
        <w:bottom w:val="none" w:sz="0" w:space="0" w:color="auto"/>
        <w:right w:val="none" w:sz="0" w:space="0" w:color="auto"/>
      </w:divBdr>
    </w:div>
    <w:div w:id="1041398357">
      <w:bodyDiv w:val="1"/>
      <w:marLeft w:val="0"/>
      <w:marRight w:val="0"/>
      <w:marTop w:val="0"/>
      <w:marBottom w:val="0"/>
      <w:divBdr>
        <w:top w:val="none" w:sz="0" w:space="0" w:color="auto"/>
        <w:left w:val="none" w:sz="0" w:space="0" w:color="auto"/>
        <w:bottom w:val="none" w:sz="0" w:space="0" w:color="auto"/>
        <w:right w:val="none" w:sz="0" w:space="0" w:color="auto"/>
      </w:divBdr>
    </w:div>
    <w:div w:id="1051807260">
      <w:bodyDiv w:val="1"/>
      <w:marLeft w:val="0"/>
      <w:marRight w:val="0"/>
      <w:marTop w:val="0"/>
      <w:marBottom w:val="0"/>
      <w:divBdr>
        <w:top w:val="none" w:sz="0" w:space="0" w:color="auto"/>
        <w:left w:val="none" w:sz="0" w:space="0" w:color="auto"/>
        <w:bottom w:val="none" w:sz="0" w:space="0" w:color="auto"/>
        <w:right w:val="none" w:sz="0" w:space="0" w:color="auto"/>
      </w:divBdr>
    </w:div>
    <w:div w:id="1101409876">
      <w:bodyDiv w:val="1"/>
      <w:marLeft w:val="0"/>
      <w:marRight w:val="0"/>
      <w:marTop w:val="0"/>
      <w:marBottom w:val="0"/>
      <w:divBdr>
        <w:top w:val="none" w:sz="0" w:space="0" w:color="auto"/>
        <w:left w:val="none" w:sz="0" w:space="0" w:color="auto"/>
        <w:bottom w:val="none" w:sz="0" w:space="0" w:color="auto"/>
        <w:right w:val="none" w:sz="0" w:space="0" w:color="auto"/>
      </w:divBdr>
    </w:div>
    <w:div w:id="1132015376">
      <w:bodyDiv w:val="1"/>
      <w:marLeft w:val="0"/>
      <w:marRight w:val="0"/>
      <w:marTop w:val="0"/>
      <w:marBottom w:val="0"/>
      <w:divBdr>
        <w:top w:val="none" w:sz="0" w:space="0" w:color="auto"/>
        <w:left w:val="none" w:sz="0" w:space="0" w:color="auto"/>
        <w:bottom w:val="none" w:sz="0" w:space="0" w:color="auto"/>
        <w:right w:val="none" w:sz="0" w:space="0" w:color="auto"/>
      </w:divBdr>
    </w:div>
    <w:div w:id="1228806670">
      <w:bodyDiv w:val="1"/>
      <w:marLeft w:val="0"/>
      <w:marRight w:val="0"/>
      <w:marTop w:val="0"/>
      <w:marBottom w:val="0"/>
      <w:divBdr>
        <w:top w:val="none" w:sz="0" w:space="0" w:color="auto"/>
        <w:left w:val="none" w:sz="0" w:space="0" w:color="auto"/>
        <w:bottom w:val="none" w:sz="0" w:space="0" w:color="auto"/>
        <w:right w:val="none" w:sz="0" w:space="0" w:color="auto"/>
      </w:divBdr>
    </w:div>
    <w:div w:id="1257404386">
      <w:bodyDiv w:val="1"/>
      <w:marLeft w:val="0"/>
      <w:marRight w:val="0"/>
      <w:marTop w:val="0"/>
      <w:marBottom w:val="0"/>
      <w:divBdr>
        <w:top w:val="none" w:sz="0" w:space="0" w:color="auto"/>
        <w:left w:val="none" w:sz="0" w:space="0" w:color="auto"/>
        <w:bottom w:val="none" w:sz="0" w:space="0" w:color="auto"/>
        <w:right w:val="none" w:sz="0" w:space="0" w:color="auto"/>
      </w:divBdr>
    </w:div>
    <w:div w:id="1260874749">
      <w:bodyDiv w:val="1"/>
      <w:marLeft w:val="0"/>
      <w:marRight w:val="0"/>
      <w:marTop w:val="0"/>
      <w:marBottom w:val="0"/>
      <w:divBdr>
        <w:top w:val="none" w:sz="0" w:space="0" w:color="auto"/>
        <w:left w:val="none" w:sz="0" w:space="0" w:color="auto"/>
        <w:bottom w:val="none" w:sz="0" w:space="0" w:color="auto"/>
        <w:right w:val="none" w:sz="0" w:space="0" w:color="auto"/>
      </w:divBdr>
    </w:div>
    <w:div w:id="1329938182">
      <w:bodyDiv w:val="1"/>
      <w:marLeft w:val="0"/>
      <w:marRight w:val="0"/>
      <w:marTop w:val="0"/>
      <w:marBottom w:val="0"/>
      <w:divBdr>
        <w:top w:val="none" w:sz="0" w:space="0" w:color="auto"/>
        <w:left w:val="none" w:sz="0" w:space="0" w:color="auto"/>
        <w:bottom w:val="none" w:sz="0" w:space="0" w:color="auto"/>
        <w:right w:val="none" w:sz="0" w:space="0" w:color="auto"/>
      </w:divBdr>
    </w:div>
    <w:div w:id="1342899193">
      <w:bodyDiv w:val="1"/>
      <w:marLeft w:val="0"/>
      <w:marRight w:val="0"/>
      <w:marTop w:val="0"/>
      <w:marBottom w:val="0"/>
      <w:divBdr>
        <w:top w:val="none" w:sz="0" w:space="0" w:color="auto"/>
        <w:left w:val="none" w:sz="0" w:space="0" w:color="auto"/>
        <w:bottom w:val="none" w:sz="0" w:space="0" w:color="auto"/>
        <w:right w:val="none" w:sz="0" w:space="0" w:color="auto"/>
      </w:divBdr>
    </w:div>
    <w:div w:id="1415318911">
      <w:bodyDiv w:val="1"/>
      <w:marLeft w:val="0"/>
      <w:marRight w:val="0"/>
      <w:marTop w:val="0"/>
      <w:marBottom w:val="0"/>
      <w:divBdr>
        <w:top w:val="none" w:sz="0" w:space="0" w:color="auto"/>
        <w:left w:val="none" w:sz="0" w:space="0" w:color="auto"/>
        <w:bottom w:val="none" w:sz="0" w:space="0" w:color="auto"/>
        <w:right w:val="none" w:sz="0" w:space="0" w:color="auto"/>
      </w:divBdr>
    </w:div>
    <w:div w:id="1416781527">
      <w:bodyDiv w:val="1"/>
      <w:marLeft w:val="0"/>
      <w:marRight w:val="0"/>
      <w:marTop w:val="0"/>
      <w:marBottom w:val="0"/>
      <w:divBdr>
        <w:top w:val="none" w:sz="0" w:space="0" w:color="auto"/>
        <w:left w:val="none" w:sz="0" w:space="0" w:color="auto"/>
        <w:bottom w:val="none" w:sz="0" w:space="0" w:color="auto"/>
        <w:right w:val="none" w:sz="0" w:space="0" w:color="auto"/>
      </w:divBdr>
    </w:div>
    <w:div w:id="1429961983">
      <w:bodyDiv w:val="1"/>
      <w:marLeft w:val="0"/>
      <w:marRight w:val="0"/>
      <w:marTop w:val="0"/>
      <w:marBottom w:val="0"/>
      <w:divBdr>
        <w:top w:val="none" w:sz="0" w:space="0" w:color="auto"/>
        <w:left w:val="none" w:sz="0" w:space="0" w:color="auto"/>
        <w:bottom w:val="none" w:sz="0" w:space="0" w:color="auto"/>
        <w:right w:val="none" w:sz="0" w:space="0" w:color="auto"/>
      </w:divBdr>
    </w:div>
    <w:div w:id="1434083892">
      <w:bodyDiv w:val="1"/>
      <w:marLeft w:val="0"/>
      <w:marRight w:val="0"/>
      <w:marTop w:val="0"/>
      <w:marBottom w:val="0"/>
      <w:divBdr>
        <w:top w:val="none" w:sz="0" w:space="0" w:color="auto"/>
        <w:left w:val="none" w:sz="0" w:space="0" w:color="auto"/>
        <w:bottom w:val="none" w:sz="0" w:space="0" w:color="auto"/>
        <w:right w:val="none" w:sz="0" w:space="0" w:color="auto"/>
      </w:divBdr>
    </w:div>
    <w:div w:id="1445690100">
      <w:bodyDiv w:val="1"/>
      <w:marLeft w:val="0"/>
      <w:marRight w:val="0"/>
      <w:marTop w:val="0"/>
      <w:marBottom w:val="0"/>
      <w:divBdr>
        <w:top w:val="none" w:sz="0" w:space="0" w:color="auto"/>
        <w:left w:val="none" w:sz="0" w:space="0" w:color="auto"/>
        <w:bottom w:val="none" w:sz="0" w:space="0" w:color="auto"/>
        <w:right w:val="none" w:sz="0" w:space="0" w:color="auto"/>
      </w:divBdr>
    </w:div>
    <w:div w:id="1463381698">
      <w:bodyDiv w:val="1"/>
      <w:marLeft w:val="0"/>
      <w:marRight w:val="0"/>
      <w:marTop w:val="0"/>
      <w:marBottom w:val="0"/>
      <w:divBdr>
        <w:top w:val="none" w:sz="0" w:space="0" w:color="auto"/>
        <w:left w:val="none" w:sz="0" w:space="0" w:color="auto"/>
        <w:bottom w:val="none" w:sz="0" w:space="0" w:color="auto"/>
        <w:right w:val="none" w:sz="0" w:space="0" w:color="auto"/>
      </w:divBdr>
    </w:div>
    <w:div w:id="1468821593">
      <w:bodyDiv w:val="1"/>
      <w:marLeft w:val="0"/>
      <w:marRight w:val="0"/>
      <w:marTop w:val="0"/>
      <w:marBottom w:val="0"/>
      <w:divBdr>
        <w:top w:val="none" w:sz="0" w:space="0" w:color="auto"/>
        <w:left w:val="none" w:sz="0" w:space="0" w:color="auto"/>
        <w:bottom w:val="none" w:sz="0" w:space="0" w:color="auto"/>
        <w:right w:val="none" w:sz="0" w:space="0" w:color="auto"/>
      </w:divBdr>
    </w:div>
    <w:div w:id="1534423996">
      <w:bodyDiv w:val="1"/>
      <w:marLeft w:val="0"/>
      <w:marRight w:val="0"/>
      <w:marTop w:val="0"/>
      <w:marBottom w:val="0"/>
      <w:divBdr>
        <w:top w:val="none" w:sz="0" w:space="0" w:color="auto"/>
        <w:left w:val="none" w:sz="0" w:space="0" w:color="auto"/>
        <w:bottom w:val="none" w:sz="0" w:space="0" w:color="auto"/>
        <w:right w:val="none" w:sz="0" w:space="0" w:color="auto"/>
      </w:divBdr>
    </w:div>
    <w:div w:id="1551652759">
      <w:bodyDiv w:val="1"/>
      <w:marLeft w:val="0"/>
      <w:marRight w:val="0"/>
      <w:marTop w:val="0"/>
      <w:marBottom w:val="0"/>
      <w:divBdr>
        <w:top w:val="none" w:sz="0" w:space="0" w:color="auto"/>
        <w:left w:val="none" w:sz="0" w:space="0" w:color="auto"/>
        <w:bottom w:val="none" w:sz="0" w:space="0" w:color="auto"/>
        <w:right w:val="none" w:sz="0" w:space="0" w:color="auto"/>
      </w:divBdr>
    </w:div>
    <w:div w:id="1591889465">
      <w:bodyDiv w:val="1"/>
      <w:marLeft w:val="0"/>
      <w:marRight w:val="0"/>
      <w:marTop w:val="0"/>
      <w:marBottom w:val="0"/>
      <w:divBdr>
        <w:top w:val="none" w:sz="0" w:space="0" w:color="auto"/>
        <w:left w:val="none" w:sz="0" w:space="0" w:color="auto"/>
        <w:bottom w:val="none" w:sz="0" w:space="0" w:color="auto"/>
        <w:right w:val="none" w:sz="0" w:space="0" w:color="auto"/>
      </w:divBdr>
    </w:div>
    <w:div w:id="1609048160">
      <w:bodyDiv w:val="1"/>
      <w:marLeft w:val="0"/>
      <w:marRight w:val="0"/>
      <w:marTop w:val="0"/>
      <w:marBottom w:val="0"/>
      <w:divBdr>
        <w:top w:val="none" w:sz="0" w:space="0" w:color="auto"/>
        <w:left w:val="none" w:sz="0" w:space="0" w:color="auto"/>
        <w:bottom w:val="none" w:sz="0" w:space="0" w:color="auto"/>
        <w:right w:val="none" w:sz="0" w:space="0" w:color="auto"/>
      </w:divBdr>
    </w:div>
    <w:div w:id="1619139989">
      <w:bodyDiv w:val="1"/>
      <w:marLeft w:val="0"/>
      <w:marRight w:val="0"/>
      <w:marTop w:val="0"/>
      <w:marBottom w:val="0"/>
      <w:divBdr>
        <w:top w:val="none" w:sz="0" w:space="0" w:color="auto"/>
        <w:left w:val="none" w:sz="0" w:space="0" w:color="auto"/>
        <w:bottom w:val="none" w:sz="0" w:space="0" w:color="auto"/>
        <w:right w:val="none" w:sz="0" w:space="0" w:color="auto"/>
      </w:divBdr>
    </w:div>
    <w:div w:id="1621911732">
      <w:bodyDiv w:val="1"/>
      <w:marLeft w:val="0"/>
      <w:marRight w:val="0"/>
      <w:marTop w:val="0"/>
      <w:marBottom w:val="0"/>
      <w:divBdr>
        <w:top w:val="none" w:sz="0" w:space="0" w:color="auto"/>
        <w:left w:val="none" w:sz="0" w:space="0" w:color="auto"/>
        <w:bottom w:val="none" w:sz="0" w:space="0" w:color="auto"/>
        <w:right w:val="none" w:sz="0" w:space="0" w:color="auto"/>
      </w:divBdr>
    </w:div>
    <w:div w:id="1663200153">
      <w:bodyDiv w:val="1"/>
      <w:marLeft w:val="0"/>
      <w:marRight w:val="0"/>
      <w:marTop w:val="0"/>
      <w:marBottom w:val="0"/>
      <w:divBdr>
        <w:top w:val="none" w:sz="0" w:space="0" w:color="auto"/>
        <w:left w:val="none" w:sz="0" w:space="0" w:color="auto"/>
        <w:bottom w:val="none" w:sz="0" w:space="0" w:color="auto"/>
        <w:right w:val="none" w:sz="0" w:space="0" w:color="auto"/>
      </w:divBdr>
    </w:div>
    <w:div w:id="1673950870">
      <w:bodyDiv w:val="1"/>
      <w:marLeft w:val="0"/>
      <w:marRight w:val="0"/>
      <w:marTop w:val="0"/>
      <w:marBottom w:val="0"/>
      <w:divBdr>
        <w:top w:val="none" w:sz="0" w:space="0" w:color="auto"/>
        <w:left w:val="none" w:sz="0" w:space="0" w:color="auto"/>
        <w:bottom w:val="none" w:sz="0" w:space="0" w:color="auto"/>
        <w:right w:val="none" w:sz="0" w:space="0" w:color="auto"/>
      </w:divBdr>
    </w:div>
    <w:div w:id="1709330983">
      <w:bodyDiv w:val="1"/>
      <w:marLeft w:val="0"/>
      <w:marRight w:val="0"/>
      <w:marTop w:val="0"/>
      <w:marBottom w:val="0"/>
      <w:divBdr>
        <w:top w:val="none" w:sz="0" w:space="0" w:color="auto"/>
        <w:left w:val="none" w:sz="0" w:space="0" w:color="auto"/>
        <w:bottom w:val="none" w:sz="0" w:space="0" w:color="auto"/>
        <w:right w:val="none" w:sz="0" w:space="0" w:color="auto"/>
      </w:divBdr>
    </w:div>
    <w:div w:id="1719276333">
      <w:bodyDiv w:val="1"/>
      <w:marLeft w:val="0"/>
      <w:marRight w:val="0"/>
      <w:marTop w:val="0"/>
      <w:marBottom w:val="0"/>
      <w:divBdr>
        <w:top w:val="none" w:sz="0" w:space="0" w:color="auto"/>
        <w:left w:val="none" w:sz="0" w:space="0" w:color="auto"/>
        <w:bottom w:val="none" w:sz="0" w:space="0" w:color="auto"/>
        <w:right w:val="none" w:sz="0" w:space="0" w:color="auto"/>
      </w:divBdr>
    </w:div>
    <w:div w:id="1803383902">
      <w:bodyDiv w:val="1"/>
      <w:marLeft w:val="0"/>
      <w:marRight w:val="0"/>
      <w:marTop w:val="0"/>
      <w:marBottom w:val="0"/>
      <w:divBdr>
        <w:top w:val="none" w:sz="0" w:space="0" w:color="auto"/>
        <w:left w:val="none" w:sz="0" w:space="0" w:color="auto"/>
        <w:bottom w:val="none" w:sz="0" w:space="0" w:color="auto"/>
        <w:right w:val="none" w:sz="0" w:space="0" w:color="auto"/>
      </w:divBdr>
    </w:div>
    <w:div w:id="1860730537">
      <w:bodyDiv w:val="1"/>
      <w:marLeft w:val="0"/>
      <w:marRight w:val="0"/>
      <w:marTop w:val="0"/>
      <w:marBottom w:val="0"/>
      <w:divBdr>
        <w:top w:val="none" w:sz="0" w:space="0" w:color="auto"/>
        <w:left w:val="none" w:sz="0" w:space="0" w:color="auto"/>
        <w:bottom w:val="none" w:sz="0" w:space="0" w:color="auto"/>
        <w:right w:val="none" w:sz="0" w:space="0" w:color="auto"/>
      </w:divBdr>
    </w:div>
    <w:div w:id="1907106291">
      <w:bodyDiv w:val="1"/>
      <w:marLeft w:val="0"/>
      <w:marRight w:val="0"/>
      <w:marTop w:val="0"/>
      <w:marBottom w:val="0"/>
      <w:divBdr>
        <w:top w:val="none" w:sz="0" w:space="0" w:color="auto"/>
        <w:left w:val="none" w:sz="0" w:space="0" w:color="auto"/>
        <w:bottom w:val="none" w:sz="0" w:space="0" w:color="auto"/>
        <w:right w:val="none" w:sz="0" w:space="0" w:color="auto"/>
      </w:divBdr>
    </w:div>
    <w:div w:id="1950164306">
      <w:bodyDiv w:val="1"/>
      <w:marLeft w:val="0"/>
      <w:marRight w:val="0"/>
      <w:marTop w:val="0"/>
      <w:marBottom w:val="0"/>
      <w:divBdr>
        <w:top w:val="none" w:sz="0" w:space="0" w:color="auto"/>
        <w:left w:val="none" w:sz="0" w:space="0" w:color="auto"/>
        <w:bottom w:val="none" w:sz="0" w:space="0" w:color="auto"/>
        <w:right w:val="none" w:sz="0" w:space="0" w:color="auto"/>
      </w:divBdr>
    </w:div>
    <w:div w:id="1952006510">
      <w:bodyDiv w:val="1"/>
      <w:marLeft w:val="0"/>
      <w:marRight w:val="0"/>
      <w:marTop w:val="0"/>
      <w:marBottom w:val="0"/>
      <w:divBdr>
        <w:top w:val="none" w:sz="0" w:space="0" w:color="auto"/>
        <w:left w:val="none" w:sz="0" w:space="0" w:color="auto"/>
        <w:bottom w:val="none" w:sz="0" w:space="0" w:color="auto"/>
        <w:right w:val="none" w:sz="0" w:space="0" w:color="auto"/>
      </w:divBdr>
    </w:div>
    <w:div w:id="1980721221">
      <w:bodyDiv w:val="1"/>
      <w:marLeft w:val="0"/>
      <w:marRight w:val="0"/>
      <w:marTop w:val="0"/>
      <w:marBottom w:val="0"/>
      <w:divBdr>
        <w:top w:val="none" w:sz="0" w:space="0" w:color="auto"/>
        <w:left w:val="none" w:sz="0" w:space="0" w:color="auto"/>
        <w:bottom w:val="none" w:sz="0" w:space="0" w:color="auto"/>
        <w:right w:val="none" w:sz="0" w:space="0" w:color="auto"/>
      </w:divBdr>
    </w:div>
    <w:div w:id="1997683217">
      <w:bodyDiv w:val="1"/>
      <w:marLeft w:val="0"/>
      <w:marRight w:val="0"/>
      <w:marTop w:val="0"/>
      <w:marBottom w:val="0"/>
      <w:divBdr>
        <w:top w:val="none" w:sz="0" w:space="0" w:color="auto"/>
        <w:left w:val="none" w:sz="0" w:space="0" w:color="auto"/>
        <w:bottom w:val="none" w:sz="0" w:space="0" w:color="auto"/>
        <w:right w:val="none" w:sz="0" w:space="0" w:color="auto"/>
      </w:divBdr>
    </w:div>
    <w:div w:id="2013294527">
      <w:bodyDiv w:val="1"/>
      <w:marLeft w:val="0"/>
      <w:marRight w:val="0"/>
      <w:marTop w:val="0"/>
      <w:marBottom w:val="0"/>
      <w:divBdr>
        <w:top w:val="none" w:sz="0" w:space="0" w:color="auto"/>
        <w:left w:val="none" w:sz="0" w:space="0" w:color="auto"/>
        <w:bottom w:val="none" w:sz="0" w:space="0" w:color="auto"/>
        <w:right w:val="none" w:sz="0" w:space="0" w:color="auto"/>
      </w:divBdr>
    </w:div>
    <w:div w:id="2014719755">
      <w:bodyDiv w:val="1"/>
      <w:marLeft w:val="0"/>
      <w:marRight w:val="0"/>
      <w:marTop w:val="0"/>
      <w:marBottom w:val="0"/>
      <w:divBdr>
        <w:top w:val="none" w:sz="0" w:space="0" w:color="auto"/>
        <w:left w:val="none" w:sz="0" w:space="0" w:color="auto"/>
        <w:bottom w:val="none" w:sz="0" w:space="0" w:color="auto"/>
        <w:right w:val="none" w:sz="0" w:space="0" w:color="auto"/>
      </w:divBdr>
    </w:div>
    <w:div w:id="21256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6373</Words>
  <Characters>36617</Characters>
  <Application>Microsoft Office Word</Application>
  <DocSecurity>0</DocSecurity>
  <Lines>305</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2022112934, var. 11, opdatering af hele SPCet</dc:description>
  <cp:lastModifiedBy>Gitte Jørgensen</cp:lastModifiedBy>
  <cp:revision>12</cp:revision>
  <cp:lastPrinted>2012-08-22T08:53:00Z</cp:lastPrinted>
  <dcterms:created xsi:type="dcterms:W3CDTF">2023-11-10T12:22:00Z</dcterms:created>
  <dcterms:modified xsi:type="dcterms:W3CDTF">2023-11-10T12:49:00Z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