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61" w:rsidRDefault="00A87E61" w:rsidP="00A87E61">
      <w:r>
        <w:rPr>
          <w:noProof/>
          <w:lang w:eastAsia="da-DK"/>
        </w:rPr>
        <w:drawing>
          <wp:inline distT="0" distB="0" distL="0" distR="0" wp14:anchorId="2A9BC146" wp14:editId="34525A58">
            <wp:extent cx="2430780" cy="685800"/>
            <wp:effectExtent l="0" t="0" r="762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60" w:rsidRDefault="007A4B60" w:rsidP="00A87E61">
      <w:pPr>
        <w:pStyle w:val="Titel"/>
        <w:ind w:left="6520" w:firstLine="1304"/>
        <w:jc w:val="left"/>
      </w:pPr>
    </w:p>
    <w:p w:rsidR="00A87E61" w:rsidRDefault="006B21A0" w:rsidP="007A4B60">
      <w:pPr>
        <w:pStyle w:val="Titel"/>
        <w:ind w:left="6520" w:firstLine="993"/>
        <w:jc w:val="left"/>
        <w:rPr>
          <w:b w:val="0"/>
        </w:rPr>
      </w:pPr>
      <w:r>
        <w:t>26. januar 2024</w:t>
      </w:r>
    </w:p>
    <w:p w:rsidR="00A87E61" w:rsidRDefault="00A87E61" w:rsidP="00A87E61">
      <w:pPr>
        <w:jc w:val="center"/>
        <w:rPr>
          <w:b/>
          <w:sz w:val="24"/>
          <w:szCs w:val="24"/>
        </w:rPr>
      </w:pPr>
    </w:p>
    <w:p w:rsidR="007A4B60" w:rsidRDefault="007A4B60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49104B" w:rsidRDefault="00A87E61" w:rsidP="00A87E6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Monoprost</w:t>
      </w:r>
      <w:proofErr w:type="spellEnd"/>
      <w:r>
        <w:rPr>
          <w:b/>
          <w:sz w:val="24"/>
          <w:szCs w:val="24"/>
        </w:rPr>
        <w:t>, øjendråber, opløsning, enkeltdosisbeholder</w:t>
      </w:r>
      <w:r w:rsidR="006B21A0">
        <w:rPr>
          <w:b/>
          <w:sz w:val="24"/>
          <w:szCs w:val="24"/>
        </w:rPr>
        <w:t xml:space="preserve"> (Medartuum)</w:t>
      </w:r>
    </w:p>
    <w:p w:rsidR="00A87E61" w:rsidRPr="00EC0B9B" w:rsidRDefault="00A87E61" w:rsidP="00A87E61">
      <w:pPr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0.</w:t>
      </w:r>
      <w:r w:rsidRPr="00E07299">
        <w:rPr>
          <w:b/>
          <w:sz w:val="24"/>
          <w:szCs w:val="24"/>
        </w:rPr>
        <w:tab/>
        <w:t>D.SP.NR.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28012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1.</w:t>
      </w:r>
      <w:r w:rsidRPr="00E07299">
        <w:rPr>
          <w:b/>
          <w:sz w:val="24"/>
          <w:szCs w:val="24"/>
        </w:rPr>
        <w:tab/>
        <w:t>LÆGEMIDLETS NAVN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Monoprost</w:t>
      </w:r>
      <w:proofErr w:type="spellEnd"/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2.</w:t>
      </w:r>
      <w:r w:rsidRPr="00E07299">
        <w:rPr>
          <w:b/>
          <w:sz w:val="24"/>
          <w:szCs w:val="24"/>
        </w:rPr>
        <w:tab/>
        <w:t>KVALITATIV OG KVANTITATIV SAMMENSÆTNING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1 ml øjendråber, opløsning indeholder 50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Én øjendråbe indeholder cirka 1,5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Hjælpestof, som behandleren skal være opmærksom på: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ml øjendråber, opløsning indeholder 50 mg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Alle hjælpestoffer er anført under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3.</w:t>
      </w:r>
      <w:r w:rsidRPr="00E07299">
        <w:rPr>
          <w:b/>
          <w:sz w:val="24"/>
          <w:szCs w:val="24"/>
        </w:rPr>
        <w:tab/>
        <w:t>LÆGEMIDDELFORM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Øjendråber, opløsning i enkeltdosisbeholder</w:t>
      </w:r>
      <w:r w:rsidR="006B21A0">
        <w:rPr>
          <w:sz w:val="24"/>
          <w:szCs w:val="24"/>
        </w:rPr>
        <w:t xml:space="preserve"> (Medartuum)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</w:t>
      </w:r>
      <w:r w:rsidRPr="00E07299">
        <w:rPr>
          <w:b/>
          <w:sz w:val="24"/>
          <w:szCs w:val="24"/>
        </w:rPr>
        <w:tab/>
        <w:t>KLINISKE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  <w:u w:val="single"/>
        </w:rPr>
      </w:pPr>
      <w:r w:rsidRPr="00E07299">
        <w:rPr>
          <w:b/>
          <w:sz w:val="24"/>
          <w:szCs w:val="24"/>
        </w:rPr>
        <w:t>4.1</w:t>
      </w:r>
      <w:r w:rsidRPr="00E07299">
        <w:rPr>
          <w:b/>
          <w:sz w:val="24"/>
          <w:szCs w:val="24"/>
        </w:rPr>
        <w:tab/>
        <w:t>Terapeutiske 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Reduktion af forhøjet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hos patienter med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4.2</w:t>
      </w:r>
      <w:r w:rsidRPr="00E07299">
        <w:rPr>
          <w:b/>
          <w:sz w:val="24"/>
          <w:szCs w:val="24"/>
        </w:rPr>
        <w:tab/>
        <w:t>Dosering og indgivelsesmåde</w:t>
      </w:r>
    </w:p>
    <w:p w:rsidR="00A87E61" w:rsidRPr="00E07299" w:rsidRDefault="00A87E61" w:rsidP="00A87E61">
      <w:pPr>
        <w:ind w:left="851" w:hanging="851"/>
        <w:rPr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sz w:val="24"/>
          <w:szCs w:val="24"/>
          <w:u w:val="single"/>
        </w:rPr>
        <w:t>Dosering</w:t>
      </w: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Anbefalet dosering til voksne (inklusive ældre):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Anbefalet behandling er én dråbe i det/de angrebne </w:t>
      </w:r>
      <w:proofErr w:type="gramStart"/>
      <w:r w:rsidRPr="00E07299">
        <w:rPr>
          <w:sz w:val="24"/>
          <w:szCs w:val="24"/>
        </w:rPr>
        <w:t>øje/øjne</w:t>
      </w:r>
      <w:proofErr w:type="gramEnd"/>
      <w:r w:rsidRPr="00E07299">
        <w:rPr>
          <w:sz w:val="24"/>
          <w:szCs w:val="24"/>
        </w:rPr>
        <w:t xml:space="preserve"> én gang dagligt. Optimal virkning opnås, 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administreres om aftenen.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kun doseres en gang dagligt, da det er vist, at hyppigere administration mindsker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trykreducerende virkning.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Hvis en dosis springes over, bør behandlingen fortsættes med næste dosis som normalt.</w:t>
      </w:r>
    </w:p>
    <w:p w:rsidR="00A87E61" w:rsidRDefault="00A87E61" w:rsidP="00A87E61">
      <w:pPr>
        <w:ind w:left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Pædiatrisk population: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foreligger ingen data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-formuleringen.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Administration</w:t>
      </w: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anvendelse.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Ligesom med andre øjendråber anbefales det at sammenpresse tåresækken ved den </w:t>
      </w:r>
      <w:proofErr w:type="spellStart"/>
      <w:r>
        <w:rPr>
          <w:sz w:val="24"/>
          <w:szCs w:val="24"/>
        </w:rPr>
        <w:t>mediale</w:t>
      </w:r>
      <w:proofErr w:type="spellEnd"/>
      <w:r>
        <w:rPr>
          <w:sz w:val="24"/>
          <w:szCs w:val="24"/>
        </w:rPr>
        <w:t xml:space="preserve"> øjenkrog (punktlig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 xml:space="preserve">) i et minut for at mindske muligheden for systemisk absorption. Dette bør gøres umiddelbart efter </w:t>
      </w:r>
      <w:proofErr w:type="spellStart"/>
      <w:r>
        <w:rPr>
          <w:sz w:val="24"/>
          <w:szCs w:val="24"/>
        </w:rPr>
        <w:t>inddrypning</w:t>
      </w:r>
      <w:proofErr w:type="spellEnd"/>
      <w:r>
        <w:rPr>
          <w:sz w:val="24"/>
          <w:szCs w:val="24"/>
        </w:rPr>
        <w:t xml:space="preserve"> af hver øjendråbe.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Kontaktlinser bør fjernes, inden drypning med øjendråberne, og kan genindsættes 15 minutter efter drypning.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der anvendes mere end 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øjenlægemiddel, bør lægemidlerne admini</w:t>
      </w:r>
      <w:r>
        <w:rPr>
          <w:sz w:val="24"/>
          <w:szCs w:val="24"/>
        </w:rPr>
        <w:softHyphen/>
        <w:t>streres med mindst 5 minutters mellemrum.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En enkeltdosisbeholder indeholder nok øjendråber til behandling af begge øjne.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Kun til engangsbrug.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en steril opløsning, som ikke indeholder konserveringsmidler. Opløsningen i én enkeltdosisbeholder skal anvendes umiddelbart efter anbrud til administration i det/de berørte </w:t>
      </w:r>
      <w:proofErr w:type="gramStart"/>
      <w:r>
        <w:rPr>
          <w:sz w:val="24"/>
          <w:szCs w:val="24"/>
        </w:rPr>
        <w:t>øje/øjne</w:t>
      </w:r>
      <w:proofErr w:type="gramEnd"/>
      <w:r>
        <w:rPr>
          <w:sz w:val="24"/>
          <w:szCs w:val="24"/>
        </w:rPr>
        <w:t xml:space="preserve">. Da sterilitet ikke kan opretholdes, efter at den enkelte enkeltdosisbeholder er </w:t>
      </w:r>
      <w:proofErr w:type="spellStart"/>
      <w:r>
        <w:rPr>
          <w:sz w:val="24"/>
          <w:szCs w:val="24"/>
        </w:rPr>
        <w:t>anbrudt</w:t>
      </w:r>
      <w:proofErr w:type="spellEnd"/>
      <w:r>
        <w:rPr>
          <w:sz w:val="24"/>
          <w:szCs w:val="24"/>
        </w:rPr>
        <w:t xml:space="preserve">, skal restindhold bortskaffes umiddelbart efter administration. </w:t>
      </w:r>
    </w:p>
    <w:p w:rsidR="00A87E61" w:rsidRDefault="00A87E61" w:rsidP="00A87E61">
      <w:pPr>
        <w:ind w:left="851" w:hanging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Patienter bør instrueres i: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 xml:space="preserve">at undgå </w:t>
      </w:r>
      <w:proofErr w:type="spellStart"/>
      <w:r w:rsidRPr="00E07299">
        <w:rPr>
          <w:sz w:val="24"/>
          <w:szCs w:val="24"/>
        </w:rPr>
        <w:t>konktakt</w:t>
      </w:r>
      <w:proofErr w:type="spellEnd"/>
      <w:r w:rsidRPr="00E07299">
        <w:rPr>
          <w:sz w:val="24"/>
          <w:szCs w:val="24"/>
        </w:rPr>
        <w:t xml:space="preserve"> mellem flaskens spids og øjet eller øjenlåget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>at anvende opløsningen med øjendråber umiddelbart efter første anbrud af enkeltdosisbeholderen og at bortskaffe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4.3</w:t>
      </w:r>
      <w:r w:rsidRPr="00E07299">
        <w:rPr>
          <w:b/>
          <w:sz w:val="24"/>
          <w:szCs w:val="24"/>
        </w:rPr>
        <w:tab/>
        <w:t>Kontraindikationer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Overfølsomhed over for det </w:t>
      </w:r>
      <w:r w:rsidRPr="00E07299">
        <w:rPr>
          <w:sz w:val="24"/>
          <w:szCs w:val="24"/>
        </w:rPr>
        <w:t>aktive stof eller over for et eller flere af hjælpestofferne anført i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4.4</w:t>
      </w:r>
      <w:r w:rsidRPr="00E07299">
        <w:rPr>
          <w:b/>
          <w:sz w:val="24"/>
          <w:szCs w:val="24"/>
        </w:rPr>
        <w:tab/>
        <w:t>Særlige advarsler og forsigtighedsregler vedrørende brugen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gradvist ændre øjenfarven ved at øge mængden af brunt pigment i iris. Før behandling indledes, bør patienten oplyses om risikoen for permanent ændring af øjenfarven. Unilateral behandling kan resultere i permanent </w:t>
      </w:r>
      <w:proofErr w:type="spellStart"/>
      <w:r w:rsidRPr="00E07299">
        <w:rPr>
          <w:sz w:val="24"/>
          <w:szCs w:val="24"/>
        </w:rPr>
        <w:t>heterochromi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Ændringen i øjenfarven er overvejende set hos patienter med blandet farvning af iris, </w:t>
      </w:r>
      <w:r>
        <w:rPr>
          <w:sz w:val="24"/>
          <w:szCs w:val="24"/>
        </w:rPr>
        <w:t>f.eks.</w:t>
      </w:r>
      <w:r w:rsidRPr="00E07299">
        <w:rPr>
          <w:sz w:val="24"/>
          <w:szCs w:val="24"/>
        </w:rPr>
        <w:t xml:space="preserve"> blå-brun, </w:t>
      </w:r>
      <w:proofErr w:type="spellStart"/>
      <w:r w:rsidRPr="00E07299">
        <w:rPr>
          <w:sz w:val="24"/>
          <w:szCs w:val="24"/>
        </w:rPr>
        <w:t>grå-brun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grøn-brun</w:t>
      </w:r>
      <w:proofErr w:type="spellEnd"/>
      <w:r w:rsidRPr="00E07299">
        <w:rPr>
          <w:sz w:val="24"/>
          <w:szCs w:val="24"/>
        </w:rPr>
        <w:t xml:space="preserve">. I studier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ses ændringen sædvanligvis i de første 8 måneder af behandlingen, sjældent ved behandlingen igennem to og tre år og er ikke set efter fjerde års behandling. Hastigheden hvormed irispigmenteringen sker aftager med tiden og er stabil i fem år. Effekten på øget irispigmentering er ikke evalueret efter mere end fem års behandling. I et åbent 5-års sikkerhedsstudie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udviklede 33% af patienterne irispigmentering (se pkt. 4.8). Farveændringen af iris er i størstedelen af tilfældene svag, og ofte kan den ikke ses klinisk. Hyppigheden hos patienter med blandet farvning af iris ligger mellem 7% og 85% med den største hyppighed ved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iris. Hos patienter med homogene blå øjne er der ikke set ændringer, og hos patienter med homogene grå, grønne eller brune øjne er ændringen kun sjældent set.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Farveændringen skyldes øget melaninindhold i </w:t>
      </w:r>
      <w:proofErr w:type="spellStart"/>
      <w:r w:rsidRPr="00E07299">
        <w:rPr>
          <w:sz w:val="24"/>
          <w:szCs w:val="24"/>
        </w:rPr>
        <w:t>stroma</w:t>
      </w:r>
      <w:proofErr w:type="spellEnd"/>
      <w:r w:rsidRPr="00E07299">
        <w:rPr>
          <w:sz w:val="24"/>
          <w:szCs w:val="24"/>
        </w:rPr>
        <w:t xml:space="preserve"> melanocytterne i iris, og ikke en stigning i antallet af melanocytter. Den brune pigmentering breder sig typisk koncentrisk </w:t>
      </w:r>
      <w:r w:rsidRPr="00E07299">
        <w:rPr>
          <w:sz w:val="24"/>
          <w:szCs w:val="24"/>
        </w:rPr>
        <w:lastRenderedPageBreak/>
        <w:t xml:space="preserve">omkring pupillen mod periferien af det behandlede øje, men hele iris eller dele af denne kan blive mere brunlig. Der er ikke iagttaget yderligere stigning af brunt pigment i iris efter </w:t>
      </w:r>
      <w:proofErr w:type="spellStart"/>
      <w:r w:rsidRPr="00E07299">
        <w:rPr>
          <w:sz w:val="24"/>
          <w:szCs w:val="24"/>
        </w:rPr>
        <w:t>seponering</w:t>
      </w:r>
      <w:proofErr w:type="spellEnd"/>
      <w:r w:rsidRPr="00E07299">
        <w:rPr>
          <w:sz w:val="24"/>
          <w:szCs w:val="24"/>
        </w:rPr>
        <w:t xml:space="preserve"> af behandlingen. I de kliniske afprøvninger har den indtil nu ikke været forbundet med symptomer eller patologiske ændringer.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Hverken </w:t>
      </w:r>
      <w:proofErr w:type="spellStart"/>
      <w:r w:rsidRPr="00E07299">
        <w:rPr>
          <w:sz w:val="24"/>
          <w:szCs w:val="24"/>
        </w:rPr>
        <w:t>naevi</w:t>
      </w:r>
      <w:proofErr w:type="spellEnd"/>
      <w:r w:rsidRPr="00E07299">
        <w:rPr>
          <w:sz w:val="24"/>
          <w:szCs w:val="24"/>
        </w:rPr>
        <w:t xml:space="preserve"> eller pletter på iris er blevet påvirket af behandling. Akkumulation af pigment i </w:t>
      </w:r>
      <w:proofErr w:type="spellStart"/>
      <w:r w:rsidRPr="00E07299">
        <w:rPr>
          <w:sz w:val="24"/>
          <w:szCs w:val="24"/>
        </w:rPr>
        <w:t>trabekelværket</w:t>
      </w:r>
      <w:proofErr w:type="spellEnd"/>
      <w:r w:rsidRPr="00E07299">
        <w:rPr>
          <w:sz w:val="24"/>
          <w:szCs w:val="24"/>
        </w:rPr>
        <w:t xml:space="preserve"> eller andetsteds i forkammeret er ikke iagttaget i kliniske afprøvninger. Øget irispigmentering har efter 5 års klinisk erfaring ikke vist sig at have negative kliniske følger, og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fortsætte selv om der opstår irispigmentering. Patienterne bør dog undersøges regelmæssigt, og hvis den kliniske situation berettiger det,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behandlingen seponeres.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begrænset klinisk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kronisk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hos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og ved </w:t>
      </w:r>
      <w:proofErr w:type="spellStart"/>
      <w:r w:rsidRPr="00E07299">
        <w:rPr>
          <w:sz w:val="24"/>
          <w:szCs w:val="24"/>
        </w:rPr>
        <w:t>pigmentglaukom</w:t>
      </w:r>
      <w:proofErr w:type="spellEnd"/>
      <w:r w:rsidRPr="00E07299">
        <w:rPr>
          <w:sz w:val="24"/>
          <w:szCs w:val="24"/>
        </w:rPr>
        <w:t xml:space="preserve">. Der er ingen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inflammatorisk og </w:t>
      </w:r>
      <w:proofErr w:type="spellStart"/>
      <w:r w:rsidRPr="00E07299">
        <w:rPr>
          <w:sz w:val="24"/>
          <w:szCs w:val="24"/>
        </w:rPr>
        <w:t>neovaskulært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inflammatoriske øjenlidelser og medfødt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ringe virkning på pupillen, men der er ingen erfaring ved akutte anfald af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Det anbefales derfor,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bruges med forsigtighed ved disse tilstande, indtil mere erfaring er opnået.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begrænsede forsøgsdata for brug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den </w:t>
      </w:r>
      <w:proofErr w:type="spellStart"/>
      <w:r w:rsidRPr="00E07299">
        <w:rPr>
          <w:sz w:val="24"/>
          <w:szCs w:val="24"/>
        </w:rPr>
        <w:t>peri</w:t>
      </w:r>
      <w:proofErr w:type="spellEnd"/>
      <w:r w:rsidRPr="00E07299">
        <w:rPr>
          <w:sz w:val="24"/>
          <w:szCs w:val="24"/>
        </w:rPr>
        <w:t xml:space="preserve">-operative periode ved katarakt operation.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disse patienter.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patienter med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i anamnesen og bør undgås i tilfælde af aktiv herpes </w:t>
      </w:r>
      <w:proofErr w:type="spellStart"/>
      <w:r w:rsidRPr="00E07299">
        <w:rPr>
          <w:sz w:val="24"/>
          <w:szCs w:val="24"/>
        </w:rPr>
        <w:t>simplex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og hos patienter med tidligere tilbagevendende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specifikt forbundet med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om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(se pkt. 4.8) især hos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med iturevet bageste linsekapsel eller med forkammerlinser,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(så som diabetes </w:t>
      </w:r>
      <w:proofErr w:type="spellStart"/>
      <w:r w:rsidRPr="00E07299">
        <w:rPr>
          <w:sz w:val="24"/>
          <w:szCs w:val="24"/>
        </w:rPr>
        <w:t>retinopati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retinalvene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okklusion</w:t>
      </w:r>
      <w:proofErr w:type="spellEnd"/>
      <w:r w:rsidRPr="00E07299">
        <w:rPr>
          <w:sz w:val="24"/>
          <w:szCs w:val="24"/>
        </w:rPr>
        <w:t xml:space="preserve">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til </w:t>
      </w:r>
      <w:proofErr w:type="spellStart"/>
      <w:r w:rsidRPr="00E07299">
        <w:rPr>
          <w:sz w:val="24"/>
          <w:szCs w:val="24"/>
        </w:rPr>
        <w:t>pseudophagiske</w:t>
      </w:r>
      <w:proofErr w:type="spellEnd"/>
      <w:r w:rsidRPr="00E07299">
        <w:rPr>
          <w:sz w:val="24"/>
          <w:szCs w:val="24"/>
        </w:rPr>
        <w:t xml:space="preserve"> patienter med iturevet linsekapsel eller forkammerlinse,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Hos prædisponerede patienter med kendte risikofaktorer for </w:t>
      </w:r>
      <w:proofErr w:type="spellStart"/>
      <w:r w:rsidRPr="00E07299">
        <w:rPr>
          <w:sz w:val="24"/>
          <w:szCs w:val="24"/>
        </w:rPr>
        <w:t>iritis</w:t>
      </w:r>
      <w:proofErr w:type="spellEnd"/>
      <w:r w:rsidRPr="00E07299">
        <w:rPr>
          <w:sz w:val="24"/>
          <w:szCs w:val="24"/>
        </w:rPr>
        <w:t>/</w:t>
      </w:r>
      <w:proofErr w:type="spellStart"/>
      <w:r w:rsidRPr="00E07299">
        <w:rPr>
          <w:sz w:val="24"/>
          <w:szCs w:val="24"/>
        </w:rPr>
        <w:t>uveitis</w:t>
      </w:r>
      <w:proofErr w:type="spellEnd"/>
      <w:r w:rsidRPr="00E07299">
        <w:rPr>
          <w:sz w:val="24"/>
          <w:szCs w:val="24"/>
        </w:rPr>
        <w:t xml:space="preserve">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anvendes med forsigtighed.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begrænset erfaring med patienter med astma, men der er efter markedsføring rapporteret tilfælde af forværring af astma og/eller dyspnø. Astmapatienter bør derfor behandles med forsigtighed, indtil der er opnået tilstrækkelig erfaring, se også pkt. 4.8.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set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huden, hvor hovedparten af tilfældene stammer fra japanske patienter. Den hidtidige erfaring viser, at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 ikke er permanent og har i nogle tilfælde været reversibel ved fortsat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 ændre øjenvipper og vellushår ved det behandlede øje og dets omgivelser. Disse ændringer omfatter øget længde, tykkelse og pigmentering, øget antal øjenvipper eller hår og øjenvipper, som vokser i forkert retning. Ændringer i øjenvipper forsvinder efter ophør af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Monoprost</w:t>
      </w:r>
      <w:proofErr w:type="spellEnd"/>
      <w:r>
        <w:rPr>
          <w:sz w:val="24"/>
          <w:szCs w:val="24"/>
        </w:rPr>
        <w:t xml:space="preserve"> indeholder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 som kan medføre hudreaktioner. På nuværende tidspunkt er sikkerhedsdata fra langtidsstudier for dette hjælpestof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4.5</w:t>
      </w:r>
      <w:r w:rsidRPr="00E07299">
        <w:rPr>
          <w:b/>
          <w:sz w:val="24"/>
          <w:szCs w:val="24"/>
        </w:rPr>
        <w:tab/>
        <w:t>Interaktion med andre lægemidler og andre former for interaktion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Definitive data vedrørende lægemiddelinteraktion er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paradoksale stigninger i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efter samtidig </w:t>
      </w:r>
      <w:proofErr w:type="spellStart"/>
      <w:r w:rsidRPr="00E07299">
        <w:rPr>
          <w:sz w:val="24"/>
          <w:szCs w:val="24"/>
        </w:rPr>
        <w:t>oftalmisk</w:t>
      </w:r>
      <w:proofErr w:type="spellEnd"/>
      <w:r w:rsidRPr="00E07299">
        <w:rPr>
          <w:sz w:val="24"/>
          <w:szCs w:val="24"/>
        </w:rPr>
        <w:t xml:space="preserve"> brug af to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. Det frarådes derfor at bruge to eller flere </w:t>
      </w:r>
      <w:proofErr w:type="spellStart"/>
      <w:r w:rsidRPr="00E07299">
        <w:rPr>
          <w:sz w:val="24"/>
          <w:szCs w:val="24"/>
        </w:rPr>
        <w:t>prostaglandiner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prostaglandinderivater</w:t>
      </w:r>
      <w:proofErr w:type="spellEnd"/>
      <w:r w:rsidRPr="00E07299">
        <w:rPr>
          <w:sz w:val="24"/>
          <w:szCs w:val="24"/>
        </w:rPr>
        <w:t xml:space="preserve"> samtidigt.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4.6</w:t>
      </w:r>
      <w:r w:rsidRPr="00E07299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E07299">
        <w:rPr>
          <w:b/>
          <w:sz w:val="24"/>
          <w:szCs w:val="24"/>
        </w:rPr>
        <w:t>raviditet og amning</w:t>
      </w: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A87E61" w:rsidRDefault="00A87E61" w:rsidP="00A87E61">
      <w:pPr>
        <w:autoSpaceDE w:val="0"/>
        <w:autoSpaceDN w:val="0"/>
        <w:adjustRightInd w:val="0"/>
        <w:ind w:left="855"/>
        <w:rPr>
          <w:rFonts w:eastAsia="TimesNewRoman"/>
          <w:sz w:val="24"/>
          <w:szCs w:val="24"/>
          <w:lang w:eastAsia="en-GB"/>
        </w:rPr>
      </w:pPr>
      <w:r>
        <w:rPr>
          <w:rFonts w:eastAsia="TimesNewRoman"/>
          <w:sz w:val="24"/>
          <w:szCs w:val="24"/>
          <w:lang w:eastAsia="en-GB"/>
        </w:rPr>
        <w:t xml:space="preserve">Dyrestudier med </w:t>
      </w:r>
      <w:proofErr w:type="spellStart"/>
      <w:r>
        <w:rPr>
          <w:rFonts w:eastAsia="TimesNewRoman"/>
          <w:sz w:val="24"/>
          <w:szCs w:val="24"/>
          <w:lang w:eastAsia="en-GB"/>
        </w:rPr>
        <w:t>latanoprost</w:t>
      </w:r>
      <w:proofErr w:type="spellEnd"/>
      <w:r>
        <w:rPr>
          <w:rFonts w:eastAsia="TimesNewRoman"/>
          <w:sz w:val="24"/>
          <w:szCs w:val="24"/>
          <w:lang w:eastAsia="en-GB"/>
        </w:rPr>
        <w:t xml:space="preserve"> har ikke vist påvirkning af fertilitet hos hverken mænd eller kvinder (se pkt. 5.3).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Graviditet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Sikkerheden ved brug af dette lægemiddel under graviditet er ikke fastslået.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potentielt skadelige farmakologiske virkninger med hensyn til graviditetsforløb, det ufødte eller det nyfødte barn.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under graviditet.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Amning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og dets metabolitter kan passere over i modermælken og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af ammende kvinder eller amningen bør ophøre.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4.7</w:t>
      </w:r>
      <w:r w:rsidRPr="00E07299">
        <w:rPr>
          <w:b/>
          <w:sz w:val="24"/>
          <w:szCs w:val="24"/>
        </w:rPr>
        <w:tab/>
        <w:t xml:space="preserve">Virkninger på evnen til at føre motorkøretøj </w:t>
      </w:r>
      <w:r>
        <w:rPr>
          <w:b/>
          <w:sz w:val="24"/>
          <w:szCs w:val="24"/>
        </w:rPr>
        <w:t>og</w:t>
      </w:r>
      <w:r w:rsidRPr="00E07299">
        <w:rPr>
          <w:b/>
          <w:sz w:val="24"/>
          <w:szCs w:val="24"/>
        </w:rPr>
        <w:t xml:space="preserve"> betjene maskiner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udført studier af dette lægemiddel med hensyn til evnen til at føre motorkøretøj.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Som ved andre øjenpræparater kan </w:t>
      </w:r>
      <w:proofErr w:type="spellStart"/>
      <w:r w:rsidRPr="00E07299">
        <w:rPr>
          <w:sz w:val="24"/>
          <w:szCs w:val="24"/>
        </w:rPr>
        <w:t>inddrypning</w:t>
      </w:r>
      <w:proofErr w:type="spellEnd"/>
      <w:r w:rsidRPr="00E07299">
        <w:rPr>
          <w:sz w:val="24"/>
          <w:szCs w:val="24"/>
        </w:rPr>
        <w:t xml:space="preserve"> af øjendråber forårsage forbigående sløring af synet. Patienten bør ikke færdes i trafikken eller betjene maskiner før synet atter er normalt.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4.8</w:t>
      </w:r>
      <w:r w:rsidRPr="00E07299">
        <w:rPr>
          <w:b/>
          <w:sz w:val="24"/>
          <w:szCs w:val="24"/>
        </w:rPr>
        <w:tab/>
        <w:t>Bivirkninger</w:t>
      </w:r>
    </w:p>
    <w:p w:rsidR="00A87E61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noProof/>
          <w:szCs w:val="22"/>
          <w:u w:val="single"/>
        </w:rPr>
        <w:t xml:space="preserve">a. </w:t>
      </w:r>
      <w:r>
        <w:rPr>
          <w:sz w:val="24"/>
          <w:szCs w:val="24"/>
          <w:u w:val="single"/>
        </w:rPr>
        <w:t>Sammendrag af sikkerhedsprofilen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Størstedelen af bivirkningerne er relateret til øjnene. I et åbent 5-års sikkerhedsforsøg med </w:t>
      </w:r>
      <w:proofErr w:type="spellStart"/>
      <w:r>
        <w:rPr>
          <w:sz w:val="24"/>
          <w:szCs w:val="24"/>
        </w:rPr>
        <w:t>latanoprost</w:t>
      </w:r>
      <w:proofErr w:type="spellEnd"/>
      <w:r>
        <w:rPr>
          <w:sz w:val="24"/>
          <w:szCs w:val="24"/>
        </w:rPr>
        <w:t xml:space="preserve"> udviklede 33 % af patienterne irispigmentering (se pkt. 4.4). Øvrige øjenbivirkninger er generelt forbigående og forekommer i forbindelse med drypning. </w:t>
      </w:r>
    </w:p>
    <w:p w:rsidR="00A87E61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b. Liste over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og deres hyppigheder angivet nedenfor, er dem der er beskrevet for referenceproduktet.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Bivirkningerne er anført efter følgende hyppighed: meget almindelig (≥1/10), almindelig (≥1/100 til &lt;1/10), ikke almindelig (≥1/1000 til &lt;1/100), sjælden (≥1/10.000 til &lt;1/1.000) og meget sjælden (&lt;1/10.000), ikke kendt hyppighed (kan ikke estimeres ud fra forhåndenværende data).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608"/>
        <w:gridCol w:w="1388"/>
        <w:gridCol w:w="1439"/>
        <w:gridCol w:w="1637"/>
        <w:gridCol w:w="1695"/>
      </w:tblGrid>
      <w:tr w:rsidR="00A87E61" w:rsidTr="003B4BCE">
        <w:trPr>
          <w:tblHeader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lastRenderedPageBreak/>
              <w:t>System-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organklasse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1/100 til &lt;1/10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Ikke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1/1.000 til &lt;1/100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1/10.0000 til &lt;1/1.000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t>&lt;1/10.000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szCs w:val="24"/>
              </w:rPr>
              <w:t>Infektioner og parasitære sygdomme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Cs w:val="24"/>
              </w:rPr>
              <w:t>Herpetisk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val="fr-FR" w:eastAsia="fr-FR"/>
              </w:rPr>
              <w:t>*§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Nervesystemet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Hovedpine*;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svimmel-hed*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Øjne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Øget irispigmentering; let til moderat </w:t>
            </w:r>
            <w:proofErr w:type="spellStart"/>
            <w:r>
              <w:rPr>
                <w:sz w:val="24"/>
                <w:szCs w:val="24"/>
                <w:lang w:eastAsia="fr-FR"/>
              </w:rPr>
              <w:t>konjunktival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fr-FR"/>
              </w:rPr>
              <w:t>hyperæmi</w:t>
            </w:r>
            <w:proofErr w:type="spellEnd"/>
            <w:r>
              <w:rPr>
                <w:sz w:val="24"/>
                <w:szCs w:val="24"/>
                <w:lang w:eastAsia="fr-FR"/>
              </w:rPr>
              <w:t>; øjenirritation (brændende fornemmelse, kløe, svien og ”følelse af fremmedlegeme i øjet”); ændring af øjenvipper og vellushår (øget længde, tykkelse, pigmentering og antal)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4"/>
              </w:rPr>
              <w:t>Punktformig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szCs w:val="24"/>
              </w:rPr>
              <w:t xml:space="preserve"> uden symptomer hos de fleste; </w:t>
            </w:r>
            <w:proofErr w:type="spellStart"/>
            <w:r>
              <w:rPr>
                <w:szCs w:val="24"/>
              </w:rPr>
              <w:t>blefaritis</w:t>
            </w:r>
            <w:proofErr w:type="spellEnd"/>
            <w:r>
              <w:rPr>
                <w:szCs w:val="24"/>
              </w:rPr>
              <w:t xml:space="preserve">, øjensmerter, fotofobi; </w:t>
            </w:r>
            <w:proofErr w:type="spellStart"/>
            <w:r>
              <w:rPr>
                <w:szCs w:val="24"/>
              </w:rPr>
              <w:t>konjunktivitis</w:t>
            </w:r>
            <w:proofErr w:type="spellEnd"/>
            <w:r>
              <w:rPr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Øjenlågsødem; tørre øjne,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sløret syn;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herunder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cystoid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uveitis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Iritis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ødemer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erosioner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fr-FR"/>
              </w:rPr>
              <w:t>periorbitalt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ødem; trichiasis*;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distichiasis</w:t>
            </w:r>
            <w:proofErr w:type="spellEnd"/>
            <w:r>
              <w:rPr>
                <w:sz w:val="24"/>
                <w:szCs w:val="24"/>
                <w:lang w:eastAsia="fr-FR"/>
              </w:rPr>
              <w:t>; iriscyste*§;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highlight w:val="yellow"/>
                <w:lang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lokal hudirritation på øjenlågene; mørkfarvning af øjenlågshuden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Periorbitale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og øjenlågsforandringer, der medfører fordybning af øjenlågets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sulcus</w:t>
            </w:r>
            <w:proofErr w:type="spellEnd"/>
          </w:p>
          <w:p w:rsidR="00A87E61" w:rsidRDefault="00A87E61" w:rsidP="003B4BCE">
            <w:pPr>
              <w:spacing w:after="63"/>
              <w:rPr>
                <w:color w:val="000000"/>
                <w:sz w:val="24"/>
                <w:szCs w:val="24"/>
                <w:lang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Hjerte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Angina;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palpitationer*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Cs w:val="24"/>
              </w:rPr>
              <w:t>Ustabil angina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Luftveje, thorax og </w:t>
            </w:r>
            <w:proofErr w:type="spellStart"/>
            <w:r>
              <w:rPr>
                <w:sz w:val="24"/>
                <w:szCs w:val="24"/>
                <w:lang w:eastAsia="fr-FR"/>
              </w:rPr>
              <w:t>mediastinum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dyspnø*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eksacerbation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3E331C" w:rsidTr="003E33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Mave-tarm-kanalen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Kvalme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*;</w:t>
            </w:r>
          </w:p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opkastning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Cs w:val="24"/>
                <w:lang w:val="en-US"/>
              </w:rPr>
              <w:t xml:space="preserve">Hud og </w:t>
            </w:r>
            <w:proofErr w:type="spellStart"/>
            <w:r>
              <w:rPr>
                <w:szCs w:val="24"/>
                <w:lang w:val="en-US"/>
              </w:rPr>
              <w:t>subkutane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væv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Udslæt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Pruritus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Knogler, led, muskler og bindevæv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Myalgi*;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artralgi*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Almene symptomer og reaktioner på administrationsstedet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Bryst-smerter*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</w:tbl>
    <w:p w:rsidR="00A87E61" w:rsidRDefault="00A87E61" w:rsidP="00A87E61">
      <w:pPr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*Bivirkninger rapporteret efter markedsføring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§Bivirkningsfrekvens estimeret ved brug af “the </w:t>
      </w:r>
      <w:proofErr w:type="spellStart"/>
      <w:r>
        <w:rPr>
          <w:sz w:val="24"/>
          <w:szCs w:val="24"/>
        </w:rPr>
        <w:t>rule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>”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c. Beskrivelse af udvalgte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Der foreligger ingen oplysninger.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d. Pædiatrisk population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foreligger ingen oplysninger for </w:t>
      </w:r>
      <w:proofErr w:type="spellStart"/>
      <w:r>
        <w:rPr>
          <w:sz w:val="24"/>
          <w:szCs w:val="24"/>
        </w:rPr>
        <w:t>Monoprost</w:t>
      </w:r>
      <w:proofErr w:type="spellEnd"/>
      <w:r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Cs/>
          <w:sz w:val="24"/>
          <w:szCs w:val="24"/>
        </w:rPr>
      </w:pPr>
    </w:p>
    <w:p w:rsidR="00A87E61" w:rsidRDefault="00A87E61" w:rsidP="00A87E61">
      <w:pPr>
        <w:ind w:left="851"/>
        <w:rPr>
          <w:color w:val="000000"/>
          <w:sz w:val="24"/>
          <w:szCs w:val="24"/>
          <w:u w:val="single"/>
          <w:lang w:eastAsia="sv-SE"/>
        </w:rPr>
      </w:pPr>
      <w:r>
        <w:rPr>
          <w:color w:val="000000"/>
          <w:sz w:val="24"/>
          <w:szCs w:val="24"/>
          <w:u w:val="single"/>
          <w:lang w:eastAsia="sv-SE"/>
        </w:rPr>
        <w:t>Indberetning af formodede bivirkninger</w:t>
      </w:r>
    </w:p>
    <w:p w:rsidR="00A87E61" w:rsidRDefault="00A87E61" w:rsidP="00A87E61">
      <w:pPr>
        <w:shd w:val="clear" w:color="auto" w:fill="FFFFFF"/>
        <w:ind w:left="851"/>
        <w:rPr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sv-SE"/>
        </w:rPr>
        <w:t>Når lægemidlet er godkendt, er indberetning af formodede bivirkninger vigtig. Det muliggør løbende overvågning af benefit/</w:t>
      </w:r>
      <w:proofErr w:type="spellStart"/>
      <w:r>
        <w:rPr>
          <w:color w:val="000000"/>
          <w:sz w:val="24"/>
          <w:szCs w:val="24"/>
          <w:lang w:eastAsia="sv-SE"/>
        </w:rPr>
        <w:t>risk</w:t>
      </w:r>
      <w:proofErr w:type="spellEnd"/>
      <w:r>
        <w:rPr>
          <w:color w:val="000000"/>
          <w:sz w:val="24"/>
          <w:szCs w:val="24"/>
          <w:lang w:eastAsia="sv-SE"/>
        </w:rPr>
        <w:t xml:space="preserve">-forholdet for lægemidlet. </w:t>
      </w:r>
      <w:r w:rsidR="003E331C">
        <w:rPr>
          <w:color w:val="000000"/>
          <w:sz w:val="24"/>
          <w:szCs w:val="24"/>
          <w:lang w:eastAsia="sv-SE"/>
        </w:rPr>
        <w:t>Sundhedspersoner</w:t>
      </w:r>
      <w:r>
        <w:rPr>
          <w:color w:val="000000"/>
          <w:sz w:val="24"/>
          <w:szCs w:val="24"/>
          <w:lang w:eastAsia="sv-SE"/>
        </w:rPr>
        <w:t xml:space="preserve"> anmodes om at indberette alle formodede bivirkninger via</w:t>
      </w:r>
    </w:p>
    <w:p w:rsidR="00A87E61" w:rsidRDefault="00A87E61" w:rsidP="00A87E61">
      <w:pPr>
        <w:shd w:val="clear" w:color="auto" w:fill="FFFFFF"/>
        <w:tabs>
          <w:tab w:val="left" w:pos="2760"/>
        </w:tabs>
        <w:ind w:left="851"/>
        <w:rPr>
          <w:rFonts w:ascii="Arial" w:hAnsi="Arial" w:cs="Arial"/>
          <w:color w:val="000000"/>
          <w:sz w:val="20"/>
          <w:lang w:eastAsia="sv-SE"/>
        </w:rPr>
      </w:pPr>
      <w:r>
        <w:rPr>
          <w:rFonts w:ascii="Arial" w:hAnsi="Arial" w:cs="Arial"/>
          <w:color w:val="000000"/>
          <w:sz w:val="20"/>
          <w:lang w:eastAsia="sv-SE"/>
        </w:rPr>
        <w:tab/>
      </w:r>
    </w:p>
    <w:p w:rsidR="00A87E61" w:rsidRDefault="00A87E61" w:rsidP="00A87E61">
      <w:pPr>
        <w:ind w:left="851"/>
        <w:rPr>
          <w:rFonts w:eastAsia="Calibri"/>
          <w:color w:val="000000"/>
          <w:sz w:val="24"/>
          <w:szCs w:val="24"/>
          <w:lang w:val="sv-SE" w:eastAsia="zh-CN"/>
        </w:rPr>
      </w:pPr>
      <w:r>
        <w:rPr>
          <w:rFonts w:eastAsia="Calibri"/>
          <w:color w:val="000000"/>
          <w:sz w:val="24"/>
          <w:szCs w:val="24"/>
          <w:lang w:val="sv-SE" w:eastAsia="zh-CN"/>
        </w:rPr>
        <w:t>Lægemiddelstyrelsen</w:t>
      </w:r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val="sv-SE" w:eastAsia="zh-CN"/>
        </w:rPr>
      </w:pPr>
      <w:r>
        <w:rPr>
          <w:rFonts w:eastAsia="Calibri"/>
          <w:sz w:val="24"/>
          <w:szCs w:val="24"/>
          <w:lang w:val="sv-SE" w:eastAsia="zh-CN"/>
        </w:rPr>
        <w:t xml:space="preserve">Axel Heides </w:t>
      </w:r>
      <w:proofErr w:type="spellStart"/>
      <w:r>
        <w:rPr>
          <w:rFonts w:eastAsia="Calibri"/>
          <w:sz w:val="24"/>
          <w:szCs w:val="24"/>
          <w:lang w:val="sv-SE" w:eastAsia="zh-CN"/>
        </w:rPr>
        <w:t>Gade</w:t>
      </w:r>
      <w:proofErr w:type="spellEnd"/>
      <w:r>
        <w:rPr>
          <w:rFonts w:eastAsia="Calibri"/>
          <w:sz w:val="24"/>
          <w:szCs w:val="24"/>
          <w:lang w:val="sv-SE" w:eastAsia="zh-CN"/>
        </w:rPr>
        <w:t xml:space="preserve"> 1</w:t>
      </w:r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 xml:space="preserve">DK-2300 </w:t>
      </w:r>
      <w:r>
        <w:rPr>
          <w:rFonts w:eastAsia="Calibri"/>
          <w:sz w:val="24"/>
          <w:szCs w:val="24"/>
          <w:lang w:eastAsia="zh-CN"/>
        </w:rPr>
        <w:t>København S</w:t>
      </w:r>
    </w:p>
    <w:p w:rsidR="00A87E61" w:rsidRPr="00523F0D" w:rsidRDefault="00A87E61" w:rsidP="00A87E61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523F0D">
        <w:rPr>
          <w:rFonts w:eastAsia="Calibri"/>
          <w:sz w:val="24"/>
          <w:szCs w:val="24"/>
          <w:lang w:eastAsia="zh-CN"/>
        </w:rPr>
        <w:t>Websted</w:t>
      </w:r>
      <w:r w:rsidRPr="00523F0D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9" w:history="1">
        <w:r w:rsidRPr="00523F0D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A87E61" w:rsidRPr="00523F0D" w:rsidRDefault="00A87E61" w:rsidP="00A87E61">
      <w:pPr>
        <w:tabs>
          <w:tab w:val="left" w:pos="-720"/>
          <w:tab w:val="left" w:pos="567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</w:p>
    <w:p w:rsidR="00A87E61" w:rsidRPr="003041D3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041D3">
        <w:rPr>
          <w:b/>
          <w:sz w:val="24"/>
          <w:szCs w:val="24"/>
        </w:rPr>
        <w:t>4.9</w:t>
      </w:r>
      <w:r w:rsidRPr="003041D3">
        <w:rPr>
          <w:b/>
          <w:sz w:val="24"/>
          <w:szCs w:val="24"/>
        </w:rPr>
        <w:tab/>
        <w:t>Overdosering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3041D3">
        <w:rPr>
          <w:sz w:val="24"/>
          <w:szCs w:val="24"/>
        </w:rPr>
        <w:tab/>
      </w:r>
      <w:r w:rsidRPr="00E07299">
        <w:rPr>
          <w:sz w:val="24"/>
          <w:szCs w:val="24"/>
        </w:rPr>
        <w:t xml:space="preserve">Bortset fra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irritation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kendes ingen andre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bivirkninger ved overdosering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indtages utilsigtet kan følgende information være nyttig: én enkeltdosisbeholder indeholder 10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. Mere end 90 % </w:t>
      </w:r>
      <w:proofErr w:type="spellStart"/>
      <w:r w:rsidRPr="00E07299">
        <w:rPr>
          <w:sz w:val="24"/>
          <w:szCs w:val="24"/>
        </w:rPr>
        <w:t>metaboliseres</w:t>
      </w:r>
      <w:proofErr w:type="spellEnd"/>
      <w:r w:rsidRPr="00E07299">
        <w:rPr>
          <w:sz w:val="24"/>
          <w:szCs w:val="24"/>
        </w:rPr>
        <w:t xml:space="preserve"> ved </w:t>
      </w:r>
      <w:proofErr w:type="spellStart"/>
      <w:r w:rsidRPr="00E07299">
        <w:rPr>
          <w:sz w:val="24"/>
          <w:szCs w:val="24"/>
        </w:rPr>
        <w:t>firstpass</w:t>
      </w:r>
      <w:proofErr w:type="spellEnd"/>
      <w:r w:rsidRPr="00E07299">
        <w:rPr>
          <w:sz w:val="24"/>
          <w:szCs w:val="24"/>
        </w:rPr>
        <w:t xml:space="preserve"> metabolisme i leveren. Intravenøs infusion af 3 mikrogram/kg til raske frivillige resulterede i en gennemsnitlig plasmakoncentration, som var 200 gange højere end ved klinisk behandling og gav ingen symptomer, men en dosis på 5,5-10 mikrogram/kg forårsagede kvalme, </w:t>
      </w:r>
      <w:proofErr w:type="spellStart"/>
      <w:r w:rsidRPr="00E07299">
        <w:rPr>
          <w:sz w:val="24"/>
          <w:szCs w:val="24"/>
        </w:rPr>
        <w:t>abdominale</w:t>
      </w:r>
      <w:proofErr w:type="spellEnd"/>
      <w:r w:rsidRPr="00E07299">
        <w:rPr>
          <w:sz w:val="24"/>
          <w:szCs w:val="24"/>
        </w:rPr>
        <w:t xml:space="preserve"> smerter, svimmelhed, træthed, hedeture og svedtendens.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blevet </w:t>
      </w:r>
      <w:proofErr w:type="spellStart"/>
      <w:r w:rsidRPr="00E07299">
        <w:rPr>
          <w:sz w:val="24"/>
          <w:szCs w:val="24"/>
        </w:rPr>
        <w:t>infunderet</w:t>
      </w:r>
      <w:proofErr w:type="spellEnd"/>
      <w:r w:rsidRPr="00E07299">
        <w:rPr>
          <w:sz w:val="24"/>
          <w:szCs w:val="24"/>
        </w:rPr>
        <w:t xml:space="preserve"> intravenøst hos aber i doser op til 500 mikrogram/kg uden større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Intravenøs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til aber har været forbundet med forbigående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 blev imidlertid ikke induceret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hos patienter med moderat bronkial astma, når det er blevet givet lokalt i øjnene i doser der var 7 gange den kliniske dosis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Behandlingen bør være symptomatisk, hvis der forekommer en overdosis med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4.10</w:t>
      </w:r>
      <w:r w:rsidRPr="00E07299">
        <w:rPr>
          <w:b/>
          <w:sz w:val="24"/>
          <w:szCs w:val="24"/>
        </w:rPr>
        <w:tab/>
        <w:t>Udlevering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</w:t>
      </w:r>
      <w:r w:rsidRPr="00E07299">
        <w:rPr>
          <w:b/>
          <w:sz w:val="24"/>
          <w:szCs w:val="24"/>
        </w:rPr>
        <w:tab/>
        <w:t>FARMAKOLOGISKE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5.0</w:t>
      </w:r>
      <w:r w:rsidRPr="00E07299">
        <w:rPr>
          <w:b/>
          <w:sz w:val="24"/>
          <w:szCs w:val="24"/>
        </w:rPr>
        <w:tab/>
        <w:t>Terapeutisk klassifikation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ATC-kode: S01EE01. </w:t>
      </w:r>
      <w:proofErr w:type="spellStart"/>
      <w:r>
        <w:rPr>
          <w:sz w:val="24"/>
          <w:szCs w:val="24"/>
        </w:rPr>
        <w:t>A</w:t>
      </w:r>
      <w:r w:rsidRPr="00E07299">
        <w:rPr>
          <w:sz w:val="24"/>
          <w:szCs w:val="24"/>
        </w:rPr>
        <w:t>ntiglaukommidler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miotika</w:t>
      </w:r>
      <w:proofErr w:type="spellEnd"/>
      <w:r w:rsidRPr="00E07299">
        <w:rPr>
          <w:sz w:val="24"/>
          <w:szCs w:val="24"/>
        </w:rPr>
        <w:t xml:space="preserve">;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5.1</w:t>
      </w:r>
      <w:r w:rsidRPr="00E07299">
        <w:rPr>
          <w:b/>
          <w:sz w:val="24"/>
          <w:szCs w:val="24"/>
        </w:rPr>
        <w:tab/>
      </w:r>
      <w:proofErr w:type="spellStart"/>
      <w:r w:rsidRPr="00E07299">
        <w:rPr>
          <w:b/>
          <w:sz w:val="24"/>
          <w:szCs w:val="24"/>
        </w:rPr>
        <w:t>Farmakodynamiske</w:t>
      </w:r>
      <w:proofErr w:type="spellEnd"/>
      <w:r w:rsidRPr="00E07299">
        <w:rPr>
          <w:b/>
          <w:sz w:val="24"/>
          <w:szCs w:val="24"/>
        </w:rPr>
        <w:t xml:space="preserve"> egenskaber</w:t>
      </w:r>
    </w:p>
    <w:p w:rsidR="00A87E61" w:rsidRPr="00E07299" w:rsidRDefault="00A87E61" w:rsidP="00A87E61">
      <w:pPr>
        <w:ind w:left="851" w:hanging="851"/>
        <w:rPr>
          <w:i/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i/>
          <w:sz w:val="24"/>
          <w:szCs w:val="24"/>
          <w:u w:val="single"/>
        </w:rPr>
        <w:t>Virkningsmekanisme: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Den aktive substans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, en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 analog, er en selektiv </w:t>
      </w:r>
      <w:proofErr w:type="spellStart"/>
      <w:r w:rsidRPr="00E07299">
        <w:rPr>
          <w:sz w:val="24"/>
          <w:szCs w:val="24"/>
        </w:rPr>
        <w:t>prostanoid</w:t>
      </w:r>
      <w:proofErr w:type="spellEnd"/>
      <w:r w:rsidRPr="00E07299">
        <w:rPr>
          <w:sz w:val="24"/>
          <w:szCs w:val="24"/>
        </w:rPr>
        <w:t xml:space="preserve"> FP receptoragonist, som reducerer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ved at øge kammervandsafløbet.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dyr og mennesker tyder på, at den væsentligste virkningsmekanisme er øget </w:t>
      </w:r>
      <w:proofErr w:type="spellStart"/>
      <w:r w:rsidRPr="00E07299">
        <w:rPr>
          <w:sz w:val="24"/>
          <w:szCs w:val="24"/>
        </w:rPr>
        <w:t>uveoscleralt</w:t>
      </w:r>
      <w:proofErr w:type="spellEnd"/>
      <w:r w:rsidRPr="00E07299">
        <w:rPr>
          <w:sz w:val="24"/>
          <w:szCs w:val="24"/>
        </w:rPr>
        <w:t xml:space="preserve"> afløb, selvom der er rapporteret en vis øgning i afløbskapaciteten (reduktion af afløbsmodstand)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proofErr w:type="spellStart"/>
      <w:r w:rsidRPr="00E07299">
        <w:rPr>
          <w:i/>
          <w:sz w:val="24"/>
          <w:szCs w:val="24"/>
          <w:u w:val="single"/>
        </w:rPr>
        <w:t>Farmakodynamisk</w:t>
      </w:r>
      <w:proofErr w:type="spellEnd"/>
      <w:r w:rsidRPr="00E07299">
        <w:rPr>
          <w:i/>
          <w:sz w:val="24"/>
          <w:szCs w:val="24"/>
          <w:u w:val="single"/>
        </w:rPr>
        <w:t xml:space="preserve"> virkning: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Reduktion af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hos mennesker indsætter ca. 3-4 timer efter administration, og maksimal virkning nås efter 8-12 timer. Trykreduktion opretholdes i mindst 24 timer.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Pivotale studier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 som monoterapi. Der er endvidere udført kliniske forsøg med kombinationsbehandling. Disse omfatter forsøg som viser,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effektivt i kombination med beta-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antagonister (</w:t>
      </w:r>
      <w:proofErr w:type="spellStart"/>
      <w:r w:rsidRPr="00E07299">
        <w:rPr>
          <w:sz w:val="24"/>
          <w:szCs w:val="24"/>
        </w:rPr>
        <w:t>timolol</w:t>
      </w:r>
      <w:proofErr w:type="spellEnd"/>
      <w:r w:rsidRPr="00E07299">
        <w:rPr>
          <w:sz w:val="24"/>
          <w:szCs w:val="24"/>
        </w:rPr>
        <w:t xml:space="preserve">). Korttidsstudier (1 eller 2 uger) tyder på, at </w:t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virkning er additiv ved kombination med 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dipivalyl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epinephrin</w:t>
      </w:r>
      <w:proofErr w:type="spellEnd"/>
      <w:r w:rsidRPr="00E07299">
        <w:rPr>
          <w:sz w:val="24"/>
          <w:szCs w:val="24"/>
        </w:rPr>
        <w:t xml:space="preserve">), orale </w:t>
      </w:r>
      <w:proofErr w:type="spellStart"/>
      <w:r w:rsidRPr="00E07299">
        <w:rPr>
          <w:sz w:val="24"/>
          <w:szCs w:val="24"/>
        </w:rPr>
        <w:t>carboan</w:t>
      </w:r>
      <w:r w:rsidRPr="00E07299">
        <w:rPr>
          <w:sz w:val="24"/>
          <w:szCs w:val="24"/>
        </w:rPr>
        <w:softHyphen/>
        <w:t>hydrase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hæmmere</w:t>
      </w:r>
      <w:proofErr w:type="spellEnd"/>
      <w:r w:rsidRPr="00E07299">
        <w:rPr>
          <w:sz w:val="24"/>
          <w:szCs w:val="24"/>
        </w:rPr>
        <w:t xml:space="preserve"> (</w:t>
      </w:r>
      <w:proofErr w:type="spellStart"/>
      <w:r w:rsidRPr="00E07299">
        <w:rPr>
          <w:sz w:val="24"/>
          <w:szCs w:val="24"/>
        </w:rPr>
        <w:t>acetazolamid</w:t>
      </w:r>
      <w:proofErr w:type="spellEnd"/>
      <w:r w:rsidRPr="00E07299">
        <w:rPr>
          <w:sz w:val="24"/>
          <w:szCs w:val="24"/>
        </w:rPr>
        <w:t xml:space="preserve">) og i hvert fald delvis additiv med </w:t>
      </w:r>
      <w:proofErr w:type="spellStart"/>
      <w:r w:rsidRPr="00E07299">
        <w:rPr>
          <w:sz w:val="24"/>
          <w:szCs w:val="24"/>
        </w:rPr>
        <w:t>kolinerge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pilocarpin</w:t>
      </w:r>
      <w:proofErr w:type="spellEnd"/>
      <w:r w:rsidRPr="00E07299">
        <w:rPr>
          <w:sz w:val="24"/>
          <w:szCs w:val="24"/>
        </w:rPr>
        <w:t>).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Kliniske afprøvninger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signifikant virkning på produktionen af kammervand.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nogen virkning på blod-kammervands-barrieren.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ubetydelig virkning på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blod</w:t>
      </w:r>
      <w:r w:rsidRPr="00E07299">
        <w:rPr>
          <w:sz w:val="24"/>
          <w:szCs w:val="24"/>
        </w:rPr>
        <w:softHyphen/>
        <w:t xml:space="preserve">cirkulation, når det anvendes i kliniske doser hos aber. Let til moderat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episcleral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kan imidlertid opstå under lokal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af abeøjne, der har gennemgået </w:t>
      </w:r>
      <w:proofErr w:type="spellStart"/>
      <w:r w:rsidRPr="00E07299">
        <w:rPr>
          <w:sz w:val="24"/>
          <w:szCs w:val="24"/>
        </w:rPr>
        <w:t>ekstrakapsulær</w:t>
      </w:r>
      <w:proofErr w:type="spellEnd"/>
      <w:r w:rsidRPr="00E07299">
        <w:rPr>
          <w:sz w:val="24"/>
          <w:szCs w:val="24"/>
        </w:rPr>
        <w:t xml:space="preserve"> linse-ekstraktion, påvirkede ikke blodkarrene i </w:t>
      </w:r>
      <w:proofErr w:type="spellStart"/>
      <w:r w:rsidRPr="00E07299">
        <w:rPr>
          <w:sz w:val="24"/>
          <w:szCs w:val="24"/>
        </w:rPr>
        <w:t>retina</w:t>
      </w:r>
      <w:proofErr w:type="spellEnd"/>
      <w:r w:rsidRPr="00E07299">
        <w:rPr>
          <w:sz w:val="24"/>
          <w:szCs w:val="24"/>
        </w:rPr>
        <w:t xml:space="preserve">. Dette blev påvist ved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angiografi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induceret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lækage i det bageste kammer i </w:t>
      </w:r>
      <w:proofErr w:type="spellStart"/>
      <w:r w:rsidRPr="00E07299">
        <w:rPr>
          <w:sz w:val="24"/>
          <w:szCs w:val="24"/>
        </w:rPr>
        <w:t>pseudopha</w:t>
      </w:r>
      <w:r w:rsidRPr="00E07299">
        <w:rPr>
          <w:sz w:val="24"/>
          <w:szCs w:val="24"/>
        </w:rPr>
        <w:softHyphen/>
        <w:t>kiske</w:t>
      </w:r>
      <w:proofErr w:type="spellEnd"/>
      <w:r w:rsidRPr="00E07299">
        <w:rPr>
          <w:sz w:val="24"/>
          <w:szCs w:val="24"/>
        </w:rPr>
        <w:t xml:space="preserve"> humane øjne efter korttidsbehandling.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kliniske doser har ikke vist nogen signifikant farmakologisk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 eller respirationssystemet.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Klinisk virkning og sikkerhed</w:t>
      </w:r>
      <w:r w:rsidRPr="00E07299">
        <w:rPr>
          <w:i/>
          <w:iCs/>
          <w:sz w:val="24"/>
          <w:szCs w:val="24"/>
          <w:u w:val="single"/>
        </w:rPr>
        <w:t>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blev evalueret i et 3-måneders, randomiseret, </w:t>
      </w:r>
      <w:proofErr w:type="spellStart"/>
      <w:r w:rsidRPr="00E07299">
        <w:rPr>
          <w:sz w:val="24"/>
          <w:szCs w:val="24"/>
        </w:rPr>
        <w:t>investigator</w:t>
      </w:r>
      <w:proofErr w:type="spellEnd"/>
      <w:r w:rsidRPr="00E07299">
        <w:rPr>
          <w:sz w:val="24"/>
          <w:szCs w:val="24"/>
        </w:rPr>
        <w:t xml:space="preserve">-maskeret studie, der sammenlignede ikke-konserverede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med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 hos 404 patienter med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Den primære effektparameter var ændring i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mellem baseline og dag 84.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På dag 84 var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trykreduktion, induceret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, på -8,6 </w:t>
      </w:r>
      <w:proofErr w:type="spellStart"/>
      <w:r w:rsidRPr="00E07299">
        <w:rPr>
          <w:sz w:val="24"/>
          <w:szCs w:val="24"/>
        </w:rPr>
        <w:t>mmHg</w:t>
      </w:r>
      <w:proofErr w:type="spellEnd"/>
      <w:r w:rsidRPr="00E07299">
        <w:rPr>
          <w:sz w:val="24"/>
          <w:szCs w:val="24"/>
        </w:rPr>
        <w:t xml:space="preserve"> dvs. -36%. Det svarede til resultatet for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192"/>
        <w:gridCol w:w="2589"/>
        <w:gridCol w:w="2269"/>
      </w:tblGrid>
      <w:tr w:rsidR="00A87E61" w:rsidRPr="00E07299" w:rsidTr="003B4BCE">
        <w:trPr>
          <w:jc w:val="center"/>
        </w:trPr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Mest berørte øje</w:t>
            </w:r>
          </w:p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E07299">
              <w:rPr>
                <w:b/>
                <w:bCs/>
                <w:sz w:val="24"/>
                <w:szCs w:val="24"/>
              </w:rPr>
              <w:t>mITT</w:t>
            </w:r>
            <w:proofErr w:type="spellEnd"/>
            <w:r w:rsidRPr="00E07299">
              <w:rPr>
                <w:b/>
                <w:bCs/>
                <w:sz w:val="24"/>
                <w:szCs w:val="24"/>
              </w:rPr>
              <w:t xml:space="preserve"> population)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Monoprost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Referenceprodukt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Baseline (D0)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proofErr w:type="spellStart"/>
            <w:r w:rsidRPr="00E07299">
              <w:rPr>
                <w:sz w:val="24"/>
                <w:szCs w:val="24"/>
                <w:lang w:val="en-US"/>
              </w:rPr>
              <w:t>Gnsn</w:t>
            </w:r>
            <w:proofErr w:type="spellEnd"/>
            <w:r w:rsidRPr="00E07299">
              <w:rPr>
                <w:sz w:val="24"/>
                <w:szCs w:val="24"/>
                <w:lang w:val="en-US"/>
              </w:rPr>
              <w:t xml:space="preserve">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189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24,1 ± 1,8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164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24,0 ± 1,7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D84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 xml:space="preserve">Gnsn.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15,4 ± 2,3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15,0 ± 2,0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Gennemsnitlig ændring (D0 – D84)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Gnsn. ± SD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[95% CI]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-8,6 ± 2,6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[-9,0 ; -8,3]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-9,0 ± 2,4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[-9,4 ; -8,7]</w:t>
            </w:r>
          </w:p>
        </w:tc>
      </w:tr>
      <w:tr w:rsidR="00A87E61" w:rsidRPr="00E07299" w:rsidTr="003B4BCE">
        <w:trPr>
          <w:cantSplit/>
          <w:jc w:val="center"/>
        </w:trPr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Statistisk analyse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E (SE) 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[95%CI]</w:t>
            </w: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0,417 ± 0,215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[-0,006; 0,840]</w:t>
            </w:r>
          </w:p>
        </w:tc>
      </w:tr>
    </w:tbl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Dette 3-måneders studie viste de følgende bivirkninger for henholdsvis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referenceproduktet: irritation/</w:t>
      </w:r>
      <w:proofErr w:type="spellStart"/>
      <w:r w:rsidRPr="00E07299">
        <w:rPr>
          <w:sz w:val="24"/>
          <w:szCs w:val="24"/>
        </w:rPr>
        <w:t>brænden</w:t>
      </w:r>
      <w:proofErr w:type="spellEnd"/>
      <w:r w:rsidRPr="00E07299">
        <w:rPr>
          <w:sz w:val="24"/>
          <w:szCs w:val="24"/>
        </w:rPr>
        <w:t xml:space="preserve">/svien ikke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 (på dag 84, 6,8%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12,9 %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(på dag 84, 21,4%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29,1%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referenceprodukt). Med hensyn til systemiske bivirkninger, blev der ikke observeret store forskelle mellem de to behandlingsgrupper.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5.2</w:t>
      </w:r>
      <w:r w:rsidRPr="00E07299">
        <w:rPr>
          <w:b/>
          <w:sz w:val="24"/>
          <w:szCs w:val="24"/>
        </w:rPr>
        <w:tab/>
      </w:r>
      <w:proofErr w:type="spellStart"/>
      <w:r w:rsidRPr="00E07299">
        <w:rPr>
          <w:b/>
          <w:sz w:val="24"/>
          <w:szCs w:val="24"/>
        </w:rPr>
        <w:t>Farmakokinetiske</w:t>
      </w:r>
      <w:proofErr w:type="spellEnd"/>
      <w:r w:rsidRPr="00E07299">
        <w:rPr>
          <w:b/>
          <w:sz w:val="24"/>
          <w:szCs w:val="24"/>
        </w:rPr>
        <w:t xml:space="preserve">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(mw 432,58) er et </w:t>
      </w:r>
      <w:proofErr w:type="spellStart"/>
      <w:r w:rsidRPr="00E07299">
        <w:rPr>
          <w:sz w:val="24"/>
          <w:szCs w:val="24"/>
        </w:rPr>
        <w:t>isopropylester</w:t>
      </w:r>
      <w:proofErr w:type="spellEnd"/>
      <w:r w:rsidRPr="00E07299">
        <w:rPr>
          <w:sz w:val="24"/>
          <w:szCs w:val="24"/>
        </w:rPr>
        <w:t xml:space="preserve"> prodrug, som i sig selv er inaktivt, men som efter hydrolyse til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bliver biologisk aktiv.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Absorption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Prodrug absorberes godt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, og alt stof, der passerer over i kammer</w:t>
      </w:r>
      <w:r w:rsidRPr="00E07299">
        <w:rPr>
          <w:sz w:val="24"/>
          <w:szCs w:val="24"/>
        </w:rPr>
        <w:softHyphen/>
        <w:t xml:space="preserve">vandet, hydrolyseres ved passagen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/>
          <w:sz w:val="24"/>
          <w:szCs w:val="24"/>
          <w:u w:val="single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Fordeling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mennesker tyder på, at maksimal koncentration i kammervandet nås ca. 2 timer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administration.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applikation hos aber fordeles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primært i forreste kammer, bindehinder og øjenlåg. Kun ubetydelige mængder af stoffet når bageste kammer.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 et tre-måneders, cross-over, randomiseret, pilot-studie med 30 patienter med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blev plasmaniveauet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målt og 30 minutter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, sås der hos næsten alle patienter værdier, som var under LOQ (40 </w:t>
      </w:r>
      <w:proofErr w:type="spellStart"/>
      <w:r w:rsidRPr="00E07299">
        <w:rPr>
          <w:sz w:val="24"/>
          <w:szCs w:val="24"/>
        </w:rPr>
        <w:t>pg</w:t>
      </w:r>
      <w:proofErr w:type="spellEnd"/>
      <w:r w:rsidRPr="00E07299">
        <w:rPr>
          <w:sz w:val="24"/>
          <w:szCs w:val="24"/>
        </w:rPr>
        <w:t xml:space="preserve">/ml).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Biotransformation og elimination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stort set ingen metabolisme af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i øjet. Hoved</w:t>
      </w:r>
      <w:r w:rsidRPr="00E07299">
        <w:rPr>
          <w:sz w:val="24"/>
          <w:szCs w:val="24"/>
        </w:rPr>
        <w:softHyphen/>
        <w:t>metabolismen finder sted i leveren. Plasmahalveringstiden er 17 minutter hos mennesker. Hovedmetabolitterne, 1,2-dinor og 1,2,3,4-tetranor metabolitterne udviser ingen eller kun svag biologisk aktivitet i dyrestudier og udskilles primært i urinen.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5.3</w:t>
      </w:r>
      <w:r w:rsidRPr="00E07299">
        <w:rPr>
          <w:b/>
          <w:sz w:val="24"/>
          <w:szCs w:val="24"/>
        </w:rPr>
        <w:tab/>
        <w:t>Prækliniske sikkerhedsdata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såvel som systemiske toksicitet er undersøgt hos adskillige dyrearter. Generelt tåles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godt med en sikkerhedsmargen mellem klinisk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dosis og systemisk toksicitet på mindst 1000 gange. Høje </w:t>
      </w:r>
      <w:proofErr w:type="spellStart"/>
      <w:r w:rsidRPr="00E07299">
        <w:rPr>
          <w:sz w:val="24"/>
          <w:szCs w:val="24"/>
        </w:rPr>
        <w:t>latanoprostdoser</w:t>
      </w:r>
      <w:proofErr w:type="spellEnd"/>
      <w:r w:rsidRPr="00E07299">
        <w:rPr>
          <w:sz w:val="24"/>
          <w:szCs w:val="24"/>
        </w:rPr>
        <w:t xml:space="preserve">, ca. 100 gange klinisk dosis/kg legemsvægt administreret intravenøst til ikke-bedøvede aber øger respirationsfrekvensen, sandsynligvis pga. kortvarig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allergene egenskaber i dyrestudier.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påvist toksiske virkninger i øjet ved doser op til 100 mikrogram</w:t>
      </w:r>
      <w:r w:rsidRPr="00E07299">
        <w:rPr>
          <w:sz w:val="24"/>
          <w:szCs w:val="24"/>
        </w:rPr>
        <w:softHyphen/>
        <w:t xml:space="preserve">/øje/dag hos kaniner eller aber (klinisk dosis er ca. 1,5 mikrogram/øje/dag).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forårsager imidlertid øget pigmentering af iris hos aber.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Mekanismen for øget pigmentering er tilsyneladende stimulation af melaninproduktio</w:t>
      </w:r>
      <w:r w:rsidRPr="00E07299">
        <w:rPr>
          <w:sz w:val="24"/>
          <w:szCs w:val="24"/>
        </w:rPr>
        <w:softHyphen/>
        <w:t xml:space="preserve">nen i melanocytterne i iris, uden at der er iagttaget nogen </w:t>
      </w:r>
      <w:proofErr w:type="spellStart"/>
      <w:r w:rsidRPr="00E07299">
        <w:rPr>
          <w:sz w:val="24"/>
          <w:szCs w:val="24"/>
        </w:rPr>
        <w:t>proliferative</w:t>
      </w:r>
      <w:proofErr w:type="spellEnd"/>
      <w:r w:rsidRPr="00E07299">
        <w:rPr>
          <w:sz w:val="24"/>
          <w:szCs w:val="24"/>
        </w:rPr>
        <w:t xml:space="preserve"> ændringer. Farveændringen af iris kan være permanent.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toksicitetsstudier viser, at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6 mikrogram/øje/dag forårsager øget </w:t>
      </w:r>
      <w:proofErr w:type="spellStart"/>
      <w:r w:rsidRPr="00E07299">
        <w:rPr>
          <w:sz w:val="24"/>
          <w:szCs w:val="24"/>
        </w:rPr>
        <w:t>palpebral</w:t>
      </w:r>
      <w:proofErr w:type="spellEnd"/>
      <w:r w:rsidRPr="00E07299">
        <w:rPr>
          <w:sz w:val="24"/>
          <w:szCs w:val="24"/>
        </w:rPr>
        <w:t xml:space="preserve"> fissur. Denne virkning er reversibel og opstår ved doser over klinisk niveau. Denne effekt er ikke set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fundet negativ i revers mutationstests med bakterier, genmutation i muse-</w:t>
      </w:r>
      <w:proofErr w:type="spellStart"/>
      <w:r w:rsidRPr="00E07299">
        <w:rPr>
          <w:sz w:val="24"/>
          <w:szCs w:val="24"/>
        </w:rPr>
        <w:t>lymfomer</w:t>
      </w:r>
      <w:proofErr w:type="spellEnd"/>
      <w:r w:rsidRPr="00E07299">
        <w:rPr>
          <w:sz w:val="24"/>
          <w:szCs w:val="24"/>
        </w:rPr>
        <w:t xml:space="preserve"> og muse-</w:t>
      </w:r>
      <w:proofErr w:type="spellStart"/>
      <w:r w:rsidRPr="00E07299">
        <w:rPr>
          <w:sz w:val="24"/>
          <w:szCs w:val="24"/>
        </w:rPr>
        <w:t>mikronucleus</w:t>
      </w:r>
      <w:proofErr w:type="spellEnd"/>
      <w:r w:rsidRPr="00E07299">
        <w:rPr>
          <w:sz w:val="24"/>
          <w:szCs w:val="24"/>
        </w:rPr>
        <w:t xml:space="preserve"> test. Kromosom-ændringer er iagttaget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 med humane lymfocytter. Lignende virkninger er iagttaget med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, et naturligt forekommende </w:t>
      </w:r>
      <w:proofErr w:type="spellStart"/>
      <w:r w:rsidRPr="00E07299">
        <w:rPr>
          <w:sz w:val="24"/>
          <w:szCs w:val="24"/>
        </w:rPr>
        <w:t>prostaglandin</w:t>
      </w:r>
      <w:proofErr w:type="spellEnd"/>
      <w:r w:rsidRPr="00E07299">
        <w:rPr>
          <w:sz w:val="24"/>
          <w:szCs w:val="24"/>
        </w:rPr>
        <w:t>, hvilket tyder på at dette er en klasseeffekt.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Yderligere </w:t>
      </w:r>
      <w:proofErr w:type="spellStart"/>
      <w:r w:rsidRPr="00E07299">
        <w:rPr>
          <w:sz w:val="24"/>
          <w:szCs w:val="24"/>
        </w:rPr>
        <w:t>mutagenicitetsstudier</w:t>
      </w:r>
      <w:proofErr w:type="spellEnd"/>
      <w:r w:rsidRPr="00E07299">
        <w:rPr>
          <w:sz w:val="24"/>
          <w:szCs w:val="24"/>
        </w:rPr>
        <w:t xml:space="preserve">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/in </w:t>
      </w:r>
      <w:proofErr w:type="spellStart"/>
      <w:r w:rsidRPr="00E07299">
        <w:rPr>
          <w:sz w:val="24"/>
          <w:szCs w:val="24"/>
        </w:rPr>
        <w:t>vivo</w:t>
      </w:r>
      <w:proofErr w:type="spellEnd"/>
      <w:r w:rsidRPr="00E07299">
        <w:rPr>
          <w:sz w:val="24"/>
          <w:szCs w:val="24"/>
        </w:rPr>
        <w:t xml:space="preserve"> med ikke-planlagt DNA-syntese hos rotter var negative og tyder på,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mutagent potentiale. </w:t>
      </w:r>
      <w:proofErr w:type="spellStart"/>
      <w:r w:rsidRPr="00E07299">
        <w:rPr>
          <w:sz w:val="24"/>
          <w:szCs w:val="24"/>
        </w:rPr>
        <w:t>Karcinogenicitetsstudier</w:t>
      </w:r>
      <w:proofErr w:type="spellEnd"/>
      <w:r w:rsidRPr="00E07299">
        <w:rPr>
          <w:sz w:val="24"/>
          <w:szCs w:val="24"/>
        </w:rPr>
        <w:t xml:space="preserve"> med mus og rotter var negative.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nogen virkning på mandlig eller kvindelig fertilitet i dyrestudi</w:t>
      </w:r>
      <w:r w:rsidRPr="00E07299">
        <w:rPr>
          <w:sz w:val="24"/>
          <w:szCs w:val="24"/>
        </w:rPr>
        <w:softHyphen/>
        <w:t>er. I embryotoksicitetsstudier på rotter blev der ikke iagttaget nogen embryotoksici</w:t>
      </w:r>
      <w:r w:rsidRPr="00E07299">
        <w:rPr>
          <w:sz w:val="24"/>
          <w:szCs w:val="24"/>
        </w:rPr>
        <w:softHyphen/>
        <w:t xml:space="preserve">tet ved intravenøse doser (5, 50 og 250 mikrogram/kg/dag).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forårsagede imidlertid embryoletal virkning hos kaniner ved doser på 5 µg/kg/dag og derover.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Dosen på 5 mikrogram/kg/dag (ca. 100 gange klinisk dosis) forårsagede signifikant </w:t>
      </w:r>
      <w:proofErr w:type="spellStart"/>
      <w:r w:rsidRPr="00E07299">
        <w:rPr>
          <w:sz w:val="24"/>
          <w:szCs w:val="24"/>
        </w:rPr>
        <w:t>embryoføtal</w:t>
      </w:r>
      <w:proofErr w:type="spellEnd"/>
      <w:r w:rsidRPr="00E07299">
        <w:rPr>
          <w:sz w:val="24"/>
          <w:szCs w:val="24"/>
        </w:rPr>
        <w:t xml:space="preserve"> toksicitet karakteriseret ved øget hyppighed af sen resorption og abort samt nedsat fostervægt.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blev ikke påvist </w:t>
      </w:r>
      <w:proofErr w:type="spellStart"/>
      <w:r w:rsidRPr="00E07299">
        <w:rPr>
          <w:sz w:val="24"/>
          <w:szCs w:val="24"/>
        </w:rPr>
        <w:t>teratogent</w:t>
      </w:r>
      <w:proofErr w:type="spellEnd"/>
      <w:r w:rsidRPr="00E07299">
        <w:rPr>
          <w:sz w:val="24"/>
          <w:szCs w:val="24"/>
        </w:rPr>
        <w:t xml:space="preserve"> potentiale.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proofErr w:type="spellStart"/>
      <w:r w:rsidRPr="00E07299">
        <w:rPr>
          <w:i/>
          <w:sz w:val="24"/>
          <w:szCs w:val="24"/>
        </w:rPr>
        <w:t>Okulær</w:t>
      </w:r>
      <w:proofErr w:type="spellEnd"/>
      <w:r w:rsidRPr="00E07299">
        <w:rPr>
          <w:i/>
          <w:sz w:val="24"/>
          <w:szCs w:val="24"/>
        </w:rPr>
        <w:t xml:space="preserve"> toksicitet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administration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øjendråber til dyr to gange dagligt i 28 dage viste ingen lokal eller systemisk toksisk virkning.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</w:t>
      </w:r>
      <w:r w:rsidRPr="00E07299">
        <w:rPr>
          <w:b/>
          <w:sz w:val="24"/>
          <w:szCs w:val="24"/>
        </w:rPr>
        <w:tab/>
        <w:t>FARMACEUTISKE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6.1</w:t>
      </w:r>
      <w:r w:rsidRPr="00E07299">
        <w:rPr>
          <w:b/>
          <w:sz w:val="24"/>
          <w:szCs w:val="24"/>
        </w:rPr>
        <w:tab/>
        <w:t>Hjælpestoffer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Ricinusolie,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hydrogeneret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Sorbitol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Carbomer 974P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Macrogol 4000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Dinatriumedetat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Natriumhydroxid</w:t>
      </w:r>
      <w:proofErr w:type="spellEnd"/>
      <w:r w:rsidRPr="00F15FAB">
        <w:rPr>
          <w:sz w:val="24"/>
          <w:szCs w:val="24"/>
          <w:lang w:val="en-US"/>
        </w:rPr>
        <w:t xml:space="preserve"> (pH-</w:t>
      </w:r>
      <w:proofErr w:type="spellStart"/>
      <w:r w:rsidRPr="00F15FAB">
        <w:rPr>
          <w:sz w:val="24"/>
          <w:szCs w:val="24"/>
          <w:lang w:val="en-US"/>
        </w:rPr>
        <w:t>justering</w:t>
      </w:r>
      <w:proofErr w:type="spellEnd"/>
      <w:r w:rsidRPr="00F15FAB">
        <w:rPr>
          <w:sz w:val="24"/>
          <w:szCs w:val="24"/>
          <w:lang w:val="en-US"/>
        </w:rPr>
        <w:t>)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Vand til injektionsvæsker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6.2</w:t>
      </w:r>
      <w:r w:rsidRPr="00E07299">
        <w:rPr>
          <w:b/>
          <w:sz w:val="24"/>
          <w:szCs w:val="24"/>
        </w:rPr>
        <w:tab/>
        <w:t>Uforligeligheder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Ikke relevant.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6.3</w:t>
      </w:r>
      <w:r w:rsidRPr="00E07299">
        <w:rPr>
          <w:b/>
          <w:sz w:val="24"/>
          <w:szCs w:val="24"/>
        </w:rPr>
        <w:tab/>
        <w:t>Opbevaringstid</w:t>
      </w:r>
    </w:p>
    <w:p w:rsidR="00A87E61" w:rsidRPr="0043114D" w:rsidRDefault="00A87E61" w:rsidP="00A87E61">
      <w:pPr>
        <w:pStyle w:val="Listeafsnit"/>
        <w:ind w:left="1212" w:hanging="361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43114D">
        <w:rPr>
          <w:sz w:val="24"/>
          <w:szCs w:val="24"/>
        </w:rPr>
        <w:t>år i den ydre pakning.</w:t>
      </w:r>
    </w:p>
    <w:p w:rsidR="00A87E61" w:rsidRPr="00895E91" w:rsidRDefault="00A87E61" w:rsidP="00895E9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Efter åbning af brevet: </w:t>
      </w:r>
      <w:r w:rsidR="00895E91">
        <w:rPr>
          <w:sz w:val="24"/>
          <w:szCs w:val="24"/>
        </w:rPr>
        <w:t>anvend enkeltdosisbeholderen inden for 10 dage.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Efter åbning af enkeltdosisbeholderen: anvendes straks og bortskaf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6.4</w:t>
      </w:r>
      <w:r w:rsidRPr="00E07299">
        <w:rPr>
          <w:b/>
          <w:sz w:val="24"/>
          <w:szCs w:val="24"/>
        </w:rPr>
        <w:tab/>
        <w:t>Særlige opbevaringsforhold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Opbevares ved temperaturer under 25</w:t>
      </w:r>
      <w:r w:rsidRPr="00E07299">
        <w:rPr>
          <w:sz w:val="24"/>
          <w:szCs w:val="24"/>
          <w:vertAlign w:val="superscript"/>
        </w:rPr>
        <w:t>o</w:t>
      </w:r>
      <w:r w:rsidRPr="00E07299">
        <w:rPr>
          <w:sz w:val="24"/>
          <w:szCs w:val="24"/>
        </w:rPr>
        <w:t>C.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For opbevaring efter første anbrud, se pkt. 6.3.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6.5</w:t>
      </w:r>
      <w:r w:rsidRPr="00E07299">
        <w:rPr>
          <w:b/>
          <w:sz w:val="24"/>
          <w:szCs w:val="24"/>
        </w:rPr>
        <w:tab/>
        <w:t>Emballagetyper og pakningsstørrelser</w:t>
      </w:r>
    </w:p>
    <w:p w:rsidR="00A87E61" w:rsidRPr="00E07299" w:rsidRDefault="006B21A0" w:rsidP="006B21A0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7E0F02">
        <w:rPr>
          <w:sz w:val="24"/>
          <w:szCs w:val="24"/>
        </w:rPr>
        <w:t>nkeltdosisbeholdere</w:t>
      </w:r>
      <w:r>
        <w:rPr>
          <w:sz w:val="24"/>
          <w:szCs w:val="24"/>
        </w:rPr>
        <w:t xml:space="preserve"> i breve.</w:t>
      </w:r>
      <w:r w:rsidR="007E0F02">
        <w:rPr>
          <w:sz w:val="24"/>
          <w:szCs w:val="24"/>
        </w:rPr>
        <w:t xml:space="preserve">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6.6</w:t>
      </w:r>
      <w:r w:rsidRPr="00E07299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E07299">
        <w:rPr>
          <w:b/>
          <w:sz w:val="24"/>
          <w:szCs w:val="24"/>
        </w:rPr>
        <w:t xml:space="preserve"> og anden håndtering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Ingen særlige forholdsregler.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7.</w:t>
      </w:r>
      <w:r w:rsidRPr="00E07299">
        <w:rPr>
          <w:b/>
          <w:sz w:val="24"/>
          <w:szCs w:val="24"/>
        </w:rPr>
        <w:tab/>
        <w:t>INDEHAVER AF MARKEDSFØRINGSTILLADELSEN</w:t>
      </w:r>
    </w:p>
    <w:p w:rsidR="006B21A0" w:rsidRPr="004F0DB5" w:rsidRDefault="006B21A0" w:rsidP="006B21A0">
      <w:pPr>
        <w:ind w:left="851"/>
        <w:rPr>
          <w:sz w:val="24"/>
          <w:szCs w:val="24"/>
        </w:rPr>
      </w:pPr>
      <w:r w:rsidRPr="004F0DB5">
        <w:rPr>
          <w:sz w:val="24"/>
          <w:szCs w:val="24"/>
        </w:rPr>
        <w:t>Medartuum AB</w:t>
      </w:r>
    </w:p>
    <w:p w:rsidR="006B21A0" w:rsidRDefault="006B21A0" w:rsidP="006B21A0">
      <w:pPr>
        <w:ind w:left="851"/>
        <w:rPr>
          <w:sz w:val="24"/>
          <w:szCs w:val="24"/>
        </w:rPr>
      </w:pPr>
      <w:proofErr w:type="spellStart"/>
      <w:r w:rsidRPr="0061354C">
        <w:rPr>
          <w:sz w:val="24"/>
          <w:szCs w:val="24"/>
        </w:rPr>
        <w:t>Ostra</w:t>
      </w:r>
      <w:proofErr w:type="spellEnd"/>
      <w:r w:rsidRPr="0061354C">
        <w:rPr>
          <w:sz w:val="24"/>
          <w:szCs w:val="24"/>
        </w:rPr>
        <w:t xml:space="preserve"> </w:t>
      </w:r>
      <w:proofErr w:type="spellStart"/>
      <w:r w:rsidRPr="0061354C">
        <w:rPr>
          <w:sz w:val="24"/>
          <w:szCs w:val="24"/>
        </w:rPr>
        <w:t>Hamngatan</w:t>
      </w:r>
      <w:proofErr w:type="spellEnd"/>
      <w:r w:rsidRPr="0061354C">
        <w:rPr>
          <w:sz w:val="24"/>
          <w:szCs w:val="24"/>
        </w:rPr>
        <w:t xml:space="preserve"> 26</w:t>
      </w:r>
    </w:p>
    <w:p w:rsidR="006B21A0" w:rsidRPr="004F0DB5" w:rsidRDefault="006B21A0" w:rsidP="006B21A0">
      <w:pPr>
        <w:ind w:left="851"/>
        <w:rPr>
          <w:sz w:val="24"/>
          <w:szCs w:val="24"/>
        </w:rPr>
      </w:pPr>
      <w:r w:rsidRPr="0061354C">
        <w:rPr>
          <w:sz w:val="24"/>
          <w:szCs w:val="24"/>
        </w:rPr>
        <w:t xml:space="preserve">411 09, </w:t>
      </w:r>
      <w:proofErr w:type="spellStart"/>
      <w:r w:rsidRPr="0061354C">
        <w:rPr>
          <w:sz w:val="24"/>
          <w:szCs w:val="24"/>
        </w:rPr>
        <w:t>Goteborg</w:t>
      </w:r>
      <w:proofErr w:type="spellEnd"/>
      <w:r>
        <w:rPr>
          <w:sz w:val="24"/>
          <w:szCs w:val="24"/>
        </w:rPr>
        <w:br/>
      </w:r>
      <w:r w:rsidRPr="0061354C">
        <w:rPr>
          <w:sz w:val="24"/>
          <w:szCs w:val="24"/>
        </w:rPr>
        <w:t>Sverige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8.</w:t>
      </w:r>
      <w:r w:rsidRPr="00E07299">
        <w:rPr>
          <w:b/>
          <w:sz w:val="24"/>
          <w:szCs w:val="24"/>
        </w:rPr>
        <w:tab/>
        <w:t>MARKEDSFØRINGSTILLADELSESNUMMER (NUMRE)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6B21A0" w:rsidRPr="006B21A0">
        <w:rPr>
          <w:sz w:val="24"/>
          <w:szCs w:val="24"/>
        </w:rPr>
        <w:t>70789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9.</w:t>
      </w:r>
      <w:r w:rsidRPr="00E07299">
        <w:rPr>
          <w:b/>
          <w:sz w:val="24"/>
          <w:szCs w:val="24"/>
        </w:rPr>
        <w:tab/>
        <w:t>DATO FOR FØRSTE MARKEDSFØRINGSTILLADELSE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6B21A0">
        <w:rPr>
          <w:sz w:val="24"/>
          <w:szCs w:val="24"/>
        </w:rPr>
        <w:t>26. januar 2024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10.</w:t>
      </w:r>
      <w:r w:rsidRPr="00E07299">
        <w:rPr>
          <w:b/>
          <w:sz w:val="24"/>
          <w:szCs w:val="24"/>
        </w:rPr>
        <w:tab/>
        <w:t>DATO FOR ÆNDRING AF TEKSTEN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6B21A0">
        <w:rPr>
          <w:sz w:val="24"/>
          <w:szCs w:val="24"/>
        </w:rPr>
        <w:t>-</w:t>
      </w:r>
      <w:bookmarkStart w:id="0" w:name="_GoBack"/>
      <w:bookmarkEnd w:id="0"/>
    </w:p>
    <w:p w:rsidR="00A87E61" w:rsidRPr="00F102A7" w:rsidRDefault="00A87E61" w:rsidP="00A87E61"/>
    <w:p w:rsidR="00A87E61" w:rsidRPr="000C7EEA" w:rsidRDefault="00A87E61" w:rsidP="00A87E61"/>
    <w:p w:rsidR="009260DE" w:rsidRPr="00A87E61" w:rsidRDefault="009260DE" w:rsidP="00A87E61"/>
    <w:sectPr w:rsidR="009260DE" w:rsidRPr="00A87E6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61" w:rsidRDefault="00A87E61">
      <w:r>
        <w:separator/>
      </w:r>
    </w:p>
  </w:endnote>
  <w:endnote w:type="continuationSeparator" w:id="0">
    <w:p w:rsidR="00A87E61" w:rsidRDefault="00A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B21A0">
      <w:rPr>
        <w:i/>
        <w:noProof/>
        <w:sz w:val="18"/>
        <w:szCs w:val="18"/>
      </w:rPr>
      <w:t>Monoprost (Medartuum), øjendråber, opløsning, enkeltdosisbeholder 50 mikg-ml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61" w:rsidRDefault="00A87E61">
      <w:r>
        <w:separator/>
      </w:r>
    </w:p>
  </w:footnote>
  <w:footnote w:type="continuationSeparator" w:id="0">
    <w:p w:rsidR="00A87E61" w:rsidRDefault="00A8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5D96886"/>
    <w:multiLevelType w:val="hybridMultilevel"/>
    <w:tmpl w:val="603E8C80"/>
    <w:lvl w:ilvl="0" w:tplc="ECA28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6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6832"/>
    <w:rsid w:val="001A0486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E331C"/>
    <w:rsid w:val="003F1838"/>
    <w:rsid w:val="0045746C"/>
    <w:rsid w:val="0049104B"/>
    <w:rsid w:val="004E3B12"/>
    <w:rsid w:val="00523F0D"/>
    <w:rsid w:val="00532310"/>
    <w:rsid w:val="00541BFC"/>
    <w:rsid w:val="00560ECC"/>
    <w:rsid w:val="00565F0F"/>
    <w:rsid w:val="00594A86"/>
    <w:rsid w:val="00596D86"/>
    <w:rsid w:val="00637F5A"/>
    <w:rsid w:val="006560B1"/>
    <w:rsid w:val="006756DD"/>
    <w:rsid w:val="006B21A0"/>
    <w:rsid w:val="00737275"/>
    <w:rsid w:val="00740EEC"/>
    <w:rsid w:val="0078011A"/>
    <w:rsid w:val="00782AF4"/>
    <w:rsid w:val="00790EE7"/>
    <w:rsid w:val="007A4B60"/>
    <w:rsid w:val="007B6649"/>
    <w:rsid w:val="007E0F02"/>
    <w:rsid w:val="0081546F"/>
    <w:rsid w:val="0082576E"/>
    <w:rsid w:val="008351A1"/>
    <w:rsid w:val="00874688"/>
    <w:rsid w:val="00895E91"/>
    <w:rsid w:val="00907F75"/>
    <w:rsid w:val="009260DE"/>
    <w:rsid w:val="0093258A"/>
    <w:rsid w:val="009C7BA3"/>
    <w:rsid w:val="009D1F5A"/>
    <w:rsid w:val="009E4D91"/>
    <w:rsid w:val="00A87E61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15FA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20DF2"/>
  <w15:chartTrackingRefBased/>
  <w15:docId w15:val="{0385DE92-616A-4A4E-8668-0302150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A87E6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8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2737</Words>
  <Characters>18259</Characters>
  <Application>Microsoft Office Word</Application>
  <DocSecurity>0</DocSecurity>
  <Lines>152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2023113493 - nyt PI-SPC</dc:description>
  <cp:lastModifiedBy>Annette Malmros</cp:lastModifiedBy>
  <cp:revision>3</cp:revision>
  <cp:lastPrinted>2012-08-22T08:53:00Z</cp:lastPrinted>
  <dcterms:created xsi:type="dcterms:W3CDTF">2024-01-26T11:16:00Z</dcterms:created>
  <dcterms:modified xsi:type="dcterms:W3CDTF">2024-01-26T11:20:00Z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