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9E3" w:rsidRPr="0061056A" w:rsidRDefault="002929E3" w:rsidP="002929E3">
      <w:pPr>
        <w:rPr>
          <w:sz w:val="24"/>
          <w:szCs w:val="24"/>
        </w:rPr>
      </w:pPr>
      <w:r>
        <w:rPr>
          <w:noProof/>
          <w:lang w:eastAsia="da-DK"/>
        </w:rPr>
        <w:drawing>
          <wp:inline distT="0" distB="0" distL="0" distR="0" wp14:anchorId="284FB28F" wp14:editId="1481DD69">
            <wp:extent cx="2466975" cy="685800"/>
            <wp:effectExtent l="0" t="0" r="9525" b="0"/>
            <wp:docPr id="3" name="Billede 3"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2929E3" w:rsidRPr="0061056A" w:rsidRDefault="002929E3" w:rsidP="002929E3">
      <w:pPr>
        <w:pStyle w:val="Titel"/>
        <w:tabs>
          <w:tab w:val="right" w:pos="9356"/>
        </w:tabs>
        <w:jc w:val="left"/>
        <w:rPr>
          <w:szCs w:val="24"/>
        </w:rPr>
      </w:pPr>
      <w:r w:rsidRPr="0061056A">
        <w:rPr>
          <w:b w:val="0"/>
          <w:szCs w:val="24"/>
          <w:lang w:eastAsia="en-US"/>
        </w:rPr>
        <w:tab/>
      </w:r>
      <w:r w:rsidR="00B751B3">
        <w:rPr>
          <w:szCs w:val="24"/>
        </w:rPr>
        <w:t>6. november</w:t>
      </w:r>
      <w:r w:rsidR="007011C8">
        <w:rPr>
          <w:szCs w:val="24"/>
        </w:rPr>
        <w:t xml:space="preserve"> 2024</w:t>
      </w:r>
    </w:p>
    <w:p w:rsidR="002929E3" w:rsidRDefault="002929E3" w:rsidP="002929E3">
      <w:pPr>
        <w:pStyle w:val="Titel"/>
        <w:jc w:val="left"/>
        <w:rPr>
          <w:b w:val="0"/>
          <w:szCs w:val="24"/>
        </w:rPr>
      </w:pPr>
    </w:p>
    <w:p w:rsidR="007011C8" w:rsidRPr="0061056A" w:rsidRDefault="007011C8" w:rsidP="002929E3">
      <w:pPr>
        <w:pStyle w:val="Titel"/>
        <w:jc w:val="left"/>
        <w:rPr>
          <w:b w:val="0"/>
          <w:szCs w:val="24"/>
        </w:rPr>
      </w:pPr>
    </w:p>
    <w:p w:rsidR="002929E3" w:rsidRPr="0061056A" w:rsidRDefault="002929E3" w:rsidP="002929E3">
      <w:pPr>
        <w:jc w:val="center"/>
        <w:rPr>
          <w:b/>
          <w:sz w:val="24"/>
          <w:szCs w:val="24"/>
        </w:rPr>
      </w:pPr>
      <w:r w:rsidRPr="0061056A">
        <w:rPr>
          <w:b/>
          <w:sz w:val="24"/>
          <w:szCs w:val="24"/>
        </w:rPr>
        <w:t>PRODUKTRESUMÉ</w:t>
      </w:r>
    </w:p>
    <w:p w:rsidR="002929E3" w:rsidRPr="0061056A" w:rsidRDefault="002929E3" w:rsidP="002929E3">
      <w:pPr>
        <w:jc w:val="center"/>
        <w:rPr>
          <w:b/>
          <w:sz w:val="24"/>
          <w:szCs w:val="24"/>
        </w:rPr>
      </w:pPr>
    </w:p>
    <w:p w:rsidR="002929E3" w:rsidRPr="0061056A" w:rsidRDefault="00B703F3" w:rsidP="00B703F3">
      <w:pPr>
        <w:tabs>
          <w:tab w:val="left" w:pos="225"/>
          <w:tab w:val="center" w:pos="4819"/>
        </w:tabs>
        <w:rPr>
          <w:b/>
          <w:sz w:val="24"/>
          <w:szCs w:val="24"/>
        </w:rPr>
      </w:pPr>
      <w:r>
        <w:rPr>
          <w:b/>
          <w:sz w:val="24"/>
          <w:szCs w:val="24"/>
        </w:rPr>
        <w:tab/>
      </w:r>
      <w:r>
        <w:rPr>
          <w:b/>
          <w:sz w:val="24"/>
          <w:szCs w:val="24"/>
        </w:rPr>
        <w:tab/>
      </w:r>
      <w:r w:rsidR="002929E3" w:rsidRPr="0061056A">
        <w:rPr>
          <w:b/>
          <w:sz w:val="24"/>
          <w:szCs w:val="24"/>
        </w:rPr>
        <w:t>for</w:t>
      </w:r>
    </w:p>
    <w:p w:rsidR="002929E3" w:rsidRPr="0061056A" w:rsidRDefault="002929E3" w:rsidP="002929E3">
      <w:pPr>
        <w:jc w:val="center"/>
        <w:rPr>
          <w:b/>
          <w:sz w:val="24"/>
          <w:szCs w:val="24"/>
        </w:rPr>
      </w:pPr>
    </w:p>
    <w:p w:rsidR="002929E3" w:rsidRPr="0061056A" w:rsidRDefault="002929E3" w:rsidP="002929E3">
      <w:pPr>
        <w:jc w:val="center"/>
        <w:rPr>
          <w:b/>
          <w:sz w:val="24"/>
          <w:szCs w:val="24"/>
        </w:rPr>
      </w:pPr>
      <w:proofErr w:type="spellStart"/>
      <w:r w:rsidRPr="0061056A">
        <w:rPr>
          <w:b/>
          <w:sz w:val="24"/>
          <w:szCs w:val="24"/>
        </w:rPr>
        <w:t>Montelukast</w:t>
      </w:r>
      <w:proofErr w:type="spellEnd"/>
      <w:r w:rsidRPr="0061056A">
        <w:rPr>
          <w:b/>
          <w:sz w:val="24"/>
          <w:szCs w:val="24"/>
        </w:rPr>
        <w:t xml:space="preserve"> ”</w:t>
      </w:r>
      <w:proofErr w:type="spellStart"/>
      <w:r w:rsidRPr="0061056A">
        <w:rPr>
          <w:b/>
          <w:sz w:val="24"/>
          <w:szCs w:val="24"/>
        </w:rPr>
        <w:t>Accord</w:t>
      </w:r>
      <w:proofErr w:type="spellEnd"/>
      <w:r w:rsidRPr="0061056A">
        <w:rPr>
          <w:b/>
          <w:sz w:val="24"/>
          <w:szCs w:val="24"/>
        </w:rPr>
        <w:t xml:space="preserve"> Healthcare”, filmovertrukne tabletter</w:t>
      </w:r>
    </w:p>
    <w:p w:rsidR="002929E3" w:rsidRPr="0061056A" w:rsidRDefault="002929E3" w:rsidP="002929E3">
      <w:pPr>
        <w:jc w:val="both"/>
        <w:rPr>
          <w:sz w:val="24"/>
          <w:szCs w:val="24"/>
        </w:rPr>
      </w:pPr>
    </w:p>
    <w:p w:rsidR="002929E3" w:rsidRPr="0061056A" w:rsidRDefault="002929E3" w:rsidP="002929E3">
      <w:pPr>
        <w:ind w:left="851" w:hanging="851"/>
        <w:jc w:val="both"/>
        <w:rPr>
          <w:sz w:val="24"/>
          <w:szCs w:val="24"/>
        </w:rPr>
      </w:pPr>
    </w:p>
    <w:p w:rsidR="002929E3" w:rsidRPr="0061056A" w:rsidRDefault="002929E3" w:rsidP="002929E3">
      <w:pPr>
        <w:numPr>
          <w:ilvl w:val="0"/>
          <w:numId w:val="1"/>
        </w:numPr>
        <w:tabs>
          <w:tab w:val="clear" w:pos="855"/>
          <w:tab w:val="left" w:pos="851"/>
        </w:tabs>
        <w:ind w:left="851" w:hanging="851"/>
        <w:rPr>
          <w:b/>
          <w:sz w:val="24"/>
          <w:szCs w:val="24"/>
        </w:rPr>
      </w:pPr>
      <w:r w:rsidRPr="0061056A">
        <w:rPr>
          <w:b/>
          <w:sz w:val="24"/>
          <w:szCs w:val="24"/>
        </w:rPr>
        <w:t>D.SP.NR.</w:t>
      </w:r>
    </w:p>
    <w:p w:rsidR="002929E3" w:rsidRPr="0061056A" w:rsidRDefault="002929E3" w:rsidP="002929E3">
      <w:pPr>
        <w:tabs>
          <w:tab w:val="left" w:pos="851"/>
        </w:tabs>
        <w:ind w:left="851" w:hanging="851"/>
        <w:rPr>
          <w:sz w:val="24"/>
          <w:szCs w:val="24"/>
        </w:rPr>
      </w:pPr>
      <w:r w:rsidRPr="0061056A">
        <w:rPr>
          <w:sz w:val="24"/>
          <w:szCs w:val="24"/>
        </w:rPr>
        <w:tab/>
        <w:t>27507</w:t>
      </w:r>
    </w:p>
    <w:p w:rsidR="002929E3" w:rsidRPr="0061056A" w:rsidRDefault="002929E3" w:rsidP="002929E3">
      <w:pPr>
        <w:tabs>
          <w:tab w:val="left" w:pos="851"/>
        </w:tabs>
        <w:ind w:left="851" w:hanging="851"/>
        <w:rPr>
          <w:sz w:val="24"/>
          <w:szCs w:val="24"/>
        </w:rPr>
      </w:pPr>
    </w:p>
    <w:p w:rsidR="002929E3" w:rsidRPr="0061056A" w:rsidRDefault="002929E3" w:rsidP="002929E3">
      <w:pPr>
        <w:numPr>
          <w:ilvl w:val="0"/>
          <w:numId w:val="1"/>
        </w:numPr>
        <w:ind w:left="851" w:hanging="851"/>
        <w:rPr>
          <w:b/>
          <w:sz w:val="24"/>
          <w:szCs w:val="24"/>
        </w:rPr>
      </w:pPr>
      <w:r w:rsidRPr="0061056A">
        <w:rPr>
          <w:b/>
          <w:sz w:val="24"/>
          <w:szCs w:val="24"/>
        </w:rPr>
        <w:t>LÆGEMIDLETS NAVN</w:t>
      </w:r>
    </w:p>
    <w:p w:rsidR="002929E3" w:rsidRPr="0061056A" w:rsidRDefault="002929E3" w:rsidP="002929E3">
      <w:pPr>
        <w:tabs>
          <w:tab w:val="left" w:pos="851"/>
        </w:tabs>
        <w:ind w:left="851" w:hanging="851"/>
        <w:rPr>
          <w:sz w:val="24"/>
          <w:szCs w:val="24"/>
        </w:rPr>
      </w:pPr>
      <w:r>
        <w:rPr>
          <w:sz w:val="24"/>
          <w:szCs w:val="24"/>
        </w:rPr>
        <w:tab/>
      </w:r>
      <w:proofErr w:type="spellStart"/>
      <w:r w:rsidRPr="0061056A">
        <w:rPr>
          <w:sz w:val="24"/>
          <w:szCs w:val="24"/>
        </w:rPr>
        <w:t>Montelukast</w:t>
      </w:r>
      <w:proofErr w:type="spellEnd"/>
      <w:r w:rsidRPr="0061056A">
        <w:rPr>
          <w:sz w:val="24"/>
          <w:szCs w:val="24"/>
        </w:rPr>
        <w:t xml:space="preserve"> ”</w:t>
      </w:r>
      <w:proofErr w:type="spellStart"/>
      <w:r w:rsidRPr="0061056A">
        <w:rPr>
          <w:sz w:val="24"/>
          <w:szCs w:val="24"/>
        </w:rPr>
        <w:t>Accord</w:t>
      </w:r>
      <w:proofErr w:type="spellEnd"/>
      <w:r w:rsidRPr="0061056A">
        <w:rPr>
          <w:sz w:val="24"/>
          <w:szCs w:val="24"/>
        </w:rPr>
        <w:t xml:space="preserve"> Healthcare”</w:t>
      </w:r>
    </w:p>
    <w:p w:rsidR="002929E3" w:rsidRPr="0061056A" w:rsidRDefault="002929E3" w:rsidP="002929E3">
      <w:pPr>
        <w:tabs>
          <w:tab w:val="left" w:pos="851"/>
        </w:tabs>
        <w:ind w:left="851" w:hanging="851"/>
        <w:rPr>
          <w:sz w:val="24"/>
          <w:szCs w:val="24"/>
        </w:rPr>
      </w:pPr>
      <w:r w:rsidRPr="0061056A">
        <w:rPr>
          <w:sz w:val="24"/>
          <w:szCs w:val="24"/>
        </w:rPr>
        <w:tab/>
      </w:r>
    </w:p>
    <w:p w:rsidR="002929E3" w:rsidRPr="0061056A" w:rsidRDefault="002929E3" w:rsidP="002929E3">
      <w:pPr>
        <w:numPr>
          <w:ilvl w:val="0"/>
          <w:numId w:val="1"/>
        </w:numPr>
        <w:ind w:left="851" w:hanging="851"/>
        <w:rPr>
          <w:b/>
          <w:sz w:val="24"/>
          <w:szCs w:val="24"/>
        </w:rPr>
      </w:pPr>
      <w:r w:rsidRPr="0061056A">
        <w:rPr>
          <w:b/>
          <w:sz w:val="24"/>
          <w:szCs w:val="24"/>
        </w:rPr>
        <w:t>KVALITATIV OG KVANTITATIV SAMMENSÆTNING</w:t>
      </w:r>
    </w:p>
    <w:p w:rsidR="002929E3" w:rsidRPr="0061056A" w:rsidRDefault="002929E3" w:rsidP="002929E3">
      <w:pPr>
        <w:autoSpaceDE w:val="0"/>
        <w:autoSpaceDN w:val="0"/>
        <w:adjustRightInd w:val="0"/>
        <w:ind w:left="851" w:hanging="851"/>
        <w:rPr>
          <w:color w:val="010202"/>
          <w:sz w:val="24"/>
          <w:szCs w:val="24"/>
        </w:rPr>
      </w:pPr>
      <w:r w:rsidRPr="0061056A">
        <w:rPr>
          <w:sz w:val="24"/>
          <w:szCs w:val="24"/>
        </w:rPr>
        <w:tab/>
      </w:r>
      <w:r w:rsidRPr="0061056A">
        <w:rPr>
          <w:color w:val="010202"/>
          <w:sz w:val="24"/>
          <w:szCs w:val="24"/>
        </w:rPr>
        <w:t xml:space="preserve">Hver filmovertrukket tablet indeholder 10,4 mg </w:t>
      </w:r>
      <w:proofErr w:type="spellStart"/>
      <w:r w:rsidRPr="0061056A">
        <w:rPr>
          <w:color w:val="010202"/>
          <w:sz w:val="24"/>
          <w:szCs w:val="24"/>
        </w:rPr>
        <w:t>montelukastnatrium</w:t>
      </w:r>
      <w:proofErr w:type="spellEnd"/>
      <w:r w:rsidRPr="0061056A">
        <w:rPr>
          <w:color w:val="010202"/>
          <w:sz w:val="24"/>
          <w:szCs w:val="24"/>
        </w:rPr>
        <w:t xml:space="preserve"> svarende til 10 mg </w:t>
      </w:r>
      <w:proofErr w:type="spellStart"/>
      <w:r w:rsidRPr="0061056A">
        <w:rPr>
          <w:color w:val="010202"/>
          <w:sz w:val="24"/>
          <w:szCs w:val="24"/>
        </w:rPr>
        <w:t>montelukast</w:t>
      </w:r>
      <w:proofErr w:type="spellEnd"/>
      <w:r w:rsidRPr="0061056A">
        <w:rPr>
          <w:color w:val="010202"/>
          <w:sz w:val="24"/>
          <w:szCs w:val="24"/>
        </w:rPr>
        <w:t>.</w:t>
      </w:r>
    </w:p>
    <w:p w:rsidR="002929E3" w:rsidRPr="0061056A" w:rsidRDefault="002929E3" w:rsidP="002929E3">
      <w:pPr>
        <w:autoSpaceDE w:val="0"/>
        <w:autoSpaceDN w:val="0"/>
        <w:adjustRightInd w:val="0"/>
        <w:ind w:left="851" w:hanging="851"/>
        <w:rPr>
          <w:color w:val="010202"/>
          <w:sz w:val="24"/>
          <w:szCs w:val="24"/>
        </w:rPr>
      </w:pPr>
    </w:p>
    <w:p w:rsidR="002929E3" w:rsidRPr="00AB18E3" w:rsidRDefault="00AA18D7" w:rsidP="002929E3">
      <w:pPr>
        <w:autoSpaceDE w:val="0"/>
        <w:autoSpaceDN w:val="0"/>
        <w:adjustRightInd w:val="0"/>
        <w:ind w:left="851"/>
        <w:rPr>
          <w:color w:val="010202"/>
          <w:sz w:val="24"/>
          <w:szCs w:val="24"/>
        </w:rPr>
      </w:pPr>
      <w:r w:rsidRPr="00AB18E3">
        <w:rPr>
          <w:sz w:val="24"/>
          <w:szCs w:val="24"/>
        </w:rPr>
        <w:t>Hjælpestof(fer), som behandleren skal være opmærksom på</w:t>
      </w:r>
      <w:r w:rsidR="002929E3" w:rsidRPr="00AB18E3">
        <w:rPr>
          <w:color w:val="010202"/>
          <w:sz w:val="24"/>
          <w:szCs w:val="24"/>
        </w:rPr>
        <w:t>: 130,95 mg laktosemonohydrat pr. tablet</w:t>
      </w:r>
    </w:p>
    <w:p w:rsidR="002929E3" w:rsidRPr="0061056A" w:rsidRDefault="002929E3" w:rsidP="002929E3">
      <w:pPr>
        <w:autoSpaceDE w:val="0"/>
        <w:autoSpaceDN w:val="0"/>
        <w:adjustRightInd w:val="0"/>
        <w:ind w:left="851" w:hanging="851"/>
        <w:rPr>
          <w:color w:val="010202"/>
          <w:sz w:val="24"/>
          <w:szCs w:val="24"/>
        </w:rPr>
      </w:pPr>
    </w:p>
    <w:p w:rsidR="002929E3" w:rsidRPr="0061056A" w:rsidRDefault="002929E3" w:rsidP="002929E3">
      <w:pPr>
        <w:autoSpaceDE w:val="0"/>
        <w:autoSpaceDN w:val="0"/>
        <w:adjustRightInd w:val="0"/>
        <w:ind w:left="851"/>
        <w:rPr>
          <w:color w:val="010202"/>
          <w:sz w:val="24"/>
          <w:szCs w:val="24"/>
        </w:rPr>
      </w:pPr>
      <w:r w:rsidRPr="0061056A">
        <w:rPr>
          <w:color w:val="010202"/>
          <w:sz w:val="24"/>
          <w:szCs w:val="24"/>
        </w:rPr>
        <w:t>Alle hjælpestoffer er anført under pkt. 6.1.</w:t>
      </w:r>
    </w:p>
    <w:p w:rsidR="002929E3" w:rsidRPr="0061056A" w:rsidRDefault="002929E3" w:rsidP="002929E3">
      <w:pPr>
        <w:tabs>
          <w:tab w:val="left" w:pos="851"/>
        </w:tabs>
        <w:ind w:left="851" w:hanging="851"/>
        <w:rPr>
          <w:sz w:val="24"/>
          <w:szCs w:val="24"/>
        </w:rPr>
      </w:pPr>
    </w:p>
    <w:p w:rsidR="002929E3" w:rsidRPr="0061056A" w:rsidRDefault="002929E3" w:rsidP="002929E3">
      <w:pPr>
        <w:numPr>
          <w:ilvl w:val="0"/>
          <w:numId w:val="1"/>
        </w:numPr>
        <w:ind w:left="851" w:hanging="851"/>
        <w:rPr>
          <w:b/>
          <w:sz w:val="24"/>
          <w:szCs w:val="24"/>
        </w:rPr>
      </w:pPr>
      <w:r w:rsidRPr="0061056A">
        <w:rPr>
          <w:b/>
          <w:sz w:val="24"/>
          <w:szCs w:val="24"/>
        </w:rPr>
        <w:t>LÆGEMIDDELFORM</w:t>
      </w:r>
    </w:p>
    <w:p w:rsidR="002929E3" w:rsidRPr="0061056A" w:rsidRDefault="002929E3" w:rsidP="002929E3">
      <w:pPr>
        <w:autoSpaceDE w:val="0"/>
        <w:autoSpaceDN w:val="0"/>
        <w:adjustRightInd w:val="0"/>
        <w:ind w:left="851"/>
        <w:rPr>
          <w:color w:val="010202"/>
          <w:sz w:val="24"/>
          <w:szCs w:val="24"/>
        </w:rPr>
      </w:pPr>
      <w:r w:rsidRPr="0061056A">
        <w:rPr>
          <w:color w:val="010202"/>
          <w:sz w:val="24"/>
          <w:szCs w:val="24"/>
        </w:rPr>
        <w:t>Filmovertrukket tablet.</w:t>
      </w:r>
    </w:p>
    <w:p w:rsidR="002929E3" w:rsidRPr="0061056A" w:rsidRDefault="002929E3" w:rsidP="002929E3">
      <w:pPr>
        <w:autoSpaceDE w:val="0"/>
        <w:autoSpaceDN w:val="0"/>
        <w:adjustRightInd w:val="0"/>
        <w:ind w:left="851" w:hanging="851"/>
        <w:rPr>
          <w:color w:val="010202"/>
          <w:sz w:val="24"/>
          <w:szCs w:val="24"/>
        </w:rPr>
      </w:pPr>
    </w:p>
    <w:p w:rsidR="007011C8" w:rsidRPr="007011C8" w:rsidRDefault="002929E3" w:rsidP="007011C8">
      <w:pPr>
        <w:autoSpaceDE w:val="0"/>
        <w:autoSpaceDN w:val="0"/>
        <w:adjustRightInd w:val="0"/>
        <w:ind w:left="851"/>
        <w:rPr>
          <w:b/>
          <w:bCs/>
          <w:sz w:val="24"/>
          <w:szCs w:val="24"/>
          <w:u w:val="single"/>
        </w:rPr>
      </w:pPr>
      <w:r w:rsidRPr="0061056A">
        <w:rPr>
          <w:sz w:val="24"/>
          <w:szCs w:val="24"/>
        </w:rPr>
        <w:t xml:space="preserve">7,9 x 7,9 mm beige, </w:t>
      </w:r>
      <w:proofErr w:type="spellStart"/>
      <w:r w:rsidRPr="0061056A">
        <w:rPr>
          <w:sz w:val="24"/>
          <w:szCs w:val="24"/>
        </w:rPr>
        <w:t>bikonveks</w:t>
      </w:r>
      <w:proofErr w:type="spellEnd"/>
      <w:r w:rsidRPr="0061056A">
        <w:rPr>
          <w:sz w:val="24"/>
          <w:szCs w:val="24"/>
        </w:rPr>
        <w:t xml:space="preserve">, filmovertrukket tablet med rundede kanter, præget med “M10” på den ene side, </w:t>
      </w:r>
      <w:r w:rsidR="00F25C47">
        <w:rPr>
          <w:sz w:val="24"/>
          <w:szCs w:val="24"/>
        </w:rPr>
        <w:t>glat</w:t>
      </w:r>
      <w:r w:rsidRPr="0061056A">
        <w:rPr>
          <w:sz w:val="24"/>
          <w:szCs w:val="24"/>
        </w:rPr>
        <w:t xml:space="preserve"> på den anden side.</w:t>
      </w:r>
    </w:p>
    <w:p w:rsidR="002929E3" w:rsidRPr="0061056A" w:rsidRDefault="002929E3" w:rsidP="002929E3">
      <w:pPr>
        <w:tabs>
          <w:tab w:val="left" w:pos="851"/>
        </w:tabs>
        <w:ind w:left="851" w:hanging="851"/>
        <w:rPr>
          <w:sz w:val="24"/>
          <w:szCs w:val="24"/>
        </w:rPr>
      </w:pPr>
    </w:p>
    <w:p w:rsidR="002929E3" w:rsidRPr="0061056A" w:rsidRDefault="002929E3" w:rsidP="002929E3">
      <w:pPr>
        <w:numPr>
          <w:ilvl w:val="0"/>
          <w:numId w:val="1"/>
        </w:numPr>
        <w:ind w:left="851" w:hanging="851"/>
        <w:rPr>
          <w:b/>
          <w:sz w:val="24"/>
          <w:szCs w:val="24"/>
        </w:rPr>
      </w:pPr>
      <w:r w:rsidRPr="0061056A">
        <w:rPr>
          <w:b/>
          <w:sz w:val="24"/>
          <w:szCs w:val="24"/>
        </w:rPr>
        <w:t>KLINISKE OPLYSNINGER</w:t>
      </w:r>
    </w:p>
    <w:p w:rsidR="002929E3" w:rsidRPr="0061056A" w:rsidRDefault="002929E3" w:rsidP="002929E3">
      <w:pPr>
        <w:tabs>
          <w:tab w:val="left" w:pos="851"/>
        </w:tabs>
        <w:ind w:left="851" w:hanging="851"/>
        <w:rPr>
          <w:b/>
          <w:sz w:val="24"/>
          <w:szCs w:val="24"/>
        </w:rPr>
      </w:pPr>
    </w:p>
    <w:p w:rsidR="002929E3" w:rsidRPr="0061056A" w:rsidRDefault="002929E3" w:rsidP="002929E3">
      <w:pPr>
        <w:numPr>
          <w:ilvl w:val="1"/>
          <w:numId w:val="1"/>
        </w:numPr>
        <w:ind w:left="851" w:hanging="851"/>
        <w:rPr>
          <w:b/>
          <w:sz w:val="24"/>
          <w:szCs w:val="24"/>
          <w:u w:val="single"/>
        </w:rPr>
      </w:pPr>
      <w:r w:rsidRPr="0061056A">
        <w:rPr>
          <w:b/>
          <w:sz w:val="24"/>
          <w:szCs w:val="24"/>
        </w:rPr>
        <w:t>Terapeutiske indikationer</w:t>
      </w:r>
    </w:p>
    <w:p w:rsidR="002929E3" w:rsidRPr="007410C1" w:rsidRDefault="002929E3" w:rsidP="002929E3">
      <w:pPr>
        <w:autoSpaceDE w:val="0"/>
        <w:autoSpaceDN w:val="0"/>
        <w:adjustRightInd w:val="0"/>
        <w:ind w:left="851"/>
        <w:rPr>
          <w:color w:val="010202"/>
          <w:sz w:val="24"/>
          <w:szCs w:val="24"/>
        </w:rPr>
      </w:pPr>
      <w:proofErr w:type="spellStart"/>
      <w:r w:rsidRPr="007410C1">
        <w:rPr>
          <w:color w:val="010202"/>
          <w:sz w:val="24"/>
          <w:szCs w:val="24"/>
        </w:rPr>
        <w:t>Montelukast</w:t>
      </w:r>
      <w:proofErr w:type="spellEnd"/>
      <w:r w:rsidRPr="007410C1">
        <w:rPr>
          <w:color w:val="010202"/>
          <w:sz w:val="24"/>
          <w:szCs w:val="24"/>
        </w:rPr>
        <w:t xml:space="preserve"> ”</w:t>
      </w:r>
      <w:proofErr w:type="spellStart"/>
      <w:r w:rsidRPr="007410C1">
        <w:rPr>
          <w:color w:val="010202"/>
          <w:sz w:val="24"/>
          <w:szCs w:val="24"/>
        </w:rPr>
        <w:t>Accord</w:t>
      </w:r>
      <w:proofErr w:type="spellEnd"/>
      <w:r w:rsidRPr="007410C1">
        <w:rPr>
          <w:color w:val="010202"/>
          <w:sz w:val="24"/>
          <w:szCs w:val="24"/>
        </w:rPr>
        <w:t xml:space="preserve"> Healthcare” 10 mg filmovertrukne tabletter er indiceret til behandling af astma som tillægsbehandling hos patienter med mild til moderat vedvarende astma, hvor der ikke er opnået tilstrækkelig kontrol ved hjælp af </w:t>
      </w:r>
      <w:proofErr w:type="spellStart"/>
      <w:r w:rsidRPr="007410C1">
        <w:rPr>
          <w:color w:val="010202"/>
          <w:sz w:val="24"/>
          <w:szCs w:val="24"/>
        </w:rPr>
        <w:t>inhalations</w:t>
      </w:r>
      <w:r>
        <w:rPr>
          <w:color w:val="010202"/>
          <w:sz w:val="24"/>
          <w:szCs w:val="24"/>
        </w:rPr>
        <w:softHyphen/>
      </w:r>
      <w:r w:rsidRPr="007410C1">
        <w:rPr>
          <w:color w:val="010202"/>
          <w:sz w:val="24"/>
          <w:szCs w:val="24"/>
        </w:rPr>
        <w:t>kortikosteroider</w:t>
      </w:r>
      <w:proofErr w:type="spellEnd"/>
      <w:r w:rsidRPr="007410C1">
        <w:rPr>
          <w:color w:val="010202"/>
          <w:sz w:val="24"/>
          <w:szCs w:val="24"/>
        </w:rPr>
        <w:t xml:space="preserve">, og hvor korttidsvirkende β-agonister “efter behov” ikke giver tilstrækkelig klinisk astmakontrol. Hos de astmatiske patienter, hvor </w:t>
      </w:r>
      <w:proofErr w:type="spellStart"/>
      <w:r w:rsidRPr="007410C1">
        <w:rPr>
          <w:color w:val="010202"/>
          <w:sz w:val="24"/>
          <w:szCs w:val="24"/>
        </w:rPr>
        <w:t>Montelukast</w:t>
      </w:r>
      <w:proofErr w:type="spellEnd"/>
      <w:r w:rsidRPr="007410C1">
        <w:rPr>
          <w:color w:val="010202"/>
          <w:sz w:val="24"/>
          <w:szCs w:val="24"/>
        </w:rPr>
        <w:t xml:space="preserve"> ”</w:t>
      </w:r>
      <w:proofErr w:type="spellStart"/>
      <w:r w:rsidRPr="007410C1">
        <w:rPr>
          <w:color w:val="010202"/>
          <w:sz w:val="24"/>
          <w:szCs w:val="24"/>
        </w:rPr>
        <w:t>Accord</w:t>
      </w:r>
      <w:proofErr w:type="spellEnd"/>
      <w:r w:rsidRPr="007410C1">
        <w:rPr>
          <w:color w:val="010202"/>
          <w:sz w:val="24"/>
          <w:szCs w:val="24"/>
        </w:rPr>
        <w:t xml:space="preserve"> Healthcare” 10 mg filmovertrukne tabletter er indiceret til behandling af astmaen, kan </w:t>
      </w:r>
      <w:proofErr w:type="spellStart"/>
      <w:r w:rsidRPr="007410C1">
        <w:rPr>
          <w:color w:val="010202"/>
          <w:sz w:val="24"/>
          <w:szCs w:val="24"/>
        </w:rPr>
        <w:t>Montelukast</w:t>
      </w:r>
      <w:proofErr w:type="spellEnd"/>
      <w:r w:rsidRPr="007410C1">
        <w:rPr>
          <w:color w:val="010202"/>
          <w:sz w:val="24"/>
          <w:szCs w:val="24"/>
        </w:rPr>
        <w:t xml:space="preserve"> ”</w:t>
      </w:r>
      <w:proofErr w:type="spellStart"/>
      <w:r w:rsidRPr="007410C1">
        <w:rPr>
          <w:color w:val="010202"/>
          <w:sz w:val="24"/>
          <w:szCs w:val="24"/>
        </w:rPr>
        <w:t>Accord</w:t>
      </w:r>
      <w:proofErr w:type="spellEnd"/>
      <w:r w:rsidRPr="007410C1">
        <w:rPr>
          <w:color w:val="010202"/>
          <w:sz w:val="24"/>
          <w:szCs w:val="24"/>
        </w:rPr>
        <w:t xml:space="preserve"> Healthcare” 10 mg filmovertrukne tabletter også give symptomatisk lindring ved sæsonbetinget allergisk </w:t>
      </w:r>
      <w:proofErr w:type="spellStart"/>
      <w:r w:rsidRPr="007410C1">
        <w:rPr>
          <w:color w:val="010202"/>
          <w:sz w:val="24"/>
          <w:szCs w:val="24"/>
        </w:rPr>
        <w:t>rhinitis</w:t>
      </w:r>
      <w:proofErr w:type="spellEnd"/>
      <w:r w:rsidRPr="007410C1">
        <w:rPr>
          <w:color w:val="010202"/>
          <w:sz w:val="24"/>
          <w:szCs w:val="24"/>
        </w:rPr>
        <w:t>.</w:t>
      </w:r>
    </w:p>
    <w:p w:rsidR="002929E3" w:rsidRPr="00401408" w:rsidRDefault="002929E3" w:rsidP="002929E3">
      <w:pPr>
        <w:autoSpaceDE w:val="0"/>
        <w:autoSpaceDN w:val="0"/>
        <w:adjustRightInd w:val="0"/>
        <w:ind w:left="851" w:hanging="851"/>
        <w:rPr>
          <w:color w:val="010202"/>
          <w:sz w:val="24"/>
          <w:szCs w:val="24"/>
        </w:rPr>
      </w:pPr>
    </w:p>
    <w:p w:rsidR="002929E3" w:rsidRPr="00401408" w:rsidRDefault="002929E3" w:rsidP="002929E3">
      <w:pPr>
        <w:autoSpaceDE w:val="0"/>
        <w:autoSpaceDN w:val="0"/>
        <w:adjustRightInd w:val="0"/>
        <w:ind w:left="851" w:hanging="851"/>
        <w:rPr>
          <w:color w:val="010202"/>
          <w:sz w:val="24"/>
          <w:szCs w:val="24"/>
        </w:rPr>
      </w:pPr>
      <w:r w:rsidRPr="00401408">
        <w:rPr>
          <w:color w:val="010202"/>
          <w:sz w:val="24"/>
          <w:szCs w:val="24"/>
        </w:rPr>
        <w:tab/>
      </w:r>
      <w:proofErr w:type="spellStart"/>
      <w:r w:rsidRPr="00401408">
        <w:rPr>
          <w:color w:val="010202"/>
          <w:sz w:val="24"/>
          <w:szCs w:val="24"/>
        </w:rPr>
        <w:t>Montelukast</w:t>
      </w:r>
      <w:proofErr w:type="spellEnd"/>
      <w:r w:rsidRPr="00401408">
        <w:rPr>
          <w:color w:val="010202"/>
          <w:sz w:val="24"/>
          <w:szCs w:val="24"/>
        </w:rPr>
        <w:t xml:space="preserve"> ”</w:t>
      </w:r>
      <w:proofErr w:type="spellStart"/>
      <w:r w:rsidRPr="00401408">
        <w:rPr>
          <w:color w:val="010202"/>
          <w:sz w:val="24"/>
          <w:szCs w:val="24"/>
        </w:rPr>
        <w:t>Accord</w:t>
      </w:r>
      <w:proofErr w:type="spellEnd"/>
      <w:r w:rsidRPr="00401408">
        <w:rPr>
          <w:color w:val="010202"/>
          <w:sz w:val="24"/>
          <w:szCs w:val="24"/>
        </w:rPr>
        <w:t xml:space="preserve"> Healthcare” er også indiceret til forebyggelse af astma, hvor den dominerende årsag er anstrengelsesudløst </w:t>
      </w:r>
      <w:proofErr w:type="spellStart"/>
      <w:r w:rsidRPr="00401408">
        <w:rPr>
          <w:color w:val="010202"/>
          <w:sz w:val="24"/>
          <w:szCs w:val="24"/>
        </w:rPr>
        <w:t>bronkokonstriktion</w:t>
      </w:r>
      <w:proofErr w:type="spellEnd"/>
      <w:r w:rsidRPr="00401408">
        <w:rPr>
          <w:color w:val="010202"/>
          <w:sz w:val="24"/>
          <w:szCs w:val="24"/>
        </w:rPr>
        <w:t>.</w:t>
      </w:r>
    </w:p>
    <w:p w:rsidR="002929E3" w:rsidRDefault="002929E3" w:rsidP="002929E3">
      <w:pPr>
        <w:rPr>
          <w:sz w:val="24"/>
          <w:szCs w:val="24"/>
        </w:rPr>
      </w:pPr>
      <w:r>
        <w:rPr>
          <w:sz w:val="24"/>
          <w:szCs w:val="24"/>
        </w:rPr>
        <w:br w:type="page"/>
      </w:r>
    </w:p>
    <w:p w:rsidR="002929E3" w:rsidRDefault="002929E3" w:rsidP="002929E3">
      <w:pPr>
        <w:autoSpaceDE w:val="0"/>
        <w:autoSpaceDN w:val="0"/>
        <w:adjustRightInd w:val="0"/>
        <w:ind w:left="851" w:hanging="851"/>
        <w:rPr>
          <w:sz w:val="24"/>
          <w:szCs w:val="24"/>
        </w:rPr>
      </w:pPr>
    </w:p>
    <w:p w:rsidR="002929E3" w:rsidRPr="0061056A" w:rsidRDefault="002929E3" w:rsidP="002929E3">
      <w:pPr>
        <w:numPr>
          <w:ilvl w:val="1"/>
          <w:numId w:val="1"/>
        </w:numPr>
        <w:ind w:left="851" w:hanging="851"/>
        <w:rPr>
          <w:b/>
          <w:sz w:val="24"/>
          <w:szCs w:val="24"/>
        </w:rPr>
      </w:pPr>
      <w:r w:rsidRPr="0061056A">
        <w:rPr>
          <w:b/>
          <w:sz w:val="24"/>
          <w:szCs w:val="24"/>
        </w:rPr>
        <w:t xml:space="preserve">Dosering og </w:t>
      </w:r>
      <w:r w:rsidR="007011C8">
        <w:rPr>
          <w:b/>
          <w:sz w:val="24"/>
          <w:szCs w:val="24"/>
        </w:rPr>
        <w:t>administration</w:t>
      </w:r>
    </w:p>
    <w:p w:rsidR="002929E3" w:rsidRPr="0061056A" w:rsidRDefault="002929E3" w:rsidP="002929E3">
      <w:pPr>
        <w:autoSpaceDE w:val="0"/>
        <w:autoSpaceDN w:val="0"/>
        <w:adjustRightInd w:val="0"/>
        <w:ind w:left="851"/>
        <w:rPr>
          <w:b/>
          <w:bCs/>
          <w:sz w:val="24"/>
          <w:szCs w:val="24"/>
        </w:rPr>
      </w:pPr>
      <w:r w:rsidRPr="004B2C0F">
        <w:rPr>
          <w:bCs/>
          <w:sz w:val="24"/>
          <w:szCs w:val="24"/>
        </w:rPr>
        <w:t>Dosering</w:t>
      </w:r>
      <w:r w:rsidRPr="0061056A">
        <w:rPr>
          <w:b/>
          <w:bCs/>
          <w:sz w:val="24"/>
          <w:szCs w:val="24"/>
        </w:rPr>
        <w:t>:</w:t>
      </w:r>
    </w:p>
    <w:p w:rsidR="002929E3" w:rsidRPr="00401408" w:rsidRDefault="002929E3" w:rsidP="002929E3">
      <w:pPr>
        <w:autoSpaceDE w:val="0"/>
        <w:autoSpaceDN w:val="0"/>
        <w:adjustRightInd w:val="0"/>
        <w:ind w:left="851"/>
        <w:rPr>
          <w:sz w:val="24"/>
          <w:szCs w:val="24"/>
        </w:rPr>
      </w:pPr>
      <w:r>
        <w:rPr>
          <w:sz w:val="24"/>
          <w:szCs w:val="24"/>
        </w:rPr>
        <w:t xml:space="preserve">Den anbefalede dosis </w:t>
      </w:r>
      <w:r w:rsidRPr="00401408">
        <w:rPr>
          <w:sz w:val="24"/>
          <w:szCs w:val="24"/>
        </w:rPr>
        <w:t xml:space="preserve">til unge og voksne fra 15 år og ældre med astma eller astma og samtidig sæsonbetinget allergisk </w:t>
      </w:r>
      <w:proofErr w:type="spellStart"/>
      <w:r w:rsidRPr="00401408">
        <w:rPr>
          <w:sz w:val="24"/>
          <w:szCs w:val="24"/>
        </w:rPr>
        <w:t>rhinitis</w:t>
      </w:r>
      <w:proofErr w:type="spellEnd"/>
      <w:r w:rsidRPr="00401408">
        <w:rPr>
          <w:sz w:val="24"/>
          <w:szCs w:val="24"/>
        </w:rPr>
        <w:t xml:space="preserve"> er én tablet à 10 mg dagligt taget om aftenen.</w:t>
      </w:r>
    </w:p>
    <w:p w:rsidR="002929E3" w:rsidRPr="00401408" w:rsidRDefault="002929E3" w:rsidP="002929E3">
      <w:pPr>
        <w:autoSpaceDE w:val="0"/>
        <w:autoSpaceDN w:val="0"/>
        <w:adjustRightInd w:val="0"/>
        <w:ind w:left="851"/>
        <w:jc w:val="both"/>
        <w:rPr>
          <w:b/>
          <w:bCs/>
          <w:sz w:val="24"/>
          <w:szCs w:val="24"/>
        </w:rPr>
      </w:pPr>
    </w:p>
    <w:p w:rsidR="002929E3" w:rsidRPr="004B2C0F" w:rsidRDefault="002929E3" w:rsidP="002929E3">
      <w:pPr>
        <w:autoSpaceDE w:val="0"/>
        <w:autoSpaceDN w:val="0"/>
        <w:adjustRightInd w:val="0"/>
        <w:ind w:left="851"/>
        <w:jc w:val="both"/>
        <w:rPr>
          <w:bCs/>
          <w:sz w:val="24"/>
          <w:szCs w:val="24"/>
        </w:rPr>
      </w:pPr>
      <w:r w:rsidRPr="004B2C0F">
        <w:rPr>
          <w:bCs/>
          <w:sz w:val="24"/>
          <w:szCs w:val="24"/>
        </w:rPr>
        <w:t>Generelle anbefalinger:</w:t>
      </w:r>
    </w:p>
    <w:p w:rsidR="002929E3" w:rsidRPr="0061056A" w:rsidRDefault="002929E3" w:rsidP="002929E3">
      <w:pPr>
        <w:autoSpaceDE w:val="0"/>
        <w:autoSpaceDN w:val="0"/>
        <w:adjustRightInd w:val="0"/>
        <w:ind w:left="851"/>
        <w:rPr>
          <w:sz w:val="24"/>
          <w:szCs w:val="24"/>
        </w:rPr>
      </w:pPr>
      <w:r w:rsidRPr="0061056A">
        <w:rPr>
          <w:sz w:val="24"/>
          <w:szCs w:val="24"/>
        </w:rPr>
        <w:t xml:space="preserve">Den terapeutiske effekt af </w:t>
      </w:r>
      <w:proofErr w:type="spellStart"/>
      <w:r>
        <w:rPr>
          <w:color w:val="010202"/>
          <w:sz w:val="24"/>
          <w:szCs w:val="24"/>
        </w:rPr>
        <w:t>Montelukast</w:t>
      </w:r>
      <w:proofErr w:type="spellEnd"/>
      <w:r>
        <w:rPr>
          <w:color w:val="010202"/>
          <w:sz w:val="24"/>
          <w:szCs w:val="24"/>
        </w:rPr>
        <w:t xml:space="preserve"> ”</w:t>
      </w:r>
      <w:proofErr w:type="spellStart"/>
      <w:r>
        <w:rPr>
          <w:color w:val="010202"/>
          <w:sz w:val="24"/>
          <w:szCs w:val="24"/>
        </w:rPr>
        <w:t>Accord</w:t>
      </w:r>
      <w:proofErr w:type="spellEnd"/>
      <w:r>
        <w:rPr>
          <w:color w:val="010202"/>
          <w:sz w:val="24"/>
          <w:szCs w:val="24"/>
        </w:rPr>
        <w:t xml:space="preserve"> Healthcare”</w:t>
      </w:r>
      <w:r w:rsidRPr="0061056A">
        <w:rPr>
          <w:color w:val="010202"/>
          <w:sz w:val="24"/>
          <w:szCs w:val="24"/>
        </w:rPr>
        <w:t xml:space="preserve"> på</w:t>
      </w:r>
      <w:r w:rsidRPr="0061056A">
        <w:rPr>
          <w:sz w:val="24"/>
          <w:szCs w:val="24"/>
        </w:rPr>
        <w:t xml:space="preserve"> astmakontrolparametre indtræder inden for en dag. </w:t>
      </w:r>
      <w:proofErr w:type="spellStart"/>
      <w:r>
        <w:rPr>
          <w:color w:val="010202"/>
          <w:sz w:val="24"/>
          <w:szCs w:val="24"/>
        </w:rPr>
        <w:t>Montelukast</w:t>
      </w:r>
      <w:proofErr w:type="spellEnd"/>
      <w:r>
        <w:rPr>
          <w:color w:val="010202"/>
          <w:sz w:val="24"/>
          <w:szCs w:val="24"/>
        </w:rPr>
        <w:t xml:space="preserve"> ”</w:t>
      </w:r>
      <w:proofErr w:type="spellStart"/>
      <w:r>
        <w:rPr>
          <w:color w:val="010202"/>
          <w:sz w:val="24"/>
          <w:szCs w:val="24"/>
        </w:rPr>
        <w:t>Accord</w:t>
      </w:r>
      <w:proofErr w:type="spellEnd"/>
      <w:r>
        <w:rPr>
          <w:color w:val="010202"/>
          <w:sz w:val="24"/>
          <w:szCs w:val="24"/>
        </w:rPr>
        <w:t xml:space="preserve"> Healthcare”</w:t>
      </w:r>
      <w:r w:rsidRPr="0061056A">
        <w:rPr>
          <w:sz w:val="24"/>
          <w:szCs w:val="24"/>
        </w:rPr>
        <w:t xml:space="preserve"> kan tages med eller uden mad. Patienter bør tilrådes at fortsætte med at tage </w:t>
      </w:r>
      <w:proofErr w:type="spellStart"/>
      <w:r>
        <w:rPr>
          <w:color w:val="010202"/>
          <w:sz w:val="24"/>
          <w:szCs w:val="24"/>
        </w:rPr>
        <w:t>Montelukast</w:t>
      </w:r>
      <w:proofErr w:type="spellEnd"/>
      <w:r>
        <w:rPr>
          <w:color w:val="010202"/>
          <w:sz w:val="24"/>
          <w:szCs w:val="24"/>
        </w:rPr>
        <w:t xml:space="preserve"> ”</w:t>
      </w:r>
      <w:proofErr w:type="spellStart"/>
      <w:r>
        <w:rPr>
          <w:color w:val="010202"/>
          <w:sz w:val="24"/>
          <w:szCs w:val="24"/>
        </w:rPr>
        <w:t>Accord</w:t>
      </w:r>
      <w:proofErr w:type="spellEnd"/>
      <w:r>
        <w:rPr>
          <w:color w:val="010202"/>
          <w:sz w:val="24"/>
          <w:szCs w:val="24"/>
        </w:rPr>
        <w:t xml:space="preserve"> Healthcare”,</w:t>
      </w:r>
      <w:r w:rsidRPr="0061056A">
        <w:rPr>
          <w:sz w:val="24"/>
          <w:szCs w:val="24"/>
        </w:rPr>
        <w:t xml:space="preserve"> selv hvis deres astma er under kontrol, samt i perioder, hvor astmaen forværres. </w:t>
      </w:r>
      <w:proofErr w:type="spellStart"/>
      <w:r>
        <w:rPr>
          <w:color w:val="010202"/>
          <w:sz w:val="24"/>
          <w:szCs w:val="24"/>
        </w:rPr>
        <w:t>Montelukast</w:t>
      </w:r>
      <w:proofErr w:type="spellEnd"/>
      <w:r>
        <w:rPr>
          <w:color w:val="010202"/>
          <w:sz w:val="24"/>
          <w:szCs w:val="24"/>
        </w:rPr>
        <w:t xml:space="preserve"> ”</w:t>
      </w:r>
      <w:proofErr w:type="spellStart"/>
      <w:r>
        <w:rPr>
          <w:color w:val="010202"/>
          <w:sz w:val="24"/>
          <w:szCs w:val="24"/>
        </w:rPr>
        <w:t>Accord</w:t>
      </w:r>
      <w:proofErr w:type="spellEnd"/>
      <w:r>
        <w:rPr>
          <w:color w:val="010202"/>
          <w:sz w:val="24"/>
          <w:szCs w:val="24"/>
        </w:rPr>
        <w:t xml:space="preserve"> Healthcare”</w:t>
      </w:r>
      <w:r w:rsidRPr="0061056A">
        <w:rPr>
          <w:sz w:val="24"/>
          <w:szCs w:val="24"/>
        </w:rPr>
        <w:t xml:space="preserve"> må ikke anvendes sammen med andre lægemidler, som indeholder det samme aktive stof, </w:t>
      </w:r>
      <w:proofErr w:type="spellStart"/>
      <w:r w:rsidRPr="0061056A">
        <w:rPr>
          <w:sz w:val="24"/>
          <w:szCs w:val="24"/>
        </w:rPr>
        <w:t>montelukast</w:t>
      </w:r>
      <w:proofErr w:type="spellEnd"/>
      <w:r w:rsidRPr="0061056A">
        <w:rPr>
          <w:sz w:val="24"/>
          <w:szCs w:val="24"/>
        </w:rPr>
        <w:t>.</w:t>
      </w:r>
    </w:p>
    <w:p w:rsidR="002929E3" w:rsidRPr="0061056A" w:rsidRDefault="002929E3" w:rsidP="002929E3">
      <w:pPr>
        <w:autoSpaceDE w:val="0"/>
        <w:autoSpaceDN w:val="0"/>
        <w:adjustRightInd w:val="0"/>
        <w:ind w:left="851" w:hanging="851"/>
        <w:rPr>
          <w:sz w:val="24"/>
          <w:szCs w:val="24"/>
        </w:rPr>
      </w:pPr>
    </w:p>
    <w:p w:rsidR="002929E3" w:rsidRPr="0061056A" w:rsidRDefault="002929E3" w:rsidP="002929E3">
      <w:pPr>
        <w:autoSpaceDE w:val="0"/>
        <w:autoSpaceDN w:val="0"/>
        <w:adjustRightInd w:val="0"/>
        <w:ind w:left="851"/>
        <w:rPr>
          <w:sz w:val="24"/>
          <w:szCs w:val="24"/>
        </w:rPr>
      </w:pPr>
      <w:r w:rsidRPr="0061056A">
        <w:rPr>
          <w:sz w:val="24"/>
          <w:szCs w:val="24"/>
        </w:rPr>
        <w:t>Dosisjustering er ikke nødvendig hos ældre eller hos patienter med nyreinsufficiens eller let til moderat nedsat leverfunktion. Der foreligger ingen data vedrørende patienter med svært nedsat leverfunktion. Dosis er den samme for mandlige og kvindelige patienter.</w:t>
      </w:r>
    </w:p>
    <w:p w:rsidR="002929E3" w:rsidRPr="00401408" w:rsidRDefault="002929E3" w:rsidP="002929E3">
      <w:pPr>
        <w:autoSpaceDE w:val="0"/>
        <w:autoSpaceDN w:val="0"/>
        <w:adjustRightInd w:val="0"/>
        <w:ind w:left="1702" w:hanging="851"/>
        <w:rPr>
          <w:i/>
          <w:iCs/>
          <w:sz w:val="24"/>
          <w:szCs w:val="24"/>
        </w:rPr>
      </w:pPr>
    </w:p>
    <w:p w:rsidR="002929E3" w:rsidRPr="00401408" w:rsidRDefault="002929E3" w:rsidP="002929E3">
      <w:pPr>
        <w:autoSpaceDE w:val="0"/>
        <w:autoSpaceDN w:val="0"/>
        <w:adjustRightInd w:val="0"/>
        <w:ind w:left="851"/>
        <w:jc w:val="both"/>
        <w:rPr>
          <w:sz w:val="24"/>
          <w:szCs w:val="24"/>
        </w:rPr>
      </w:pPr>
      <w:r w:rsidRPr="00AB18E3">
        <w:rPr>
          <w:i/>
          <w:sz w:val="24"/>
          <w:szCs w:val="24"/>
        </w:rPr>
        <w:t xml:space="preserve">Behandling med </w:t>
      </w:r>
      <w:proofErr w:type="spellStart"/>
      <w:r w:rsidRPr="00AB18E3">
        <w:rPr>
          <w:i/>
          <w:sz w:val="24"/>
          <w:szCs w:val="24"/>
        </w:rPr>
        <w:t>Montelukast</w:t>
      </w:r>
      <w:proofErr w:type="spellEnd"/>
      <w:r w:rsidRPr="00AB18E3">
        <w:rPr>
          <w:i/>
          <w:sz w:val="24"/>
          <w:szCs w:val="24"/>
        </w:rPr>
        <w:t xml:space="preserve"> </w:t>
      </w:r>
      <w:r w:rsidRPr="00AB18E3">
        <w:rPr>
          <w:i/>
          <w:color w:val="010202"/>
          <w:sz w:val="24"/>
          <w:szCs w:val="24"/>
        </w:rPr>
        <w:t>”</w:t>
      </w:r>
      <w:proofErr w:type="spellStart"/>
      <w:r w:rsidRPr="00AB18E3">
        <w:rPr>
          <w:i/>
          <w:color w:val="010202"/>
          <w:sz w:val="24"/>
          <w:szCs w:val="24"/>
        </w:rPr>
        <w:t>Accord</w:t>
      </w:r>
      <w:proofErr w:type="spellEnd"/>
      <w:r w:rsidRPr="00AB18E3">
        <w:rPr>
          <w:i/>
          <w:color w:val="010202"/>
          <w:sz w:val="24"/>
          <w:szCs w:val="24"/>
        </w:rPr>
        <w:t xml:space="preserve"> Healthcare” </w:t>
      </w:r>
      <w:r w:rsidRPr="00AB18E3">
        <w:rPr>
          <w:i/>
          <w:sz w:val="24"/>
          <w:szCs w:val="24"/>
        </w:rPr>
        <w:t>i relation til anden astmabehandling</w:t>
      </w:r>
      <w:r w:rsidRPr="00401408">
        <w:rPr>
          <w:sz w:val="24"/>
          <w:szCs w:val="24"/>
        </w:rPr>
        <w:t>:</w:t>
      </w:r>
    </w:p>
    <w:p w:rsidR="002929E3" w:rsidRPr="00401408" w:rsidRDefault="002929E3" w:rsidP="002929E3">
      <w:pPr>
        <w:autoSpaceDE w:val="0"/>
        <w:autoSpaceDN w:val="0"/>
        <w:adjustRightInd w:val="0"/>
        <w:ind w:left="851"/>
        <w:jc w:val="both"/>
        <w:rPr>
          <w:rFonts w:ascii="Verdana-Italic" w:hAnsi="Verdana-Italic" w:cs="Verdana-Italic"/>
          <w:i/>
          <w:iCs/>
          <w:sz w:val="24"/>
          <w:szCs w:val="24"/>
        </w:rPr>
      </w:pPr>
    </w:p>
    <w:p w:rsidR="002929E3" w:rsidRPr="00401408" w:rsidRDefault="002929E3" w:rsidP="002929E3">
      <w:pPr>
        <w:autoSpaceDE w:val="0"/>
        <w:autoSpaceDN w:val="0"/>
        <w:adjustRightInd w:val="0"/>
        <w:ind w:left="851"/>
        <w:rPr>
          <w:color w:val="010202"/>
          <w:sz w:val="24"/>
          <w:szCs w:val="24"/>
        </w:rPr>
      </w:pPr>
      <w:proofErr w:type="spellStart"/>
      <w:r w:rsidRPr="00401408">
        <w:rPr>
          <w:color w:val="010202"/>
          <w:sz w:val="24"/>
          <w:szCs w:val="24"/>
        </w:rPr>
        <w:t>Montelukast</w:t>
      </w:r>
      <w:proofErr w:type="spellEnd"/>
      <w:r w:rsidRPr="00401408">
        <w:rPr>
          <w:color w:val="010202"/>
          <w:sz w:val="24"/>
          <w:szCs w:val="24"/>
        </w:rPr>
        <w:t xml:space="preserve"> </w:t>
      </w:r>
      <w:r>
        <w:rPr>
          <w:color w:val="010202"/>
          <w:sz w:val="24"/>
          <w:szCs w:val="24"/>
        </w:rPr>
        <w:t>”</w:t>
      </w:r>
      <w:proofErr w:type="spellStart"/>
      <w:r>
        <w:rPr>
          <w:color w:val="010202"/>
          <w:sz w:val="24"/>
          <w:szCs w:val="24"/>
        </w:rPr>
        <w:t>Accord</w:t>
      </w:r>
      <w:proofErr w:type="spellEnd"/>
      <w:r>
        <w:rPr>
          <w:color w:val="010202"/>
          <w:sz w:val="24"/>
          <w:szCs w:val="24"/>
        </w:rPr>
        <w:t xml:space="preserve"> Healthcare”</w:t>
      </w:r>
      <w:r w:rsidRPr="00401408">
        <w:rPr>
          <w:color w:val="010202"/>
          <w:sz w:val="24"/>
          <w:szCs w:val="24"/>
        </w:rPr>
        <w:t xml:space="preserve"> kan tilføjes til en patients eksisterende </w:t>
      </w:r>
      <w:proofErr w:type="spellStart"/>
      <w:r w:rsidRPr="00401408">
        <w:rPr>
          <w:color w:val="010202"/>
          <w:sz w:val="24"/>
          <w:szCs w:val="24"/>
        </w:rPr>
        <w:t>behandlings</w:t>
      </w:r>
      <w:r>
        <w:rPr>
          <w:color w:val="010202"/>
          <w:sz w:val="24"/>
          <w:szCs w:val="24"/>
        </w:rPr>
        <w:softHyphen/>
      </w:r>
      <w:r w:rsidRPr="00401408">
        <w:rPr>
          <w:color w:val="010202"/>
          <w:sz w:val="24"/>
          <w:szCs w:val="24"/>
        </w:rPr>
        <w:t>regimen</w:t>
      </w:r>
      <w:proofErr w:type="spellEnd"/>
      <w:r w:rsidRPr="00401408">
        <w:rPr>
          <w:color w:val="010202"/>
          <w:sz w:val="24"/>
          <w:szCs w:val="24"/>
        </w:rPr>
        <w:t>.</w:t>
      </w:r>
    </w:p>
    <w:p w:rsidR="002929E3" w:rsidRPr="00401408" w:rsidRDefault="002929E3" w:rsidP="002929E3">
      <w:pPr>
        <w:autoSpaceDE w:val="0"/>
        <w:autoSpaceDN w:val="0"/>
        <w:adjustRightInd w:val="0"/>
        <w:ind w:left="851"/>
        <w:jc w:val="both"/>
        <w:rPr>
          <w:i/>
          <w:iCs/>
          <w:sz w:val="24"/>
          <w:szCs w:val="24"/>
        </w:rPr>
      </w:pPr>
    </w:p>
    <w:p w:rsidR="002929E3" w:rsidRPr="00401408" w:rsidRDefault="002929E3" w:rsidP="002929E3">
      <w:pPr>
        <w:autoSpaceDE w:val="0"/>
        <w:autoSpaceDN w:val="0"/>
        <w:adjustRightInd w:val="0"/>
        <w:ind w:left="851"/>
        <w:jc w:val="both"/>
        <w:rPr>
          <w:color w:val="010202"/>
          <w:sz w:val="24"/>
          <w:szCs w:val="24"/>
        </w:rPr>
      </w:pPr>
      <w:proofErr w:type="spellStart"/>
      <w:r w:rsidRPr="00401408">
        <w:rPr>
          <w:color w:val="010202"/>
          <w:sz w:val="24"/>
          <w:szCs w:val="24"/>
        </w:rPr>
        <w:t>Inhalationskortikoider</w:t>
      </w:r>
      <w:proofErr w:type="spellEnd"/>
      <w:r w:rsidRPr="00401408">
        <w:rPr>
          <w:color w:val="010202"/>
          <w:sz w:val="24"/>
          <w:szCs w:val="24"/>
        </w:rPr>
        <w:t>:</w:t>
      </w:r>
    </w:p>
    <w:p w:rsidR="002929E3" w:rsidRDefault="002929E3" w:rsidP="002929E3">
      <w:pPr>
        <w:autoSpaceDE w:val="0"/>
        <w:autoSpaceDN w:val="0"/>
        <w:adjustRightInd w:val="0"/>
        <w:ind w:left="851"/>
        <w:rPr>
          <w:color w:val="010202"/>
          <w:sz w:val="24"/>
          <w:szCs w:val="24"/>
        </w:rPr>
      </w:pPr>
      <w:r>
        <w:rPr>
          <w:color w:val="010202"/>
          <w:sz w:val="24"/>
          <w:szCs w:val="24"/>
        </w:rPr>
        <w:t xml:space="preserve">Behandling med </w:t>
      </w:r>
      <w:proofErr w:type="spellStart"/>
      <w:r>
        <w:rPr>
          <w:color w:val="010202"/>
          <w:sz w:val="24"/>
          <w:szCs w:val="24"/>
        </w:rPr>
        <w:t>Montelukast</w:t>
      </w:r>
      <w:proofErr w:type="spellEnd"/>
      <w:r>
        <w:rPr>
          <w:color w:val="010202"/>
          <w:sz w:val="24"/>
          <w:szCs w:val="24"/>
        </w:rPr>
        <w:t xml:space="preserve"> ”</w:t>
      </w:r>
      <w:proofErr w:type="spellStart"/>
      <w:r>
        <w:rPr>
          <w:color w:val="010202"/>
          <w:sz w:val="24"/>
          <w:szCs w:val="24"/>
        </w:rPr>
        <w:t>Accord</w:t>
      </w:r>
      <w:proofErr w:type="spellEnd"/>
      <w:r>
        <w:rPr>
          <w:color w:val="010202"/>
          <w:sz w:val="24"/>
          <w:szCs w:val="24"/>
        </w:rPr>
        <w:t xml:space="preserve"> Healthcare” kan anvendes som tillægsbehandling hos patienter, når </w:t>
      </w:r>
      <w:proofErr w:type="spellStart"/>
      <w:r>
        <w:rPr>
          <w:color w:val="010202"/>
          <w:sz w:val="24"/>
          <w:szCs w:val="24"/>
        </w:rPr>
        <w:t>inhalationskortikosteroider</w:t>
      </w:r>
      <w:proofErr w:type="spellEnd"/>
      <w:r>
        <w:rPr>
          <w:color w:val="010202"/>
          <w:sz w:val="24"/>
          <w:szCs w:val="24"/>
        </w:rPr>
        <w:t xml:space="preserve"> plus kortvirkende β-agonister “efter behov” giver utilstrækkelig klinisk kontrol. </w:t>
      </w:r>
      <w:proofErr w:type="spellStart"/>
      <w:r>
        <w:rPr>
          <w:color w:val="010202"/>
          <w:sz w:val="24"/>
          <w:szCs w:val="24"/>
        </w:rPr>
        <w:t>Inhalationskortikosteroider</w:t>
      </w:r>
      <w:proofErr w:type="spellEnd"/>
      <w:r>
        <w:rPr>
          <w:color w:val="010202"/>
          <w:sz w:val="24"/>
          <w:szCs w:val="24"/>
        </w:rPr>
        <w:t xml:space="preserve"> må ikke brat erstattes af </w:t>
      </w:r>
      <w:proofErr w:type="spellStart"/>
      <w:r>
        <w:rPr>
          <w:color w:val="010202"/>
          <w:sz w:val="24"/>
          <w:szCs w:val="24"/>
        </w:rPr>
        <w:t>Montelukast</w:t>
      </w:r>
      <w:proofErr w:type="spellEnd"/>
      <w:r>
        <w:rPr>
          <w:color w:val="010202"/>
          <w:sz w:val="24"/>
          <w:szCs w:val="24"/>
        </w:rPr>
        <w:t xml:space="preserve"> ”</w:t>
      </w:r>
      <w:proofErr w:type="spellStart"/>
      <w:r>
        <w:rPr>
          <w:color w:val="010202"/>
          <w:sz w:val="24"/>
          <w:szCs w:val="24"/>
        </w:rPr>
        <w:t>Accord</w:t>
      </w:r>
      <w:proofErr w:type="spellEnd"/>
      <w:r>
        <w:rPr>
          <w:color w:val="010202"/>
          <w:sz w:val="24"/>
          <w:szCs w:val="24"/>
        </w:rPr>
        <w:t xml:space="preserve"> Healthcare” (se pkt. 4.4).</w:t>
      </w:r>
    </w:p>
    <w:p w:rsidR="002929E3" w:rsidRDefault="002929E3" w:rsidP="002929E3">
      <w:pPr>
        <w:autoSpaceDE w:val="0"/>
        <w:autoSpaceDN w:val="0"/>
        <w:adjustRightInd w:val="0"/>
        <w:ind w:left="851"/>
        <w:jc w:val="both"/>
        <w:rPr>
          <w:sz w:val="24"/>
          <w:szCs w:val="24"/>
        </w:rPr>
      </w:pPr>
    </w:p>
    <w:p w:rsidR="002929E3" w:rsidRDefault="002929E3" w:rsidP="002929E3">
      <w:pPr>
        <w:autoSpaceDE w:val="0"/>
        <w:autoSpaceDN w:val="0"/>
        <w:adjustRightInd w:val="0"/>
        <w:ind w:left="851"/>
        <w:jc w:val="both"/>
        <w:rPr>
          <w:i/>
          <w:iCs/>
          <w:sz w:val="24"/>
          <w:szCs w:val="24"/>
        </w:rPr>
      </w:pPr>
      <w:r>
        <w:rPr>
          <w:i/>
          <w:iCs/>
          <w:sz w:val="24"/>
          <w:szCs w:val="24"/>
        </w:rPr>
        <w:t>Pædiatrisk population</w:t>
      </w:r>
    </w:p>
    <w:p w:rsidR="002929E3" w:rsidRDefault="002929E3" w:rsidP="002929E3">
      <w:pPr>
        <w:autoSpaceDE w:val="0"/>
        <w:autoSpaceDN w:val="0"/>
        <w:adjustRightInd w:val="0"/>
        <w:ind w:left="851"/>
        <w:rPr>
          <w:sz w:val="24"/>
          <w:szCs w:val="24"/>
        </w:rPr>
      </w:pPr>
      <w:proofErr w:type="spellStart"/>
      <w:r>
        <w:rPr>
          <w:sz w:val="24"/>
          <w:szCs w:val="24"/>
        </w:rPr>
        <w:t>Montelukast</w:t>
      </w:r>
      <w:proofErr w:type="spellEnd"/>
      <w:r>
        <w:rPr>
          <w:sz w:val="24"/>
          <w:szCs w:val="24"/>
        </w:rPr>
        <w:t xml:space="preserve"> </w:t>
      </w:r>
      <w:r>
        <w:rPr>
          <w:color w:val="010202"/>
          <w:sz w:val="24"/>
          <w:szCs w:val="24"/>
        </w:rPr>
        <w:t>”</w:t>
      </w:r>
      <w:proofErr w:type="spellStart"/>
      <w:r>
        <w:rPr>
          <w:color w:val="010202"/>
          <w:sz w:val="24"/>
          <w:szCs w:val="24"/>
        </w:rPr>
        <w:t>Accord</w:t>
      </w:r>
      <w:proofErr w:type="spellEnd"/>
      <w:r>
        <w:rPr>
          <w:color w:val="010202"/>
          <w:sz w:val="24"/>
          <w:szCs w:val="24"/>
        </w:rPr>
        <w:t xml:space="preserve"> Healthcare”</w:t>
      </w:r>
      <w:r>
        <w:rPr>
          <w:sz w:val="24"/>
          <w:szCs w:val="24"/>
        </w:rPr>
        <w:t xml:space="preserve"> må ikke gives til børn under 15 år. Sikkerhed og virkning af </w:t>
      </w:r>
      <w:proofErr w:type="spellStart"/>
      <w:r>
        <w:rPr>
          <w:sz w:val="24"/>
          <w:szCs w:val="24"/>
        </w:rPr>
        <w:t>Montelukast</w:t>
      </w:r>
      <w:proofErr w:type="spellEnd"/>
      <w:r>
        <w:rPr>
          <w:sz w:val="24"/>
          <w:szCs w:val="24"/>
        </w:rPr>
        <w:t xml:space="preserve"> </w:t>
      </w:r>
      <w:r>
        <w:rPr>
          <w:color w:val="010202"/>
          <w:sz w:val="24"/>
          <w:szCs w:val="24"/>
        </w:rPr>
        <w:t>”</w:t>
      </w:r>
      <w:proofErr w:type="spellStart"/>
      <w:r>
        <w:rPr>
          <w:color w:val="010202"/>
          <w:sz w:val="24"/>
          <w:szCs w:val="24"/>
        </w:rPr>
        <w:t>Accord</w:t>
      </w:r>
      <w:proofErr w:type="spellEnd"/>
      <w:r>
        <w:rPr>
          <w:color w:val="010202"/>
          <w:sz w:val="24"/>
          <w:szCs w:val="24"/>
        </w:rPr>
        <w:t xml:space="preserve"> Healthcare”</w:t>
      </w:r>
      <w:r>
        <w:rPr>
          <w:sz w:val="24"/>
          <w:szCs w:val="24"/>
        </w:rPr>
        <w:t xml:space="preserve"> til børn under 15 år er ikke blevet fastslået.</w:t>
      </w:r>
    </w:p>
    <w:p w:rsidR="002929E3" w:rsidRDefault="002929E3" w:rsidP="002929E3">
      <w:pPr>
        <w:autoSpaceDE w:val="0"/>
        <w:autoSpaceDN w:val="0"/>
        <w:adjustRightInd w:val="0"/>
        <w:ind w:left="851"/>
        <w:jc w:val="both"/>
        <w:rPr>
          <w:sz w:val="24"/>
          <w:szCs w:val="24"/>
        </w:rPr>
      </w:pPr>
    </w:p>
    <w:p w:rsidR="002929E3" w:rsidRDefault="002929E3" w:rsidP="002929E3">
      <w:pPr>
        <w:autoSpaceDE w:val="0"/>
        <w:autoSpaceDN w:val="0"/>
        <w:adjustRightInd w:val="0"/>
        <w:ind w:left="851"/>
        <w:jc w:val="both"/>
        <w:rPr>
          <w:sz w:val="24"/>
          <w:szCs w:val="24"/>
        </w:rPr>
      </w:pPr>
      <w:r>
        <w:rPr>
          <w:sz w:val="24"/>
          <w:szCs w:val="24"/>
        </w:rPr>
        <w:t xml:space="preserve">5 mg tyggetabletter fås til børn i alderen 6 til 14 år. </w:t>
      </w:r>
    </w:p>
    <w:p w:rsidR="002929E3" w:rsidRDefault="002929E3" w:rsidP="002929E3">
      <w:pPr>
        <w:autoSpaceDE w:val="0"/>
        <w:autoSpaceDN w:val="0"/>
        <w:adjustRightInd w:val="0"/>
        <w:ind w:left="851"/>
        <w:jc w:val="both"/>
        <w:rPr>
          <w:sz w:val="24"/>
          <w:szCs w:val="24"/>
        </w:rPr>
      </w:pPr>
      <w:r>
        <w:rPr>
          <w:sz w:val="24"/>
          <w:szCs w:val="24"/>
        </w:rPr>
        <w:t>4 mg tyggetabletter fås til børn i alderen 2 til 5 år.</w:t>
      </w:r>
    </w:p>
    <w:p w:rsidR="002929E3" w:rsidRPr="00401408" w:rsidRDefault="002929E3" w:rsidP="002929E3">
      <w:pPr>
        <w:autoSpaceDE w:val="0"/>
        <w:autoSpaceDN w:val="0"/>
        <w:adjustRightInd w:val="0"/>
        <w:ind w:left="851"/>
        <w:jc w:val="both"/>
        <w:rPr>
          <w:sz w:val="24"/>
          <w:szCs w:val="24"/>
        </w:rPr>
      </w:pPr>
    </w:p>
    <w:p w:rsidR="00AB18E3" w:rsidRPr="00AB18E3" w:rsidRDefault="00AB18E3" w:rsidP="00AB18E3">
      <w:pPr>
        <w:autoSpaceDE w:val="0"/>
        <w:autoSpaceDN w:val="0"/>
        <w:adjustRightInd w:val="0"/>
        <w:ind w:firstLine="851"/>
        <w:jc w:val="both"/>
        <w:rPr>
          <w:rStyle w:val="google-src-text1"/>
          <w:b/>
          <w:bCs/>
          <w:vanish w:val="0"/>
          <w:sz w:val="24"/>
          <w:szCs w:val="22"/>
        </w:rPr>
      </w:pPr>
      <w:r w:rsidRPr="00AB18E3">
        <w:rPr>
          <w:rStyle w:val="google-src-text1"/>
          <w:sz w:val="24"/>
          <w:szCs w:val="22"/>
          <w:specVanish w:val="0"/>
        </w:rPr>
        <w:t>Administration:</w:t>
      </w:r>
    </w:p>
    <w:p w:rsidR="00AB18E3" w:rsidRPr="00AB18E3" w:rsidRDefault="00AB18E3" w:rsidP="00AB18E3">
      <w:pPr>
        <w:autoSpaceDE w:val="0"/>
        <w:autoSpaceDN w:val="0"/>
        <w:adjustRightInd w:val="0"/>
        <w:ind w:firstLine="851"/>
        <w:jc w:val="both"/>
        <w:rPr>
          <w:rStyle w:val="google-src-text1"/>
          <w:bCs/>
          <w:vanish w:val="0"/>
          <w:sz w:val="24"/>
          <w:szCs w:val="22"/>
        </w:rPr>
      </w:pPr>
      <w:r w:rsidRPr="00AB18E3">
        <w:rPr>
          <w:rStyle w:val="google-src-text1"/>
          <w:bCs/>
          <w:vanish w:val="0"/>
          <w:sz w:val="24"/>
          <w:szCs w:val="22"/>
          <w:specVanish w:val="0"/>
        </w:rPr>
        <w:t>Oral anvendelse</w:t>
      </w:r>
    </w:p>
    <w:p w:rsidR="002929E3" w:rsidRPr="00401408" w:rsidRDefault="002929E3" w:rsidP="002929E3">
      <w:pPr>
        <w:tabs>
          <w:tab w:val="left" w:pos="851"/>
        </w:tabs>
        <w:ind w:left="851" w:hanging="851"/>
        <w:rPr>
          <w:sz w:val="24"/>
          <w:szCs w:val="24"/>
        </w:rPr>
      </w:pPr>
    </w:p>
    <w:p w:rsidR="002929E3" w:rsidRPr="0061056A" w:rsidRDefault="002929E3" w:rsidP="002929E3">
      <w:pPr>
        <w:numPr>
          <w:ilvl w:val="1"/>
          <w:numId w:val="1"/>
        </w:numPr>
        <w:ind w:left="851" w:hanging="851"/>
        <w:rPr>
          <w:b/>
          <w:sz w:val="24"/>
          <w:szCs w:val="24"/>
        </w:rPr>
      </w:pPr>
      <w:r w:rsidRPr="0061056A">
        <w:rPr>
          <w:b/>
          <w:sz w:val="24"/>
          <w:szCs w:val="24"/>
        </w:rPr>
        <w:t>Kontraindikationer</w:t>
      </w:r>
    </w:p>
    <w:p w:rsidR="002929E3" w:rsidRPr="0061056A" w:rsidRDefault="002929E3" w:rsidP="002929E3">
      <w:pPr>
        <w:autoSpaceDE w:val="0"/>
        <w:autoSpaceDN w:val="0"/>
        <w:adjustRightInd w:val="0"/>
        <w:ind w:left="851"/>
        <w:rPr>
          <w:color w:val="010202"/>
          <w:sz w:val="24"/>
          <w:szCs w:val="24"/>
        </w:rPr>
      </w:pPr>
      <w:r w:rsidRPr="0061056A">
        <w:rPr>
          <w:color w:val="010202"/>
          <w:sz w:val="24"/>
          <w:szCs w:val="24"/>
        </w:rPr>
        <w:t>Overfølsomhed over for det aktive stof eller over for et eller flere af hjælpestofferne.</w:t>
      </w:r>
    </w:p>
    <w:p w:rsidR="002929E3" w:rsidRPr="0061056A" w:rsidRDefault="002929E3" w:rsidP="002929E3">
      <w:pPr>
        <w:tabs>
          <w:tab w:val="left" w:pos="851"/>
        </w:tabs>
        <w:ind w:left="851" w:hanging="851"/>
        <w:rPr>
          <w:sz w:val="24"/>
          <w:szCs w:val="24"/>
        </w:rPr>
      </w:pPr>
    </w:p>
    <w:p w:rsidR="002929E3" w:rsidRPr="0061056A" w:rsidRDefault="002929E3" w:rsidP="002929E3">
      <w:pPr>
        <w:numPr>
          <w:ilvl w:val="1"/>
          <w:numId w:val="1"/>
        </w:numPr>
        <w:ind w:left="851" w:hanging="851"/>
        <w:rPr>
          <w:b/>
          <w:sz w:val="24"/>
          <w:szCs w:val="24"/>
        </w:rPr>
      </w:pPr>
      <w:r w:rsidRPr="0061056A">
        <w:rPr>
          <w:b/>
          <w:sz w:val="24"/>
          <w:szCs w:val="24"/>
        </w:rPr>
        <w:t>Særlige advarsler og forsigtighedsregler vedrørende brugen</w:t>
      </w:r>
    </w:p>
    <w:p w:rsidR="007011C8" w:rsidRDefault="007011C8" w:rsidP="007011C8">
      <w:pPr>
        <w:autoSpaceDE w:val="0"/>
        <w:autoSpaceDN w:val="0"/>
        <w:adjustRightInd w:val="0"/>
        <w:ind w:left="851"/>
        <w:rPr>
          <w:sz w:val="24"/>
          <w:szCs w:val="24"/>
        </w:rPr>
      </w:pPr>
      <w:r>
        <w:rPr>
          <w:sz w:val="24"/>
          <w:szCs w:val="24"/>
        </w:rPr>
        <w:t xml:space="preserve">Patienter skal informeres om, at de aldrig bør anvende oral </w:t>
      </w:r>
      <w:proofErr w:type="spellStart"/>
      <w:r>
        <w:rPr>
          <w:sz w:val="24"/>
          <w:szCs w:val="24"/>
        </w:rPr>
        <w:t>montelukast</w:t>
      </w:r>
      <w:proofErr w:type="spellEnd"/>
      <w:r>
        <w:rPr>
          <w:sz w:val="24"/>
          <w:szCs w:val="24"/>
        </w:rPr>
        <w:t xml:space="preserve"> til behandling af akutte astmaanfald, og at de skal sørge for at have deres sædvanlige, tilstrækkelige nødmedicin til rådighed til dette formål. Hvis der opstår et akut astmaanfald, bør der anvendes en korttidsvirkende inhaleret β-agonist. Patienter bør hurtigst muligt søge rådgivning hos deres læge, hvis de har større behov for korttidsvirkende inhalerede β-agonister end sædvanligt.</w:t>
      </w:r>
    </w:p>
    <w:p w:rsidR="007011C8" w:rsidRDefault="007011C8" w:rsidP="007011C8">
      <w:pPr>
        <w:autoSpaceDE w:val="0"/>
        <w:autoSpaceDN w:val="0"/>
        <w:adjustRightInd w:val="0"/>
        <w:ind w:left="851" w:hanging="851"/>
        <w:rPr>
          <w:sz w:val="24"/>
          <w:szCs w:val="24"/>
        </w:rPr>
      </w:pPr>
    </w:p>
    <w:p w:rsidR="007011C8" w:rsidRDefault="007011C8" w:rsidP="007011C8">
      <w:pPr>
        <w:autoSpaceDE w:val="0"/>
        <w:autoSpaceDN w:val="0"/>
        <w:adjustRightInd w:val="0"/>
        <w:ind w:left="851"/>
        <w:rPr>
          <w:sz w:val="24"/>
          <w:szCs w:val="24"/>
        </w:rPr>
      </w:pPr>
      <w:proofErr w:type="spellStart"/>
      <w:r>
        <w:rPr>
          <w:color w:val="010202"/>
          <w:sz w:val="24"/>
          <w:szCs w:val="24"/>
        </w:rPr>
        <w:lastRenderedPageBreak/>
        <w:t>Inhalationskortikosteroider</w:t>
      </w:r>
      <w:proofErr w:type="spellEnd"/>
      <w:r>
        <w:rPr>
          <w:color w:val="010202"/>
          <w:sz w:val="24"/>
          <w:szCs w:val="24"/>
        </w:rPr>
        <w:t xml:space="preserve"> eller orale </w:t>
      </w:r>
      <w:proofErr w:type="spellStart"/>
      <w:r>
        <w:rPr>
          <w:color w:val="010202"/>
          <w:sz w:val="24"/>
          <w:szCs w:val="24"/>
        </w:rPr>
        <w:t>kortikosteroider</w:t>
      </w:r>
      <w:proofErr w:type="spellEnd"/>
      <w:r>
        <w:rPr>
          <w:color w:val="010202"/>
          <w:sz w:val="24"/>
          <w:szCs w:val="24"/>
        </w:rPr>
        <w:t xml:space="preserve"> må ikke brat erstattes af </w:t>
      </w:r>
      <w:proofErr w:type="spellStart"/>
      <w:r>
        <w:rPr>
          <w:sz w:val="24"/>
          <w:szCs w:val="24"/>
        </w:rPr>
        <w:t>Montelukast</w:t>
      </w:r>
      <w:proofErr w:type="spellEnd"/>
      <w:r>
        <w:rPr>
          <w:sz w:val="24"/>
          <w:szCs w:val="24"/>
        </w:rPr>
        <w:t>.</w:t>
      </w:r>
    </w:p>
    <w:p w:rsidR="007011C8" w:rsidRDefault="007011C8" w:rsidP="007011C8">
      <w:pPr>
        <w:autoSpaceDE w:val="0"/>
        <w:autoSpaceDN w:val="0"/>
        <w:adjustRightInd w:val="0"/>
        <w:ind w:left="851" w:hanging="851"/>
        <w:rPr>
          <w:sz w:val="24"/>
          <w:szCs w:val="24"/>
        </w:rPr>
      </w:pPr>
    </w:p>
    <w:p w:rsidR="007011C8" w:rsidRDefault="007011C8" w:rsidP="007011C8">
      <w:pPr>
        <w:autoSpaceDE w:val="0"/>
        <w:autoSpaceDN w:val="0"/>
        <w:adjustRightInd w:val="0"/>
        <w:ind w:left="851"/>
        <w:rPr>
          <w:sz w:val="24"/>
          <w:szCs w:val="24"/>
        </w:rPr>
      </w:pPr>
      <w:r>
        <w:rPr>
          <w:sz w:val="24"/>
          <w:szCs w:val="24"/>
        </w:rPr>
        <w:t xml:space="preserve">Der foreligger ingen data, som viser, at orale </w:t>
      </w:r>
      <w:proofErr w:type="spellStart"/>
      <w:r>
        <w:rPr>
          <w:sz w:val="24"/>
          <w:szCs w:val="24"/>
        </w:rPr>
        <w:t>kortikosteroider</w:t>
      </w:r>
      <w:proofErr w:type="spellEnd"/>
      <w:r>
        <w:rPr>
          <w:sz w:val="24"/>
          <w:szCs w:val="24"/>
        </w:rPr>
        <w:t xml:space="preserve"> kan reduceres, når </w:t>
      </w:r>
      <w:proofErr w:type="spellStart"/>
      <w:r>
        <w:rPr>
          <w:sz w:val="24"/>
          <w:szCs w:val="24"/>
        </w:rPr>
        <w:t>montelukast</w:t>
      </w:r>
      <w:proofErr w:type="spellEnd"/>
      <w:r>
        <w:rPr>
          <w:sz w:val="24"/>
          <w:szCs w:val="24"/>
        </w:rPr>
        <w:t xml:space="preserve"> gives samtidig.</w:t>
      </w:r>
    </w:p>
    <w:p w:rsidR="007011C8" w:rsidRDefault="007011C8" w:rsidP="007011C8">
      <w:pPr>
        <w:autoSpaceDE w:val="0"/>
        <w:autoSpaceDN w:val="0"/>
        <w:adjustRightInd w:val="0"/>
        <w:ind w:left="1702" w:hanging="851"/>
        <w:rPr>
          <w:sz w:val="24"/>
          <w:szCs w:val="24"/>
        </w:rPr>
      </w:pPr>
    </w:p>
    <w:p w:rsidR="007011C8" w:rsidRDefault="007011C8" w:rsidP="007011C8">
      <w:pPr>
        <w:autoSpaceDE w:val="0"/>
        <w:autoSpaceDN w:val="0"/>
        <w:adjustRightInd w:val="0"/>
        <w:ind w:left="851"/>
        <w:rPr>
          <w:sz w:val="24"/>
          <w:szCs w:val="24"/>
        </w:rPr>
      </w:pPr>
      <w:r>
        <w:rPr>
          <w:sz w:val="24"/>
          <w:szCs w:val="24"/>
        </w:rPr>
        <w:t xml:space="preserve">I sjældne tilfælde kan patienter, der behandles med </w:t>
      </w:r>
      <w:proofErr w:type="spellStart"/>
      <w:r>
        <w:rPr>
          <w:sz w:val="24"/>
          <w:szCs w:val="24"/>
        </w:rPr>
        <w:t>anti</w:t>
      </w:r>
      <w:proofErr w:type="spellEnd"/>
      <w:r>
        <w:rPr>
          <w:sz w:val="24"/>
          <w:szCs w:val="24"/>
        </w:rPr>
        <w:t xml:space="preserve">-astmastoffer, herunder </w:t>
      </w:r>
      <w:proofErr w:type="spellStart"/>
      <w:r>
        <w:rPr>
          <w:sz w:val="24"/>
          <w:szCs w:val="24"/>
        </w:rPr>
        <w:t>montelukast</w:t>
      </w:r>
      <w:proofErr w:type="spellEnd"/>
      <w:r>
        <w:rPr>
          <w:sz w:val="24"/>
          <w:szCs w:val="24"/>
        </w:rPr>
        <w:t xml:space="preserve">, få symptomer på systemisk </w:t>
      </w:r>
      <w:proofErr w:type="spellStart"/>
      <w:r>
        <w:rPr>
          <w:sz w:val="24"/>
          <w:szCs w:val="24"/>
        </w:rPr>
        <w:t>eosinofili</w:t>
      </w:r>
      <w:proofErr w:type="spellEnd"/>
      <w:r>
        <w:rPr>
          <w:sz w:val="24"/>
          <w:szCs w:val="24"/>
        </w:rPr>
        <w:t xml:space="preserve">, nogle gange med kliniske tegn på </w:t>
      </w:r>
      <w:proofErr w:type="spellStart"/>
      <w:r>
        <w:rPr>
          <w:sz w:val="24"/>
          <w:szCs w:val="24"/>
        </w:rPr>
        <w:t>vaskulitis</w:t>
      </w:r>
      <w:proofErr w:type="spellEnd"/>
      <w:r>
        <w:rPr>
          <w:sz w:val="24"/>
          <w:szCs w:val="24"/>
        </w:rPr>
        <w:t xml:space="preserve"> svarende til </w:t>
      </w:r>
      <w:proofErr w:type="spellStart"/>
      <w:r>
        <w:rPr>
          <w:sz w:val="24"/>
          <w:szCs w:val="24"/>
        </w:rPr>
        <w:t>Churg</w:t>
      </w:r>
      <w:proofErr w:type="spellEnd"/>
      <w:r>
        <w:rPr>
          <w:sz w:val="24"/>
          <w:szCs w:val="24"/>
        </w:rPr>
        <w:t xml:space="preserve">-Strauss syndrom, en tilstand, der ofte behandles med systemiske </w:t>
      </w:r>
      <w:proofErr w:type="spellStart"/>
      <w:r>
        <w:rPr>
          <w:sz w:val="24"/>
          <w:szCs w:val="24"/>
        </w:rPr>
        <w:t>kortikosteroider</w:t>
      </w:r>
      <w:proofErr w:type="spellEnd"/>
      <w:r>
        <w:rPr>
          <w:sz w:val="24"/>
          <w:szCs w:val="24"/>
        </w:rPr>
        <w:t xml:space="preserve">. Disse tilfælde er nogle gange blevet sat i forbindelse med reduktion eller </w:t>
      </w:r>
      <w:proofErr w:type="spellStart"/>
      <w:r>
        <w:rPr>
          <w:sz w:val="24"/>
          <w:szCs w:val="24"/>
        </w:rPr>
        <w:t>seponering</w:t>
      </w:r>
      <w:proofErr w:type="spellEnd"/>
      <w:r>
        <w:rPr>
          <w:sz w:val="24"/>
          <w:szCs w:val="24"/>
        </w:rPr>
        <w:t xml:space="preserve"> af oral </w:t>
      </w:r>
      <w:proofErr w:type="spellStart"/>
      <w:r>
        <w:rPr>
          <w:sz w:val="24"/>
          <w:szCs w:val="24"/>
        </w:rPr>
        <w:t>kortikosteroidbehandling</w:t>
      </w:r>
      <w:proofErr w:type="spellEnd"/>
      <w:r>
        <w:rPr>
          <w:sz w:val="24"/>
          <w:szCs w:val="24"/>
        </w:rPr>
        <w:t xml:space="preserve">. Selv om en kausal forbindelse med </w:t>
      </w:r>
      <w:proofErr w:type="spellStart"/>
      <w:r>
        <w:rPr>
          <w:sz w:val="24"/>
          <w:szCs w:val="24"/>
        </w:rPr>
        <w:t>leukotrien</w:t>
      </w:r>
      <w:proofErr w:type="spellEnd"/>
      <w:r>
        <w:rPr>
          <w:sz w:val="24"/>
          <w:szCs w:val="24"/>
        </w:rPr>
        <w:t xml:space="preserve">-receptorantagonister ikke er blevet fastslået, bør læger være opmærksomme på </w:t>
      </w:r>
      <w:proofErr w:type="spellStart"/>
      <w:r>
        <w:rPr>
          <w:sz w:val="24"/>
          <w:szCs w:val="24"/>
        </w:rPr>
        <w:t>eosinofili</w:t>
      </w:r>
      <w:proofErr w:type="spellEnd"/>
      <w:r>
        <w:rPr>
          <w:sz w:val="24"/>
          <w:szCs w:val="24"/>
        </w:rPr>
        <w:t xml:space="preserve">, </w:t>
      </w:r>
      <w:proofErr w:type="spellStart"/>
      <w:r>
        <w:rPr>
          <w:sz w:val="24"/>
          <w:szCs w:val="24"/>
        </w:rPr>
        <w:t>vaskulitisk</w:t>
      </w:r>
      <w:proofErr w:type="spellEnd"/>
      <w:r>
        <w:rPr>
          <w:sz w:val="24"/>
          <w:szCs w:val="24"/>
        </w:rPr>
        <w:t xml:space="preserve"> udslæt, forværrede </w:t>
      </w:r>
      <w:proofErr w:type="spellStart"/>
      <w:r>
        <w:rPr>
          <w:sz w:val="24"/>
          <w:szCs w:val="24"/>
        </w:rPr>
        <w:t>pulmonale</w:t>
      </w:r>
      <w:proofErr w:type="spellEnd"/>
      <w:r>
        <w:rPr>
          <w:sz w:val="24"/>
          <w:szCs w:val="24"/>
        </w:rPr>
        <w:t xml:space="preserve"> symptomer, </w:t>
      </w:r>
      <w:proofErr w:type="spellStart"/>
      <w:r>
        <w:rPr>
          <w:sz w:val="24"/>
          <w:szCs w:val="24"/>
        </w:rPr>
        <w:t>kardielle</w:t>
      </w:r>
      <w:proofErr w:type="spellEnd"/>
      <w:r>
        <w:rPr>
          <w:sz w:val="24"/>
          <w:szCs w:val="24"/>
        </w:rPr>
        <w:t xml:space="preserve"> komplikationer og/eller </w:t>
      </w:r>
      <w:proofErr w:type="spellStart"/>
      <w:r>
        <w:rPr>
          <w:sz w:val="24"/>
          <w:szCs w:val="24"/>
        </w:rPr>
        <w:t>neuropati</w:t>
      </w:r>
      <w:proofErr w:type="spellEnd"/>
      <w:r>
        <w:rPr>
          <w:sz w:val="24"/>
          <w:szCs w:val="24"/>
        </w:rPr>
        <w:t xml:space="preserve"> hos patienterne. Patienter, der udvikler disse symptomer, bør revurderes, og deres </w:t>
      </w:r>
      <w:proofErr w:type="spellStart"/>
      <w:r>
        <w:rPr>
          <w:sz w:val="24"/>
          <w:szCs w:val="24"/>
        </w:rPr>
        <w:t>behandlingsregimener</w:t>
      </w:r>
      <w:proofErr w:type="spellEnd"/>
      <w:r>
        <w:rPr>
          <w:sz w:val="24"/>
          <w:szCs w:val="24"/>
        </w:rPr>
        <w:t xml:space="preserve"> evalueres.</w:t>
      </w:r>
    </w:p>
    <w:p w:rsidR="007011C8" w:rsidRDefault="007011C8" w:rsidP="007011C8">
      <w:pPr>
        <w:autoSpaceDE w:val="0"/>
        <w:autoSpaceDN w:val="0"/>
        <w:adjustRightInd w:val="0"/>
        <w:ind w:left="851" w:hanging="851"/>
        <w:rPr>
          <w:sz w:val="24"/>
          <w:szCs w:val="24"/>
        </w:rPr>
      </w:pPr>
    </w:p>
    <w:p w:rsidR="007011C8" w:rsidRDefault="007011C8" w:rsidP="007011C8">
      <w:pPr>
        <w:autoSpaceDE w:val="0"/>
        <w:autoSpaceDN w:val="0"/>
        <w:adjustRightInd w:val="0"/>
        <w:ind w:left="851"/>
        <w:rPr>
          <w:sz w:val="24"/>
          <w:szCs w:val="24"/>
        </w:rPr>
      </w:pPr>
      <w:r>
        <w:rPr>
          <w:sz w:val="24"/>
          <w:szCs w:val="24"/>
        </w:rPr>
        <w:t xml:space="preserve">Behandling med </w:t>
      </w:r>
      <w:proofErr w:type="spellStart"/>
      <w:r>
        <w:rPr>
          <w:sz w:val="24"/>
          <w:szCs w:val="24"/>
        </w:rPr>
        <w:t>montelukast</w:t>
      </w:r>
      <w:proofErr w:type="spellEnd"/>
      <w:r>
        <w:rPr>
          <w:sz w:val="24"/>
          <w:szCs w:val="24"/>
        </w:rPr>
        <w:t xml:space="preserve"> ændrer ikke ved, at patienter med aspirin-sensitiv astma skal undgå at tage aspirin og andre </w:t>
      </w:r>
      <w:proofErr w:type="spellStart"/>
      <w:r>
        <w:rPr>
          <w:sz w:val="24"/>
          <w:szCs w:val="24"/>
        </w:rPr>
        <w:t>nonsteroide</w:t>
      </w:r>
      <w:proofErr w:type="spellEnd"/>
      <w:r>
        <w:rPr>
          <w:sz w:val="24"/>
          <w:szCs w:val="24"/>
        </w:rPr>
        <w:t xml:space="preserve"> antiinflammatoriske lægemidler. </w:t>
      </w:r>
    </w:p>
    <w:p w:rsidR="007011C8" w:rsidRDefault="007011C8" w:rsidP="007011C8">
      <w:pPr>
        <w:autoSpaceDE w:val="0"/>
        <w:autoSpaceDN w:val="0"/>
        <w:adjustRightInd w:val="0"/>
        <w:ind w:left="851" w:hanging="851"/>
        <w:rPr>
          <w:sz w:val="24"/>
          <w:szCs w:val="24"/>
        </w:rPr>
      </w:pPr>
    </w:p>
    <w:p w:rsidR="007011C8" w:rsidRDefault="007011C8" w:rsidP="007011C8">
      <w:pPr>
        <w:autoSpaceDE w:val="0"/>
        <w:autoSpaceDN w:val="0"/>
        <w:adjustRightInd w:val="0"/>
        <w:ind w:left="851"/>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margin">
                  <wp:posOffset>574675</wp:posOffset>
                </wp:positionH>
                <wp:positionV relativeFrom="paragraph">
                  <wp:posOffset>90170</wp:posOffset>
                </wp:positionV>
                <wp:extent cx="5434965" cy="1675130"/>
                <wp:effectExtent l="0" t="0" r="13335" b="20320"/>
                <wp:wrapNone/>
                <wp:docPr id="1992601410" name="Tekstfelt 1992601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675130"/>
                        </a:xfrm>
                        <a:prstGeom prst="rect">
                          <a:avLst/>
                        </a:prstGeom>
                        <a:solidFill>
                          <a:sysClr val="window" lastClr="FFFFFF"/>
                        </a:solidFill>
                        <a:ln w="6350">
                          <a:solidFill>
                            <a:prstClr val="black"/>
                          </a:solidFill>
                        </a:ln>
                      </wps:spPr>
                      <wps:txbx>
                        <w:txbxContent>
                          <w:p w:rsidR="007011C8" w:rsidRDefault="007011C8" w:rsidP="007011C8">
                            <w:pPr>
                              <w:ind w:left="284"/>
                              <w:rPr>
                                <w:b/>
                                <w:bCs/>
                                <w:sz w:val="24"/>
                                <w:szCs w:val="24"/>
                              </w:rPr>
                            </w:pPr>
                            <w:r>
                              <w:rPr>
                                <w:b/>
                                <w:bCs/>
                                <w:sz w:val="24"/>
                                <w:szCs w:val="24"/>
                              </w:rPr>
                              <w:t>Neuropsykiatriske hændelser som f.eks. adfærdsændringer, depression og suicidal adfærd er indberettet hos alle aldersgrupper, der tager montelukast (se pkt. 4.8). Symptomerne kan være alvorlige og fortsætte, hvis behandlingen ikke seponeres.</w:t>
                            </w:r>
                          </w:p>
                          <w:p w:rsidR="007011C8" w:rsidRDefault="007011C8" w:rsidP="007011C8">
                            <w:pPr>
                              <w:ind w:left="284"/>
                              <w:rPr>
                                <w:b/>
                                <w:bCs/>
                                <w:sz w:val="24"/>
                                <w:szCs w:val="24"/>
                              </w:rPr>
                            </w:pPr>
                            <w:r>
                              <w:rPr>
                                <w:b/>
                                <w:bCs/>
                                <w:sz w:val="24"/>
                                <w:szCs w:val="24"/>
                              </w:rPr>
                              <w:t>Derfor skal behandlingen med montelukast seponeres, hvis der opstår neuropsykiatriske symptomer under behandlingen.</w:t>
                            </w:r>
                          </w:p>
                          <w:p w:rsidR="007011C8" w:rsidRDefault="007011C8" w:rsidP="007011C8">
                            <w:pPr>
                              <w:ind w:left="284"/>
                              <w:rPr>
                                <w:b/>
                                <w:bCs/>
                                <w:sz w:val="24"/>
                                <w:szCs w:val="24"/>
                              </w:rPr>
                            </w:pPr>
                            <w:r>
                              <w:rPr>
                                <w:b/>
                                <w:bCs/>
                                <w:sz w:val="24"/>
                                <w:szCs w:val="24"/>
                              </w:rPr>
                              <w:t>Patienter og/eller omsorgsgivere skal informeres om at være opmærksomme på neuropsykiatriske hændelser og instrueres i at underrette lægen, hvis disse adfærdsændringer forekommer.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1992601410" o:spid="_x0000_s1026" type="#_x0000_t202" style="position:absolute;left:0;text-align:left;margin-left:45.25pt;margin-top:7.1pt;width:427.95pt;height:13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" fillcolor="window" strokeweight=".5pt">
                <v:path arrowok="t"/>
                <v:textbox>
                  <w:txbxContent>
                    <w:p w:rsidR="007011C8" w:rsidRDefault="007011C8" w:rsidP="007011C8">
                      <w:pPr>
                        <w:ind w:left="284"/>
                        <w:rPr>
                          <w:b/>
                          <w:bCs/>
                          <w:sz w:val="24"/>
                          <w:szCs w:val="24"/>
                        </w:rPr>
                      </w:pPr>
                      <w:r>
                        <w:rPr>
                          <w:b/>
                          <w:bCs/>
                          <w:sz w:val="24"/>
                          <w:szCs w:val="24"/>
                        </w:rPr>
                        <w:t>Neuropsykiatriske hændelser som f.eks. adfærdsændringer, depression og suicidal adfærd er indberettet hos alle aldersgrupper, der tager montelukast (se pkt. 4.8). Symptomerne kan være alvorlige og fortsætte, hvis behandlingen ikke seponeres.</w:t>
                      </w:r>
                    </w:p>
                    <w:p w:rsidR="007011C8" w:rsidRDefault="007011C8" w:rsidP="007011C8">
                      <w:pPr>
                        <w:ind w:left="284"/>
                        <w:rPr>
                          <w:b/>
                          <w:bCs/>
                          <w:sz w:val="24"/>
                          <w:szCs w:val="24"/>
                        </w:rPr>
                      </w:pPr>
                      <w:r>
                        <w:rPr>
                          <w:b/>
                          <w:bCs/>
                          <w:sz w:val="24"/>
                          <w:szCs w:val="24"/>
                        </w:rPr>
                        <w:t>Derfor skal behandlingen med montelukast seponeres, hvis der opstår neuropsykiatriske symptomer under behandlingen.</w:t>
                      </w:r>
                    </w:p>
                    <w:p w:rsidR="007011C8" w:rsidRDefault="007011C8" w:rsidP="007011C8">
                      <w:pPr>
                        <w:ind w:left="284"/>
                        <w:rPr>
                          <w:b/>
                          <w:bCs/>
                          <w:sz w:val="24"/>
                          <w:szCs w:val="24"/>
                        </w:rPr>
                      </w:pPr>
                      <w:r>
                        <w:rPr>
                          <w:b/>
                          <w:bCs/>
                          <w:sz w:val="24"/>
                          <w:szCs w:val="24"/>
                        </w:rPr>
                        <w:t>Patienter og/eller omsorgsgivere skal informeres om at være opmærksomme på neuropsykiatriske hændelser og instrueres i at underrette lægen, hvis disse adfærdsændringer forekommer.</w:t>
                      </w:r>
                    </w:p>
                  </w:txbxContent>
                </v:textbox>
                <w10:wrap anchorx="margin"/>
              </v:shape>
            </w:pict>
          </mc:Fallback>
        </mc:AlternateContent>
      </w:r>
    </w:p>
    <w:p w:rsidR="007011C8" w:rsidRDefault="007011C8" w:rsidP="007011C8">
      <w:pPr>
        <w:autoSpaceDE w:val="0"/>
        <w:autoSpaceDN w:val="0"/>
        <w:adjustRightInd w:val="0"/>
        <w:ind w:left="851"/>
        <w:rPr>
          <w:sz w:val="22"/>
          <w:szCs w:val="22"/>
        </w:rPr>
      </w:pPr>
    </w:p>
    <w:p w:rsidR="007011C8" w:rsidRDefault="007011C8" w:rsidP="007011C8">
      <w:pPr>
        <w:autoSpaceDE w:val="0"/>
        <w:autoSpaceDN w:val="0"/>
        <w:adjustRightInd w:val="0"/>
        <w:ind w:left="851"/>
        <w:rPr>
          <w:sz w:val="22"/>
          <w:szCs w:val="22"/>
        </w:rPr>
      </w:pPr>
    </w:p>
    <w:p w:rsidR="007011C8" w:rsidRDefault="007011C8" w:rsidP="007011C8">
      <w:pPr>
        <w:autoSpaceDE w:val="0"/>
        <w:autoSpaceDN w:val="0"/>
        <w:adjustRightInd w:val="0"/>
        <w:ind w:left="851"/>
        <w:rPr>
          <w:sz w:val="22"/>
          <w:szCs w:val="22"/>
        </w:rPr>
      </w:pPr>
    </w:p>
    <w:p w:rsidR="007011C8" w:rsidRDefault="007011C8" w:rsidP="007011C8">
      <w:pPr>
        <w:autoSpaceDE w:val="0"/>
        <w:autoSpaceDN w:val="0"/>
        <w:adjustRightInd w:val="0"/>
        <w:ind w:left="851"/>
        <w:rPr>
          <w:sz w:val="22"/>
          <w:szCs w:val="22"/>
        </w:rPr>
      </w:pPr>
    </w:p>
    <w:p w:rsidR="007011C8" w:rsidRDefault="007011C8" w:rsidP="007011C8">
      <w:pPr>
        <w:autoSpaceDE w:val="0"/>
        <w:autoSpaceDN w:val="0"/>
        <w:adjustRightInd w:val="0"/>
        <w:rPr>
          <w:sz w:val="22"/>
          <w:szCs w:val="22"/>
        </w:rPr>
      </w:pPr>
    </w:p>
    <w:p w:rsidR="007011C8" w:rsidRDefault="007011C8" w:rsidP="007011C8">
      <w:pPr>
        <w:autoSpaceDE w:val="0"/>
        <w:autoSpaceDN w:val="0"/>
        <w:adjustRightInd w:val="0"/>
        <w:rPr>
          <w:sz w:val="22"/>
          <w:szCs w:val="22"/>
        </w:rPr>
      </w:pPr>
    </w:p>
    <w:p w:rsidR="007011C8" w:rsidRDefault="007011C8" w:rsidP="007011C8">
      <w:pPr>
        <w:autoSpaceDE w:val="0"/>
        <w:autoSpaceDN w:val="0"/>
        <w:adjustRightInd w:val="0"/>
        <w:rPr>
          <w:sz w:val="22"/>
          <w:szCs w:val="22"/>
        </w:rPr>
      </w:pPr>
    </w:p>
    <w:p w:rsidR="007011C8" w:rsidRDefault="007011C8" w:rsidP="007011C8">
      <w:pPr>
        <w:autoSpaceDE w:val="0"/>
        <w:autoSpaceDN w:val="0"/>
        <w:adjustRightInd w:val="0"/>
        <w:rPr>
          <w:sz w:val="22"/>
          <w:szCs w:val="22"/>
        </w:rPr>
      </w:pPr>
    </w:p>
    <w:p w:rsidR="007011C8" w:rsidRDefault="007011C8" w:rsidP="007011C8">
      <w:pPr>
        <w:autoSpaceDE w:val="0"/>
        <w:autoSpaceDN w:val="0"/>
        <w:adjustRightInd w:val="0"/>
        <w:rPr>
          <w:sz w:val="22"/>
          <w:szCs w:val="22"/>
        </w:rPr>
      </w:pPr>
    </w:p>
    <w:p w:rsidR="007011C8" w:rsidRDefault="007011C8" w:rsidP="007011C8">
      <w:pPr>
        <w:autoSpaceDE w:val="0"/>
        <w:autoSpaceDN w:val="0"/>
        <w:adjustRightInd w:val="0"/>
        <w:ind w:left="851"/>
        <w:rPr>
          <w:sz w:val="24"/>
          <w:szCs w:val="24"/>
        </w:rPr>
      </w:pPr>
    </w:p>
    <w:p w:rsidR="007011C8" w:rsidRDefault="007011C8" w:rsidP="007011C8">
      <w:pPr>
        <w:autoSpaceDE w:val="0"/>
        <w:autoSpaceDN w:val="0"/>
        <w:adjustRightInd w:val="0"/>
        <w:ind w:left="851"/>
        <w:rPr>
          <w:sz w:val="24"/>
          <w:szCs w:val="24"/>
        </w:rPr>
      </w:pPr>
    </w:p>
    <w:p w:rsidR="007011C8" w:rsidRDefault="007011C8" w:rsidP="007011C8">
      <w:pPr>
        <w:autoSpaceDE w:val="0"/>
        <w:autoSpaceDN w:val="0"/>
        <w:adjustRightInd w:val="0"/>
        <w:ind w:left="851"/>
        <w:jc w:val="both"/>
        <w:rPr>
          <w:i/>
          <w:sz w:val="24"/>
          <w:szCs w:val="24"/>
        </w:rPr>
      </w:pPr>
      <w:r>
        <w:rPr>
          <w:i/>
          <w:sz w:val="24"/>
          <w:szCs w:val="24"/>
        </w:rPr>
        <w:t>Advarsel om hjælpestoffer:</w:t>
      </w:r>
    </w:p>
    <w:p w:rsidR="007011C8" w:rsidRDefault="007011C8" w:rsidP="007011C8">
      <w:pPr>
        <w:autoSpaceDE w:val="0"/>
        <w:autoSpaceDN w:val="0"/>
        <w:adjustRightInd w:val="0"/>
        <w:ind w:left="851"/>
        <w:rPr>
          <w:sz w:val="24"/>
          <w:szCs w:val="24"/>
        </w:rPr>
      </w:pPr>
      <w:r>
        <w:rPr>
          <w:sz w:val="24"/>
          <w:szCs w:val="24"/>
        </w:rPr>
        <w:t>Dette lægemiddel indeholder laktosemonohydrat.</w:t>
      </w:r>
    </w:p>
    <w:p w:rsidR="007011C8" w:rsidRDefault="007011C8" w:rsidP="007011C8">
      <w:pPr>
        <w:autoSpaceDE w:val="0"/>
        <w:autoSpaceDN w:val="0"/>
        <w:adjustRightInd w:val="0"/>
        <w:ind w:left="851"/>
        <w:rPr>
          <w:sz w:val="24"/>
          <w:szCs w:val="24"/>
        </w:rPr>
      </w:pPr>
      <w:r>
        <w:rPr>
          <w:sz w:val="24"/>
          <w:szCs w:val="24"/>
        </w:rPr>
        <w:t xml:space="preserve">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7011C8" w:rsidRDefault="007011C8" w:rsidP="007011C8">
      <w:pPr>
        <w:autoSpaceDE w:val="0"/>
        <w:autoSpaceDN w:val="0"/>
        <w:adjustRightInd w:val="0"/>
        <w:ind w:left="851"/>
        <w:rPr>
          <w:color w:val="010202"/>
          <w:sz w:val="24"/>
          <w:szCs w:val="24"/>
        </w:rPr>
      </w:pPr>
    </w:p>
    <w:p w:rsidR="007011C8" w:rsidRDefault="007011C8" w:rsidP="007011C8">
      <w:pPr>
        <w:autoSpaceDE w:val="0"/>
        <w:autoSpaceDN w:val="0"/>
        <w:adjustRightInd w:val="0"/>
        <w:ind w:left="851"/>
        <w:jc w:val="both"/>
        <w:rPr>
          <w:sz w:val="24"/>
          <w:szCs w:val="24"/>
        </w:rPr>
      </w:pPr>
      <w:r>
        <w:rPr>
          <w:sz w:val="24"/>
          <w:szCs w:val="24"/>
        </w:rPr>
        <w:t>Dette lægemiddel indeholder mindre end 1 mmol natrium (23 mg) pr. tablet, dvs. det er i det væsentlige natriumfrit.</w:t>
      </w:r>
    </w:p>
    <w:p w:rsidR="002929E3" w:rsidRPr="0061056A" w:rsidRDefault="002929E3" w:rsidP="002929E3">
      <w:pPr>
        <w:tabs>
          <w:tab w:val="left" w:pos="851"/>
        </w:tabs>
        <w:ind w:left="851" w:hanging="851"/>
        <w:rPr>
          <w:sz w:val="24"/>
          <w:szCs w:val="24"/>
        </w:rPr>
      </w:pPr>
    </w:p>
    <w:p w:rsidR="002929E3" w:rsidRPr="0061056A" w:rsidRDefault="002929E3" w:rsidP="002929E3">
      <w:pPr>
        <w:numPr>
          <w:ilvl w:val="1"/>
          <w:numId w:val="1"/>
        </w:numPr>
        <w:ind w:left="851" w:hanging="851"/>
        <w:rPr>
          <w:b/>
          <w:sz w:val="24"/>
          <w:szCs w:val="24"/>
        </w:rPr>
      </w:pPr>
      <w:r w:rsidRPr="0061056A">
        <w:rPr>
          <w:b/>
          <w:sz w:val="24"/>
          <w:szCs w:val="24"/>
        </w:rPr>
        <w:t>Interaktion med andre lægemidler og andre former for interaktion</w:t>
      </w:r>
    </w:p>
    <w:p w:rsidR="002929E3" w:rsidRPr="0061056A" w:rsidRDefault="002929E3" w:rsidP="002929E3">
      <w:pPr>
        <w:autoSpaceDE w:val="0"/>
        <w:autoSpaceDN w:val="0"/>
        <w:adjustRightInd w:val="0"/>
        <w:ind w:left="851"/>
        <w:rPr>
          <w:sz w:val="24"/>
          <w:szCs w:val="24"/>
        </w:rPr>
      </w:pPr>
      <w:proofErr w:type="spellStart"/>
      <w:r w:rsidRPr="0061056A">
        <w:rPr>
          <w:sz w:val="24"/>
          <w:szCs w:val="24"/>
        </w:rPr>
        <w:t>Montelukast</w:t>
      </w:r>
      <w:proofErr w:type="spellEnd"/>
      <w:r w:rsidRPr="0061056A">
        <w:rPr>
          <w:sz w:val="24"/>
          <w:szCs w:val="24"/>
        </w:rPr>
        <w:t xml:space="preserve"> kan administreres sammen med anden profylaktisk og kronisk rutinebehandling af astma. I lægemiddelinteraktionsundersøgelser havde den anbefalede kliniske dosis af </w:t>
      </w:r>
      <w:proofErr w:type="spellStart"/>
      <w:r w:rsidRPr="0061056A">
        <w:rPr>
          <w:sz w:val="24"/>
          <w:szCs w:val="24"/>
        </w:rPr>
        <w:t>montelukast</w:t>
      </w:r>
      <w:proofErr w:type="spellEnd"/>
      <w:r w:rsidRPr="0061056A">
        <w:rPr>
          <w:sz w:val="24"/>
          <w:szCs w:val="24"/>
        </w:rPr>
        <w:t xml:space="preserve"> ingen klinisk betydende effekt på farmakokinetikken af følgende lægemidler: </w:t>
      </w:r>
      <w:proofErr w:type="spellStart"/>
      <w:r w:rsidRPr="0061056A">
        <w:rPr>
          <w:sz w:val="24"/>
          <w:szCs w:val="24"/>
        </w:rPr>
        <w:t>theophyllin</w:t>
      </w:r>
      <w:proofErr w:type="spellEnd"/>
      <w:r w:rsidRPr="0061056A">
        <w:rPr>
          <w:sz w:val="24"/>
          <w:szCs w:val="24"/>
        </w:rPr>
        <w:t xml:space="preserve">, </w:t>
      </w:r>
      <w:proofErr w:type="spellStart"/>
      <w:r w:rsidRPr="0061056A">
        <w:rPr>
          <w:sz w:val="24"/>
          <w:szCs w:val="24"/>
        </w:rPr>
        <w:t>prednison</w:t>
      </w:r>
      <w:proofErr w:type="spellEnd"/>
      <w:r w:rsidRPr="0061056A">
        <w:rPr>
          <w:sz w:val="24"/>
          <w:szCs w:val="24"/>
        </w:rPr>
        <w:t xml:space="preserve">, </w:t>
      </w:r>
      <w:proofErr w:type="spellStart"/>
      <w:r w:rsidRPr="0061056A">
        <w:rPr>
          <w:sz w:val="24"/>
          <w:szCs w:val="24"/>
        </w:rPr>
        <w:t>prednisolon</w:t>
      </w:r>
      <w:proofErr w:type="spellEnd"/>
      <w:r w:rsidRPr="0061056A">
        <w:rPr>
          <w:sz w:val="24"/>
          <w:szCs w:val="24"/>
        </w:rPr>
        <w:t xml:space="preserve">, orale </w:t>
      </w:r>
      <w:proofErr w:type="spellStart"/>
      <w:r w:rsidRPr="0061056A">
        <w:rPr>
          <w:sz w:val="24"/>
          <w:szCs w:val="24"/>
        </w:rPr>
        <w:t>kontraceptiver</w:t>
      </w:r>
      <w:proofErr w:type="spellEnd"/>
      <w:r w:rsidRPr="0061056A">
        <w:rPr>
          <w:sz w:val="24"/>
          <w:szCs w:val="24"/>
        </w:rPr>
        <w:t xml:space="preserve"> (</w:t>
      </w:r>
      <w:proofErr w:type="spellStart"/>
      <w:r w:rsidRPr="0061056A">
        <w:rPr>
          <w:sz w:val="24"/>
          <w:szCs w:val="24"/>
        </w:rPr>
        <w:t>ethinylestradiol</w:t>
      </w:r>
      <w:proofErr w:type="spellEnd"/>
      <w:r w:rsidRPr="0061056A">
        <w:rPr>
          <w:sz w:val="24"/>
          <w:szCs w:val="24"/>
        </w:rPr>
        <w:t>/</w:t>
      </w:r>
      <w:proofErr w:type="spellStart"/>
      <w:r w:rsidRPr="0061056A">
        <w:rPr>
          <w:sz w:val="24"/>
          <w:szCs w:val="24"/>
        </w:rPr>
        <w:t>noretindron</w:t>
      </w:r>
      <w:proofErr w:type="spellEnd"/>
      <w:r w:rsidRPr="0061056A">
        <w:rPr>
          <w:sz w:val="24"/>
          <w:szCs w:val="24"/>
        </w:rPr>
        <w:t xml:space="preserve"> 35/1), </w:t>
      </w:r>
      <w:proofErr w:type="spellStart"/>
      <w:r w:rsidRPr="0061056A">
        <w:rPr>
          <w:sz w:val="24"/>
          <w:szCs w:val="24"/>
        </w:rPr>
        <w:t>terfenadin</w:t>
      </w:r>
      <w:proofErr w:type="spellEnd"/>
      <w:r w:rsidRPr="0061056A">
        <w:rPr>
          <w:sz w:val="24"/>
          <w:szCs w:val="24"/>
        </w:rPr>
        <w:t xml:space="preserve">, </w:t>
      </w:r>
      <w:proofErr w:type="spellStart"/>
      <w:r w:rsidRPr="0061056A">
        <w:rPr>
          <w:sz w:val="24"/>
          <w:szCs w:val="24"/>
        </w:rPr>
        <w:t>digoxin</w:t>
      </w:r>
      <w:proofErr w:type="spellEnd"/>
      <w:r w:rsidRPr="0061056A">
        <w:rPr>
          <w:sz w:val="24"/>
          <w:szCs w:val="24"/>
        </w:rPr>
        <w:t xml:space="preserve"> og </w:t>
      </w:r>
      <w:proofErr w:type="spellStart"/>
      <w:r w:rsidRPr="0061056A">
        <w:rPr>
          <w:sz w:val="24"/>
          <w:szCs w:val="24"/>
        </w:rPr>
        <w:t>warfarin</w:t>
      </w:r>
      <w:proofErr w:type="spellEnd"/>
      <w:r w:rsidRPr="0061056A">
        <w:rPr>
          <w:sz w:val="24"/>
          <w:szCs w:val="24"/>
        </w:rPr>
        <w:t>.</w:t>
      </w:r>
    </w:p>
    <w:p w:rsidR="002929E3" w:rsidRPr="0061056A" w:rsidRDefault="002929E3" w:rsidP="002929E3">
      <w:pPr>
        <w:autoSpaceDE w:val="0"/>
        <w:autoSpaceDN w:val="0"/>
        <w:adjustRightInd w:val="0"/>
        <w:ind w:left="851" w:hanging="851"/>
        <w:rPr>
          <w:sz w:val="24"/>
          <w:szCs w:val="24"/>
        </w:rPr>
      </w:pPr>
    </w:p>
    <w:p w:rsidR="002929E3" w:rsidRPr="0061056A" w:rsidRDefault="002929E3" w:rsidP="002929E3">
      <w:pPr>
        <w:autoSpaceDE w:val="0"/>
        <w:autoSpaceDN w:val="0"/>
        <w:adjustRightInd w:val="0"/>
        <w:ind w:left="851"/>
        <w:rPr>
          <w:sz w:val="24"/>
          <w:szCs w:val="24"/>
        </w:rPr>
      </w:pPr>
      <w:r w:rsidRPr="0061056A">
        <w:rPr>
          <w:sz w:val="24"/>
          <w:szCs w:val="24"/>
        </w:rPr>
        <w:t xml:space="preserve">Arealet under plasmakoncentrationskurven (AUC) for </w:t>
      </w:r>
      <w:proofErr w:type="spellStart"/>
      <w:r w:rsidRPr="0061056A">
        <w:rPr>
          <w:sz w:val="24"/>
          <w:szCs w:val="24"/>
        </w:rPr>
        <w:t>montelukast</w:t>
      </w:r>
      <w:proofErr w:type="spellEnd"/>
      <w:r w:rsidRPr="0061056A">
        <w:rPr>
          <w:sz w:val="24"/>
          <w:szCs w:val="24"/>
        </w:rPr>
        <w:t xml:space="preserve"> faldt med ca. 40 % hos forsøgspersoner ved samtidig administration af </w:t>
      </w:r>
      <w:proofErr w:type="spellStart"/>
      <w:r w:rsidRPr="0061056A">
        <w:rPr>
          <w:sz w:val="24"/>
          <w:szCs w:val="24"/>
        </w:rPr>
        <w:t>phenobarbital</w:t>
      </w:r>
      <w:proofErr w:type="spellEnd"/>
      <w:r w:rsidRPr="0061056A">
        <w:rPr>
          <w:sz w:val="24"/>
          <w:szCs w:val="24"/>
        </w:rPr>
        <w:t xml:space="preserve">. Eftersom </w:t>
      </w:r>
      <w:proofErr w:type="spellStart"/>
      <w:r w:rsidRPr="0061056A">
        <w:rPr>
          <w:sz w:val="24"/>
          <w:szCs w:val="24"/>
        </w:rPr>
        <w:t>montelukast</w:t>
      </w:r>
      <w:proofErr w:type="spellEnd"/>
      <w:r w:rsidRPr="0061056A">
        <w:rPr>
          <w:sz w:val="24"/>
          <w:szCs w:val="24"/>
        </w:rPr>
        <w:t xml:space="preserve"> </w:t>
      </w:r>
      <w:proofErr w:type="spellStart"/>
      <w:r w:rsidRPr="0061056A">
        <w:rPr>
          <w:sz w:val="24"/>
          <w:szCs w:val="24"/>
        </w:rPr>
        <w:t>metaboliseres</w:t>
      </w:r>
      <w:proofErr w:type="spellEnd"/>
      <w:r w:rsidRPr="0061056A">
        <w:rPr>
          <w:sz w:val="24"/>
          <w:szCs w:val="24"/>
        </w:rPr>
        <w:t xml:space="preserve"> via CYP3A4, </w:t>
      </w:r>
      <w:r>
        <w:t xml:space="preserve">2C8 og 2C9, </w:t>
      </w:r>
      <w:r w:rsidRPr="0061056A">
        <w:rPr>
          <w:sz w:val="24"/>
          <w:szCs w:val="24"/>
        </w:rPr>
        <w:t xml:space="preserve">bør der især hos børn udvises forsigtighed, når </w:t>
      </w:r>
      <w:proofErr w:type="spellStart"/>
      <w:r w:rsidRPr="0061056A">
        <w:rPr>
          <w:sz w:val="24"/>
          <w:szCs w:val="24"/>
        </w:rPr>
        <w:t>montelukast</w:t>
      </w:r>
      <w:proofErr w:type="spellEnd"/>
      <w:r w:rsidRPr="0061056A">
        <w:rPr>
          <w:sz w:val="24"/>
          <w:szCs w:val="24"/>
        </w:rPr>
        <w:t xml:space="preserve"> administreres samtidig med CYP3A4-induktorer, såsom </w:t>
      </w:r>
      <w:proofErr w:type="spellStart"/>
      <w:r w:rsidRPr="0061056A">
        <w:rPr>
          <w:sz w:val="24"/>
          <w:szCs w:val="24"/>
        </w:rPr>
        <w:t>phenytoin</w:t>
      </w:r>
      <w:proofErr w:type="spellEnd"/>
      <w:r w:rsidRPr="0061056A">
        <w:rPr>
          <w:sz w:val="24"/>
          <w:szCs w:val="24"/>
        </w:rPr>
        <w:t xml:space="preserve">, </w:t>
      </w:r>
      <w:proofErr w:type="spellStart"/>
      <w:r w:rsidRPr="0061056A">
        <w:rPr>
          <w:sz w:val="24"/>
          <w:szCs w:val="24"/>
        </w:rPr>
        <w:t>phenobarbital</w:t>
      </w:r>
      <w:proofErr w:type="spellEnd"/>
      <w:r w:rsidRPr="0061056A">
        <w:rPr>
          <w:sz w:val="24"/>
          <w:szCs w:val="24"/>
        </w:rPr>
        <w:t xml:space="preserve"> og </w:t>
      </w:r>
      <w:proofErr w:type="spellStart"/>
      <w:r w:rsidRPr="0061056A">
        <w:rPr>
          <w:sz w:val="24"/>
          <w:szCs w:val="24"/>
        </w:rPr>
        <w:t>rifampicin</w:t>
      </w:r>
      <w:proofErr w:type="spellEnd"/>
      <w:r w:rsidRPr="0061056A">
        <w:rPr>
          <w:sz w:val="24"/>
          <w:szCs w:val="24"/>
        </w:rPr>
        <w:t>.</w:t>
      </w:r>
    </w:p>
    <w:p w:rsidR="002929E3" w:rsidRPr="0061056A" w:rsidRDefault="002929E3" w:rsidP="002929E3">
      <w:pPr>
        <w:autoSpaceDE w:val="0"/>
        <w:autoSpaceDN w:val="0"/>
        <w:adjustRightInd w:val="0"/>
        <w:ind w:left="851" w:hanging="851"/>
        <w:jc w:val="both"/>
        <w:rPr>
          <w:sz w:val="24"/>
          <w:szCs w:val="24"/>
        </w:rPr>
      </w:pPr>
    </w:p>
    <w:p w:rsidR="002929E3" w:rsidRPr="0061056A" w:rsidRDefault="002929E3" w:rsidP="002929E3">
      <w:pPr>
        <w:autoSpaceDE w:val="0"/>
        <w:autoSpaceDN w:val="0"/>
        <w:adjustRightInd w:val="0"/>
        <w:ind w:left="851"/>
        <w:rPr>
          <w:sz w:val="24"/>
          <w:szCs w:val="24"/>
        </w:rPr>
      </w:pPr>
      <w:r w:rsidRPr="0061056A">
        <w:rPr>
          <w:sz w:val="24"/>
          <w:szCs w:val="24"/>
        </w:rPr>
        <w:lastRenderedPageBreak/>
        <w:t xml:space="preserve">In </w:t>
      </w:r>
      <w:proofErr w:type="spellStart"/>
      <w:r w:rsidRPr="0061056A">
        <w:rPr>
          <w:sz w:val="24"/>
          <w:szCs w:val="24"/>
        </w:rPr>
        <w:t>vitro</w:t>
      </w:r>
      <w:proofErr w:type="spellEnd"/>
      <w:r w:rsidRPr="0061056A">
        <w:rPr>
          <w:sz w:val="24"/>
          <w:szCs w:val="24"/>
        </w:rPr>
        <w:t xml:space="preserve">-undersøgelser har vist, at </w:t>
      </w:r>
      <w:proofErr w:type="spellStart"/>
      <w:r w:rsidRPr="0061056A">
        <w:rPr>
          <w:sz w:val="24"/>
          <w:szCs w:val="24"/>
        </w:rPr>
        <w:t>montelukast</w:t>
      </w:r>
      <w:proofErr w:type="spellEnd"/>
      <w:r w:rsidRPr="0061056A">
        <w:rPr>
          <w:sz w:val="24"/>
          <w:szCs w:val="24"/>
        </w:rPr>
        <w:t xml:space="preserve"> er en potent CYP2C8-hæmmer. Data fra en klinisk lægemiddelinteraktionsundersøgelse med </w:t>
      </w:r>
      <w:proofErr w:type="spellStart"/>
      <w:r w:rsidRPr="0061056A">
        <w:rPr>
          <w:sz w:val="24"/>
          <w:szCs w:val="24"/>
        </w:rPr>
        <w:t>montelukast</w:t>
      </w:r>
      <w:proofErr w:type="spellEnd"/>
      <w:r w:rsidRPr="0061056A">
        <w:rPr>
          <w:sz w:val="24"/>
          <w:szCs w:val="24"/>
        </w:rPr>
        <w:t xml:space="preserve"> og </w:t>
      </w:r>
      <w:proofErr w:type="spellStart"/>
      <w:r w:rsidRPr="0061056A">
        <w:rPr>
          <w:sz w:val="24"/>
          <w:szCs w:val="24"/>
        </w:rPr>
        <w:t>rosiglitazon</w:t>
      </w:r>
      <w:proofErr w:type="spellEnd"/>
      <w:r w:rsidRPr="0061056A">
        <w:rPr>
          <w:sz w:val="24"/>
          <w:szCs w:val="24"/>
        </w:rPr>
        <w:t xml:space="preserve"> (et referencesubstrat, som er repræsentativt for lægemidler, der primært </w:t>
      </w:r>
      <w:proofErr w:type="spellStart"/>
      <w:r w:rsidRPr="0061056A">
        <w:rPr>
          <w:sz w:val="24"/>
          <w:szCs w:val="24"/>
        </w:rPr>
        <w:t>metaboliseres</w:t>
      </w:r>
      <w:proofErr w:type="spellEnd"/>
      <w:r w:rsidRPr="0061056A">
        <w:rPr>
          <w:sz w:val="24"/>
          <w:szCs w:val="24"/>
        </w:rPr>
        <w:t xml:space="preserve"> via CYP2C8) har dog vist, at </w:t>
      </w:r>
      <w:proofErr w:type="spellStart"/>
      <w:r w:rsidRPr="0061056A">
        <w:rPr>
          <w:sz w:val="24"/>
          <w:szCs w:val="24"/>
        </w:rPr>
        <w:t>montelukast</w:t>
      </w:r>
      <w:proofErr w:type="spellEnd"/>
      <w:r w:rsidRPr="0061056A">
        <w:rPr>
          <w:sz w:val="24"/>
          <w:szCs w:val="24"/>
        </w:rPr>
        <w:t xml:space="preserve"> ikke hæmmer CYP2C8 in </w:t>
      </w:r>
      <w:proofErr w:type="spellStart"/>
      <w:r w:rsidRPr="0061056A">
        <w:rPr>
          <w:sz w:val="24"/>
          <w:szCs w:val="24"/>
        </w:rPr>
        <w:t>vivo</w:t>
      </w:r>
      <w:proofErr w:type="spellEnd"/>
      <w:r w:rsidRPr="0061056A">
        <w:rPr>
          <w:sz w:val="24"/>
          <w:szCs w:val="24"/>
        </w:rPr>
        <w:t xml:space="preserve">. Det forventes derfor ikke, at </w:t>
      </w:r>
      <w:proofErr w:type="spellStart"/>
      <w:r w:rsidRPr="0061056A">
        <w:rPr>
          <w:sz w:val="24"/>
          <w:szCs w:val="24"/>
        </w:rPr>
        <w:t>montelukast</w:t>
      </w:r>
      <w:proofErr w:type="spellEnd"/>
      <w:r w:rsidRPr="0061056A">
        <w:rPr>
          <w:sz w:val="24"/>
          <w:szCs w:val="24"/>
        </w:rPr>
        <w:t xml:space="preserve"> medfører en markant ændring af </w:t>
      </w:r>
      <w:proofErr w:type="spellStart"/>
      <w:r w:rsidRPr="0061056A">
        <w:rPr>
          <w:sz w:val="24"/>
          <w:szCs w:val="24"/>
        </w:rPr>
        <w:t>metaboliseringen</w:t>
      </w:r>
      <w:proofErr w:type="spellEnd"/>
      <w:r w:rsidRPr="0061056A">
        <w:rPr>
          <w:sz w:val="24"/>
          <w:szCs w:val="24"/>
        </w:rPr>
        <w:t xml:space="preserve"> af lægemidler </w:t>
      </w:r>
      <w:proofErr w:type="spellStart"/>
      <w:r w:rsidRPr="0061056A">
        <w:rPr>
          <w:sz w:val="24"/>
          <w:szCs w:val="24"/>
        </w:rPr>
        <w:t>metaboliseret</w:t>
      </w:r>
      <w:proofErr w:type="spellEnd"/>
      <w:r w:rsidRPr="0061056A">
        <w:rPr>
          <w:sz w:val="24"/>
          <w:szCs w:val="24"/>
        </w:rPr>
        <w:t xml:space="preserve"> via dette enzym (f.eks. </w:t>
      </w:r>
      <w:proofErr w:type="spellStart"/>
      <w:r w:rsidRPr="0061056A">
        <w:rPr>
          <w:sz w:val="24"/>
          <w:szCs w:val="24"/>
        </w:rPr>
        <w:t>paclitaxel</w:t>
      </w:r>
      <w:proofErr w:type="spellEnd"/>
      <w:r w:rsidRPr="0061056A">
        <w:rPr>
          <w:sz w:val="24"/>
          <w:szCs w:val="24"/>
        </w:rPr>
        <w:t xml:space="preserve">, </w:t>
      </w:r>
      <w:proofErr w:type="spellStart"/>
      <w:r w:rsidRPr="0061056A">
        <w:rPr>
          <w:sz w:val="24"/>
          <w:szCs w:val="24"/>
        </w:rPr>
        <w:t>rosiglitazon</w:t>
      </w:r>
      <w:proofErr w:type="spellEnd"/>
      <w:r w:rsidRPr="0061056A">
        <w:rPr>
          <w:sz w:val="24"/>
          <w:szCs w:val="24"/>
        </w:rPr>
        <w:t xml:space="preserve"> og </w:t>
      </w:r>
      <w:proofErr w:type="spellStart"/>
      <w:r w:rsidRPr="0061056A">
        <w:rPr>
          <w:sz w:val="24"/>
          <w:szCs w:val="24"/>
        </w:rPr>
        <w:t>repaglinid</w:t>
      </w:r>
      <w:proofErr w:type="spellEnd"/>
      <w:r w:rsidRPr="0061056A">
        <w:rPr>
          <w:sz w:val="24"/>
          <w:szCs w:val="24"/>
        </w:rPr>
        <w:t>).</w:t>
      </w:r>
    </w:p>
    <w:p w:rsidR="002929E3" w:rsidRDefault="002929E3" w:rsidP="002929E3">
      <w:pPr>
        <w:rPr>
          <w:sz w:val="24"/>
          <w:szCs w:val="24"/>
        </w:rPr>
      </w:pPr>
    </w:p>
    <w:p w:rsidR="002929E3" w:rsidRPr="000344F8" w:rsidRDefault="002929E3" w:rsidP="002929E3">
      <w:pPr>
        <w:autoSpaceDE w:val="0"/>
        <w:autoSpaceDN w:val="0"/>
        <w:adjustRightInd w:val="0"/>
        <w:ind w:left="851"/>
        <w:rPr>
          <w:sz w:val="24"/>
        </w:rPr>
      </w:pPr>
      <w:r w:rsidRPr="000344F8">
        <w:rPr>
          <w:i/>
          <w:sz w:val="24"/>
        </w:rPr>
        <w:t xml:space="preserve">In </w:t>
      </w:r>
      <w:proofErr w:type="spellStart"/>
      <w:r w:rsidRPr="000344F8">
        <w:rPr>
          <w:i/>
          <w:sz w:val="24"/>
        </w:rPr>
        <w:t>vitro</w:t>
      </w:r>
      <w:proofErr w:type="spellEnd"/>
      <w:r w:rsidRPr="000344F8">
        <w:rPr>
          <w:sz w:val="24"/>
        </w:rPr>
        <w:t xml:space="preserve">-studier har vist, at </w:t>
      </w:r>
      <w:proofErr w:type="spellStart"/>
      <w:r w:rsidRPr="000344F8">
        <w:rPr>
          <w:sz w:val="24"/>
        </w:rPr>
        <w:t>montelukast</w:t>
      </w:r>
      <w:proofErr w:type="spellEnd"/>
      <w:r w:rsidRPr="000344F8">
        <w:rPr>
          <w:sz w:val="24"/>
        </w:rPr>
        <w:t xml:space="preserve"> er et substrat af CYP 2C8 og i mindre signifikant grad af 2C9 og 3A4. I et klinisk lægemiddelinteraktionsstudie med </w:t>
      </w:r>
      <w:proofErr w:type="spellStart"/>
      <w:r w:rsidRPr="000344F8">
        <w:rPr>
          <w:sz w:val="24"/>
        </w:rPr>
        <w:t>montelukast</w:t>
      </w:r>
      <w:proofErr w:type="spellEnd"/>
      <w:r w:rsidRPr="000344F8">
        <w:rPr>
          <w:sz w:val="24"/>
        </w:rPr>
        <w:t xml:space="preserve"> og </w:t>
      </w:r>
      <w:proofErr w:type="spellStart"/>
      <w:r w:rsidRPr="000344F8">
        <w:rPr>
          <w:sz w:val="24"/>
        </w:rPr>
        <w:t>gemfibrozil</w:t>
      </w:r>
      <w:proofErr w:type="spellEnd"/>
      <w:r w:rsidRPr="000344F8">
        <w:rPr>
          <w:sz w:val="24"/>
        </w:rPr>
        <w:t xml:space="preserve"> (en hæmmer af både CYP2C8 og 2C9) øgede </w:t>
      </w:r>
      <w:proofErr w:type="spellStart"/>
      <w:r w:rsidRPr="000344F8">
        <w:rPr>
          <w:sz w:val="24"/>
        </w:rPr>
        <w:t>gemfibrozil</w:t>
      </w:r>
      <w:proofErr w:type="spellEnd"/>
      <w:r w:rsidRPr="000344F8">
        <w:rPr>
          <w:sz w:val="24"/>
        </w:rPr>
        <w:t xml:space="preserve"> den systemiske eksponering for </w:t>
      </w:r>
      <w:proofErr w:type="spellStart"/>
      <w:r w:rsidRPr="000344F8">
        <w:rPr>
          <w:sz w:val="24"/>
        </w:rPr>
        <w:t>montelukast</w:t>
      </w:r>
      <w:proofErr w:type="spellEnd"/>
      <w:r w:rsidRPr="000344F8">
        <w:rPr>
          <w:sz w:val="24"/>
        </w:rPr>
        <w:t xml:space="preserve"> 4,4 gange. Rutinemæssig justering af </w:t>
      </w:r>
      <w:proofErr w:type="spellStart"/>
      <w:r w:rsidRPr="000344F8">
        <w:rPr>
          <w:sz w:val="24"/>
        </w:rPr>
        <w:t>montelukast</w:t>
      </w:r>
      <w:proofErr w:type="spellEnd"/>
      <w:r w:rsidRPr="000344F8">
        <w:rPr>
          <w:sz w:val="24"/>
        </w:rPr>
        <w:t xml:space="preserve">-dosis er ikke nødvendig efter administration sammen med </w:t>
      </w:r>
      <w:proofErr w:type="spellStart"/>
      <w:r w:rsidRPr="000344F8">
        <w:rPr>
          <w:sz w:val="24"/>
        </w:rPr>
        <w:t>gemfibrozil</w:t>
      </w:r>
      <w:proofErr w:type="spellEnd"/>
      <w:r w:rsidRPr="000344F8">
        <w:rPr>
          <w:sz w:val="24"/>
        </w:rPr>
        <w:t xml:space="preserve"> eller andre potente CYP 2C8-hæmmere, men lægen bør være opmærksom på risikoen for en stigning i bivirkninger.</w:t>
      </w:r>
    </w:p>
    <w:p w:rsidR="002929E3" w:rsidRPr="000344F8" w:rsidRDefault="002929E3" w:rsidP="002929E3">
      <w:pPr>
        <w:autoSpaceDE w:val="0"/>
        <w:autoSpaceDN w:val="0"/>
        <w:adjustRightInd w:val="0"/>
        <w:ind w:left="851"/>
        <w:rPr>
          <w:sz w:val="24"/>
        </w:rPr>
      </w:pPr>
    </w:p>
    <w:p w:rsidR="002929E3" w:rsidRPr="00386418" w:rsidRDefault="002929E3" w:rsidP="002929E3">
      <w:pPr>
        <w:autoSpaceDE w:val="0"/>
        <w:autoSpaceDN w:val="0"/>
        <w:adjustRightInd w:val="0"/>
        <w:ind w:left="851"/>
      </w:pPr>
      <w:r w:rsidRPr="000344F8">
        <w:rPr>
          <w:sz w:val="24"/>
        </w:rPr>
        <w:t xml:space="preserve">Baseret på </w:t>
      </w:r>
      <w:r w:rsidRPr="000344F8">
        <w:rPr>
          <w:i/>
          <w:sz w:val="24"/>
        </w:rPr>
        <w:t xml:space="preserve">in </w:t>
      </w:r>
      <w:proofErr w:type="spellStart"/>
      <w:r w:rsidRPr="000344F8">
        <w:rPr>
          <w:i/>
          <w:sz w:val="24"/>
        </w:rPr>
        <w:t>vitro</w:t>
      </w:r>
      <w:proofErr w:type="spellEnd"/>
      <w:r w:rsidRPr="000344F8">
        <w:rPr>
          <w:sz w:val="24"/>
        </w:rPr>
        <w:t xml:space="preserve">-data forventes der ikke klinisk signifikante lægemiddelinteraktioner med mindre potente CYP 2C8-hæmmere (f.eks. </w:t>
      </w:r>
      <w:proofErr w:type="spellStart"/>
      <w:r w:rsidRPr="000344F8">
        <w:rPr>
          <w:sz w:val="24"/>
        </w:rPr>
        <w:t>trimethoprim</w:t>
      </w:r>
      <w:proofErr w:type="spellEnd"/>
      <w:r w:rsidRPr="000344F8">
        <w:rPr>
          <w:sz w:val="24"/>
        </w:rPr>
        <w:t xml:space="preserve">). Samtidig administration af </w:t>
      </w:r>
      <w:proofErr w:type="spellStart"/>
      <w:r w:rsidRPr="000344F8">
        <w:rPr>
          <w:sz w:val="24"/>
        </w:rPr>
        <w:t>montelukast</w:t>
      </w:r>
      <w:proofErr w:type="spellEnd"/>
      <w:r w:rsidRPr="000344F8">
        <w:rPr>
          <w:sz w:val="24"/>
        </w:rPr>
        <w:t xml:space="preserve"> og </w:t>
      </w:r>
      <w:proofErr w:type="spellStart"/>
      <w:r w:rsidRPr="000344F8">
        <w:rPr>
          <w:sz w:val="24"/>
        </w:rPr>
        <w:t>itraconazol</w:t>
      </w:r>
      <w:proofErr w:type="spellEnd"/>
      <w:r w:rsidRPr="000344F8">
        <w:rPr>
          <w:sz w:val="24"/>
        </w:rPr>
        <w:t xml:space="preserve">, der er en kraftig CYP3A4-hæmmer, resulterede ikke i en signifikant stigning i den systemiske eksponering for </w:t>
      </w:r>
      <w:proofErr w:type="spellStart"/>
      <w:r w:rsidRPr="000344F8">
        <w:rPr>
          <w:sz w:val="24"/>
        </w:rPr>
        <w:t>montelukast</w:t>
      </w:r>
      <w:proofErr w:type="spellEnd"/>
      <w:r w:rsidRPr="000344F8">
        <w:rPr>
          <w:sz w:val="24"/>
        </w:rPr>
        <w:t>.</w:t>
      </w:r>
    </w:p>
    <w:p w:rsidR="002929E3" w:rsidRPr="0061056A" w:rsidRDefault="002929E3" w:rsidP="002929E3">
      <w:pPr>
        <w:tabs>
          <w:tab w:val="left" w:pos="851"/>
        </w:tabs>
        <w:ind w:left="851" w:hanging="851"/>
        <w:rPr>
          <w:sz w:val="24"/>
          <w:szCs w:val="24"/>
        </w:rPr>
      </w:pPr>
    </w:p>
    <w:p w:rsidR="002929E3" w:rsidRPr="0061056A" w:rsidRDefault="007011C8" w:rsidP="002929E3">
      <w:pPr>
        <w:numPr>
          <w:ilvl w:val="1"/>
          <w:numId w:val="1"/>
        </w:numPr>
        <w:ind w:left="851" w:hanging="851"/>
        <w:rPr>
          <w:b/>
          <w:sz w:val="24"/>
          <w:szCs w:val="24"/>
        </w:rPr>
      </w:pPr>
      <w:r>
        <w:rPr>
          <w:b/>
          <w:sz w:val="24"/>
          <w:szCs w:val="24"/>
        </w:rPr>
        <w:t>Fertilitet, g</w:t>
      </w:r>
      <w:r w:rsidR="002929E3" w:rsidRPr="0061056A">
        <w:rPr>
          <w:b/>
          <w:sz w:val="24"/>
          <w:szCs w:val="24"/>
        </w:rPr>
        <w:t>raviditet og amning</w:t>
      </w:r>
    </w:p>
    <w:p w:rsidR="002929E3" w:rsidRPr="00630CC1" w:rsidRDefault="002929E3" w:rsidP="002929E3">
      <w:pPr>
        <w:autoSpaceDE w:val="0"/>
        <w:autoSpaceDN w:val="0"/>
        <w:adjustRightInd w:val="0"/>
        <w:ind w:left="851" w:hanging="851"/>
        <w:jc w:val="both"/>
        <w:rPr>
          <w:bCs/>
          <w:color w:val="010202"/>
          <w:sz w:val="24"/>
          <w:szCs w:val="24"/>
          <w:u w:val="single"/>
        </w:rPr>
      </w:pPr>
      <w:r w:rsidRPr="0061056A">
        <w:rPr>
          <w:sz w:val="24"/>
          <w:szCs w:val="24"/>
        </w:rPr>
        <w:tab/>
      </w:r>
      <w:r w:rsidRPr="00630CC1">
        <w:rPr>
          <w:bCs/>
          <w:color w:val="010202"/>
          <w:sz w:val="24"/>
          <w:szCs w:val="24"/>
          <w:u w:val="single"/>
        </w:rPr>
        <w:t>Graviditet</w:t>
      </w:r>
    </w:p>
    <w:p w:rsidR="002929E3" w:rsidRPr="0061056A" w:rsidRDefault="002929E3" w:rsidP="002929E3">
      <w:pPr>
        <w:autoSpaceDE w:val="0"/>
        <w:autoSpaceDN w:val="0"/>
        <w:adjustRightInd w:val="0"/>
        <w:ind w:left="851"/>
        <w:rPr>
          <w:color w:val="010202"/>
          <w:sz w:val="24"/>
          <w:szCs w:val="24"/>
        </w:rPr>
      </w:pPr>
      <w:r w:rsidRPr="0061056A">
        <w:rPr>
          <w:color w:val="010202"/>
          <w:sz w:val="24"/>
          <w:szCs w:val="24"/>
        </w:rPr>
        <w:t>Dyreforsøg indikerer ikke skadelige virkninger med hensyn til graviditet eller fosterudvikling.</w:t>
      </w:r>
    </w:p>
    <w:p w:rsidR="002929E3" w:rsidRPr="0061056A" w:rsidRDefault="002929E3" w:rsidP="002929E3">
      <w:pPr>
        <w:autoSpaceDE w:val="0"/>
        <w:autoSpaceDN w:val="0"/>
        <w:adjustRightInd w:val="0"/>
        <w:ind w:left="851" w:hanging="851"/>
        <w:rPr>
          <w:color w:val="010202"/>
          <w:sz w:val="24"/>
          <w:szCs w:val="24"/>
        </w:rPr>
      </w:pPr>
    </w:p>
    <w:p w:rsidR="00630CC1" w:rsidRPr="00630CC1" w:rsidRDefault="00630CC1" w:rsidP="00630CC1">
      <w:pPr>
        <w:autoSpaceDE w:val="0"/>
        <w:autoSpaceDN w:val="0"/>
        <w:adjustRightInd w:val="0"/>
        <w:ind w:left="851"/>
        <w:rPr>
          <w:color w:val="010202"/>
          <w:sz w:val="24"/>
          <w:szCs w:val="24"/>
        </w:rPr>
      </w:pPr>
      <w:r w:rsidRPr="00630CC1">
        <w:rPr>
          <w:color w:val="010202"/>
          <w:sz w:val="24"/>
          <w:szCs w:val="24"/>
        </w:rPr>
        <w:t xml:space="preserve">Tilgængelige data fra offentliggjorte </w:t>
      </w:r>
      <w:proofErr w:type="spellStart"/>
      <w:r w:rsidRPr="00630CC1">
        <w:rPr>
          <w:color w:val="010202"/>
          <w:sz w:val="24"/>
          <w:szCs w:val="24"/>
        </w:rPr>
        <w:t>prospektive</w:t>
      </w:r>
      <w:proofErr w:type="spellEnd"/>
      <w:r w:rsidRPr="00630CC1">
        <w:rPr>
          <w:color w:val="010202"/>
          <w:sz w:val="24"/>
          <w:szCs w:val="24"/>
        </w:rPr>
        <w:t xml:space="preserve"> og retrospektive kohorteundersøgelser, der vurderede større fødselsdefekter ved brug af </w:t>
      </w:r>
      <w:proofErr w:type="spellStart"/>
      <w:r w:rsidRPr="00630CC1">
        <w:rPr>
          <w:color w:val="010202"/>
          <w:sz w:val="24"/>
          <w:szCs w:val="24"/>
        </w:rPr>
        <w:t>montelukast</w:t>
      </w:r>
      <w:proofErr w:type="spellEnd"/>
      <w:r w:rsidRPr="00630CC1">
        <w:rPr>
          <w:color w:val="010202"/>
          <w:sz w:val="24"/>
          <w:szCs w:val="24"/>
        </w:rPr>
        <w:t xml:space="preserve"> til gravide kvinder, har ikke etableret en lægemiddelassocieret risiko. Tilgængelige undersøgelser har metodologiske begrænsninger, herunder lille stikprøvestørrelse, i nogle tilfælde retrospektiv dataindsamling og inkonsekvente sammenligningsgrupper.</w:t>
      </w:r>
    </w:p>
    <w:p w:rsidR="002929E3" w:rsidRPr="0061056A" w:rsidRDefault="002929E3" w:rsidP="002929E3">
      <w:pPr>
        <w:autoSpaceDE w:val="0"/>
        <w:autoSpaceDN w:val="0"/>
        <w:adjustRightInd w:val="0"/>
        <w:ind w:left="851" w:hanging="851"/>
        <w:rPr>
          <w:color w:val="010202"/>
          <w:sz w:val="24"/>
          <w:szCs w:val="24"/>
        </w:rPr>
      </w:pPr>
    </w:p>
    <w:p w:rsidR="007011C8" w:rsidRDefault="007011C8" w:rsidP="007011C8">
      <w:pPr>
        <w:autoSpaceDE w:val="0"/>
        <w:autoSpaceDN w:val="0"/>
        <w:adjustRightInd w:val="0"/>
        <w:ind w:left="851"/>
        <w:rPr>
          <w:color w:val="010202"/>
          <w:sz w:val="24"/>
          <w:szCs w:val="24"/>
        </w:rPr>
      </w:pPr>
      <w:proofErr w:type="spellStart"/>
      <w:r>
        <w:rPr>
          <w:color w:val="010202"/>
          <w:sz w:val="24"/>
          <w:szCs w:val="24"/>
        </w:rPr>
        <w:t>Montelukast</w:t>
      </w:r>
      <w:proofErr w:type="spellEnd"/>
      <w:r>
        <w:rPr>
          <w:color w:val="010202"/>
          <w:sz w:val="24"/>
          <w:szCs w:val="24"/>
        </w:rPr>
        <w:t xml:space="preserve"> ”</w:t>
      </w:r>
      <w:proofErr w:type="spellStart"/>
      <w:r>
        <w:rPr>
          <w:color w:val="010202"/>
          <w:sz w:val="24"/>
          <w:szCs w:val="24"/>
        </w:rPr>
        <w:t>Accord</w:t>
      </w:r>
      <w:proofErr w:type="spellEnd"/>
      <w:r>
        <w:rPr>
          <w:color w:val="010202"/>
          <w:sz w:val="24"/>
          <w:szCs w:val="24"/>
        </w:rPr>
        <w:t xml:space="preserve"> Healthcare” bør kun anvendes under graviditet, såfremt det skønnes at være klart nødvendigt.</w:t>
      </w:r>
    </w:p>
    <w:p w:rsidR="007011C8" w:rsidRDefault="007011C8" w:rsidP="007011C8">
      <w:pPr>
        <w:autoSpaceDE w:val="0"/>
        <w:autoSpaceDN w:val="0"/>
        <w:adjustRightInd w:val="0"/>
        <w:ind w:left="851" w:hanging="851"/>
        <w:rPr>
          <w:b/>
          <w:bCs/>
          <w:color w:val="010202"/>
          <w:sz w:val="24"/>
          <w:szCs w:val="24"/>
        </w:rPr>
      </w:pPr>
    </w:p>
    <w:p w:rsidR="007011C8" w:rsidRDefault="007011C8" w:rsidP="007011C8">
      <w:pPr>
        <w:autoSpaceDE w:val="0"/>
        <w:autoSpaceDN w:val="0"/>
        <w:adjustRightInd w:val="0"/>
        <w:ind w:left="851"/>
        <w:rPr>
          <w:color w:val="010202"/>
          <w:sz w:val="24"/>
          <w:u w:val="single"/>
        </w:rPr>
      </w:pPr>
      <w:r>
        <w:rPr>
          <w:color w:val="010202"/>
          <w:sz w:val="24"/>
          <w:u w:val="single"/>
        </w:rPr>
        <w:t>Amning</w:t>
      </w:r>
    </w:p>
    <w:p w:rsidR="007011C8" w:rsidRDefault="007011C8" w:rsidP="007011C8">
      <w:pPr>
        <w:autoSpaceDE w:val="0"/>
        <w:autoSpaceDN w:val="0"/>
        <w:adjustRightInd w:val="0"/>
        <w:ind w:left="851"/>
        <w:rPr>
          <w:color w:val="010202"/>
          <w:sz w:val="24"/>
          <w:szCs w:val="24"/>
        </w:rPr>
      </w:pPr>
      <w:r>
        <w:rPr>
          <w:color w:val="010202"/>
          <w:sz w:val="24"/>
          <w:szCs w:val="24"/>
        </w:rPr>
        <w:t xml:space="preserve">Forsøg med rotter har vist, at </w:t>
      </w:r>
      <w:proofErr w:type="spellStart"/>
      <w:r>
        <w:rPr>
          <w:color w:val="010202"/>
          <w:sz w:val="24"/>
          <w:szCs w:val="24"/>
        </w:rPr>
        <w:t>montelukast</w:t>
      </w:r>
      <w:proofErr w:type="spellEnd"/>
      <w:r>
        <w:rPr>
          <w:color w:val="010202"/>
          <w:sz w:val="24"/>
          <w:szCs w:val="24"/>
        </w:rPr>
        <w:t xml:space="preserve"> udskilles i mælk (se pkt. 5.3). Det vides ikke, om </w:t>
      </w:r>
      <w:proofErr w:type="spellStart"/>
      <w:r>
        <w:rPr>
          <w:color w:val="010202"/>
          <w:sz w:val="24"/>
          <w:szCs w:val="24"/>
        </w:rPr>
        <w:t>montelukast</w:t>
      </w:r>
      <w:proofErr w:type="spellEnd"/>
      <w:r>
        <w:rPr>
          <w:color w:val="010202"/>
          <w:sz w:val="24"/>
          <w:szCs w:val="24"/>
        </w:rPr>
        <w:t>/metabolitter udskilles i human modermælk.</w:t>
      </w:r>
    </w:p>
    <w:p w:rsidR="007011C8" w:rsidRDefault="007011C8" w:rsidP="007011C8">
      <w:pPr>
        <w:tabs>
          <w:tab w:val="left" w:pos="851"/>
        </w:tabs>
        <w:ind w:left="851" w:hanging="851"/>
        <w:rPr>
          <w:sz w:val="24"/>
          <w:szCs w:val="24"/>
        </w:rPr>
      </w:pPr>
      <w:r>
        <w:rPr>
          <w:sz w:val="24"/>
          <w:szCs w:val="24"/>
        </w:rPr>
        <w:tab/>
      </w:r>
      <w:proofErr w:type="spellStart"/>
      <w:r>
        <w:rPr>
          <w:color w:val="010202"/>
          <w:sz w:val="24"/>
          <w:szCs w:val="24"/>
        </w:rPr>
        <w:t>Montelukast</w:t>
      </w:r>
      <w:proofErr w:type="spellEnd"/>
      <w:r>
        <w:rPr>
          <w:color w:val="010202"/>
          <w:sz w:val="24"/>
          <w:szCs w:val="24"/>
        </w:rPr>
        <w:t xml:space="preserve"> ”</w:t>
      </w:r>
      <w:proofErr w:type="spellStart"/>
      <w:r>
        <w:rPr>
          <w:color w:val="010202"/>
          <w:sz w:val="24"/>
          <w:szCs w:val="24"/>
        </w:rPr>
        <w:t>Accord</w:t>
      </w:r>
      <w:proofErr w:type="spellEnd"/>
      <w:r>
        <w:rPr>
          <w:color w:val="010202"/>
          <w:sz w:val="24"/>
          <w:szCs w:val="24"/>
        </w:rPr>
        <w:t xml:space="preserve"> Healthcare” bør kun anvendes af ammende, såfremt det skønnes at være klart nødvendigt.</w:t>
      </w:r>
    </w:p>
    <w:p w:rsidR="002929E3" w:rsidRPr="0061056A" w:rsidRDefault="002929E3" w:rsidP="002929E3">
      <w:pPr>
        <w:tabs>
          <w:tab w:val="left" w:pos="851"/>
        </w:tabs>
        <w:ind w:left="851" w:hanging="851"/>
        <w:rPr>
          <w:sz w:val="24"/>
          <w:szCs w:val="24"/>
        </w:rPr>
      </w:pPr>
    </w:p>
    <w:p w:rsidR="002929E3" w:rsidRPr="0061056A" w:rsidRDefault="002929E3" w:rsidP="002929E3">
      <w:pPr>
        <w:numPr>
          <w:ilvl w:val="1"/>
          <w:numId w:val="1"/>
        </w:numPr>
        <w:ind w:left="851" w:hanging="851"/>
        <w:rPr>
          <w:b/>
          <w:sz w:val="24"/>
          <w:szCs w:val="24"/>
        </w:rPr>
      </w:pPr>
      <w:r w:rsidRPr="0061056A">
        <w:rPr>
          <w:b/>
          <w:sz w:val="24"/>
          <w:szCs w:val="24"/>
        </w:rPr>
        <w:t>Virkning på evnen til at føre motorkøretøj eller betjene maskiner</w:t>
      </w:r>
    </w:p>
    <w:p w:rsidR="002929E3" w:rsidRPr="00401408" w:rsidRDefault="002929E3" w:rsidP="002929E3">
      <w:pPr>
        <w:autoSpaceDE w:val="0"/>
        <w:autoSpaceDN w:val="0"/>
        <w:adjustRightInd w:val="0"/>
        <w:ind w:left="851"/>
        <w:jc w:val="both"/>
        <w:rPr>
          <w:color w:val="010202"/>
          <w:sz w:val="24"/>
          <w:szCs w:val="24"/>
        </w:rPr>
      </w:pPr>
      <w:proofErr w:type="spellStart"/>
      <w:r w:rsidRPr="00401408">
        <w:rPr>
          <w:color w:val="010202"/>
          <w:sz w:val="24"/>
          <w:szCs w:val="24"/>
        </w:rPr>
        <w:t>Montelukast</w:t>
      </w:r>
      <w:proofErr w:type="spellEnd"/>
      <w:r w:rsidRPr="00401408">
        <w:rPr>
          <w:color w:val="010202"/>
          <w:sz w:val="24"/>
          <w:szCs w:val="24"/>
        </w:rPr>
        <w:t xml:space="preserve"> påvirker ikke eller kun i ubetydelig grad evnen til at </w:t>
      </w:r>
      <w:r w:rsidR="00784BCA">
        <w:rPr>
          <w:color w:val="010202"/>
          <w:sz w:val="24"/>
          <w:szCs w:val="24"/>
        </w:rPr>
        <w:t xml:space="preserve">føre motorkøretøj </w:t>
      </w:r>
      <w:r w:rsidRPr="00401408">
        <w:rPr>
          <w:color w:val="010202"/>
          <w:sz w:val="24"/>
          <w:szCs w:val="24"/>
        </w:rPr>
        <w:t>eller betjene maskiner. Der er dog rapporteret om døsighed eller svimmelhed.</w:t>
      </w:r>
    </w:p>
    <w:p w:rsidR="002929E3" w:rsidRPr="0061056A" w:rsidRDefault="002929E3" w:rsidP="002929E3">
      <w:pPr>
        <w:tabs>
          <w:tab w:val="left" w:pos="851"/>
        </w:tabs>
        <w:ind w:left="851" w:hanging="851"/>
        <w:rPr>
          <w:sz w:val="24"/>
          <w:szCs w:val="24"/>
        </w:rPr>
      </w:pPr>
    </w:p>
    <w:p w:rsidR="002929E3" w:rsidRPr="0061056A" w:rsidRDefault="002929E3" w:rsidP="002929E3">
      <w:pPr>
        <w:numPr>
          <w:ilvl w:val="1"/>
          <w:numId w:val="1"/>
        </w:numPr>
        <w:ind w:left="851" w:hanging="851"/>
        <w:rPr>
          <w:b/>
          <w:sz w:val="24"/>
          <w:szCs w:val="24"/>
        </w:rPr>
      </w:pPr>
      <w:r w:rsidRPr="0061056A">
        <w:rPr>
          <w:b/>
          <w:sz w:val="24"/>
          <w:szCs w:val="24"/>
        </w:rPr>
        <w:t>Bivirkninger</w:t>
      </w:r>
    </w:p>
    <w:p w:rsidR="002929E3" w:rsidRPr="00401408" w:rsidRDefault="002929E3" w:rsidP="002929E3">
      <w:pPr>
        <w:autoSpaceDE w:val="0"/>
        <w:autoSpaceDN w:val="0"/>
        <w:adjustRightInd w:val="0"/>
        <w:ind w:left="851"/>
        <w:jc w:val="both"/>
        <w:rPr>
          <w:color w:val="010202"/>
          <w:sz w:val="24"/>
          <w:szCs w:val="24"/>
        </w:rPr>
      </w:pPr>
      <w:proofErr w:type="spellStart"/>
      <w:r w:rsidRPr="00401408">
        <w:rPr>
          <w:color w:val="010202"/>
          <w:sz w:val="24"/>
          <w:szCs w:val="24"/>
        </w:rPr>
        <w:t>Montelukast</w:t>
      </w:r>
      <w:proofErr w:type="spellEnd"/>
      <w:r w:rsidRPr="00401408">
        <w:rPr>
          <w:color w:val="010202"/>
          <w:sz w:val="24"/>
          <w:szCs w:val="24"/>
        </w:rPr>
        <w:t xml:space="preserve"> er blevet evalueret i kliniske studier som følger:</w:t>
      </w:r>
    </w:p>
    <w:p w:rsidR="002929E3" w:rsidRPr="00401408" w:rsidRDefault="002929E3" w:rsidP="002929E3">
      <w:pPr>
        <w:autoSpaceDE w:val="0"/>
        <w:autoSpaceDN w:val="0"/>
        <w:adjustRightInd w:val="0"/>
        <w:ind w:left="851"/>
        <w:jc w:val="both"/>
        <w:rPr>
          <w:color w:val="010202"/>
          <w:sz w:val="24"/>
          <w:szCs w:val="24"/>
        </w:rPr>
      </w:pPr>
    </w:p>
    <w:p w:rsidR="002929E3" w:rsidRPr="009A7227" w:rsidRDefault="002929E3" w:rsidP="009A7227">
      <w:pPr>
        <w:pStyle w:val="Listeafsnit"/>
        <w:numPr>
          <w:ilvl w:val="0"/>
          <w:numId w:val="6"/>
        </w:numPr>
        <w:autoSpaceDE w:val="0"/>
        <w:autoSpaceDN w:val="0"/>
        <w:adjustRightInd w:val="0"/>
        <w:ind w:left="1134" w:hanging="283"/>
        <w:jc w:val="both"/>
        <w:rPr>
          <w:color w:val="010202"/>
          <w:sz w:val="24"/>
          <w:szCs w:val="24"/>
        </w:rPr>
      </w:pPr>
      <w:r w:rsidRPr="009A7227">
        <w:rPr>
          <w:color w:val="010202"/>
          <w:sz w:val="24"/>
          <w:szCs w:val="24"/>
        </w:rPr>
        <w:t>10 mg filmovertrukne tabletter hos ca. 4000 voksne og unge astmapatienter (15 år og ældre).</w:t>
      </w:r>
    </w:p>
    <w:p w:rsidR="002929E3" w:rsidRPr="009A7227" w:rsidRDefault="002929E3" w:rsidP="009A7227">
      <w:pPr>
        <w:pStyle w:val="Listeafsnit"/>
        <w:numPr>
          <w:ilvl w:val="0"/>
          <w:numId w:val="6"/>
        </w:numPr>
        <w:autoSpaceDE w:val="0"/>
        <w:autoSpaceDN w:val="0"/>
        <w:adjustRightInd w:val="0"/>
        <w:ind w:left="1134" w:hanging="283"/>
        <w:jc w:val="both"/>
        <w:rPr>
          <w:color w:val="010202"/>
          <w:sz w:val="24"/>
          <w:szCs w:val="24"/>
        </w:rPr>
      </w:pPr>
      <w:r w:rsidRPr="009A7227">
        <w:rPr>
          <w:color w:val="010202"/>
          <w:sz w:val="24"/>
          <w:szCs w:val="24"/>
        </w:rPr>
        <w:t xml:space="preserve">10 mg filmovertrukne tabletter i ca. 400 voksne og unge astmapatienter (15 år og ældre) med sæsonbetinget allergisk </w:t>
      </w:r>
      <w:proofErr w:type="spellStart"/>
      <w:r w:rsidRPr="009A7227">
        <w:rPr>
          <w:color w:val="010202"/>
          <w:sz w:val="24"/>
          <w:szCs w:val="24"/>
        </w:rPr>
        <w:t>rhinitis</w:t>
      </w:r>
      <w:proofErr w:type="spellEnd"/>
      <w:r w:rsidRPr="009A7227">
        <w:rPr>
          <w:color w:val="010202"/>
          <w:sz w:val="24"/>
          <w:szCs w:val="24"/>
        </w:rPr>
        <w:t>.</w:t>
      </w:r>
    </w:p>
    <w:p w:rsidR="002929E3" w:rsidRPr="009A7227" w:rsidRDefault="002929E3" w:rsidP="009A7227">
      <w:pPr>
        <w:pStyle w:val="Listeafsnit"/>
        <w:numPr>
          <w:ilvl w:val="0"/>
          <w:numId w:val="6"/>
        </w:numPr>
        <w:autoSpaceDE w:val="0"/>
        <w:autoSpaceDN w:val="0"/>
        <w:adjustRightInd w:val="0"/>
        <w:ind w:left="1134" w:hanging="283"/>
        <w:jc w:val="both"/>
        <w:rPr>
          <w:color w:val="010202"/>
          <w:sz w:val="24"/>
          <w:szCs w:val="24"/>
        </w:rPr>
      </w:pPr>
      <w:r w:rsidRPr="009A7227">
        <w:rPr>
          <w:color w:val="010202"/>
          <w:sz w:val="24"/>
          <w:szCs w:val="24"/>
        </w:rPr>
        <w:t>5 mg tyggetabletter hos ca. 1750 pædiatriske astmapatienter i alderen 6 til 14 år.</w:t>
      </w:r>
    </w:p>
    <w:p w:rsidR="002929E3" w:rsidRPr="00401408" w:rsidRDefault="002929E3" w:rsidP="002929E3">
      <w:pPr>
        <w:autoSpaceDE w:val="0"/>
        <w:autoSpaceDN w:val="0"/>
        <w:adjustRightInd w:val="0"/>
        <w:ind w:left="851"/>
        <w:jc w:val="both"/>
        <w:rPr>
          <w:color w:val="010202"/>
          <w:sz w:val="24"/>
          <w:szCs w:val="24"/>
        </w:rPr>
      </w:pPr>
    </w:p>
    <w:p w:rsidR="007011C8" w:rsidRDefault="007011C8" w:rsidP="007011C8">
      <w:pPr>
        <w:autoSpaceDE w:val="0"/>
        <w:autoSpaceDN w:val="0"/>
        <w:adjustRightInd w:val="0"/>
        <w:ind w:left="851"/>
        <w:jc w:val="both"/>
        <w:rPr>
          <w:color w:val="010202"/>
          <w:sz w:val="24"/>
          <w:szCs w:val="24"/>
        </w:rPr>
      </w:pPr>
      <w:r>
        <w:rPr>
          <w:color w:val="010202"/>
          <w:sz w:val="24"/>
          <w:szCs w:val="24"/>
        </w:rPr>
        <w:t xml:space="preserve">Følgende lægemiddelrelaterede bivirkninger i kliniske studier er rapporteret som almindelige </w:t>
      </w:r>
      <w:r>
        <w:rPr>
          <w:sz w:val="24"/>
          <w:szCs w:val="24"/>
        </w:rPr>
        <w:t>(</w:t>
      </w:r>
      <w:r>
        <w:rPr>
          <w:noProof/>
          <w:sz w:val="24"/>
          <w:lang w:eastAsia="da-DK"/>
        </w:rPr>
        <w:drawing>
          <wp:inline distT="0" distB="0" distL="0" distR="0">
            <wp:extent cx="114300" cy="114300"/>
            <wp:effectExtent l="0" t="0" r="0" b="0"/>
            <wp:docPr id="1" name="Billede 1" descr="http://renderer.medicines.org.uk/images/entities/GREATER-THAN_OR_EQUAL_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nderer.medicines.org.uk/images/entities/GREATER-THAN_OR_EQUAL_TO.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sz w:val="24"/>
          <w:szCs w:val="24"/>
        </w:rPr>
        <w:t>1/100 til &lt;1/10) h</w:t>
      </w:r>
      <w:r>
        <w:rPr>
          <w:color w:val="010202"/>
          <w:sz w:val="24"/>
          <w:szCs w:val="24"/>
        </w:rPr>
        <w:t xml:space="preserve">os astmapatienter behandlet med </w:t>
      </w:r>
      <w:proofErr w:type="spellStart"/>
      <w:r>
        <w:rPr>
          <w:color w:val="010202"/>
          <w:sz w:val="24"/>
          <w:szCs w:val="24"/>
        </w:rPr>
        <w:t>montelukast</w:t>
      </w:r>
      <w:proofErr w:type="spellEnd"/>
      <w:r>
        <w:rPr>
          <w:color w:val="010202"/>
          <w:sz w:val="24"/>
          <w:szCs w:val="24"/>
        </w:rPr>
        <w:t xml:space="preserve"> og forekom hyppigere end hos patienter behandlet med placebo:</w:t>
      </w:r>
    </w:p>
    <w:p w:rsidR="007011C8" w:rsidRDefault="007011C8" w:rsidP="007011C8">
      <w:pPr>
        <w:rPr>
          <w:color w:val="010202"/>
          <w:sz w:val="24"/>
          <w:szCs w:val="24"/>
        </w:rPr>
      </w:pPr>
    </w:p>
    <w:tbl>
      <w:tblPr>
        <w:tblStyle w:val="Tabel-Gitter"/>
        <w:tblW w:w="8788" w:type="dxa"/>
        <w:jc w:val="center"/>
        <w:tblLook w:val="04A0" w:firstRow="1" w:lastRow="0" w:firstColumn="1" w:lastColumn="0" w:noHBand="0" w:noVBand="1"/>
      </w:tblPr>
      <w:tblGrid>
        <w:gridCol w:w="2410"/>
        <w:gridCol w:w="3118"/>
        <w:gridCol w:w="3260"/>
      </w:tblGrid>
      <w:tr w:rsidR="007011C8" w:rsidTr="007011C8">
        <w:trPr>
          <w:jc w:val="center"/>
        </w:trPr>
        <w:tc>
          <w:tcPr>
            <w:tcW w:w="2410" w:type="dxa"/>
            <w:tcBorders>
              <w:top w:val="single" w:sz="4" w:space="0" w:color="auto"/>
              <w:left w:val="single" w:sz="4" w:space="0" w:color="auto"/>
              <w:bottom w:val="single" w:sz="4" w:space="0" w:color="auto"/>
              <w:right w:val="single" w:sz="4" w:space="0" w:color="auto"/>
            </w:tcBorders>
            <w:hideMark/>
          </w:tcPr>
          <w:p w:rsidR="007011C8" w:rsidRDefault="007011C8">
            <w:pPr>
              <w:keepNext/>
              <w:autoSpaceDE w:val="0"/>
              <w:autoSpaceDN w:val="0"/>
              <w:adjustRightInd w:val="0"/>
              <w:jc w:val="center"/>
              <w:rPr>
                <w:i/>
                <w:color w:val="010202"/>
                <w:sz w:val="24"/>
              </w:rPr>
            </w:pPr>
            <w:r>
              <w:rPr>
                <w:i/>
                <w:color w:val="010202"/>
                <w:sz w:val="24"/>
              </w:rPr>
              <w:t>Systemorganklasse</w:t>
            </w:r>
          </w:p>
        </w:tc>
        <w:tc>
          <w:tcPr>
            <w:tcW w:w="3118" w:type="dxa"/>
            <w:tcBorders>
              <w:top w:val="single" w:sz="4" w:space="0" w:color="auto"/>
              <w:left w:val="single" w:sz="4" w:space="0" w:color="auto"/>
              <w:bottom w:val="single" w:sz="4" w:space="0" w:color="auto"/>
              <w:right w:val="single" w:sz="4" w:space="0" w:color="auto"/>
            </w:tcBorders>
            <w:hideMark/>
          </w:tcPr>
          <w:p w:rsidR="007011C8" w:rsidRDefault="007011C8">
            <w:pPr>
              <w:keepNext/>
              <w:autoSpaceDE w:val="0"/>
              <w:autoSpaceDN w:val="0"/>
              <w:adjustRightInd w:val="0"/>
              <w:jc w:val="center"/>
              <w:rPr>
                <w:i/>
                <w:color w:val="010202"/>
                <w:sz w:val="24"/>
              </w:rPr>
            </w:pPr>
            <w:r>
              <w:rPr>
                <w:i/>
                <w:color w:val="010202"/>
                <w:sz w:val="24"/>
              </w:rPr>
              <w:t>Voksne</w:t>
            </w:r>
            <w:r>
              <w:rPr>
                <w:i/>
                <w:iCs/>
                <w:color w:val="010202"/>
                <w:sz w:val="24"/>
                <w:szCs w:val="24"/>
              </w:rPr>
              <w:t xml:space="preserve"> og unge </w:t>
            </w:r>
            <w:r>
              <w:rPr>
                <w:i/>
                <w:color w:val="010202"/>
                <w:sz w:val="24"/>
              </w:rPr>
              <w:t xml:space="preserve">patienter </w:t>
            </w:r>
          </w:p>
          <w:p w:rsidR="007011C8" w:rsidRDefault="007011C8">
            <w:pPr>
              <w:keepNext/>
              <w:autoSpaceDE w:val="0"/>
              <w:autoSpaceDN w:val="0"/>
              <w:adjustRightInd w:val="0"/>
              <w:jc w:val="center"/>
              <w:rPr>
                <w:i/>
                <w:color w:val="010202"/>
                <w:sz w:val="24"/>
              </w:rPr>
            </w:pPr>
            <w:r>
              <w:rPr>
                <w:i/>
                <w:color w:val="010202"/>
                <w:sz w:val="24"/>
              </w:rPr>
              <w:t>15 år og ældre</w:t>
            </w:r>
          </w:p>
          <w:p w:rsidR="007011C8" w:rsidRDefault="007011C8">
            <w:pPr>
              <w:keepNext/>
              <w:autoSpaceDE w:val="0"/>
              <w:autoSpaceDN w:val="0"/>
              <w:adjustRightInd w:val="0"/>
              <w:jc w:val="center"/>
              <w:rPr>
                <w:i/>
                <w:color w:val="010202"/>
                <w:sz w:val="24"/>
              </w:rPr>
            </w:pPr>
            <w:r>
              <w:rPr>
                <w:i/>
                <w:color w:val="010202"/>
                <w:sz w:val="24"/>
              </w:rPr>
              <w:t>(to 12-ugers studier; n=795)</w:t>
            </w:r>
          </w:p>
        </w:tc>
        <w:tc>
          <w:tcPr>
            <w:tcW w:w="3260" w:type="dxa"/>
            <w:tcBorders>
              <w:top w:val="single" w:sz="4" w:space="0" w:color="auto"/>
              <w:left w:val="single" w:sz="4" w:space="0" w:color="auto"/>
              <w:bottom w:val="single" w:sz="4" w:space="0" w:color="auto"/>
              <w:right w:val="single" w:sz="4" w:space="0" w:color="auto"/>
            </w:tcBorders>
            <w:hideMark/>
          </w:tcPr>
          <w:p w:rsidR="007011C8" w:rsidRDefault="007011C8">
            <w:pPr>
              <w:autoSpaceDE w:val="0"/>
              <w:autoSpaceDN w:val="0"/>
              <w:adjustRightInd w:val="0"/>
              <w:jc w:val="center"/>
              <w:rPr>
                <w:i/>
                <w:color w:val="010202"/>
                <w:sz w:val="24"/>
              </w:rPr>
            </w:pPr>
            <w:r>
              <w:rPr>
                <w:i/>
                <w:color w:val="010202"/>
                <w:sz w:val="24"/>
              </w:rPr>
              <w:t>Børn</w:t>
            </w:r>
          </w:p>
          <w:p w:rsidR="007011C8" w:rsidRDefault="007011C8">
            <w:pPr>
              <w:autoSpaceDE w:val="0"/>
              <w:autoSpaceDN w:val="0"/>
              <w:adjustRightInd w:val="0"/>
              <w:jc w:val="center"/>
              <w:rPr>
                <w:i/>
                <w:color w:val="010202"/>
                <w:sz w:val="24"/>
              </w:rPr>
            </w:pPr>
            <w:r>
              <w:rPr>
                <w:i/>
                <w:color w:val="010202"/>
                <w:sz w:val="24"/>
              </w:rPr>
              <w:t>6 til 14 år</w:t>
            </w:r>
          </w:p>
          <w:p w:rsidR="007011C8" w:rsidRDefault="007011C8">
            <w:pPr>
              <w:autoSpaceDE w:val="0"/>
              <w:autoSpaceDN w:val="0"/>
              <w:adjustRightInd w:val="0"/>
              <w:jc w:val="center"/>
              <w:rPr>
                <w:i/>
                <w:color w:val="010202"/>
                <w:sz w:val="24"/>
              </w:rPr>
            </w:pPr>
            <w:r>
              <w:rPr>
                <w:i/>
                <w:color w:val="010202"/>
                <w:sz w:val="24"/>
              </w:rPr>
              <w:t>(et 8-ugers studie; n=201)</w:t>
            </w:r>
          </w:p>
          <w:p w:rsidR="007011C8" w:rsidRDefault="007011C8">
            <w:pPr>
              <w:autoSpaceDE w:val="0"/>
              <w:autoSpaceDN w:val="0"/>
              <w:adjustRightInd w:val="0"/>
              <w:jc w:val="center"/>
              <w:rPr>
                <w:i/>
                <w:color w:val="010202"/>
                <w:sz w:val="24"/>
              </w:rPr>
            </w:pPr>
            <w:r>
              <w:rPr>
                <w:i/>
                <w:color w:val="010202"/>
                <w:sz w:val="24"/>
              </w:rPr>
              <w:t>(to 56-ugers studier; n=615)</w:t>
            </w:r>
          </w:p>
        </w:tc>
      </w:tr>
      <w:tr w:rsidR="007011C8" w:rsidTr="007011C8">
        <w:trPr>
          <w:jc w:val="center"/>
        </w:trPr>
        <w:tc>
          <w:tcPr>
            <w:tcW w:w="2410" w:type="dxa"/>
            <w:tcBorders>
              <w:top w:val="single" w:sz="4" w:space="0" w:color="auto"/>
              <w:left w:val="single" w:sz="4" w:space="0" w:color="auto"/>
              <w:bottom w:val="single" w:sz="4" w:space="0" w:color="auto"/>
              <w:right w:val="single" w:sz="4" w:space="0" w:color="auto"/>
            </w:tcBorders>
            <w:hideMark/>
          </w:tcPr>
          <w:p w:rsidR="007011C8" w:rsidRDefault="007011C8">
            <w:pPr>
              <w:autoSpaceDE w:val="0"/>
              <w:autoSpaceDN w:val="0"/>
              <w:adjustRightInd w:val="0"/>
              <w:jc w:val="both"/>
              <w:rPr>
                <w:i/>
                <w:color w:val="010202"/>
                <w:sz w:val="24"/>
              </w:rPr>
            </w:pPr>
            <w:r>
              <w:rPr>
                <w:i/>
                <w:color w:val="010202"/>
                <w:sz w:val="24"/>
              </w:rPr>
              <w:t>Nervesystemet</w:t>
            </w:r>
          </w:p>
        </w:tc>
        <w:tc>
          <w:tcPr>
            <w:tcW w:w="3118" w:type="dxa"/>
            <w:tcBorders>
              <w:top w:val="single" w:sz="4" w:space="0" w:color="auto"/>
              <w:left w:val="single" w:sz="4" w:space="0" w:color="auto"/>
              <w:bottom w:val="single" w:sz="4" w:space="0" w:color="auto"/>
              <w:right w:val="single" w:sz="4" w:space="0" w:color="auto"/>
            </w:tcBorders>
            <w:hideMark/>
          </w:tcPr>
          <w:p w:rsidR="007011C8" w:rsidRDefault="007011C8">
            <w:pPr>
              <w:autoSpaceDE w:val="0"/>
              <w:autoSpaceDN w:val="0"/>
              <w:adjustRightInd w:val="0"/>
              <w:jc w:val="both"/>
              <w:rPr>
                <w:color w:val="010202"/>
                <w:sz w:val="24"/>
                <w:szCs w:val="24"/>
              </w:rPr>
            </w:pPr>
            <w:r>
              <w:rPr>
                <w:color w:val="010202"/>
                <w:sz w:val="24"/>
                <w:szCs w:val="24"/>
              </w:rPr>
              <w:t>Hovedpine</w:t>
            </w:r>
          </w:p>
        </w:tc>
        <w:tc>
          <w:tcPr>
            <w:tcW w:w="3260" w:type="dxa"/>
            <w:tcBorders>
              <w:top w:val="single" w:sz="4" w:space="0" w:color="auto"/>
              <w:left w:val="single" w:sz="4" w:space="0" w:color="auto"/>
              <w:bottom w:val="single" w:sz="4" w:space="0" w:color="auto"/>
              <w:right w:val="single" w:sz="4" w:space="0" w:color="auto"/>
            </w:tcBorders>
            <w:hideMark/>
          </w:tcPr>
          <w:p w:rsidR="007011C8" w:rsidRDefault="007011C8">
            <w:pPr>
              <w:autoSpaceDE w:val="0"/>
              <w:autoSpaceDN w:val="0"/>
              <w:adjustRightInd w:val="0"/>
              <w:jc w:val="both"/>
              <w:rPr>
                <w:color w:val="010202"/>
                <w:sz w:val="24"/>
                <w:szCs w:val="24"/>
              </w:rPr>
            </w:pPr>
            <w:r>
              <w:rPr>
                <w:color w:val="010202"/>
                <w:sz w:val="24"/>
                <w:szCs w:val="24"/>
              </w:rPr>
              <w:t>Hovedpine</w:t>
            </w:r>
          </w:p>
        </w:tc>
      </w:tr>
      <w:tr w:rsidR="007011C8" w:rsidTr="007011C8">
        <w:trPr>
          <w:jc w:val="center"/>
        </w:trPr>
        <w:tc>
          <w:tcPr>
            <w:tcW w:w="2410" w:type="dxa"/>
            <w:tcBorders>
              <w:top w:val="single" w:sz="4" w:space="0" w:color="auto"/>
              <w:left w:val="single" w:sz="4" w:space="0" w:color="auto"/>
              <w:bottom w:val="single" w:sz="4" w:space="0" w:color="auto"/>
              <w:right w:val="single" w:sz="4" w:space="0" w:color="auto"/>
            </w:tcBorders>
            <w:hideMark/>
          </w:tcPr>
          <w:p w:rsidR="007011C8" w:rsidRDefault="007011C8">
            <w:pPr>
              <w:autoSpaceDE w:val="0"/>
              <w:autoSpaceDN w:val="0"/>
              <w:adjustRightInd w:val="0"/>
              <w:jc w:val="both"/>
              <w:rPr>
                <w:i/>
                <w:color w:val="010202"/>
                <w:sz w:val="24"/>
              </w:rPr>
            </w:pPr>
            <w:r>
              <w:rPr>
                <w:i/>
                <w:color w:val="010202"/>
                <w:sz w:val="22"/>
              </w:rPr>
              <w:t>Mave-</w:t>
            </w:r>
            <w:r>
              <w:rPr>
                <w:i/>
                <w:iCs/>
                <w:color w:val="010202"/>
                <w:sz w:val="22"/>
                <w:szCs w:val="22"/>
              </w:rPr>
              <w:t>tarm-kanalen</w:t>
            </w:r>
          </w:p>
        </w:tc>
        <w:tc>
          <w:tcPr>
            <w:tcW w:w="3118" w:type="dxa"/>
            <w:tcBorders>
              <w:top w:val="single" w:sz="4" w:space="0" w:color="auto"/>
              <w:left w:val="single" w:sz="4" w:space="0" w:color="auto"/>
              <w:bottom w:val="single" w:sz="4" w:space="0" w:color="auto"/>
              <w:right w:val="single" w:sz="4" w:space="0" w:color="auto"/>
            </w:tcBorders>
            <w:hideMark/>
          </w:tcPr>
          <w:p w:rsidR="007011C8" w:rsidRDefault="007011C8">
            <w:pPr>
              <w:autoSpaceDE w:val="0"/>
              <w:autoSpaceDN w:val="0"/>
              <w:adjustRightInd w:val="0"/>
              <w:jc w:val="both"/>
              <w:rPr>
                <w:color w:val="010202"/>
                <w:sz w:val="24"/>
                <w:szCs w:val="24"/>
              </w:rPr>
            </w:pPr>
            <w:r>
              <w:rPr>
                <w:color w:val="010202"/>
                <w:sz w:val="24"/>
                <w:szCs w:val="24"/>
              </w:rPr>
              <w:t>Mavesmerter</w:t>
            </w:r>
          </w:p>
        </w:tc>
        <w:tc>
          <w:tcPr>
            <w:tcW w:w="3260" w:type="dxa"/>
            <w:tcBorders>
              <w:top w:val="single" w:sz="4" w:space="0" w:color="auto"/>
              <w:left w:val="single" w:sz="4" w:space="0" w:color="auto"/>
              <w:bottom w:val="single" w:sz="4" w:space="0" w:color="auto"/>
              <w:right w:val="single" w:sz="4" w:space="0" w:color="auto"/>
            </w:tcBorders>
          </w:tcPr>
          <w:p w:rsidR="007011C8" w:rsidRDefault="007011C8">
            <w:pPr>
              <w:autoSpaceDE w:val="0"/>
              <w:autoSpaceDN w:val="0"/>
              <w:adjustRightInd w:val="0"/>
              <w:jc w:val="both"/>
              <w:rPr>
                <w:i/>
                <w:color w:val="010202"/>
                <w:sz w:val="24"/>
              </w:rPr>
            </w:pPr>
          </w:p>
        </w:tc>
      </w:tr>
    </w:tbl>
    <w:p w:rsidR="007011C8" w:rsidRDefault="007011C8" w:rsidP="007011C8">
      <w:pPr>
        <w:autoSpaceDE w:val="0"/>
        <w:autoSpaceDN w:val="0"/>
        <w:adjustRightInd w:val="0"/>
        <w:ind w:left="851" w:hanging="851"/>
        <w:rPr>
          <w:color w:val="010202"/>
          <w:sz w:val="24"/>
          <w:szCs w:val="24"/>
        </w:rPr>
      </w:pPr>
    </w:p>
    <w:p w:rsidR="007011C8" w:rsidRDefault="007011C8" w:rsidP="007011C8">
      <w:pPr>
        <w:autoSpaceDE w:val="0"/>
        <w:autoSpaceDN w:val="0"/>
        <w:adjustRightInd w:val="0"/>
        <w:ind w:left="851"/>
        <w:rPr>
          <w:color w:val="010202"/>
          <w:sz w:val="24"/>
          <w:szCs w:val="24"/>
        </w:rPr>
      </w:pPr>
      <w:r>
        <w:rPr>
          <w:color w:val="010202"/>
          <w:sz w:val="24"/>
          <w:szCs w:val="24"/>
        </w:rPr>
        <w:t>Ved længerevarende behandling i kliniske forsøg med et begrænset antal patienter i op til 2 år for voksne og op til 12 måneder for børn og til 14 år ændrede sikkerhedsprofilen sig ikke.</w:t>
      </w:r>
    </w:p>
    <w:p w:rsidR="007011C8" w:rsidRDefault="007011C8" w:rsidP="00701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Pr>
          <w:szCs w:val="24"/>
          <w:u w:val="single"/>
        </w:rPr>
      </w:pPr>
    </w:p>
    <w:p w:rsidR="007011C8" w:rsidRDefault="007011C8" w:rsidP="00701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Pr>
          <w:sz w:val="24"/>
          <w:szCs w:val="24"/>
          <w:lang w:eastAsia="da-DK"/>
        </w:rPr>
      </w:pPr>
      <w:r>
        <w:rPr>
          <w:szCs w:val="24"/>
          <w:u w:val="single"/>
        </w:rPr>
        <w:t>Bivirkningstabel</w:t>
      </w:r>
    </w:p>
    <w:p w:rsidR="007011C8" w:rsidRDefault="007011C8" w:rsidP="007011C8">
      <w:pPr>
        <w:ind w:left="851"/>
        <w:rPr>
          <w:sz w:val="24"/>
          <w:lang w:eastAsia="en-GB"/>
        </w:rPr>
      </w:pPr>
      <w:r>
        <w:rPr>
          <w:sz w:val="24"/>
          <w:lang w:eastAsia="en-GB"/>
        </w:rPr>
        <w:t xml:space="preserve">Bivirkninger, der er rapporteret efter markedsføring, er anført nedenfor efter systemorganklasse og specifikke bivirkninger. Hyppighederne blev estimeret på grundlag af relevante, kliniske forsøg. </w:t>
      </w:r>
    </w:p>
    <w:p w:rsidR="007011C8" w:rsidRDefault="007011C8" w:rsidP="007011C8">
      <w:pPr>
        <w:ind w:left="851"/>
        <w:rPr>
          <w:sz w:val="24"/>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886"/>
        <w:gridCol w:w="3849"/>
        <w:gridCol w:w="2887"/>
      </w:tblGrid>
      <w:tr w:rsidR="007011C8" w:rsidTr="007011C8">
        <w:trPr>
          <w:tblCellSpacing w:w="0" w:type="dxa"/>
        </w:trPr>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i/>
                <w:sz w:val="24"/>
              </w:rPr>
            </w:pPr>
            <w:r>
              <w:rPr>
                <w:i/>
                <w:sz w:val="24"/>
              </w:rPr>
              <w:t>Systemorganklasse</w:t>
            </w: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i/>
                <w:sz w:val="24"/>
              </w:rPr>
            </w:pPr>
            <w:r>
              <w:rPr>
                <w:i/>
                <w:sz w:val="24"/>
              </w:rPr>
              <w:t>Bivirkning</w:t>
            </w:r>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i/>
                <w:sz w:val="24"/>
              </w:rPr>
            </w:pPr>
            <w:r>
              <w:rPr>
                <w:i/>
                <w:sz w:val="24"/>
              </w:rPr>
              <w:t>Hyppighedskategori*</w:t>
            </w:r>
          </w:p>
        </w:tc>
      </w:tr>
      <w:tr w:rsidR="007011C8" w:rsidTr="007011C8">
        <w:trPr>
          <w:tblCellSpacing w:w="0" w:type="dxa"/>
        </w:trPr>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Infektioner og parasitære sygdomme</w:t>
            </w: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Infektion i øvre luftveje</w:t>
            </w:r>
            <w:r>
              <w:rPr>
                <w:sz w:val="24"/>
                <w:szCs w:val="24"/>
                <w:vertAlign w:val="superscript"/>
                <w:lang w:eastAsia="en-GB"/>
              </w:rPr>
              <w:t>†</w:t>
            </w:r>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 xml:space="preserve">Meget almindelig </w:t>
            </w:r>
          </w:p>
        </w:tc>
      </w:tr>
      <w:tr w:rsidR="007011C8" w:rsidTr="007011C8">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Blod og lymfesystem</w:t>
            </w: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Øget blødningstendens</w:t>
            </w:r>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 xml:space="preserve">Sjælden </w:t>
            </w:r>
          </w:p>
        </w:tc>
      </w:tr>
      <w:tr w:rsidR="007011C8" w:rsidTr="007011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1C8" w:rsidRDefault="007011C8">
            <w:pPr>
              <w:rPr>
                <w:sz w:val="24"/>
                <w:szCs w:val="24"/>
                <w:lang w:eastAsia="en-GB"/>
              </w:rPr>
            </w:pP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proofErr w:type="spellStart"/>
            <w:r>
              <w:rPr>
                <w:sz w:val="24"/>
              </w:rPr>
              <w:t>Trombocytopeni</w:t>
            </w:r>
            <w:proofErr w:type="spellEnd"/>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Meget sjælden</w:t>
            </w:r>
          </w:p>
        </w:tc>
      </w:tr>
      <w:tr w:rsidR="007011C8" w:rsidTr="007011C8">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Immunsystemet</w:t>
            </w: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Hypersensitivitetsreaktioner inklusive anafylaksi</w:t>
            </w:r>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Ikke almindelig</w:t>
            </w:r>
          </w:p>
        </w:tc>
      </w:tr>
      <w:tr w:rsidR="007011C8" w:rsidTr="007011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1C8" w:rsidRDefault="007011C8">
            <w:pPr>
              <w:rPr>
                <w:sz w:val="24"/>
                <w:szCs w:val="24"/>
                <w:lang w:eastAsia="en-GB"/>
              </w:rPr>
            </w:pP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proofErr w:type="spellStart"/>
            <w:r>
              <w:rPr>
                <w:sz w:val="24"/>
                <w:szCs w:val="24"/>
                <w:lang w:eastAsia="en-GB"/>
              </w:rPr>
              <w:t>Hepatisk</w:t>
            </w:r>
            <w:proofErr w:type="spellEnd"/>
            <w:r>
              <w:rPr>
                <w:sz w:val="24"/>
                <w:szCs w:val="24"/>
                <w:lang w:eastAsia="en-GB"/>
              </w:rPr>
              <w:t xml:space="preserve"> </w:t>
            </w:r>
            <w:proofErr w:type="spellStart"/>
            <w:r>
              <w:rPr>
                <w:sz w:val="24"/>
                <w:szCs w:val="24"/>
                <w:lang w:eastAsia="en-GB"/>
              </w:rPr>
              <w:t>eosinofilinfiltration</w:t>
            </w:r>
            <w:proofErr w:type="spellEnd"/>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 xml:space="preserve">Meget sjælden </w:t>
            </w:r>
          </w:p>
        </w:tc>
      </w:tr>
      <w:tr w:rsidR="007011C8" w:rsidTr="007011C8">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Psykiske forstyrrelser</w:t>
            </w: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 xml:space="preserve">Abnorme drømme inklusive mareridt, søvnløshed, somnambulisme, angst, ophidselse med aggressiv adfærd eller fjendtlighed, depression, </w:t>
            </w:r>
            <w:proofErr w:type="spellStart"/>
            <w:r>
              <w:rPr>
                <w:sz w:val="24"/>
                <w:szCs w:val="24"/>
                <w:lang w:eastAsia="en-GB"/>
              </w:rPr>
              <w:t>psykomotorisk</w:t>
            </w:r>
            <w:proofErr w:type="spellEnd"/>
            <w:r>
              <w:rPr>
                <w:sz w:val="24"/>
                <w:szCs w:val="24"/>
                <w:lang w:eastAsia="en-GB"/>
              </w:rPr>
              <w:t xml:space="preserve"> hyperaktivitet (inklusive irritabilitet, rastløshed, </w:t>
            </w:r>
            <w:proofErr w:type="spellStart"/>
            <w:r>
              <w:rPr>
                <w:sz w:val="24"/>
                <w:szCs w:val="24"/>
                <w:lang w:eastAsia="en-GB"/>
              </w:rPr>
              <w:t>tremor</w:t>
            </w:r>
            <w:proofErr w:type="spellEnd"/>
            <w:r>
              <w:rPr>
                <w:sz w:val="24"/>
                <w:szCs w:val="24"/>
                <w:vertAlign w:val="superscript"/>
                <w:lang w:eastAsia="en-GB"/>
              </w:rPr>
              <w:t>§</w:t>
            </w:r>
            <w:r>
              <w:rPr>
                <w:sz w:val="24"/>
                <w:szCs w:val="24"/>
                <w:lang w:eastAsia="en-GB"/>
              </w:rPr>
              <w:t>)</w:t>
            </w:r>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 xml:space="preserve">Ikke almindelig </w:t>
            </w:r>
          </w:p>
        </w:tc>
      </w:tr>
      <w:tr w:rsidR="007011C8" w:rsidTr="007011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1C8" w:rsidRDefault="007011C8">
            <w:pPr>
              <w:rPr>
                <w:sz w:val="24"/>
                <w:szCs w:val="24"/>
                <w:lang w:eastAsia="en-GB"/>
              </w:rPr>
            </w:pP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Opmærksomhedsforstyrrelser, svækket hukommelse, tics</w:t>
            </w:r>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 xml:space="preserve">Sjælden </w:t>
            </w:r>
          </w:p>
        </w:tc>
      </w:tr>
      <w:tr w:rsidR="007011C8" w:rsidTr="007011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1C8" w:rsidRDefault="007011C8">
            <w:pPr>
              <w:rPr>
                <w:sz w:val="24"/>
                <w:szCs w:val="24"/>
                <w:lang w:eastAsia="en-GB"/>
              </w:rPr>
            </w:pP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Hallucinationer, desorientering, selvmordstanker og -adfærd (</w:t>
            </w:r>
            <w:proofErr w:type="spellStart"/>
            <w:r>
              <w:rPr>
                <w:sz w:val="24"/>
                <w:szCs w:val="24"/>
                <w:lang w:eastAsia="en-GB"/>
              </w:rPr>
              <w:t>suicidal</w:t>
            </w:r>
            <w:proofErr w:type="spellEnd"/>
            <w:r>
              <w:rPr>
                <w:sz w:val="24"/>
                <w:szCs w:val="24"/>
                <w:lang w:eastAsia="en-GB"/>
              </w:rPr>
              <w:t xml:space="preserve"> adfærd), tvangssymptomer, </w:t>
            </w:r>
            <w:proofErr w:type="spellStart"/>
            <w:r>
              <w:rPr>
                <w:sz w:val="24"/>
                <w:szCs w:val="24"/>
                <w:lang w:eastAsia="en-GB"/>
              </w:rPr>
              <w:t>dysfemi</w:t>
            </w:r>
            <w:proofErr w:type="spellEnd"/>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Meget sjælden</w:t>
            </w:r>
          </w:p>
        </w:tc>
      </w:tr>
      <w:tr w:rsidR="007011C8" w:rsidTr="007011C8">
        <w:trPr>
          <w:tblCellSpacing w:w="0" w:type="dxa"/>
        </w:trPr>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Nervesystemet</w:t>
            </w: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 xml:space="preserve">Svimmelhed, døsighed, </w:t>
            </w:r>
            <w:proofErr w:type="spellStart"/>
            <w:r>
              <w:rPr>
                <w:sz w:val="24"/>
                <w:szCs w:val="24"/>
                <w:lang w:eastAsia="en-GB"/>
              </w:rPr>
              <w:t>paræstesi</w:t>
            </w:r>
            <w:proofErr w:type="spellEnd"/>
            <w:r>
              <w:rPr>
                <w:sz w:val="24"/>
                <w:szCs w:val="24"/>
                <w:lang w:eastAsia="en-GB"/>
              </w:rPr>
              <w:t>/</w:t>
            </w:r>
            <w:proofErr w:type="spellStart"/>
            <w:r>
              <w:rPr>
                <w:sz w:val="24"/>
                <w:szCs w:val="24"/>
                <w:lang w:eastAsia="en-GB"/>
              </w:rPr>
              <w:t>hypæstesi</w:t>
            </w:r>
            <w:proofErr w:type="spellEnd"/>
            <w:r>
              <w:rPr>
                <w:sz w:val="24"/>
                <w:szCs w:val="24"/>
                <w:lang w:eastAsia="en-GB"/>
              </w:rPr>
              <w:t>, kramper</w:t>
            </w:r>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Ikke almindelig</w:t>
            </w:r>
          </w:p>
        </w:tc>
      </w:tr>
      <w:tr w:rsidR="007011C8" w:rsidTr="007011C8">
        <w:trPr>
          <w:tblCellSpacing w:w="0" w:type="dxa"/>
        </w:trPr>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Hjerte</w:t>
            </w: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proofErr w:type="spellStart"/>
            <w:r>
              <w:rPr>
                <w:sz w:val="24"/>
                <w:szCs w:val="24"/>
                <w:lang w:eastAsia="en-GB"/>
              </w:rPr>
              <w:t>Palpitations</w:t>
            </w:r>
            <w:proofErr w:type="spellEnd"/>
            <w:r>
              <w:rPr>
                <w:sz w:val="24"/>
                <w:szCs w:val="24"/>
                <w:lang w:eastAsia="en-GB"/>
              </w:rPr>
              <w:t xml:space="preserve"> </w:t>
            </w:r>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 xml:space="preserve">Sjælden </w:t>
            </w:r>
          </w:p>
        </w:tc>
      </w:tr>
      <w:tr w:rsidR="007011C8" w:rsidTr="007011C8">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 xml:space="preserve">Luftveje, thorax og </w:t>
            </w:r>
            <w:proofErr w:type="spellStart"/>
            <w:r>
              <w:rPr>
                <w:sz w:val="24"/>
                <w:szCs w:val="24"/>
                <w:lang w:eastAsia="en-GB"/>
              </w:rPr>
              <w:t>mediastinum</w:t>
            </w:r>
            <w:proofErr w:type="spellEnd"/>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proofErr w:type="spellStart"/>
            <w:r>
              <w:rPr>
                <w:sz w:val="24"/>
                <w:szCs w:val="24"/>
                <w:lang w:eastAsia="en-GB"/>
              </w:rPr>
              <w:t>Epistaxis</w:t>
            </w:r>
            <w:proofErr w:type="spellEnd"/>
            <w:r>
              <w:rPr>
                <w:sz w:val="24"/>
                <w:szCs w:val="24"/>
                <w:lang w:eastAsia="en-GB"/>
              </w:rPr>
              <w:t xml:space="preserve"> </w:t>
            </w:r>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 xml:space="preserve">Ikke almindelig </w:t>
            </w:r>
          </w:p>
        </w:tc>
      </w:tr>
      <w:tr w:rsidR="007011C8" w:rsidTr="007011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1C8" w:rsidRDefault="007011C8">
            <w:pPr>
              <w:rPr>
                <w:sz w:val="24"/>
                <w:szCs w:val="24"/>
                <w:lang w:eastAsia="en-GB"/>
              </w:rPr>
            </w:pP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proofErr w:type="spellStart"/>
            <w:r>
              <w:rPr>
                <w:sz w:val="24"/>
                <w:szCs w:val="24"/>
                <w:lang w:eastAsia="en-GB"/>
              </w:rPr>
              <w:t>Churg</w:t>
            </w:r>
            <w:proofErr w:type="spellEnd"/>
            <w:r>
              <w:rPr>
                <w:sz w:val="24"/>
                <w:szCs w:val="24"/>
                <w:lang w:eastAsia="en-GB"/>
              </w:rPr>
              <w:t xml:space="preserve">-Strauss Syndrom (CSS) (se pkt. 4.4), </w:t>
            </w:r>
            <w:proofErr w:type="spellStart"/>
            <w:r>
              <w:rPr>
                <w:sz w:val="24"/>
                <w:szCs w:val="24"/>
                <w:lang w:eastAsia="en-GB"/>
              </w:rPr>
              <w:t>pulmonal</w:t>
            </w:r>
            <w:proofErr w:type="spellEnd"/>
            <w:r>
              <w:rPr>
                <w:sz w:val="24"/>
                <w:szCs w:val="24"/>
                <w:lang w:eastAsia="en-GB"/>
              </w:rPr>
              <w:t xml:space="preserve"> </w:t>
            </w:r>
            <w:proofErr w:type="spellStart"/>
            <w:r>
              <w:rPr>
                <w:sz w:val="24"/>
                <w:szCs w:val="24"/>
                <w:lang w:eastAsia="en-GB"/>
              </w:rPr>
              <w:t>eosinofili</w:t>
            </w:r>
            <w:proofErr w:type="spellEnd"/>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Meget sjælden</w:t>
            </w:r>
          </w:p>
        </w:tc>
      </w:tr>
      <w:tr w:rsidR="007011C8" w:rsidTr="007011C8">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Mave-tarm-kanalen</w:t>
            </w: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Diarre</w:t>
            </w:r>
            <w:r>
              <w:rPr>
                <w:sz w:val="24"/>
                <w:szCs w:val="24"/>
                <w:vertAlign w:val="superscript"/>
                <w:lang w:eastAsia="en-GB"/>
              </w:rPr>
              <w:t>‡</w:t>
            </w:r>
            <w:r>
              <w:rPr>
                <w:sz w:val="24"/>
                <w:szCs w:val="24"/>
                <w:lang w:eastAsia="en-GB"/>
              </w:rPr>
              <w:t>, kvalme</w:t>
            </w:r>
            <w:r>
              <w:rPr>
                <w:sz w:val="24"/>
                <w:szCs w:val="24"/>
                <w:vertAlign w:val="superscript"/>
                <w:lang w:eastAsia="en-GB"/>
              </w:rPr>
              <w:t>‡</w:t>
            </w:r>
            <w:r>
              <w:rPr>
                <w:sz w:val="24"/>
                <w:szCs w:val="24"/>
                <w:lang w:eastAsia="en-GB"/>
              </w:rPr>
              <w:t>, opkastning</w:t>
            </w:r>
            <w:r>
              <w:rPr>
                <w:sz w:val="24"/>
                <w:szCs w:val="24"/>
                <w:vertAlign w:val="superscript"/>
                <w:lang w:eastAsia="en-GB"/>
              </w:rPr>
              <w:t>‡</w:t>
            </w:r>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Almindelig</w:t>
            </w:r>
          </w:p>
        </w:tc>
      </w:tr>
      <w:tr w:rsidR="007011C8" w:rsidTr="007011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1C8" w:rsidRDefault="007011C8">
            <w:pPr>
              <w:rPr>
                <w:sz w:val="24"/>
                <w:szCs w:val="24"/>
                <w:lang w:eastAsia="en-GB"/>
              </w:rPr>
            </w:pP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 xml:space="preserve">Mundtørhed, dyspepsi </w:t>
            </w:r>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Ikke almindelig</w:t>
            </w:r>
          </w:p>
        </w:tc>
      </w:tr>
      <w:tr w:rsidR="007011C8" w:rsidTr="007011C8">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Lever og galdeveje</w:t>
            </w: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 xml:space="preserve">Forhøjet niveau af </w:t>
            </w:r>
            <w:proofErr w:type="spellStart"/>
            <w:r>
              <w:rPr>
                <w:sz w:val="24"/>
                <w:szCs w:val="24"/>
                <w:lang w:eastAsia="en-GB"/>
              </w:rPr>
              <w:t>serumtransaminaser</w:t>
            </w:r>
            <w:proofErr w:type="spellEnd"/>
            <w:r>
              <w:rPr>
                <w:sz w:val="24"/>
                <w:szCs w:val="24"/>
                <w:lang w:eastAsia="en-GB"/>
              </w:rPr>
              <w:t xml:space="preserve"> (ALAT, ASAT)</w:t>
            </w:r>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Almindelig</w:t>
            </w:r>
          </w:p>
        </w:tc>
      </w:tr>
      <w:tr w:rsidR="007011C8" w:rsidTr="007011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1C8" w:rsidRDefault="007011C8">
            <w:pPr>
              <w:rPr>
                <w:sz w:val="24"/>
                <w:szCs w:val="24"/>
                <w:lang w:eastAsia="en-GB"/>
              </w:rPr>
            </w:pP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 xml:space="preserve">Hepatitis (herunder </w:t>
            </w:r>
            <w:proofErr w:type="spellStart"/>
            <w:r>
              <w:rPr>
                <w:sz w:val="24"/>
                <w:szCs w:val="24"/>
                <w:lang w:eastAsia="en-GB"/>
              </w:rPr>
              <w:t>cholestatisk</w:t>
            </w:r>
            <w:proofErr w:type="spellEnd"/>
            <w:r>
              <w:rPr>
                <w:sz w:val="24"/>
                <w:szCs w:val="24"/>
                <w:lang w:eastAsia="en-GB"/>
              </w:rPr>
              <w:t xml:space="preserve">, </w:t>
            </w:r>
            <w:proofErr w:type="spellStart"/>
            <w:r>
              <w:rPr>
                <w:sz w:val="24"/>
                <w:szCs w:val="24"/>
                <w:lang w:eastAsia="en-GB"/>
              </w:rPr>
              <w:t>hepatocellulær</w:t>
            </w:r>
            <w:proofErr w:type="spellEnd"/>
            <w:r>
              <w:rPr>
                <w:sz w:val="24"/>
                <w:szCs w:val="24"/>
                <w:lang w:eastAsia="en-GB"/>
              </w:rPr>
              <w:t xml:space="preserve"> og blandet leverskade)</w:t>
            </w:r>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Meget sjælden</w:t>
            </w:r>
          </w:p>
        </w:tc>
      </w:tr>
      <w:tr w:rsidR="007011C8" w:rsidTr="007011C8">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Hud og subkutane væv</w:t>
            </w: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Udslæt</w:t>
            </w:r>
            <w:r>
              <w:rPr>
                <w:sz w:val="24"/>
                <w:szCs w:val="24"/>
                <w:vertAlign w:val="superscript"/>
                <w:lang w:eastAsia="en-GB"/>
              </w:rPr>
              <w:t>‡</w:t>
            </w:r>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 xml:space="preserve">Almindelig </w:t>
            </w:r>
          </w:p>
        </w:tc>
      </w:tr>
      <w:tr w:rsidR="007011C8" w:rsidTr="007011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1C8" w:rsidRDefault="007011C8">
            <w:pPr>
              <w:rPr>
                <w:sz w:val="24"/>
                <w:szCs w:val="24"/>
                <w:lang w:eastAsia="en-GB"/>
              </w:rPr>
            </w:pP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 xml:space="preserve">Blå mærker, </w:t>
            </w:r>
            <w:proofErr w:type="spellStart"/>
            <w:r>
              <w:rPr>
                <w:sz w:val="24"/>
                <w:szCs w:val="24"/>
                <w:lang w:eastAsia="en-GB"/>
              </w:rPr>
              <w:t>urticaria</w:t>
            </w:r>
            <w:proofErr w:type="spellEnd"/>
            <w:r>
              <w:rPr>
                <w:sz w:val="24"/>
                <w:szCs w:val="24"/>
                <w:lang w:eastAsia="en-GB"/>
              </w:rPr>
              <w:t xml:space="preserve">, </w:t>
            </w:r>
            <w:proofErr w:type="spellStart"/>
            <w:r>
              <w:rPr>
                <w:sz w:val="24"/>
                <w:szCs w:val="24"/>
                <w:lang w:eastAsia="en-GB"/>
              </w:rPr>
              <w:t>pruritus</w:t>
            </w:r>
            <w:proofErr w:type="spellEnd"/>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Ikke almindelig</w:t>
            </w:r>
          </w:p>
        </w:tc>
      </w:tr>
      <w:tr w:rsidR="007011C8" w:rsidTr="007011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1C8" w:rsidRDefault="007011C8">
            <w:pPr>
              <w:rPr>
                <w:sz w:val="24"/>
                <w:szCs w:val="24"/>
                <w:lang w:eastAsia="en-GB"/>
              </w:rPr>
            </w:pP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proofErr w:type="spellStart"/>
            <w:r>
              <w:rPr>
                <w:sz w:val="24"/>
                <w:szCs w:val="24"/>
                <w:lang w:eastAsia="en-GB"/>
              </w:rPr>
              <w:t>Angioødem</w:t>
            </w:r>
            <w:proofErr w:type="spellEnd"/>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 xml:space="preserve">Sjælden </w:t>
            </w:r>
          </w:p>
        </w:tc>
      </w:tr>
      <w:tr w:rsidR="007011C8" w:rsidTr="007011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1C8" w:rsidRDefault="007011C8">
            <w:pPr>
              <w:rPr>
                <w:sz w:val="24"/>
                <w:szCs w:val="24"/>
                <w:lang w:eastAsia="en-GB"/>
              </w:rPr>
            </w:pP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proofErr w:type="spellStart"/>
            <w:r>
              <w:rPr>
                <w:sz w:val="24"/>
                <w:szCs w:val="24"/>
                <w:lang w:eastAsia="en-GB"/>
              </w:rPr>
              <w:t>Erythema</w:t>
            </w:r>
            <w:proofErr w:type="spellEnd"/>
            <w:r>
              <w:rPr>
                <w:sz w:val="24"/>
                <w:szCs w:val="24"/>
                <w:lang w:eastAsia="en-GB"/>
              </w:rPr>
              <w:t xml:space="preserve"> </w:t>
            </w:r>
            <w:proofErr w:type="spellStart"/>
            <w:r>
              <w:rPr>
                <w:sz w:val="24"/>
                <w:szCs w:val="24"/>
                <w:lang w:eastAsia="en-GB"/>
              </w:rPr>
              <w:t>nodosum</w:t>
            </w:r>
            <w:proofErr w:type="spellEnd"/>
            <w:r>
              <w:rPr>
                <w:sz w:val="24"/>
                <w:szCs w:val="24"/>
                <w:lang w:eastAsia="en-GB"/>
              </w:rPr>
              <w:t xml:space="preserve">, </w:t>
            </w:r>
            <w:proofErr w:type="spellStart"/>
            <w:r>
              <w:rPr>
                <w:sz w:val="24"/>
                <w:szCs w:val="24"/>
                <w:lang w:eastAsia="en-GB"/>
              </w:rPr>
              <w:t>erythema</w:t>
            </w:r>
            <w:proofErr w:type="spellEnd"/>
            <w:r>
              <w:rPr>
                <w:sz w:val="24"/>
                <w:szCs w:val="24"/>
                <w:lang w:eastAsia="en-GB"/>
              </w:rPr>
              <w:t xml:space="preserve"> multiforme </w:t>
            </w:r>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Meget sjælden</w:t>
            </w:r>
          </w:p>
        </w:tc>
      </w:tr>
      <w:tr w:rsidR="007011C8" w:rsidTr="007011C8">
        <w:trPr>
          <w:tblCellSpacing w:w="0" w:type="dxa"/>
        </w:trPr>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Knogler, led, muskler og bindevæv</w:t>
            </w: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proofErr w:type="spellStart"/>
            <w:r>
              <w:rPr>
                <w:sz w:val="24"/>
                <w:szCs w:val="24"/>
                <w:lang w:eastAsia="en-GB"/>
              </w:rPr>
              <w:t>Artralgi</w:t>
            </w:r>
            <w:proofErr w:type="spellEnd"/>
            <w:r>
              <w:rPr>
                <w:sz w:val="24"/>
                <w:szCs w:val="24"/>
                <w:lang w:eastAsia="en-GB"/>
              </w:rPr>
              <w:t>, myalgi, herunder muskelkramper</w:t>
            </w:r>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Ikke almindelig</w:t>
            </w:r>
          </w:p>
        </w:tc>
      </w:tr>
      <w:tr w:rsidR="007011C8" w:rsidTr="007011C8">
        <w:trPr>
          <w:tblCellSpacing w:w="0" w:type="dxa"/>
        </w:trPr>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rPr>
              <w:t>Nyrer og urinveje</w:t>
            </w: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proofErr w:type="spellStart"/>
            <w:r>
              <w:rPr>
                <w:sz w:val="24"/>
              </w:rPr>
              <w:t>Enuresis</w:t>
            </w:r>
            <w:proofErr w:type="spellEnd"/>
            <w:r>
              <w:rPr>
                <w:sz w:val="24"/>
              </w:rPr>
              <w:t xml:space="preserve"> hos børn</w:t>
            </w:r>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Ikke almindelig</w:t>
            </w:r>
          </w:p>
        </w:tc>
      </w:tr>
      <w:tr w:rsidR="007011C8" w:rsidTr="007011C8">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Almene symptomer og reaktioner på administrationsstedet</w:t>
            </w: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proofErr w:type="spellStart"/>
            <w:r>
              <w:rPr>
                <w:sz w:val="24"/>
                <w:szCs w:val="24"/>
                <w:lang w:eastAsia="en-GB"/>
              </w:rPr>
              <w:t>Pyreksi</w:t>
            </w:r>
            <w:proofErr w:type="spellEnd"/>
            <w:r>
              <w:rPr>
                <w:sz w:val="24"/>
                <w:szCs w:val="24"/>
                <w:vertAlign w:val="superscript"/>
                <w:lang w:eastAsia="en-GB"/>
              </w:rPr>
              <w:t>‡</w:t>
            </w:r>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 xml:space="preserve">Almindelig </w:t>
            </w:r>
          </w:p>
        </w:tc>
      </w:tr>
      <w:tr w:rsidR="007011C8" w:rsidTr="007011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1C8" w:rsidRDefault="007011C8">
            <w:pPr>
              <w:rPr>
                <w:sz w:val="24"/>
                <w:szCs w:val="24"/>
                <w:lang w:eastAsia="en-GB"/>
              </w:rPr>
            </w:pPr>
          </w:p>
        </w:tc>
        <w:tc>
          <w:tcPr>
            <w:tcW w:w="2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Asteni/træthed, utilpashed, ødem</w:t>
            </w:r>
          </w:p>
        </w:tc>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4"/>
                <w:szCs w:val="24"/>
                <w:lang w:eastAsia="en-GB"/>
              </w:rPr>
            </w:pPr>
            <w:r>
              <w:rPr>
                <w:sz w:val="24"/>
                <w:szCs w:val="24"/>
                <w:lang w:eastAsia="en-GB"/>
              </w:rPr>
              <w:t>Ikke almindelig</w:t>
            </w:r>
          </w:p>
        </w:tc>
      </w:tr>
      <w:tr w:rsidR="007011C8" w:rsidTr="007011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011C8" w:rsidRDefault="007011C8">
            <w:pPr>
              <w:rPr>
                <w:sz w:val="20"/>
              </w:rPr>
            </w:pPr>
            <w:r>
              <w:rPr>
                <w:sz w:val="20"/>
              </w:rPr>
              <w:t xml:space="preserve">*Hyppighedskategori: Defineret for hver </w:t>
            </w:r>
            <w:r>
              <w:rPr>
                <w:sz w:val="20"/>
                <w:lang w:eastAsia="en-GB"/>
              </w:rPr>
              <w:t>bivirkning</w:t>
            </w:r>
            <w:r>
              <w:rPr>
                <w:sz w:val="20"/>
              </w:rPr>
              <w:t xml:space="preserve"> på baggrund af den indberettede forekomst i databasen med kliniske forsøg: meget almindelig (≥1/10), almindelig (≥1/100 til </w:t>
            </w:r>
            <w:r>
              <w:rPr>
                <w:sz w:val="20"/>
                <w:lang w:eastAsia="en-GB"/>
              </w:rPr>
              <w:t>&lt;1/</w:t>
            </w:r>
            <w:r>
              <w:rPr>
                <w:sz w:val="20"/>
              </w:rPr>
              <w:t xml:space="preserve">10), ikke almindelig (≥1/1.000 til </w:t>
            </w:r>
            <w:r>
              <w:rPr>
                <w:sz w:val="20"/>
                <w:lang w:eastAsia="en-GB"/>
              </w:rPr>
              <w:t>&lt;1/</w:t>
            </w:r>
            <w:r>
              <w:rPr>
                <w:sz w:val="20"/>
              </w:rPr>
              <w:t xml:space="preserve">100), sjælden (≥1/10.000 til </w:t>
            </w:r>
            <w:r>
              <w:rPr>
                <w:sz w:val="20"/>
                <w:lang w:eastAsia="en-GB"/>
              </w:rPr>
              <w:t>&lt;1/</w:t>
            </w:r>
            <w:r>
              <w:rPr>
                <w:sz w:val="20"/>
              </w:rPr>
              <w:t xml:space="preserve">1000), meget sjælden </w:t>
            </w:r>
            <w:r>
              <w:rPr>
                <w:sz w:val="20"/>
                <w:lang w:eastAsia="en-GB"/>
              </w:rPr>
              <w:t>(&lt;1/</w:t>
            </w:r>
            <w:r>
              <w:rPr>
                <w:sz w:val="20"/>
              </w:rPr>
              <w:t>10.000).</w:t>
            </w:r>
          </w:p>
          <w:p w:rsidR="007011C8" w:rsidRDefault="007011C8">
            <w:pPr>
              <w:rPr>
                <w:sz w:val="20"/>
              </w:rPr>
            </w:pPr>
            <w:r>
              <w:rPr>
                <w:sz w:val="20"/>
                <w:vertAlign w:val="superscript"/>
              </w:rPr>
              <w:t>†</w:t>
            </w:r>
            <w:r>
              <w:rPr>
                <w:sz w:val="20"/>
              </w:rPr>
              <w:t xml:space="preserve"> Denne bivirkning, som blev rapporteret som meget almindelig hos patienter, som fik </w:t>
            </w:r>
            <w:proofErr w:type="spellStart"/>
            <w:r>
              <w:rPr>
                <w:sz w:val="20"/>
              </w:rPr>
              <w:t>montelukast</w:t>
            </w:r>
            <w:proofErr w:type="spellEnd"/>
            <w:r>
              <w:rPr>
                <w:sz w:val="20"/>
              </w:rPr>
              <w:t xml:space="preserve">, blev også rapporteret som meget almindelig hos patienter, der fik placebo i kliniske studier. </w:t>
            </w:r>
          </w:p>
          <w:p w:rsidR="007011C8" w:rsidRDefault="007011C8">
            <w:pPr>
              <w:rPr>
                <w:sz w:val="20"/>
              </w:rPr>
            </w:pPr>
            <w:r>
              <w:rPr>
                <w:sz w:val="20"/>
                <w:vertAlign w:val="superscript"/>
              </w:rPr>
              <w:t xml:space="preserve">‡ </w:t>
            </w:r>
            <w:r>
              <w:rPr>
                <w:sz w:val="20"/>
              </w:rPr>
              <w:t xml:space="preserve">Denne bivirkning, som blev rapporteret som almindelig hos patienter, som fik </w:t>
            </w:r>
            <w:proofErr w:type="spellStart"/>
            <w:r>
              <w:rPr>
                <w:sz w:val="20"/>
              </w:rPr>
              <w:t>montelukast</w:t>
            </w:r>
            <w:proofErr w:type="spellEnd"/>
            <w:r>
              <w:rPr>
                <w:sz w:val="20"/>
              </w:rPr>
              <w:t>, blev også rapporteret som almindelig hos patienter, der fik placebo i kliniske studier.</w:t>
            </w:r>
          </w:p>
          <w:p w:rsidR="007011C8" w:rsidRDefault="007011C8">
            <w:pPr>
              <w:rPr>
                <w:sz w:val="22"/>
              </w:rPr>
            </w:pPr>
            <w:r>
              <w:rPr>
                <w:sz w:val="20"/>
                <w:vertAlign w:val="superscript"/>
              </w:rPr>
              <w:t xml:space="preserve">§ </w:t>
            </w:r>
            <w:r>
              <w:rPr>
                <w:sz w:val="20"/>
              </w:rPr>
              <w:t>Hyppighedskategori: Sjælden</w:t>
            </w:r>
          </w:p>
        </w:tc>
      </w:tr>
    </w:tbl>
    <w:p w:rsidR="007011C8" w:rsidRDefault="007011C8" w:rsidP="007011C8">
      <w:pPr>
        <w:ind w:left="851"/>
        <w:rPr>
          <w:sz w:val="24"/>
          <w:szCs w:val="24"/>
          <w:u w:val="single"/>
        </w:rPr>
      </w:pPr>
    </w:p>
    <w:p w:rsidR="007011C8" w:rsidRDefault="007011C8" w:rsidP="007011C8">
      <w:pPr>
        <w:ind w:left="851"/>
        <w:rPr>
          <w:sz w:val="24"/>
          <w:szCs w:val="24"/>
          <w:u w:val="single"/>
        </w:rPr>
      </w:pPr>
      <w:r>
        <w:rPr>
          <w:sz w:val="24"/>
          <w:szCs w:val="24"/>
          <w:u w:val="single"/>
        </w:rPr>
        <w:t>Indberetning af formodede bivirkninger</w:t>
      </w:r>
    </w:p>
    <w:p w:rsidR="007011C8" w:rsidRDefault="007011C8" w:rsidP="007011C8">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Sundhedspersoner anmodes om at indberette alle formodede bivirkninger via </w:t>
      </w:r>
    </w:p>
    <w:p w:rsidR="007011C8" w:rsidRDefault="007011C8" w:rsidP="007011C8">
      <w:pPr>
        <w:ind w:left="851"/>
        <w:rPr>
          <w:sz w:val="24"/>
          <w:szCs w:val="24"/>
        </w:rPr>
      </w:pPr>
    </w:p>
    <w:p w:rsidR="007011C8" w:rsidRDefault="007011C8" w:rsidP="007011C8">
      <w:pPr>
        <w:ind w:left="851"/>
        <w:rPr>
          <w:rFonts w:eastAsia="Calibri" w:cs="Arial"/>
          <w:color w:val="000000"/>
          <w:sz w:val="24"/>
          <w:szCs w:val="24"/>
          <w:lang w:eastAsia="zh-CN"/>
        </w:rPr>
      </w:pPr>
      <w:r>
        <w:rPr>
          <w:rFonts w:eastAsia="Calibri"/>
          <w:color w:val="000000"/>
          <w:sz w:val="24"/>
          <w:szCs w:val="24"/>
          <w:lang w:eastAsia="zh-CN"/>
        </w:rPr>
        <w:t>Lægemiddelstyrelsen</w:t>
      </w:r>
    </w:p>
    <w:p w:rsidR="007011C8" w:rsidRDefault="007011C8" w:rsidP="007011C8">
      <w:pPr>
        <w:ind w:left="851"/>
        <w:rPr>
          <w:rFonts w:eastAsia="Calibri"/>
          <w:noProof/>
          <w:sz w:val="24"/>
          <w:szCs w:val="24"/>
          <w:lang w:eastAsia="zh-CN"/>
        </w:rPr>
      </w:pPr>
      <w:r>
        <w:rPr>
          <w:rFonts w:eastAsia="Calibri"/>
          <w:sz w:val="24"/>
          <w:szCs w:val="24"/>
          <w:lang w:eastAsia="zh-CN"/>
        </w:rPr>
        <w:t>Axel Heides Gade 1</w:t>
      </w:r>
    </w:p>
    <w:p w:rsidR="007011C8" w:rsidRDefault="007011C8" w:rsidP="007011C8">
      <w:pPr>
        <w:ind w:left="851"/>
        <w:rPr>
          <w:rFonts w:eastAsia="Calibri"/>
          <w:noProof/>
          <w:sz w:val="24"/>
          <w:szCs w:val="24"/>
          <w:lang w:eastAsia="zh-CN"/>
        </w:rPr>
      </w:pPr>
      <w:r>
        <w:rPr>
          <w:rFonts w:eastAsia="Calibri"/>
          <w:noProof/>
          <w:sz w:val="24"/>
          <w:szCs w:val="24"/>
          <w:lang w:eastAsia="zh-CN"/>
        </w:rPr>
        <w:t xml:space="preserve">DK-2300 </w:t>
      </w:r>
      <w:r>
        <w:rPr>
          <w:rFonts w:eastAsia="Calibri"/>
          <w:sz w:val="24"/>
          <w:szCs w:val="24"/>
          <w:lang w:eastAsia="zh-CN"/>
        </w:rPr>
        <w:t>København S</w:t>
      </w:r>
    </w:p>
    <w:p w:rsidR="007011C8" w:rsidRDefault="007011C8" w:rsidP="007011C8">
      <w:pPr>
        <w:tabs>
          <w:tab w:val="left" w:pos="-720"/>
        </w:tabs>
        <w:suppressAutoHyphens/>
        <w:ind w:left="851"/>
        <w:rPr>
          <w:rFonts w:eastAsia="Calibri"/>
          <w:sz w:val="24"/>
        </w:rPr>
      </w:pPr>
      <w:r>
        <w:rPr>
          <w:rFonts w:eastAsia="Calibri"/>
          <w:sz w:val="24"/>
        </w:rPr>
        <w:t xml:space="preserve">Websted: </w:t>
      </w:r>
      <w:hyperlink r:id="rId10" w:history="1">
        <w:r>
          <w:rPr>
            <w:rStyle w:val="Hyperlink"/>
            <w:rFonts w:eastAsia="Calibri"/>
            <w:noProof/>
            <w:lang w:eastAsia="zh-CN"/>
          </w:rPr>
          <w:t>www.meldenbivirkning.dk</w:t>
        </w:r>
      </w:hyperlink>
    </w:p>
    <w:p w:rsidR="002929E3" w:rsidRPr="003936BB" w:rsidRDefault="002929E3" w:rsidP="002929E3">
      <w:pPr>
        <w:tabs>
          <w:tab w:val="left" w:pos="-720"/>
          <w:tab w:val="left" w:pos="567"/>
        </w:tabs>
        <w:suppressAutoHyphens/>
        <w:ind w:left="851"/>
        <w:rPr>
          <w:rFonts w:eastAsia="Calibri"/>
          <w:noProof/>
          <w:sz w:val="24"/>
          <w:szCs w:val="24"/>
          <w:lang w:eastAsia="zh-CN"/>
        </w:rPr>
      </w:pPr>
    </w:p>
    <w:p w:rsidR="002929E3" w:rsidRPr="0061056A" w:rsidRDefault="002929E3" w:rsidP="002929E3">
      <w:pPr>
        <w:keepNext/>
        <w:numPr>
          <w:ilvl w:val="1"/>
          <w:numId w:val="1"/>
        </w:numPr>
        <w:ind w:left="851" w:hanging="851"/>
        <w:rPr>
          <w:b/>
          <w:sz w:val="24"/>
          <w:szCs w:val="24"/>
        </w:rPr>
      </w:pPr>
      <w:r w:rsidRPr="0061056A">
        <w:rPr>
          <w:b/>
          <w:sz w:val="24"/>
          <w:szCs w:val="24"/>
        </w:rPr>
        <w:t>Overdosering</w:t>
      </w:r>
    </w:p>
    <w:p w:rsidR="007011C8" w:rsidRPr="007011C8" w:rsidRDefault="007011C8" w:rsidP="007011C8">
      <w:pPr>
        <w:pStyle w:val="Listeafsnit"/>
        <w:autoSpaceDE w:val="0"/>
        <w:autoSpaceDN w:val="0"/>
        <w:adjustRightInd w:val="0"/>
        <w:ind w:left="855"/>
        <w:rPr>
          <w:color w:val="010202"/>
          <w:sz w:val="24"/>
          <w:szCs w:val="24"/>
        </w:rPr>
      </w:pPr>
      <w:r w:rsidRPr="007011C8">
        <w:rPr>
          <w:color w:val="010202"/>
          <w:sz w:val="24"/>
          <w:szCs w:val="24"/>
        </w:rPr>
        <w:t xml:space="preserve">I studier med patienter med kronisk astma er </w:t>
      </w:r>
      <w:proofErr w:type="spellStart"/>
      <w:r w:rsidRPr="007011C8">
        <w:rPr>
          <w:color w:val="010202"/>
          <w:sz w:val="24"/>
          <w:szCs w:val="24"/>
        </w:rPr>
        <w:t>montelukast</w:t>
      </w:r>
      <w:proofErr w:type="spellEnd"/>
      <w:r w:rsidRPr="007011C8">
        <w:rPr>
          <w:color w:val="010202"/>
          <w:sz w:val="24"/>
          <w:szCs w:val="24"/>
        </w:rPr>
        <w:t xml:space="preserve"> blevet administreret i doser på op til 200 mg/dag til voksne patienter i 22 uger og i korttidsstudier i doser på op til 900 mg/dag i ca. 1 uge uden klinisk betydende bivirkninger.</w:t>
      </w:r>
    </w:p>
    <w:p w:rsidR="007011C8" w:rsidRPr="007011C8" w:rsidRDefault="007011C8" w:rsidP="007011C8">
      <w:pPr>
        <w:pStyle w:val="Listeafsnit"/>
        <w:autoSpaceDE w:val="0"/>
        <w:autoSpaceDN w:val="0"/>
        <w:adjustRightInd w:val="0"/>
        <w:ind w:left="855"/>
        <w:rPr>
          <w:color w:val="010202"/>
          <w:sz w:val="24"/>
          <w:szCs w:val="24"/>
        </w:rPr>
      </w:pPr>
    </w:p>
    <w:p w:rsidR="007011C8" w:rsidRPr="007011C8" w:rsidRDefault="007011C8" w:rsidP="007011C8">
      <w:pPr>
        <w:pStyle w:val="Listeafsnit"/>
        <w:autoSpaceDE w:val="0"/>
        <w:autoSpaceDN w:val="0"/>
        <w:adjustRightInd w:val="0"/>
        <w:ind w:left="855"/>
        <w:rPr>
          <w:color w:val="010202"/>
          <w:sz w:val="24"/>
          <w:szCs w:val="24"/>
        </w:rPr>
      </w:pPr>
      <w:r w:rsidRPr="007011C8">
        <w:rPr>
          <w:color w:val="010202"/>
          <w:sz w:val="24"/>
          <w:szCs w:val="24"/>
        </w:rPr>
        <w:t xml:space="preserve">Efter markedsføringen er der rapporteret om akut overdosering ved anvendelse og i kliniske undersøgelser med </w:t>
      </w:r>
      <w:proofErr w:type="spellStart"/>
      <w:r w:rsidRPr="007011C8">
        <w:rPr>
          <w:color w:val="010202"/>
          <w:sz w:val="24"/>
          <w:szCs w:val="24"/>
        </w:rPr>
        <w:t>montelukast</w:t>
      </w:r>
      <w:proofErr w:type="spellEnd"/>
      <w:r w:rsidRPr="007011C8">
        <w:rPr>
          <w:color w:val="010202"/>
          <w:sz w:val="24"/>
          <w:szCs w:val="24"/>
        </w:rPr>
        <w:t xml:space="preserve">. Dette omfatter rapporter om voksne og børn med en dosis på helt op til 1.000 mg (ca. 61 mg/kg for et 42 måneder gammelt barn). De kliniske og laboratoriemæssige fund svarede til sikkerhedsprofilen hos voksne og </w:t>
      </w:r>
      <w:r w:rsidRPr="007011C8">
        <w:rPr>
          <w:color w:val="010202"/>
          <w:sz w:val="24"/>
          <w:szCs w:val="24"/>
        </w:rPr>
        <w:lastRenderedPageBreak/>
        <w:t xml:space="preserve">pædiatriske patienter. I størstedelen af de rapporterede tilfælde af overdosering var der ingen bivirkninger. </w:t>
      </w:r>
    </w:p>
    <w:p w:rsidR="00477E66" w:rsidRDefault="00477E66">
      <w:pPr>
        <w:rPr>
          <w:color w:val="010202"/>
          <w:sz w:val="24"/>
          <w:szCs w:val="24"/>
          <w:u w:val="single"/>
        </w:rPr>
      </w:pPr>
    </w:p>
    <w:p w:rsidR="007011C8" w:rsidRDefault="007011C8" w:rsidP="007011C8">
      <w:pPr>
        <w:ind w:left="851"/>
        <w:rPr>
          <w:color w:val="010202"/>
          <w:sz w:val="24"/>
          <w:szCs w:val="24"/>
          <w:u w:val="single"/>
        </w:rPr>
      </w:pPr>
      <w:r>
        <w:rPr>
          <w:color w:val="010202"/>
          <w:sz w:val="24"/>
          <w:szCs w:val="24"/>
          <w:u w:val="single"/>
        </w:rPr>
        <w:t>Symptomer på overdosering</w:t>
      </w:r>
    </w:p>
    <w:p w:rsidR="007011C8" w:rsidRDefault="007011C8" w:rsidP="007011C8">
      <w:pPr>
        <w:autoSpaceDE w:val="0"/>
        <w:autoSpaceDN w:val="0"/>
        <w:adjustRightInd w:val="0"/>
        <w:ind w:left="851"/>
        <w:rPr>
          <w:color w:val="010202"/>
          <w:sz w:val="24"/>
          <w:szCs w:val="24"/>
        </w:rPr>
      </w:pPr>
      <w:r>
        <w:rPr>
          <w:color w:val="010202"/>
          <w:sz w:val="24"/>
          <w:szCs w:val="24"/>
        </w:rPr>
        <w:t xml:space="preserve">De hyppigst forekommende bivirkninger svarede til sikkerhedsprofilen for </w:t>
      </w:r>
      <w:proofErr w:type="spellStart"/>
      <w:r>
        <w:rPr>
          <w:color w:val="010202"/>
          <w:sz w:val="24"/>
          <w:szCs w:val="24"/>
        </w:rPr>
        <w:t>montelukast</w:t>
      </w:r>
      <w:proofErr w:type="spellEnd"/>
      <w:r>
        <w:rPr>
          <w:color w:val="010202"/>
          <w:sz w:val="24"/>
          <w:szCs w:val="24"/>
        </w:rPr>
        <w:t xml:space="preserve"> og omfattede </w:t>
      </w:r>
      <w:proofErr w:type="spellStart"/>
      <w:r>
        <w:rPr>
          <w:color w:val="010202"/>
          <w:sz w:val="24"/>
          <w:szCs w:val="24"/>
        </w:rPr>
        <w:t>abdominalsmerter</w:t>
      </w:r>
      <w:proofErr w:type="spellEnd"/>
      <w:r>
        <w:rPr>
          <w:color w:val="010202"/>
          <w:sz w:val="24"/>
          <w:szCs w:val="24"/>
        </w:rPr>
        <w:t xml:space="preserve">, </w:t>
      </w:r>
      <w:proofErr w:type="spellStart"/>
      <w:r>
        <w:rPr>
          <w:color w:val="010202"/>
          <w:sz w:val="24"/>
          <w:szCs w:val="24"/>
        </w:rPr>
        <w:t>somnolens</w:t>
      </w:r>
      <w:proofErr w:type="spellEnd"/>
      <w:r>
        <w:rPr>
          <w:color w:val="010202"/>
          <w:sz w:val="24"/>
          <w:szCs w:val="24"/>
        </w:rPr>
        <w:t xml:space="preserve">, tørst, hovedpine, opkastning og </w:t>
      </w:r>
      <w:proofErr w:type="spellStart"/>
      <w:r>
        <w:rPr>
          <w:color w:val="010202"/>
          <w:sz w:val="24"/>
          <w:szCs w:val="24"/>
        </w:rPr>
        <w:t>psykomotorisk</w:t>
      </w:r>
      <w:proofErr w:type="spellEnd"/>
      <w:r>
        <w:rPr>
          <w:color w:val="010202"/>
          <w:sz w:val="24"/>
          <w:szCs w:val="24"/>
        </w:rPr>
        <w:t xml:space="preserve"> hyperaktivitet.</w:t>
      </w:r>
    </w:p>
    <w:p w:rsidR="007011C8" w:rsidRDefault="007011C8" w:rsidP="007011C8">
      <w:pPr>
        <w:autoSpaceDE w:val="0"/>
        <w:autoSpaceDN w:val="0"/>
        <w:adjustRightInd w:val="0"/>
        <w:ind w:left="851"/>
        <w:rPr>
          <w:color w:val="010202"/>
          <w:sz w:val="24"/>
          <w:szCs w:val="24"/>
        </w:rPr>
      </w:pPr>
    </w:p>
    <w:p w:rsidR="007011C8" w:rsidRDefault="007011C8" w:rsidP="007011C8">
      <w:pPr>
        <w:autoSpaceDE w:val="0"/>
        <w:autoSpaceDN w:val="0"/>
        <w:adjustRightInd w:val="0"/>
        <w:ind w:left="851"/>
        <w:rPr>
          <w:color w:val="010202"/>
          <w:sz w:val="24"/>
          <w:u w:val="single"/>
        </w:rPr>
      </w:pPr>
      <w:r>
        <w:rPr>
          <w:color w:val="010202"/>
          <w:sz w:val="24"/>
          <w:u w:val="single"/>
        </w:rPr>
        <w:t>Behandling af overdosering</w:t>
      </w:r>
    </w:p>
    <w:p w:rsidR="007011C8" w:rsidRDefault="007011C8" w:rsidP="007011C8">
      <w:pPr>
        <w:autoSpaceDE w:val="0"/>
        <w:autoSpaceDN w:val="0"/>
        <w:adjustRightInd w:val="0"/>
        <w:ind w:left="851"/>
        <w:rPr>
          <w:b/>
          <w:bCs/>
          <w:color w:val="010202"/>
          <w:sz w:val="24"/>
          <w:szCs w:val="24"/>
          <w:u w:val="single"/>
        </w:rPr>
      </w:pPr>
      <w:r>
        <w:rPr>
          <w:color w:val="010202"/>
          <w:sz w:val="24"/>
          <w:szCs w:val="24"/>
        </w:rPr>
        <w:t xml:space="preserve">Der foreligger ingen specifik information om behandling af overdosering af </w:t>
      </w:r>
      <w:proofErr w:type="spellStart"/>
      <w:r>
        <w:rPr>
          <w:color w:val="010202"/>
          <w:sz w:val="24"/>
          <w:szCs w:val="24"/>
        </w:rPr>
        <w:t>montelukast</w:t>
      </w:r>
      <w:proofErr w:type="spellEnd"/>
      <w:r>
        <w:rPr>
          <w:color w:val="010202"/>
          <w:sz w:val="24"/>
          <w:szCs w:val="24"/>
        </w:rPr>
        <w:t>.</w:t>
      </w:r>
    </w:p>
    <w:p w:rsidR="007011C8" w:rsidRDefault="007011C8" w:rsidP="007011C8">
      <w:pPr>
        <w:autoSpaceDE w:val="0"/>
        <w:autoSpaceDN w:val="0"/>
        <w:adjustRightInd w:val="0"/>
        <w:ind w:left="851"/>
        <w:rPr>
          <w:color w:val="010202"/>
          <w:sz w:val="24"/>
          <w:szCs w:val="24"/>
        </w:rPr>
      </w:pPr>
      <w:r>
        <w:rPr>
          <w:color w:val="010202"/>
          <w:sz w:val="24"/>
          <w:szCs w:val="24"/>
        </w:rPr>
        <w:t xml:space="preserve">Det vides ikke, om </w:t>
      </w:r>
      <w:proofErr w:type="spellStart"/>
      <w:r>
        <w:rPr>
          <w:color w:val="010202"/>
          <w:sz w:val="24"/>
          <w:szCs w:val="24"/>
        </w:rPr>
        <w:t>montelukast</w:t>
      </w:r>
      <w:proofErr w:type="spellEnd"/>
      <w:r>
        <w:rPr>
          <w:color w:val="010202"/>
          <w:sz w:val="24"/>
          <w:szCs w:val="24"/>
        </w:rPr>
        <w:t xml:space="preserve"> kan dialyseres ved </w:t>
      </w:r>
      <w:proofErr w:type="spellStart"/>
      <w:r>
        <w:rPr>
          <w:color w:val="010202"/>
          <w:sz w:val="24"/>
          <w:szCs w:val="24"/>
        </w:rPr>
        <w:t>peritoneal</w:t>
      </w:r>
      <w:proofErr w:type="spellEnd"/>
      <w:r>
        <w:rPr>
          <w:color w:val="010202"/>
          <w:sz w:val="24"/>
          <w:szCs w:val="24"/>
        </w:rPr>
        <w:t>- eller hæmodialyse.</w:t>
      </w:r>
    </w:p>
    <w:p w:rsidR="002929E3" w:rsidRPr="00401408" w:rsidRDefault="002929E3" w:rsidP="002929E3">
      <w:pPr>
        <w:tabs>
          <w:tab w:val="left" w:pos="851"/>
        </w:tabs>
        <w:ind w:left="851" w:hanging="851"/>
        <w:rPr>
          <w:sz w:val="24"/>
          <w:szCs w:val="24"/>
        </w:rPr>
      </w:pPr>
    </w:p>
    <w:p w:rsidR="002929E3" w:rsidRPr="0061056A" w:rsidRDefault="002929E3" w:rsidP="002929E3">
      <w:pPr>
        <w:numPr>
          <w:ilvl w:val="1"/>
          <w:numId w:val="1"/>
        </w:numPr>
        <w:ind w:left="851" w:hanging="851"/>
        <w:rPr>
          <w:b/>
          <w:sz w:val="24"/>
          <w:szCs w:val="24"/>
        </w:rPr>
      </w:pPr>
      <w:r w:rsidRPr="0061056A">
        <w:rPr>
          <w:b/>
          <w:sz w:val="24"/>
          <w:szCs w:val="24"/>
        </w:rPr>
        <w:t>Udlevering</w:t>
      </w:r>
    </w:p>
    <w:p w:rsidR="002929E3" w:rsidRPr="0061056A" w:rsidRDefault="002929E3" w:rsidP="002929E3">
      <w:pPr>
        <w:tabs>
          <w:tab w:val="left" w:pos="851"/>
        </w:tabs>
        <w:ind w:left="851" w:hanging="851"/>
        <w:rPr>
          <w:sz w:val="24"/>
          <w:szCs w:val="24"/>
        </w:rPr>
      </w:pPr>
      <w:r w:rsidRPr="0061056A">
        <w:rPr>
          <w:sz w:val="24"/>
          <w:szCs w:val="24"/>
        </w:rPr>
        <w:tab/>
        <w:t>B</w:t>
      </w:r>
    </w:p>
    <w:p w:rsidR="002929E3" w:rsidRPr="0061056A" w:rsidRDefault="002929E3" w:rsidP="002929E3">
      <w:pPr>
        <w:tabs>
          <w:tab w:val="left" w:pos="851"/>
        </w:tabs>
        <w:ind w:left="851" w:hanging="851"/>
        <w:rPr>
          <w:sz w:val="24"/>
          <w:szCs w:val="24"/>
        </w:rPr>
      </w:pPr>
    </w:p>
    <w:p w:rsidR="002929E3" w:rsidRPr="0061056A" w:rsidRDefault="002929E3" w:rsidP="002929E3">
      <w:pPr>
        <w:tabs>
          <w:tab w:val="left" w:pos="851"/>
        </w:tabs>
        <w:ind w:left="851" w:hanging="851"/>
        <w:rPr>
          <w:sz w:val="24"/>
          <w:szCs w:val="24"/>
        </w:rPr>
      </w:pPr>
    </w:p>
    <w:p w:rsidR="002929E3" w:rsidRPr="0061056A" w:rsidRDefault="002929E3" w:rsidP="002929E3">
      <w:pPr>
        <w:numPr>
          <w:ilvl w:val="0"/>
          <w:numId w:val="1"/>
        </w:numPr>
        <w:ind w:left="851" w:hanging="851"/>
        <w:rPr>
          <w:b/>
          <w:sz w:val="24"/>
          <w:szCs w:val="24"/>
        </w:rPr>
      </w:pPr>
      <w:r w:rsidRPr="0061056A">
        <w:rPr>
          <w:b/>
          <w:sz w:val="24"/>
          <w:szCs w:val="24"/>
        </w:rPr>
        <w:t>FARMAKOLOGISKE EGENSKABER</w:t>
      </w:r>
    </w:p>
    <w:p w:rsidR="002929E3" w:rsidRPr="0061056A" w:rsidRDefault="002929E3" w:rsidP="007011C8">
      <w:pPr>
        <w:tabs>
          <w:tab w:val="left" w:pos="851"/>
        </w:tabs>
        <w:rPr>
          <w:sz w:val="24"/>
          <w:szCs w:val="24"/>
        </w:rPr>
      </w:pPr>
    </w:p>
    <w:p w:rsidR="002929E3" w:rsidRDefault="002929E3" w:rsidP="002929E3">
      <w:pPr>
        <w:numPr>
          <w:ilvl w:val="1"/>
          <w:numId w:val="2"/>
        </w:numPr>
        <w:tabs>
          <w:tab w:val="num" w:pos="851"/>
        </w:tabs>
        <w:ind w:left="851" w:hanging="851"/>
        <w:rPr>
          <w:b/>
          <w:sz w:val="24"/>
          <w:szCs w:val="24"/>
        </w:rPr>
      </w:pPr>
      <w:proofErr w:type="spellStart"/>
      <w:r w:rsidRPr="0061056A">
        <w:rPr>
          <w:b/>
          <w:sz w:val="24"/>
          <w:szCs w:val="24"/>
        </w:rPr>
        <w:t>Farmakodynamiske</w:t>
      </w:r>
      <w:proofErr w:type="spellEnd"/>
      <w:r w:rsidRPr="0061056A">
        <w:rPr>
          <w:b/>
          <w:sz w:val="24"/>
          <w:szCs w:val="24"/>
        </w:rPr>
        <w:t xml:space="preserve"> egenskaber</w:t>
      </w:r>
    </w:p>
    <w:p w:rsidR="007011C8" w:rsidRDefault="007011C8" w:rsidP="007011C8">
      <w:pPr>
        <w:tabs>
          <w:tab w:val="num" w:pos="2159"/>
        </w:tabs>
        <w:ind w:left="851"/>
        <w:rPr>
          <w:color w:val="010202"/>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Pr>
          <w:color w:val="010202"/>
          <w:sz w:val="24"/>
        </w:rPr>
        <w:t>Leukotrienreceptorantagonist</w:t>
      </w:r>
      <w:proofErr w:type="spellEnd"/>
      <w:r>
        <w:rPr>
          <w:color w:val="010202"/>
          <w:sz w:val="24"/>
        </w:rPr>
        <w:t>.</w:t>
      </w:r>
      <w:r w:rsidRPr="007011C8">
        <w:rPr>
          <w:color w:val="010202"/>
          <w:sz w:val="24"/>
          <w:szCs w:val="24"/>
        </w:rPr>
        <w:t xml:space="preserve"> </w:t>
      </w:r>
      <w:r>
        <w:rPr>
          <w:color w:val="010202"/>
          <w:sz w:val="24"/>
          <w:szCs w:val="24"/>
        </w:rPr>
        <w:t>ATC-kode: R03D C03.</w:t>
      </w:r>
    </w:p>
    <w:p w:rsidR="007011C8" w:rsidRPr="0061056A" w:rsidRDefault="007011C8" w:rsidP="007011C8">
      <w:pPr>
        <w:tabs>
          <w:tab w:val="num" w:pos="2159"/>
        </w:tabs>
        <w:ind w:left="851"/>
        <w:rPr>
          <w:b/>
          <w:sz w:val="24"/>
          <w:szCs w:val="24"/>
        </w:rPr>
      </w:pPr>
    </w:p>
    <w:p w:rsidR="002929E3" w:rsidRPr="008E0C19" w:rsidRDefault="002929E3" w:rsidP="002929E3">
      <w:pPr>
        <w:tabs>
          <w:tab w:val="left" w:pos="851"/>
          <w:tab w:val="left" w:pos="1205"/>
        </w:tabs>
        <w:ind w:left="851"/>
        <w:jc w:val="both"/>
        <w:rPr>
          <w:spacing w:val="-3"/>
          <w:sz w:val="24"/>
          <w:szCs w:val="24"/>
          <w:lang w:eastAsia="da-DK"/>
        </w:rPr>
      </w:pPr>
      <w:r w:rsidRPr="008E0C19">
        <w:rPr>
          <w:spacing w:val="-3"/>
          <w:sz w:val="24"/>
          <w:szCs w:val="24"/>
          <w:u w:val="single"/>
        </w:rPr>
        <w:t>Virkningsmekanisme</w:t>
      </w:r>
    </w:p>
    <w:p w:rsidR="002929E3" w:rsidRPr="008E0C19" w:rsidRDefault="002929E3" w:rsidP="002929E3">
      <w:pPr>
        <w:autoSpaceDE w:val="0"/>
        <w:autoSpaceDN w:val="0"/>
        <w:adjustRightInd w:val="0"/>
        <w:ind w:left="851"/>
        <w:rPr>
          <w:color w:val="010202"/>
          <w:sz w:val="24"/>
          <w:szCs w:val="24"/>
        </w:rPr>
      </w:pPr>
      <w:proofErr w:type="spellStart"/>
      <w:r w:rsidRPr="008E0C19">
        <w:rPr>
          <w:color w:val="010202"/>
          <w:sz w:val="24"/>
          <w:szCs w:val="24"/>
        </w:rPr>
        <w:t>Cysteinylleukotrienerne</w:t>
      </w:r>
      <w:proofErr w:type="spellEnd"/>
      <w:r w:rsidRPr="008E0C19">
        <w:rPr>
          <w:color w:val="010202"/>
          <w:sz w:val="24"/>
          <w:szCs w:val="24"/>
        </w:rPr>
        <w:t xml:space="preserve"> (LTC</w:t>
      </w:r>
      <w:r w:rsidRPr="008E0C19">
        <w:rPr>
          <w:color w:val="010202"/>
          <w:sz w:val="24"/>
          <w:szCs w:val="24"/>
          <w:vertAlign w:val="subscript"/>
        </w:rPr>
        <w:t>4</w:t>
      </w:r>
      <w:r w:rsidRPr="008E0C19">
        <w:rPr>
          <w:color w:val="010202"/>
          <w:sz w:val="24"/>
          <w:szCs w:val="24"/>
        </w:rPr>
        <w:t>, LTD</w:t>
      </w:r>
      <w:r w:rsidRPr="008E0C19">
        <w:rPr>
          <w:color w:val="010202"/>
          <w:sz w:val="24"/>
          <w:szCs w:val="24"/>
          <w:vertAlign w:val="subscript"/>
        </w:rPr>
        <w:t>4</w:t>
      </w:r>
      <w:r w:rsidRPr="008E0C19">
        <w:rPr>
          <w:color w:val="010202"/>
          <w:sz w:val="24"/>
          <w:szCs w:val="24"/>
        </w:rPr>
        <w:t>, LTE</w:t>
      </w:r>
      <w:r w:rsidRPr="008E0C19">
        <w:rPr>
          <w:color w:val="010202"/>
          <w:sz w:val="24"/>
          <w:szCs w:val="24"/>
          <w:vertAlign w:val="subscript"/>
        </w:rPr>
        <w:t>4</w:t>
      </w:r>
      <w:r w:rsidRPr="008E0C19">
        <w:rPr>
          <w:color w:val="010202"/>
          <w:sz w:val="24"/>
          <w:szCs w:val="24"/>
        </w:rPr>
        <w:t xml:space="preserve">) er potente inflammatoriske </w:t>
      </w:r>
      <w:proofErr w:type="spellStart"/>
      <w:r w:rsidRPr="008E0C19">
        <w:rPr>
          <w:color w:val="010202"/>
          <w:sz w:val="24"/>
          <w:szCs w:val="24"/>
        </w:rPr>
        <w:t>eicosanoider</w:t>
      </w:r>
      <w:proofErr w:type="spellEnd"/>
      <w:r w:rsidRPr="008E0C19">
        <w:rPr>
          <w:color w:val="010202"/>
          <w:sz w:val="24"/>
          <w:szCs w:val="24"/>
        </w:rPr>
        <w:t xml:space="preserve">, som frigøres fra forskellige celler, herunder mastceller og </w:t>
      </w:r>
      <w:proofErr w:type="spellStart"/>
      <w:r w:rsidRPr="008E0C19">
        <w:rPr>
          <w:color w:val="010202"/>
          <w:sz w:val="24"/>
          <w:szCs w:val="24"/>
        </w:rPr>
        <w:t>eosinofiler</w:t>
      </w:r>
      <w:proofErr w:type="spellEnd"/>
      <w:r w:rsidRPr="008E0C19">
        <w:rPr>
          <w:color w:val="010202"/>
          <w:sz w:val="24"/>
          <w:szCs w:val="24"/>
        </w:rPr>
        <w:t xml:space="preserve">. Disse vigtige proastmatiske </w:t>
      </w:r>
      <w:proofErr w:type="spellStart"/>
      <w:r w:rsidRPr="008E0C19">
        <w:rPr>
          <w:color w:val="010202"/>
          <w:sz w:val="24"/>
          <w:szCs w:val="24"/>
        </w:rPr>
        <w:t>mediatorer</w:t>
      </w:r>
      <w:proofErr w:type="spellEnd"/>
      <w:r w:rsidRPr="008E0C19">
        <w:rPr>
          <w:color w:val="010202"/>
          <w:sz w:val="24"/>
          <w:szCs w:val="24"/>
        </w:rPr>
        <w:t xml:space="preserve"> binder sig til </w:t>
      </w:r>
      <w:proofErr w:type="spellStart"/>
      <w:r w:rsidRPr="008E0C19">
        <w:rPr>
          <w:color w:val="010202"/>
          <w:sz w:val="24"/>
          <w:szCs w:val="24"/>
        </w:rPr>
        <w:t>cysteinylleukotrienreceptorer</w:t>
      </w:r>
      <w:proofErr w:type="spellEnd"/>
      <w:r w:rsidRPr="008E0C19">
        <w:rPr>
          <w:color w:val="010202"/>
          <w:sz w:val="24"/>
          <w:szCs w:val="24"/>
        </w:rPr>
        <w:t xml:space="preserve"> (</w:t>
      </w:r>
      <w:proofErr w:type="spellStart"/>
      <w:r w:rsidRPr="008E0C19">
        <w:rPr>
          <w:color w:val="010202"/>
          <w:sz w:val="24"/>
          <w:szCs w:val="24"/>
        </w:rPr>
        <w:t>CysLT</w:t>
      </w:r>
      <w:proofErr w:type="spellEnd"/>
      <w:r w:rsidRPr="008E0C19">
        <w:rPr>
          <w:color w:val="010202"/>
          <w:sz w:val="24"/>
          <w:szCs w:val="24"/>
        </w:rPr>
        <w:t xml:space="preserve">). </w:t>
      </w:r>
      <w:proofErr w:type="spellStart"/>
      <w:r w:rsidRPr="008E0C19">
        <w:rPr>
          <w:color w:val="010202"/>
          <w:sz w:val="24"/>
          <w:szCs w:val="24"/>
        </w:rPr>
        <w:t>CysLT</w:t>
      </w:r>
      <w:proofErr w:type="spellEnd"/>
      <w:r w:rsidRPr="008E0C19">
        <w:rPr>
          <w:color w:val="010202"/>
          <w:sz w:val="24"/>
          <w:szCs w:val="24"/>
        </w:rPr>
        <w:t xml:space="preserve"> type-1 (CysLT</w:t>
      </w:r>
      <w:r w:rsidRPr="008E0C19">
        <w:rPr>
          <w:color w:val="010202"/>
          <w:sz w:val="24"/>
          <w:szCs w:val="24"/>
          <w:vertAlign w:val="subscript"/>
        </w:rPr>
        <w:t>1</w:t>
      </w:r>
      <w:r w:rsidRPr="008E0C19">
        <w:rPr>
          <w:color w:val="010202"/>
          <w:sz w:val="24"/>
          <w:szCs w:val="24"/>
        </w:rPr>
        <w:t xml:space="preserve">) receptoren findes i de humane luftveje (herunder i luftvejenes glatmuskelceller og luftvejsmakrofager) og på andre pro-inflammatoriske celler (herunder </w:t>
      </w:r>
      <w:proofErr w:type="spellStart"/>
      <w:r w:rsidRPr="008E0C19">
        <w:rPr>
          <w:color w:val="010202"/>
          <w:sz w:val="24"/>
          <w:szCs w:val="24"/>
        </w:rPr>
        <w:t>eosinofile</w:t>
      </w:r>
      <w:proofErr w:type="spellEnd"/>
      <w:r w:rsidRPr="008E0C19">
        <w:rPr>
          <w:color w:val="010202"/>
          <w:sz w:val="24"/>
          <w:szCs w:val="24"/>
        </w:rPr>
        <w:t xml:space="preserve"> og visse </w:t>
      </w:r>
      <w:proofErr w:type="spellStart"/>
      <w:r w:rsidRPr="008E0C19">
        <w:rPr>
          <w:color w:val="010202"/>
          <w:sz w:val="24"/>
          <w:szCs w:val="24"/>
        </w:rPr>
        <w:t>myeloide</w:t>
      </w:r>
      <w:proofErr w:type="spellEnd"/>
      <w:r w:rsidRPr="008E0C19">
        <w:rPr>
          <w:color w:val="010202"/>
          <w:sz w:val="24"/>
          <w:szCs w:val="24"/>
        </w:rPr>
        <w:t xml:space="preserve"> stamceller). Der er blevet foretaget en </w:t>
      </w:r>
      <w:proofErr w:type="spellStart"/>
      <w:r w:rsidRPr="008E0C19">
        <w:rPr>
          <w:color w:val="010202"/>
          <w:sz w:val="24"/>
          <w:szCs w:val="24"/>
        </w:rPr>
        <w:t>patofysiologisk</w:t>
      </w:r>
      <w:proofErr w:type="spellEnd"/>
      <w:r w:rsidRPr="008E0C19">
        <w:rPr>
          <w:color w:val="010202"/>
          <w:sz w:val="24"/>
          <w:szCs w:val="24"/>
        </w:rPr>
        <w:t xml:space="preserve"> korrelation mellem </w:t>
      </w:r>
      <w:proofErr w:type="spellStart"/>
      <w:r w:rsidRPr="008E0C19">
        <w:rPr>
          <w:color w:val="010202"/>
          <w:sz w:val="24"/>
          <w:szCs w:val="24"/>
        </w:rPr>
        <w:t>CysLT’er</w:t>
      </w:r>
      <w:proofErr w:type="spellEnd"/>
      <w:r w:rsidRPr="008E0C19">
        <w:rPr>
          <w:color w:val="010202"/>
          <w:sz w:val="24"/>
          <w:szCs w:val="24"/>
        </w:rPr>
        <w:t xml:space="preserve"> og astma og allergisk </w:t>
      </w:r>
      <w:proofErr w:type="spellStart"/>
      <w:r w:rsidRPr="008E0C19">
        <w:rPr>
          <w:color w:val="010202"/>
          <w:sz w:val="24"/>
          <w:szCs w:val="24"/>
        </w:rPr>
        <w:t>rhinitis</w:t>
      </w:r>
      <w:proofErr w:type="spellEnd"/>
      <w:r w:rsidRPr="008E0C19">
        <w:rPr>
          <w:color w:val="010202"/>
          <w:sz w:val="24"/>
          <w:szCs w:val="24"/>
        </w:rPr>
        <w:t xml:space="preserve">. Ved astma omfatter </w:t>
      </w:r>
      <w:proofErr w:type="spellStart"/>
      <w:r w:rsidRPr="008E0C19">
        <w:rPr>
          <w:color w:val="010202"/>
          <w:sz w:val="24"/>
          <w:szCs w:val="24"/>
        </w:rPr>
        <w:t>leukotrienmedierede</w:t>
      </w:r>
      <w:proofErr w:type="spellEnd"/>
      <w:r w:rsidRPr="008E0C19">
        <w:rPr>
          <w:color w:val="010202"/>
          <w:sz w:val="24"/>
          <w:szCs w:val="24"/>
        </w:rPr>
        <w:t xml:space="preserve"> virkninger </w:t>
      </w:r>
      <w:proofErr w:type="spellStart"/>
      <w:r w:rsidRPr="008E0C19">
        <w:rPr>
          <w:color w:val="010202"/>
          <w:sz w:val="24"/>
          <w:szCs w:val="24"/>
        </w:rPr>
        <w:t>bronkokonstriktion</w:t>
      </w:r>
      <w:proofErr w:type="spellEnd"/>
      <w:r w:rsidRPr="008E0C19">
        <w:rPr>
          <w:color w:val="010202"/>
          <w:sz w:val="24"/>
          <w:szCs w:val="24"/>
        </w:rPr>
        <w:t xml:space="preserve">, slimsekretion, </w:t>
      </w:r>
      <w:proofErr w:type="spellStart"/>
      <w:r w:rsidRPr="008E0C19">
        <w:rPr>
          <w:color w:val="010202"/>
          <w:sz w:val="24"/>
          <w:szCs w:val="24"/>
        </w:rPr>
        <w:t>vaskulær</w:t>
      </w:r>
      <w:proofErr w:type="spellEnd"/>
      <w:r w:rsidRPr="008E0C19">
        <w:rPr>
          <w:color w:val="010202"/>
          <w:sz w:val="24"/>
          <w:szCs w:val="24"/>
        </w:rPr>
        <w:t xml:space="preserve"> permeabilitet og </w:t>
      </w:r>
      <w:proofErr w:type="spellStart"/>
      <w:r w:rsidRPr="008E0C19">
        <w:rPr>
          <w:color w:val="010202"/>
          <w:sz w:val="24"/>
          <w:szCs w:val="24"/>
        </w:rPr>
        <w:t>eosinofilrekruttering</w:t>
      </w:r>
      <w:proofErr w:type="spellEnd"/>
      <w:r w:rsidRPr="008E0C19">
        <w:rPr>
          <w:color w:val="010202"/>
          <w:sz w:val="24"/>
          <w:szCs w:val="24"/>
        </w:rPr>
        <w:t xml:space="preserve">. Ved allergisk </w:t>
      </w:r>
      <w:proofErr w:type="spellStart"/>
      <w:r w:rsidRPr="008E0C19">
        <w:rPr>
          <w:color w:val="010202"/>
          <w:sz w:val="24"/>
          <w:szCs w:val="24"/>
        </w:rPr>
        <w:t>rhinitis</w:t>
      </w:r>
      <w:proofErr w:type="spellEnd"/>
      <w:r w:rsidRPr="008E0C19">
        <w:rPr>
          <w:color w:val="010202"/>
          <w:sz w:val="24"/>
          <w:szCs w:val="24"/>
        </w:rPr>
        <w:t xml:space="preserve"> frigøres </w:t>
      </w:r>
      <w:proofErr w:type="spellStart"/>
      <w:r w:rsidRPr="008E0C19">
        <w:rPr>
          <w:color w:val="010202"/>
          <w:sz w:val="24"/>
          <w:szCs w:val="24"/>
        </w:rPr>
        <w:t>CysLT’er</w:t>
      </w:r>
      <w:proofErr w:type="spellEnd"/>
      <w:r w:rsidRPr="008E0C19">
        <w:rPr>
          <w:color w:val="010202"/>
          <w:sz w:val="24"/>
          <w:szCs w:val="24"/>
        </w:rPr>
        <w:t xml:space="preserve"> fra næseslimhinden efter allergen eksponering både under reaktioner i den tidlige og sene fase og er forbundet med symptomer på allergisk </w:t>
      </w:r>
      <w:proofErr w:type="spellStart"/>
      <w:r w:rsidRPr="008E0C19">
        <w:rPr>
          <w:color w:val="010202"/>
          <w:sz w:val="24"/>
          <w:szCs w:val="24"/>
        </w:rPr>
        <w:t>rhinitis</w:t>
      </w:r>
      <w:proofErr w:type="spellEnd"/>
      <w:r w:rsidRPr="008E0C19">
        <w:rPr>
          <w:color w:val="010202"/>
          <w:sz w:val="24"/>
          <w:szCs w:val="24"/>
        </w:rPr>
        <w:t xml:space="preserve">. Det er påvist, at intranasal provokation med </w:t>
      </w:r>
      <w:proofErr w:type="spellStart"/>
      <w:r w:rsidRPr="008E0C19">
        <w:rPr>
          <w:color w:val="010202"/>
          <w:sz w:val="24"/>
          <w:szCs w:val="24"/>
        </w:rPr>
        <w:t>CysLT’er</w:t>
      </w:r>
      <w:proofErr w:type="spellEnd"/>
      <w:r w:rsidRPr="008E0C19">
        <w:rPr>
          <w:color w:val="010202"/>
          <w:sz w:val="24"/>
          <w:szCs w:val="24"/>
        </w:rPr>
        <w:t xml:space="preserve"> øger den nasale luftvejsmodstand og symptomer på nasal obstruktion.</w:t>
      </w:r>
    </w:p>
    <w:p w:rsidR="002929E3" w:rsidRPr="008E0C19" w:rsidRDefault="002929E3" w:rsidP="002929E3">
      <w:pPr>
        <w:autoSpaceDE w:val="0"/>
        <w:autoSpaceDN w:val="0"/>
        <w:adjustRightInd w:val="0"/>
        <w:ind w:left="851"/>
        <w:jc w:val="both"/>
        <w:rPr>
          <w:color w:val="010202"/>
          <w:sz w:val="24"/>
          <w:szCs w:val="24"/>
        </w:rPr>
      </w:pPr>
    </w:p>
    <w:p w:rsidR="002929E3" w:rsidRPr="008E0C19" w:rsidRDefault="002929E3" w:rsidP="002929E3">
      <w:pPr>
        <w:tabs>
          <w:tab w:val="left" w:pos="851"/>
          <w:tab w:val="left" w:pos="1205"/>
        </w:tabs>
        <w:ind w:left="851"/>
        <w:jc w:val="both"/>
        <w:rPr>
          <w:spacing w:val="-3"/>
          <w:sz w:val="24"/>
          <w:szCs w:val="24"/>
          <w:lang w:eastAsia="da-DK"/>
        </w:rPr>
      </w:pPr>
      <w:proofErr w:type="spellStart"/>
      <w:r w:rsidRPr="008E0C19">
        <w:rPr>
          <w:spacing w:val="-3"/>
          <w:sz w:val="24"/>
          <w:szCs w:val="24"/>
          <w:u w:val="single"/>
        </w:rPr>
        <w:t>Farmakodynamisk</w:t>
      </w:r>
      <w:proofErr w:type="spellEnd"/>
      <w:r w:rsidRPr="008E0C19">
        <w:rPr>
          <w:spacing w:val="-3"/>
          <w:sz w:val="24"/>
          <w:szCs w:val="24"/>
          <w:u w:val="single"/>
        </w:rPr>
        <w:t xml:space="preserve"> virkning</w:t>
      </w:r>
    </w:p>
    <w:p w:rsidR="002929E3" w:rsidRPr="008E0C19" w:rsidRDefault="002929E3" w:rsidP="002929E3">
      <w:pPr>
        <w:autoSpaceDE w:val="0"/>
        <w:autoSpaceDN w:val="0"/>
        <w:adjustRightInd w:val="0"/>
        <w:ind w:left="851"/>
        <w:rPr>
          <w:color w:val="010202"/>
          <w:sz w:val="24"/>
          <w:szCs w:val="24"/>
        </w:rPr>
      </w:pPr>
      <w:proofErr w:type="spellStart"/>
      <w:r w:rsidRPr="008E0C19">
        <w:rPr>
          <w:color w:val="010202"/>
          <w:sz w:val="24"/>
          <w:szCs w:val="24"/>
        </w:rPr>
        <w:t>Montelukast</w:t>
      </w:r>
      <w:proofErr w:type="spellEnd"/>
      <w:r w:rsidRPr="008E0C19">
        <w:rPr>
          <w:color w:val="010202"/>
          <w:sz w:val="24"/>
          <w:szCs w:val="24"/>
        </w:rPr>
        <w:t xml:space="preserve"> er et oralt aktivt stof, der binder sig til CysLT</w:t>
      </w:r>
      <w:r w:rsidRPr="008E0C19">
        <w:rPr>
          <w:color w:val="010202"/>
          <w:sz w:val="24"/>
          <w:szCs w:val="24"/>
          <w:vertAlign w:val="subscript"/>
        </w:rPr>
        <w:t>1</w:t>
      </w:r>
      <w:r w:rsidRPr="008E0C19">
        <w:rPr>
          <w:color w:val="010202"/>
          <w:sz w:val="24"/>
          <w:szCs w:val="24"/>
        </w:rPr>
        <w:t xml:space="preserve">-receptoren med stor affinitet og selektivitet. I kliniske undersøgelser hæmmer </w:t>
      </w:r>
      <w:proofErr w:type="spellStart"/>
      <w:r w:rsidRPr="008E0C19">
        <w:rPr>
          <w:color w:val="010202"/>
          <w:sz w:val="24"/>
          <w:szCs w:val="24"/>
        </w:rPr>
        <w:t>montelukast</w:t>
      </w:r>
      <w:proofErr w:type="spellEnd"/>
      <w:r w:rsidRPr="008E0C19">
        <w:rPr>
          <w:color w:val="010202"/>
          <w:sz w:val="24"/>
          <w:szCs w:val="24"/>
        </w:rPr>
        <w:t xml:space="preserve"> </w:t>
      </w:r>
      <w:proofErr w:type="spellStart"/>
      <w:r w:rsidRPr="008E0C19">
        <w:rPr>
          <w:color w:val="010202"/>
          <w:sz w:val="24"/>
          <w:szCs w:val="24"/>
        </w:rPr>
        <w:t>bronkokonstriktion</w:t>
      </w:r>
      <w:proofErr w:type="spellEnd"/>
      <w:r w:rsidRPr="008E0C19">
        <w:rPr>
          <w:color w:val="010202"/>
          <w:sz w:val="24"/>
          <w:szCs w:val="24"/>
        </w:rPr>
        <w:t xml:space="preserve"> på grund af inhaleret LTD</w:t>
      </w:r>
      <w:r w:rsidRPr="008E0C19">
        <w:rPr>
          <w:color w:val="010202"/>
          <w:sz w:val="24"/>
          <w:szCs w:val="24"/>
          <w:vertAlign w:val="subscript"/>
        </w:rPr>
        <w:t>4</w:t>
      </w:r>
      <w:r w:rsidRPr="008E0C19">
        <w:rPr>
          <w:color w:val="010202"/>
          <w:sz w:val="24"/>
          <w:szCs w:val="24"/>
        </w:rPr>
        <w:t xml:space="preserve"> ved doser helt ned til 5 mg. </w:t>
      </w:r>
      <w:proofErr w:type="spellStart"/>
      <w:r w:rsidRPr="008E0C19">
        <w:rPr>
          <w:color w:val="010202"/>
          <w:sz w:val="24"/>
          <w:szCs w:val="24"/>
        </w:rPr>
        <w:t>Bronkodilatation</w:t>
      </w:r>
      <w:proofErr w:type="spellEnd"/>
      <w:r w:rsidRPr="008E0C19">
        <w:rPr>
          <w:color w:val="010202"/>
          <w:sz w:val="24"/>
          <w:szCs w:val="24"/>
        </w:rPr>
        <w:t xml:space="preserve"> blev observeret inden for 2 timer efter oral administration. Den </w:t>
      </w:r>
      <w:proofErr w:type="spellStart"/>
      <w:r w:rsidRPr="008E0C19">
        <w:rPr>
          <w:color w:val="010202"/>
          <w:sz w:val="24"/>
          <w:szCs w:val="24"/>
        </w:rPr>
        <w:t>bronkodilatationseffekt</w:t>
      </w:r>
      <w:proofErr w:type="spellEnd"/>
      <w:r w:rsidRPr="008E0C19">
        <w:rPr>
          <w:color w:val="010202"/>
          <w:sz w:val="24"/>
          <w:szCs w:val="24"/>
        </w:rPr>
        <w:t xml:space="preserve">, der forårsagedes af en β-agonist, var additiv til den, der forårsagedes af </w:t>
      </w:r>
      <w:proofErr w:type="spellStart"/>
      <w:r w:rsidRPr="008E0C19">
        <w:rPr>
          <w:color w:val="010202"/>
          <w:sz w:val="24"/>
          <w:szCs w:val="24"/>
        </w:rPr>
        <w:t>montelukast</w:t>
      </w:r>
      <w:proofErr w:type="spellEnd"/>
      <w:r w:rsidRPr="008E0C19">
        <w:rPr>
          <w:color w:val="010202"/>
          <w:sz w:val="24"/>
          <w:szCs w:val="24"/>
        </w:rPr>
        <w:t xml:space="preserve">. Behandling med </w:t>
      </w:r>
      <w:proofErr w:type="spellStart"/>
      <w:r w:rsidRPr="008E0C19">
        <w:rPr>
          <w:color w:val="010202"/>
          <w:sz w:val="24"/>
          <w:szCs w:val="24"/>
        </w:rPr>
        <w:t>montelukast</w:t>
      </w:r>
      <w:proofErr w:type="spellEnd"/>
      <w:r w:rsidRPr="008E0C19">
        <w:rPr>
          <w:color w:val="010202"/>
          <w:sz w:val="24"/>
          <w:szCs w:val="24"/>
        </w:rPr>
        <w:t xml:space="preserve"> hæmmede både den tidlige og den sene fase af </w:t>
      </w:r>
      <w:proofErr w:type="spellStart"/>
      <w:r w:rsidRPr="008E0C19">
        <w:rPr>
          <w:color w:val="010202"/>
          <w:sz w:val="24"/>
          <w:szCs w:val="24"/>
        </w:rPr>
        <w:t>bronkokonstriktionen</w:t>
      </w:r>
      <w:proofErr w:type="spellEnd"/>
      <w:r w:rsidRPr="008E0C19">
        <w:rPr>
          <w:color w:val="010202"/>
          <w:sz w:val="24"/>
          <w:szCs w:val="24"/>
        </w:rPr>
        <w:t xml:space="preserve"> ved antigen belastning. Sammenlignet med placebo nedsatte </w:t>
      </w:r>
      <w:proofErr w:type="spellStart"/>
      <w:r w:rsidRPr="008E0C19">
        <w:rPr>
          <w:color w:val="010202"/>
          <w:sz w:val="24"/>
          <w:szCs w:val="24"/>
        </w:rPr>
        <w:t>montelukast</w:t>
      </w:r>
      <w:proofErr w:type="spellEnd"/>
      <w:r w:rsidRPr="008E0C19">
        <w:rPr>
          <w:color w:val="010202"/>
          <w:sz w:val="24"/>
          <w:szCs w:val="24"/>
        </w:rPr>
        <w:t xml:space="preserve"> </w:t>
      </w:r>
      <w:proofErr w:type="spellStart"/>
      <w:r w:rsidRPr="008E0C19">
        <w:rPr>
          <w:color w:val="010202"/>
          <w:sz w:val="24"/>
          <w:szCs w:val="24"/>
        </w:rPr>
        <w:t>eosinofiler</w:t>
      </w:r>
      <w:proofErr w:type="spellEnd"/>
      <w:r w:rsidRPr="008E0C19">
        <w:rPr>
          <w:color w:val="010202"/>
          <w:sz w:val="24"/>
          <w:szCs w:val="24"/>
        </w:rPr>
        <w:t xml:space="preserve"> i det perifere blod hos voksne og børn. I et separat studie nedsatte behandling med </w:t>
      </w:r>
      <w:proofErr w:type="spellStart"/>
      <w:r w:rsidRPr="008E0C19">
        <w:rPr>
          <w:color w:val="010202"/>
          <w:sz w:val="24"/>
          <w:szCs w:val="24"/>
        </w:rPr>
        <w:t>montelukast</w:t>
      </w:r>
      <w:proofErr w:type="spellEnd"/>
      <w:r w:rsidRPr="008E0C19">
        <w:rPr>
          <w:color w:val="010202"/>
          <w:sz w:val="24"/>
          <w:szCs w:val="24"/>
        </w:rPr>
        <w:t xml:space="preserve"> signifikant </w:t>
      </w:r>
      <w:proofErr w:type="spellStart"/>
      <w:r w:rsidRPr="008E0C19">
        <w:rPr>
          <w:color w:val="010202"/>
          <w:sz w:val="24"/>
          <w:szCs w:val="24"/>
        </w:rPr>
        <w:t>eosinofiler</w:t>
      </w:r>
      <w:proofErr w:type="spellEnd"/>
      <w:r w:rsidRPr="008E0C19">
        <w:rPr>
          <w:color w:val="010202"/>
          <w:sz w:val="24"/>
          <w:szCs w:val="24"/>
        </w:rPr>
        <w:t xml:space="preserve"> i luftvejene (målt i </w:t>
      </w:r>
      <w:proofErr w:type="spellStart"/>
      <w:r w:rsidRPr="008E0C19">
        <w:rPr>
          <w:color w:val="010202"/>
          <w:sz w:val="24"/>
          <w:szCs w:val="24"/>
        </w:rPr>
        <w:t>sputum</w:t>
      </w:r>
      <w:proofErr w:type="spellEnd"/>
      <w:r w:rsidRPr="008E0C19">
        <w:rPr>
          <w:color w:val="010202"/>
          <w:sz w:val="24"/>
          <w:szCs w:val="24"/>
        </w:rPr>
        <w:t>) og i perifert blod og forbedrede den kliniske astmakontrol.</w:t>
      </w:r>
    </w:p>
    <w:p w:rsidR="002929E3" w:rsidRPr="008E0C19" w:rsidRDefault="002929E3" w:rsidP="002929E3">
      <w:pPr>
        <w:autoSpaceDE w:val="0"/>
        <w:autoSpaceDN w:val="0"/>
        <w:adjustRightInd w:val="0"/>
        <w:ind w:left="851"/>
        <w:rPr>
          <w:color w:val="010202"/>
          <w:sz w:val="24"/>
          <w:szCs w:val="24"/>
        </w:rPr>
      </w:pPr>
    </w:p>
    <w:p w:rsidR="002929E3" w:rsidRPr="008E0C19" w:rsidRDefault="002929E3" w:rsidP="002929E3">
      <w:pPr>
        <w:tabs>
          <w:tab w:val="left" w:pos="851"/>
          <w:tab w:val="left" w:pos="1205"/>
        </w:tabs>
        <w:ind w:left="851"/>
        <w:jc w:val="both"/>
        <w:rPr>
          <w:spacing w:val="-3"/>
          <w:sz w:val="24"/>
          <w:szCs w:val="24"/>
          <w:lang w:eastAsia="da-DK"/>
        </w:rPr>
      </w:pPr>
      <w:r w:rsidRPr="008E0C19">
        <w:rPr>
          <w:spacing w:val="-3"/>
          <w:sz w:val="24"/>
          <w:szCs w:val="24"/>
          <w:u w:val="single"/>
        </w:rPr>
        <w:t>Klinisk virkning og sikkerhed</w:t>
      </w:r>
    </w:p>
    <w:p w:rsidR="002929E3" w:rsidRPr="008E0C19" w:rsidRDefault="002929E3" w:rsidP="002929E3">
      <w:pPr>
        <w:autoSpaceDE w:val="0"/>
        <w:autoSpaceDN w:val="0"/>
        <w:adjustRightInd w:val="0"/>
        <w:ind w:left="851"/>
        <w:rPr>
          <w:color w:val="010202"/>
          <w:sz w:val="24"/>
          <w:szCs w:val="24"/>
        </w:rPr>
      </w:pPr>
      <w:r w:rsidRPr="008E0C19">
        <w:rPr>
          <w:color w:val="010202"/>
          <w:sz w:val="24"/>
          <w:szCs w:val="24"/>
        </w:rPr>
        <w:t xml:space="preserve">I studier med voksne udviste 10 mg </w:t>
      </w:r>
      <w:proofErr w:type="spellStart"/>
      <w:r w:rsidRPr="008E0C19">
        <w:rPr>
          <w:color w:val="010202"/>
          <w:sz w:val="24"/>
          <w:szCs w:val="24"/>
        </w:rPr>
        <w:t>montelukast</w:t>
      </w:r>
      <w:proofErr w:type="spellEnd"/>
      <w:r w:rsidRPr="008E0C19">
        <w:rPr>
          <w:color w:val="010202"/>
          <w:sz w:val="24"/>
          <w:szCs w:val="24"/>
        </w:rPr>
        <w:t xml:space="preserve"> én gang dagligt signifikant forbedring i morgen- FEV</w:t>
      </w:r>
      <w:r w:rsidRPr="008E0C19">
        <w:rPr>
          <w:color w:val="010202"/>
          <w:sz w:val="24"/>
          <w:szCs w:val="24"/>
          <w:vertAlign w:val="subscript"/>
        </w:rPr>
        <w:t>1</w:t>
      </w:r>
      <w:r w:rsidRPr="008E0C19">
        <w:rPr>
          <w:color w:val="010202"/>
          <w:sz w:val="24"/>
          <w:szCs w:val="24"/>
        </w:rPr>
        <w:t xml:space="preserve"> i sammenligning med placebo (10,4 % versus 2,7 % ændring fra baseline) samt i </w:t>
      </w:r>
      <w:proofErr w:type="spellStart"/>
      <w:r w:rsidRPr="008E0C19">
        <w:rPr>
          <w:color w:val="010202"/>
          <w:sz w:val="24"/>
          <w:szCs w:val="24"/>
        </w:rPr>
        <w:t>morgenekspiratorisk</w:t>
      </w:r>
      <w:proofErr w:type="spellEnd"/>
      <w:r w:rsidRPr="008E0C19">
        <w:rPr>
          <w:color w:val="010202"/>
          <w:sz w:val="24"/>
          <w:szCs w:val="24"/>
        </w:rPr>
        <w:t xml:space="preserve"> peak-flow-hastighed (PEFR) (24,5 l/min versus 3,3 l/min </w:t>
      </w:r>
      <w:r w:rsidRPr="008E0C19">
        <w:rPr>
          <w:color w:val="010202"/>
          <w:sz w:val="24"/>
          <w:szCs w:val="24"/>
        </w:rPr>
        <w:lastRenderedPageBreak/>
        <w:t>ændring fra baseline) og et signifikant fald i total β-agonist-anvendelse (-26,1 % versus -4,6 % ændring fra baseline). Forbedring i patientrapporteret dag- og natastmasymptom-score var signifikant bedre end med placebo.</w:t>
      </w:r>
    </w:p>
    <w:p w:rsidR="002929E3" w:rsidRPr="008E0C19" w:rsidRDefault="002929E3" w:rsidP="002929E3">
      <w:pPr>
        <w:tabs>
          <w:tab w:val="left" w:pos="3852"/>
        </w:tabs>
        <w:ind w:left="851"/>
        <w:rPr>
          <w:i/>
          <w:iCs/>
          <w:color w:val="010202"/>
          <w:sz w:val="24"/>
          <w:szCs w:val="24"/>
          <w:u w:val="single"/>
        </w:rPr>
      </w:pPr>
    </w:p>
    <w:p w:rsidR="002929E3" w:rsidRPr="008E0C19" w:rsidRDefault="002929E3" w:rsidP="002929E3">
      <w:pPr>
        <w:tabs>
          <w:tab w:val="left" w:pos="3852"/>
        </w:tabs>
        <w:ind w:left="851"/>
        <w:rPr>
          <w:color w:val="010202"/>
          <w:sz w:val="24"/>
          <w:szCs w:val="24"/>
        </w:rPr>
      </w:pPr>
      <w:r w:rsidRPr="008E0C19">
        <w:rPr>
          <w:color w:val="010202"/>
          <w:sz w:val="24"/>
          <w:szCs w:val="24"/>
        </w:rPr>
        <w:t xml:space="preserve">Kliniske studier med voksne patienter demonstrerede </w:t>
      </w:r>
      <w:proofErr w:type="spellStart"/>
      <w:r w:rsidRPr="008E0C19">
        <w:rPr>
          <w:color w:val="010202"/>
          <w:sz w:val="24"/>
          <w:szCs w:val="24"/>
        </w:rPr>
        <w:t>montelukasts</w:t>
      </w:r>
      <w:proofErr w:type="spellEnd"/>
      <w:r w:rsidRPr="008E0C19">
        <w:rPr>
          <w:color w:val="010202"/>
          <w:sz w:val="24"/>
          <w:szCs w:val="24"/>
        </w:rPr>
        <w:t xml:space="preserve"> evne til at supplere den kliniske effekt af </w:t>
      </w:r>
      <w:proofErr w:type="spellStart"/>
      <w:r w:rsidRPr="008E0C19">
        <w:rPr>
          <w:color w:val="010202"/>
          <w:sz w:val="24"/>
          <w:szCs w:val="24"/>
        </w:rPr>
        <w:t>inhalationskortikosteroider</w:t>
      </w:r>
      <w:proofErr w:type="spellEnd"/>
      <w:r w:rsidRPr="008E0C19">
        <w:rPr>
          <w:color w:val="010202"/>
          <w:sz w:val="24"/>
          <w:szCs w:val="24"/>
        </w:rPr>
        <w:t xml:space="preserve"> (%-ændring fra baseline for </w:t>
      </w:r>
      <w:proofErr w:type="spellStart"/>
      <w:r w:rsidRPr="008E0C19">
        <w:rPr>
          <w:color w:val="010202"/>
          <w:sz w:val="24"/>
          <w:szCs w:val="24"/>
        </w:rPr>
        <w:t>inhalationsbeclomethason</w:t>
      </w:r>
      <w:proofErr w:type="spellEnd"/>
      <w:r w:rsidRPr="008E0C19">
        <w:rPr>
          <w:color w:val="010202"/>
          <w:sz w:val="24"/>
          <w:szCs w:val="24"/>
        </w:rPr>
        <w:t xml:space="preserve"> plus </w:t>
      </w:r>
      <w:proofErr w:type="spellStart"/>
      <w:r w:rsidRPr="008E0C19">
        <w:rPr>
          <w:color w:val="010202"/>
          <w:sz w:val="24"/>
          <w:szCs w:val="24"/>
        </w:rPr>
        <w:t>montelukast</w:t>
      </w:r>
      <w:proofErr w:type="spellEnd"/>
      <w:r w:rsidRPr="008E0C19">
        <w:rPr>
          <w:color w:val="010202"/>
          <w:sz w:val="24"/>
          <w:szCs w:val="24"/>
        </w:rPr>
        <w:t xml:space="preserve"> versus </w:t>
      </w:r>
      <w:proofErr w:type="spellStart"/>
      <w:r w:rsidRPr="008E0C19">
        <w:rPr>
          <w:color w:val="010202"/>
          <w:sz w:val="24"/>
          <w:szCs w:val="24"/>
        </w:rPr>
        <w:t>beclomethason</w:t>
      </w:r>
      <w:proofErr w:type="spellEnd"/>
      <w:r w:rsidRPr="008E0C19">
        <w:rPr>
          <w:color w:val="010202"/>
          <w:sz w:val="24"/>
          <w:szCs w:val="24"/>
        </w:rPr>
        <w:t>, henholdsvis for FEV</w:t>
      </w:r>
      <w:r w:rsidRPr="008E0C19">
        <w:rPr>
          <w:color w:val="010202"/>
          <w:sz w:val="24"/>
          <w:szCs w:val="24"/>
          <w:vertAlign w:val="subscript"/>
        </w:rPr>
        <w:t>1</w:t>
      </w:r>
      <w:r w:rsidRPr="008E0C19">
        <w:rPr>
          <w:color w:val="010202"/>
          <w:sz w:val="24"/>
          <w:szCs w:val="24"/>
        </w:rPr>
        <w:t xml:space="preserve">: 5,43 % versus 1,04 %; β-agonist-anvendelse: -8,70 % versus 2,64 %). I sammenligning med </w:t>
      </w:r>
      <w:proofErr w:type="spellStart"/>
      <w:r w:rsidRPr="008E0C19">
        <w:rPr>
          <w:color w:val="010202"/>
          <w:sz w:val="24"/>
          <w:szCs w:val="24"/>
        </w:rPr>
        <w:t>inhalationsbeclomethason</w:t>
      </w:r>
      <w:proofErr w:type="spellEnd"/>
      <w:r w:rsidRPr="008E0C19">
        <w:rPr>
          <w:color w:val="010202"/>
          <w:sz w:val="24"/>
          <w:szCs w:val="24"/>
        </w:rPr>
        <w:t xml:space="preserve"> (200 µg 2 gange dagligt med </w:t>
      </w:r>
      <w:proofErr w:type="spellStart"/>
      <w:r w:rsidRPr="008E0C19">
        <w:rPr>
          <w:color w:val="010202"/>
          <w:sz w:val="24"/>
          <w:szCs w:val="24"/>
        </w:rPr>
        <w:t>spacer</w:t>
      </w:r>
      <w:proofErr w:type="spellEnd"/>
      <w:r w:rsidRPr="008E0C19">
        <w:rPr>
          <w:color w:val="010202"/>
          <w:sz w:val="24"/>
          <w:szCs w:val="24"/>
        </w:rPr>
        <w:t xml:space="preserve">) viste </w:t>
      </w:r>
      <w:proofErr w:type="spellStart"/>
      <w:r w:rsidRPr="008E0C19">
        <w:rPr>
          <w:color w:val="010202"/>
          <w:sz w:val="24"/>
          <w:szCs w:val="24"/>
        </w:rPr>
        <w:t>montelukast</w:t>
      </w:r>
      <w:proofErr w:type="spellEnd"/>
      <w:r w:rsidRPr="008E0C19">
        <w:rPr>
          <w:color w:val="010202"/>
          <w:sz w:val="24"/>
          <w:szCs w:val="24"/>
        </w:rPr>
        <w:t xml:space="preserve"> hurtigere initial respons, selvom </w:t>
      </w:r>
      <w:proofErr w:type="spellStart"/>
      <w:r w:rsidRPr="008E0C19">
        <w:rPr>
          <w:color w:val="010202"/>
          <w:sz w:val="24"/>
          <w:szCs w:val="24"/>
        </w:rPr>
        <w:t>beclomethason</w:t>
      </w:r>
      <w:proofErr w:type="spellEnd"/>
      <w:r w:rsidRPr="008E0C19">
        <w:rPr>
          <w:color w:val="010202"/>
          <w:sz w:val="24"/>
          <w:szCs w:val="24"/>
        </w:rPr>
        <w:t xml:space="preserve"> i 12-ugers studiet gav større gennemsnitlig behandlingseffekt (%-ændring fra baseline for </w:t>
      </w:r>
      <w:proofErr w:type="spellStart"/>
      <w:r w:rsidRPr="008E0C19">
        <w:rPr>
          <w:color w:val="010202"/>
          <w:sz w:val="24"/>
          <w:szCs w:val="24"/>
        </w:rPr>
        <w:t>montelukast</w:t>
      </w:r>
      <w:proofErr w:type="spellEnd"/>
      <w:r w:rsidRPr="008E0C19">
        <w:rPr>
          <w:color w:val="010202"/>
          <w:sz w:val="24"/>
          <w:szCs w:val="24"/>
        </w:rPr>
        <w:t xml:space="preserve"> versus </w:t>
      </w:r>
      <w:proofErr w:type="spellStart"/>
      <w:r w:rsidRPr="008E0C19">
        <w:rPr>
          <w:color w:val="010202"/>
          <w:sz w:val="24"/>
          <w:szCs w:val="24"/>
        </w:rPr>
        <w:t>beclomethason</w:t>
      </w:r>
      <w:proofErr w:type="spellEnd"/>
      <w:r w:rsidRPr="008E0C19">
        <w:rPr>
          <w:color w:val="010202"/>
          <w:sz w:val="24"/>
          <w:szCs w:val="24"/>
        </w:rPr>
        <w:t xml:space="preserve"> henholdsvis for FEV</w:t>
      </w:r>
      <w:r w:rsidRPr="008E0C19">
        <w:rPr>
          <w:color w:val="010202"/>
          <w:sz w:val="24"/>
          <w:szCs w:val="24"/>
          <w:vertAlign w:val="subscript"/>
        </w:rPr>
        <w:t>1</w:t>
      </w:r>
      <w:r w:rsidRPr="008E0C19">
        <w:rPr>
          <w:color w:val="010202"/>
          <w:sz w:val="24"/>
          <w:szCs w:val="24"/>
        </w:rPr>
        <w:t xml:space="preserve">: 7,49 % versus 13,3 %; β-agonistanvendelse: -28,28 % versus -43,89 %). Sammenlignet med </w:t>
      </w:r>
      <w:proofErr w:type="spellStart"/>
      <w:r w:rsidRPr="008E0C19">
        <w:rPr>
          <w:color w:val="010202"/>
          <w:sz w:val="24"/>
          <w:szCs w:val="24"/>
        </w:rPr>
        <w:t>beclomethason</w:t>
      </w:r>
      <w:proofErr w:type="spellEnd"/>
      <w:r w:rsidRPr="008E0C19">
        <w:rPr>
          <w:color w:val="010202"/>
          <w:sz w:val="24"/>
          <w:szCs w:val="24"/>
        </w:rPr>
        <w:t xml:space="preserve"> opnåede en høj procentdel af de patienter, der behandledes med </w:t>
      </w:r>
      <w:proofErr w:type="spellStart"/>
      <w:r w:rsidRPr="008E0C19">
        <w:rPr>
          <w:color w:val="010202"/>
          <w:sz w:val="24"/>
          <w:szCs w:val="24"/>
        </w:rPr>
        <w:t>montelukast</w:t>
      </w:r>
      <w:proofErr w:type="spellEnd"/>
      <w:r w:rsidRPr="008E0C19">
        <w:rPr>
          <w:color w:val="010202"/>
          <w:sz w:val="24"/>
          <w:szCs w:val="24"/>
        </w:rPr>
        <w:t xml:space="preserve">, imidlertid tilsvarende klinisk respons (dvs. 50 % af patienterne behandlet med </w:t>
      </w:r>
      <w:proofErr w:type="spellStart"/>
      <w:r w:rsidRPr="008E0C19">
        <w:rPr>
          <w:color w:val="010202"/>
          <w:sz w:val="24"/>
          <w:szCs w:val="24"/>
        </w:rPr>
        <w:t>beclomethason</w:t>
      </w:r>
      <w:proofErr w:type="spellEnd"/>
      <w:r w:rsidRPr="008E0C19">
        <w:rPr>
          <w:color w:val="010202"/>
          <w:sz w:val="24"/>
          <w:szCs w:val="24"/>
        </w:rPr>
        <w:t xml:space="preserve"> opnåede en forbedring i FEV</w:t>
      </w:r>
      <w:r w:rsidRPr="008E0C19">
        <w:rPr>
          <w:color w:val="010202"/>
          <w:sz w:val="24"/>
          <w:szCs w:val="24"/>
          <w:vertAlign w:val="subscript"/>
        </w:rPr>
        <w:t xml:space="preserve">1 </w:t>
      </w:r>
      <w:r w:rsidRPr="008E0C19">
        <w:rPr>
          <w:color w:val="010202"/>
          <w:sz w:val="24"/>
          <w:szCs w:val="24"/>
        </w:rPr>
        <w:t xml:space="preserve">på ca. 11 % eller mere i forhold til baseline, mens ca. 42 % af patienterne behandlet med </w:t>
      </w:r>
      <w:proofErr w:type="spellStart"/>
      <w:r w:rsidRPr="008E0C19">
        <w:rPr>
          <w:color w:val="010202"/>
          <w:sz w:val="24"/>
          <w:szCs w:val="24"/>
        </w:rPr>
        <w:t>montelukast</w:t>
      </w:r>
      <w:proofErr w:type="spellEnd"/>
      <w:r w:rsidRPr="008E0C19">
        <w:rPr>
          <w:color w:val="010202"/>
          <w:sz w:val="24"/>
          <w:szCs w:val="24"/>
        </w:rPr>
        <w:t xml:space="preserve"> opnåede samme respons).</w:t>
      </w:r>
    </w:p>
    <w:p w:rsidR="002929E3" w:rsidRPr="008E0C19" w:rsidRDefault="002929E3" w:rsidP="002929E3">
      <w:pPr>
        <w:tabs>
          <w:tab w:val="left" w:pos="3852"/>
        </w:tabs>
        <w:ind w:left="851"/>
        <w:rPr>
          <w:color w:val="010202"/>
          <w:sz w:val="24"/>
          <w:szCs w:val="24"/>
        </w:rPr>
      </w:pPr>
    </w:p>
    <w:p w:rsidR="002929E3" w:rsidRPr="008E0C19" w:rsidRDefault="002929E3" w:rsidP="002929E3">
      <w:pPr>
        <w:tabs>
          <w:tab w:val="left" w:pos="1440"/>
          <w:tab w:val="left" w:pos="3852"/>
        </w:tabs>
        <w:ind w:left="851"/>
        <w:rPr>
          <w:color w:val="010202"/>
          <w:sz w:val="24"/>
          <w:szCs w:val="24"/>
          <w:lang w:val="nb-NO"/>
        </w:rPr>
      </w:pPr>
      <w:r w:rsidRPr="008E0C19">
        <w:rPr>
          <w:color w:val="010202"/>
          <w:sz w:val="24"/>
          <w:szCs w:val="24"/>
        </w:rPr>
        <w:t xml:space="preserve">Der er blevet gennemført et klinisk studie for at evaluere </w:t>
      </w:r>
      <w:proofErr w:type="spellStart"/>
      <w:r w:rsidRPr="008E0C19">
        <w:rPr>
          <w:color w:val="010202"/>
          <w:sz w:val="24"/>
          <w:szCs w:val="24"/>
        </w:rPr>
        <w:t>montelukast</w:t>
      </w:r>
      <w:proofErr w:type="spellEnd"/>
      <w:r w:rsidRPr="008E0C19">
        <w:rPr>
          <w:color w:val="010202"/>
          <w:sz w:val="24"/>
          <w:szCs w:val="24"/>
        </w:rPr>
        <w:t xml:space="preserve"> som symptomatisk behandling af sæsonbetinget allergisk </w:t>
      </w:r>
      <w:proofErr w:type="spellStart"/>
      <w:r w:rsidRPr="008E0C19">
        <w:rPr>
          <w:color w:val="010202"/>
          <w:sz w:val="24"/>
          <w:szCs w:val="24"/>
        </w:rPr>
        <w:t>rhinitis</w:t>
      </w:r>
      <w:proofErr w:type="spellEnd"/>
      <w:r w:rsidRPr="008E0C19">
        <w:rPr>
          <w:color w:val="010202"/>
          <w:sz w:val="24"/>
          <w:szCs w:val="24"/>
        </w:rPr>
        <w:t xml:space="preserve"> hos voksne og unge astmapatienter fra 15 år og ældre med samtidig sæsonbetinget allergisk </w:t>
      </w:r>
      <w:proofErr w:type="spellStart"/>
      <w:r w:rsidRPr="008E0C19">
        <w:rPr>
          <w:color w:val="010202"/>
          <w:sz w:val="24"/>
          <w:szCs w:val="24"/>
        </w:rPr>
        <w:t>rhinitis</w:t>
      </w:r>
      <w:proofErr w:type="spellEnd"/>
      <w:r w:rsidRPr="008E0C19">
        <w:rPr>
          <w:color w:val="010202"/>
          <w:sz w:val="24"/>
          <w:szCs w:val="24"/>
        </w:rPr>
        <w:t xml:space="preserve">. I dette studie viste </w:t>
      </w:r>
      <w:proofErr w:type="spellStart"/>
      <w:r w:rsidRPr="008E0C19">
        <w:rPr>
          <w:color w:val="010202"/>
          <w:sz w:val="24"/>
          <w:szCs w:val="24"/>
        </w:rPr>
        <w:t>montelukast</w:t>
      </w:r>
      <w:proofErr w:type="spellEnd"/>
      <w:r w:rsidRPr="008E0C19">
        <w:rPr>
          <w:color w:val="010202"/>
          <w:sz w:val="24"/>
          <w:szCs w:val="24"/>
        </w:rPr>
        <w:t xml:space="preserve"> 10 mg tabletter administreret én gang dagligt en statistisk signifikant forbedring i daglig </w:t>
      </w:r>
      <w:proofErr w:type="spellStart"/>
      <w:r w:rsidRPr="008E0C19">
        <w:rPr>
          <w:color w:val="010202"/>
          <w:sz w:val="24"/>
          <w:szCs w:val="24"/>
        </w:rPr>
        <w:t>rhinitis</w:t>
      </w:r>
      <w:proofErr w:type="spellEnd"/>
      <w:r w:rsidRPr="008E0C19">
        <w:rPr>
          <w:color w:val="010202"/>
          <w:sz w:val="24"/>
          <w:szCs w:val="24"/>
        </w:rPr>
        <w:t xml:space="preserve">-symptomscore, sammenlignet med placebo. Den daglige </w:t>
      </w:r>
      <w:proofErr w:type="spellStart"/>
      <w:r w:rsidRPr="008E0C19">
        <w:rPr>
          <w:color w:val="010202"/>
          <w:sz w:val="24"/>
          <w:szCs w:val="24"/>
        </w:rPr>
        <w:t>rhinitis</w:t>
      </w:r>
      <w:proofErr w:type="spellEnd"/>
      <w:r w:rsidRPr="008E0C19">
        <w:rPr>
          <w:color w:val="010202"/>
          <w:sz w:val="24"/>
          <w:szCs w:val="24"/>
        </w:rPr>
        <w:t xml:space="preserve">-symptomscore er gennemsnittet af nasalsymptomscore i dagtimerne (gennemsnit af nasal kongestion, </w:t>
      </w:r>
      <w:proofErr w:type="spellStart"/>
      <w:r w:rsidRPr="008E0C19">
        <w:rPr>
          <w:color w:val="010202"/>
          <w:sz w:val="24"/>
          <w:szCs w:val="24"/>
        </w:rPr>
        <w:t>rhinoré</w:t>
      </w:r>
      <w:proofErr w:type="spellEnd"/>
      <w:r w:rsidRPr="008E0C19">
        <w:rPr>
          <w:color w:val="010202"/>
          <w:sz w:val="24"/>
          <w:szCs w:val="24"/>
        </w:rPr>
        <w:t xml:space="preserve">, </w:t>
      </w:r>
      <w:proofErr w:type="spellStart"/>
      <w:r w:rsidRPr="008E0C19">
        <w:rPr>
          <w:color w:val="010202"/>
          <w:sz w:val="24"/>
          <w:szCs w:val="24"/>
        </w:rPr>
        <w:t>nysen</w:t>
      </w:r>
      <w:proofErr w:type="spellEnd"/>
      <w:r w:rsidRPr="008E0C19">
        <w:rPr>
          <w:color w:val="010202"/>
          <w:sz w:val="24"/>
          <w:szCs w:val="24"/>
        </w:rPr>
        <w:t xml:space="preserve">, næsekløe) og natlig symptomscore (gennemsnit af nasal kongestion ved opvågning, besvær med at falde i søvn og opvågninger i løbet af natten). Globale evalueringer af allergisk </w:t>
      </w:r>
      <w:proofErr w:type="spellStart"/>
      <w:r w:rsidRPr="008E0C19">
        <w:rPr>
          <w:color w:val="010202"/>
          <w:sz w:val="24"/>
          <w:szCs w:val="24"/>
        </w:rPr>
        <w:t>rhinitis</w:t>
      </w:r>
      <w:proofErr w:type="spellEnd"/>
      <w:r w:rsidRPr="008E0C19">
        <w:rPr>
          <w:color w:val="010202"/>
          <w:sz w:val="24"/>
          <w:szCs w:val="24"/>
        </w:rPr>
        <w:t xml:space="preserve"> af patienter og læger viste signifikant forbedring i sammenligning med placebo. </w:t>
      </w:r>
      <w:r w:rsidRPr="008E0C19">
        <w:rPr>
          <w:color w:val="010202"/>
          <w:sz w:val="24"/>
          <w:szCs w:val="24"/>
          <w:lang w:val="nb-NO"/>
        </w:rPr>
        <w:t xml:space="preserve">Evalueringen af effekten på astma var ikke et primært mål i dette studie. </w:t>
      </w:r>
    </w:p>
    <w:p w:rsidR="002929E3" w:rsidRPr="008E0C19" w:rsidRDefault="002929E3" w:rsidP="002929E3">
      <w:pPr>
        <w:tabs>
          <w:tab w:val="left" w:pos="1440"/>
          <w:tab w:val="left" w:pos="3852"/>
        </w:tabs>
        <w:ind w:left="851"/>
        <w:rPr>
          <w:color w:val="010202"/>
          <w:sz w:val="24"/>
          <w:szCs w:val="24"/>
          <w:lang w:val="nb-NO"/>
        </w:rPr>
      </w:pPr>
    </w:p>
    <w:p w:rsidR="002929E3" w:rsidRPr="008E0C19" w:rsidRDefault="002929E3" w:rsidP="002929E3">
      <w:pPr>
        <w:tabs>
          <w:tab w:val="left" w:pos="3852"/>
        </w:tabs>
        <w:ind w:left="851"/>
        <w:rPr>
          <w:color w:val="010202"/>
          <w:sz w:val="24"/>
          <w:szCs w:val="24"/>
        </w:rPr>
      </w:pPr>
      <w:r w:rsidRPr="008E0C19">
        <w:rPr>
          <w:color w:val="010202"/>
          <w:sz w:val="24"/>
          <w:szCs w:val="24"/>
        </w:rPr>
        <w:t xml:space="preserve">I et 8-ugers studie med pædiatriske patienter i alderen 6 til 14 år forbedrede </w:t>
      </w:r>
      <w:proofErr w:type="spellStart"/>
      <w:r w:rsidRPr="008E0C19">
        <w:rPr>
          <w:color w:val="010202"/>
          <w:sz w:val="24"/>
          <w:szCs w:val="24"/>
        </w:rPr>
        <w:t>montelukast</w:t>
      </w:r>
      <w:proofErr w:type="spellEnd"/>
      <w:r w:rsidRPr="008E0C19">
        <w:rPr>
          <w:color w:val="010202"/>
          <w:sz w:val="24"/>
          <w:szCs w:val="24"/>
        </w:rPr>
        <w:t xml:space="preserve"> 5 mg én gang dagligt signifikant respirationsfunktionen (FEV</w:t>
      </w:r>
      <w:r w:rsidRPr="008E0C19">
        <w:rPr>
          <w:color w:val="010202"/>
          <w:sz w:val="24"/>
          <w:szCs w:val="24"/>
          <w:vertAlign w:val="subscript"/>
        </w:rPr>
        <w:t>1</w:t>
      </w:r>
      <w:r w:rsidRPr="008E0C19">
        <w:rPr>
          <w:color w:val="010202"/>
          <w:sz w:val="24"/>
          <w:szCs w:val="24"/>
        </w:rPr>
        <w:t xml:space="preserve"> 8,71 % vs. 4,16 % ændring fra baseline; morgen-PEFR 27,9 l/min vs. 17,8 l/min ændring fra baseline) og nedsat behov for anvendelse af “efter behov”-β-agonister (-11,7 % vs. +8,2 % ændring fra baseline) sammenlignet med placebo.</w:t>
      </w:r>
    </w:p>
    <w:p w:rsidR="002929E3" w:rsidRPr="008E0C19" w:rsidRDefault="002929E3" w:rsidP="002929E3">
      <w:pPr>
        <w:tabs>
          <w:tab w:val="left" w:pos="3852"/>
        </w:tabs>
        <w:ind w:left="851"/>
        <w:rPr>
          <w:color w:val="010202"/>
          <w:sz w:val="24"/>
          <w:szCs w:val="24"/>
        </w:rPr>
      </w:pPr>
    </w:p>
    <w:p w:rsidR="002929E3" w:rsidRPr="008E0C19" w:rsidRDefault="002929E3" w:rsidP="002929E3">
      <w:pPr>
        <w:tabs>
          <w:tab w:val="left" w:pos="3852"/>
        </w:tabs>
        <w:ind w:left="851"/>
        <w:rPr>
          <w:color w:val="010202"/>
          <w:sz w:val="24"/>
          <w:szCs w:val="24"/>
        </w:rPr>
      </w:pPr>
      <w:r w:rsidRPr="008E0C19">
        <w:rPr>
          <w:color w:val="010202"/>
          <w:sz w:val="24"/>
          <w:szCs w:val="24"/>
        </w:rPr>
        <w:t xml:space="preserve">Et 12-ugers studie med voksne viste signifikant reduktion i anstrengelsesudløst </w:t>
      </w:r>
      <w:proofErr w:type="spellStart"/>
      <w:r w:rsidRPr="008E0C19">
        <w:rPr>
          <w:color w:val="010202"/>
          <w:sz w:val="24"/>
          <w:szCs w:val="24"/>
        </w:rPr>
        <w:t>bronkokonstriktion</w:t>
      </w:r>
      <w:proofErr w:type="spellEnd"/>
      <w:r w:rsidRPr="008E0C19">
        <w:rPr>
          <w:color w:val="010202"/>
          <w:sz w:val="24"/>
          <w:szCs w:val="24"/>
        </w:rPr>
        <w:t xml:space="preserve"> (maksimalt fald i FEV</w:t>
      </w:r>
      <w:r w:rsidRPr="008E0C19">
        <w:rPr>
          <w:color w:val="010202"/>
          <w:sz w:val="24"/>
          <w:szCs w:val="24"/>
          <w:vertAlign w:val="subscript"/>
        </w:rPr>
        <w:t>1</w:t>
      </w:r>
      <w:r w:rsidRPr="008E0C19">
        <w:rPr>
          <w:color w:val="010202"/>
          <w:sz w:val="24"/>
          <w:szCs w:val="24"/>
        </w:rPr>
        <w:t xml:space="preserve"> 22,33 % for </w:t>
      </w:r>
      <w:proofErr w:type="spellStart"/>
      <w:r w:rsidRPr="008E0C19">
        <w:rPr>
          <w:color w:val="010202"/>
          <w:sz w:val="24"/>
          <w:szCs w:val="24"/>
        </w:rPr>
        <w:t>montelukast</w:t>
      </w:r>
      <w:proofErr w:type="spellEnd"/>
      <w:r w:rsidRPr="008E0C19">
        <w:rPr>
          <w:color w:val="010202"/>
          <w:sz w:val="24"/>
          <w:szCs w:val="24"/>
        </w:rPr>
        <w:t xml:space="preserve"> versus 32,40 % for placebo; tid til restitution til inden for 5 % af baseline FEV</w:t>
      </w:r>
      <w:r w:rsidRPr="008E0C19">
        <w:rPr>
          <w:color w:val="010202"/>
          <w:sz w:val="24"/>
          <w:szCs w:val="24"/>
          <w:vertAlign w:val="subscript"/>
        </w:rPr>
        <w:t>1</w:t>
      </w:r>
      <w:r w:rsidRPr="008E0C19">
        <w:rPr>
          <w:color w:val="010202"/>
          <w:sz w:val="24"/>
          <w:szCs w:val="24"/>
        </w:rPr>
        <w:t xml:space="preserve"> 44,22 min versus 60,64 min). Denne effekt varede ved gennem alle 12 uger. Reduktion i anstrengelsesudløst </w:t>
      </w:r>
      <w:proofErr w:type="spellStart"/>
      <w:r w:rsidRPr="008E0C19">
        <w:rPr>
          <w:color w:val="010202"/>
          <w:sz w:val="24"/>
          <w:szCs w:val="24"/>
        </w:rPr>
        <w:t>bronkokonstriktion</w:t>
      </w:r>
      <w:proofErr w:type="spellEnd"/>
      <w:r w:rsidRPr="008E0C19">
        <w:rPr>
          <w:color w:val="010202"/>
          <w:sz w:val="24"/>
          <w:szCs w:val="24"/>
        </w:rPr>
        <w:t xml:space="preserve"> blev også demonstreret i en korttidsundersøgelse med pædiatriske patienter (maksimalt fald i FEV</w:t>
      </w:r>
      <w:r w:rsidRPr="008E0C19">
        <w:rPr>
          <w:color w:val="010202"/>
          <w:sz w:val="24"/>
          <w:szCs w:val="24"/>
          <w:vertAlign w:val="subscript"/>
        </w:rPr>
        <w:t xml:space="preserve">1 </w:t>
      </w:r>
      <w:r w:rsidRPr="008E0C19">
        <w:rPr>
          <w:color w:val="010202"/>
          <w:sz w:val="24"/>
          <w:szCs w:val="24"/>
        </w:rPr>
        <w:t>18,27 % versus 26,11 %; tid til restitution til inden for 5 % af baseline FEV</w:t>
      </w:r>
      <w:r w:rsidRPr="008E0C19">
        <w:rPr>
          <w:color w:val="010202"/>
          <w:sz w:val="24"/>
          <w:szCs w:val="24"/>
          <w:vertAlign w:val="subscript"/>
        </w:rPr>
        <w:t xml:space="preserve">1 </w:t>
      </w:r>
      <w:r w:rsidRPr="008E0C19">
        <w:rPr>
          <w:color w:val="010202"/>
          <w:sz w:val="24"/>
          <w:szCs w:val="24"/>
        </w:rPr>
        <w:t>17,76 min versus 27,98 min). I begge studier blev effekten vist i slutningen af doseringsintervallet ved en dosis en gang dagligt.</w:t>
      </w:r>
    </w:p>
    <w:p w:rsidR="002929E3" w:rsidRPr="008E0C19" w:rsidRDefault="002929E3" w:rsidP="002929E3">
      <w:pPr>
        <w:tabs>
          <w:tab w:val="left" w:pos="3852"/>
        </w:tabs>
        <w:ind w:left="851"/>
        <w:rPr>
          <w:color w:val="010202"/>
          <w:sz w:val="24"/>
          <w:szCs w:val="24"/>
        </w:rPr>
      </w:pPr>
    </w:p>
    <w:p w:rsidR="009E4309" w:rsidRPr="007011C8" w:rsidRDefault="007011C8" w:rsidP="007011C8">
      <w:pPr>
        <w:tabs>
          <w:tab w:val="left" w:pos="3852"/>
        </w:tabs>
        <w:ind w:left="851"/>
        <w:rPr>
          <w:color w:val="010202"/>
          <w:sz w:val="24"/>
          <w:szCs w:val="24"/>
        </w:rPr>
      </w:pPr>
      <w:r>
        <w:rPr>
          <w:color w:val="010202"/>
          <w:sz w:val="24"/>
          <w:szCs w:val="24"/>
        </w:rPr>
        <w:t xml:space="preserve">Hos aspirinfølsomme astmapatienter, som samtidig fik </w:t>
      </w:r>
      <w:proofErr w:type="spellStart"/>
      <w:r>
        <w:rPr>
          <w:color w:val="010202"/>
          <w:sz w:val="24"/>
          <w:szCs w:val="24"/>
        </w:rPr>
        <w:t>inhalationskortikosteroider</w:t>
      </w:r>
      <w:proofErr w:type="spellEnd"/>
      <w:r>
        <w:rPr>
          <w:color w:val="010202"/>
          <w:sz w:val="24"/>
          <w:szCs w:val="24"/>
        </w:rPr>
        <w:t xml:space="preserve"> og/eller orale </w:t>
      </w:r>
      <w:proofErr w:type="spellStart"/>
      <w:r>
        <w:rPr>
          <w:color w:val="010202"/>
          <w:sz w:val="24"/>
          <w:szCs w:val="24"/>
        </w:rPr>
        <w:t>kortikosteroider</w:t>
      </w:r>
      <w:proofErr w:type="spellEnd"/>
      <w:r>
        <w:rPr>
          <w:color w:val="010202"/>
          <w:sz w:val="24"/>
          <w:szCs w:val="24"/>
        </w:rPr>
        <w:t xml:space="preserve">, resulterede behandling med </w:t>
      </w:r>
      <w:proofErr w:type="spellStart"/>
      <w:r>
        <w:rPr>
          <w:color w:val="010202"/>
          <w:sz w:val="24"/>
          <w:szCs w:val="24"/>
        </w:rPr>
        <w:t>montelukast</w:t>
      </w:r>
      <w:proofErr w:type="spellEnd"/>
      <w:r>
        <w:rPr>
          <w:color w:val="010202"/>
          <w:sz w:val="24"/>
          <w:szCs w:val="24"/>
        </w:rPr>
        <w:t xml:space="preserve"> i signifikant forbedring i astmakontrollen (FEV</w:t>
      </w:r>
      <w:r>
        <w:rPr>
          <w:color w:val="010202"/>
          <w:sz w:val="24"/>
          <w:szCs w:val="24"/>
          <w:vertAlign w:val="subscript"/>
        </w:rPr>
        <w:t>1</w:t>
      </w:r>
      <w:r>
        <w:rPr>
          <w:color w:val="010202"/>
          <w:sz w:val="24"/>
          <w:szCs w:val="24"/>
        </w:rPr>
        <w:t xml:space="preserve"> 8,55 % versus -1,74 % ændring fra baseline og fald i total brug af β-agonist-anvendelse -27,78 % versus 2,09 % ændring fra baseline) sammenlignet med placebo.</w:t>
      </w:r>
      <w:r w:rsidR="009E4309">
        <w:rPr>
          <w:sz w:val="24"/>
          <w:szCs w:val="24"/>
        </w:rPr>
        <w:br w:type="page"/>
      </w:r>
    </w:p>
    <w:p w:rsidR="002929E3" w:rsidRPr="0061056A" w:rsidRDefault="002929E3" w:rsidP="002929E3">
      <w:pPr>
        <w:numPr>
          <w:ilvl w:val="1"/>
          <w:numId w:val="3"/>
        </w:numPr>
        <w:ind w:left="851" w:hanging="851"/>
        <w:rPr>
          <w:b/>
          <w:sz w:val="24"/>
          <w:szCs w:val="24"/>
        </w:rPr>
      </w:pPr>
      <w:proofErr w:type="spellStart"/>
      <w:r w:rsidRPr="0061056A">
        <w:rPr>
          <w:b/>
          <w:sz w:val="24"/>
          <w:szCs w:val="24"/>
        </w:rPr>
        <w:lastRenderedPageBreak/>
        <w:t>Farmakokinetiske</w:t>
      </w:r>
      <w:proofErr w:type="spellEnd"/>
      <w:r w:rsidRPr="0061056A">
        <w:rPr>
          <w:b/>
          <w:sz w:val="24"/>
          <w:szCs w:val="24"/>
        </w:rPr>
        <w:t xml:space="preserve"> egenskaber</w:t>
      </w:r>
    </w:p>
    <w:p w:rsidR="002929E3" w:rsidRPr="00EA55E3" w:rsidRDefault="002929E3" w:rsidP="002929E3">
      <w:pPr>
        <w:tabs>
          <w:tab w:val="left" w:pos="3852"/>
        </w:tabs>
        <w:ind w:left="851" w:hanging="851"/>
        <w:rPr>
          <w:bCs/>
          <w:i/>
          <w:iCs/>
          <w:color w:val="010202"/>
          <w:sz w:val="24"/>
          <w:szCs w:val="24"/>
        </w:rPr>
      </w:pPr>
      <w:r w:rsidRPr="0061056A">
        <w:rPr>
          <w:sz w:val="24"/>
          <w:szCs w:val="24"/>
        </w:rPr>
        <w:tab/>
      </w:r>
      <w:r w:rsidRPr="00EA55E3">
        <w:rPr>
          <w:bCs/>
          <w:i/>
          <w:iCs/>
          <w:color w:val="010202"/>
          <w:sz w:val="24"/>
          <w:szCs w:val="24"/>
        </w:rPr>
        <w:t>Absorption</w:t>
      </w:r>
    </w:p>
    <w:p w:rsidR="002929E3" w:rsidRPr="0061056A" w:rsidRDefault="002929E3" w:rsidP="002929E3">
      <w:pPr>
        <w:tabs>
          <w:tab w:val="left" w:pos="3852"/>
        </w:tabs>
        <w:ind w:left="851" w:hanging="851"/>
        <w:rPr>
          <w:color w:val="010202"/>
          <w:sz w:val="24"/>
          <w:szCs w:val="24"/>
        </w:rPr>
      </w:pPr>
      <w:r>
        <w:rPr>
          <w:color w:val="010202"/>
          <w:sz w:val="24"/>
          <w:szCs w:val="24"/>
        </w:rPr>
        <w:tab/>
      </w:r>
      <w:proofErr w:type="spellStart"/>
      <w:r w:rsidRPr="0061056A">
        <w:rPr>
          <w:color w:val="010202"/>
          <w:sz w:val="24"/>
          <w:szCs w:val="24"/>
        </w:rPr>
        <w:t>Montelukast</w:t>
      </w:r>
      <w:proofErr w:type="spellEnd"/>
      <w:r w:rsidRPr="0061056A">
        <w:rPr>
          <w:color w:val="010202"/>
          <w:sz w:val="24"/>
          <w:szCs w:val="24"/>
        </w:rPr>
        <w:t xml:space="preserve"> absorberes hurtigt efter oral administration. For 10 mg filmovertrukne tabletter nås den gennemsnitlige peak-plasmakoncentration (</w:t>
      </w:r>
      <w:proofErr w:type="spellStart"/>
      <w:r w:rsidRPr="0061056A">
        <w:rPr>
          <w:color w:val="010202"/>
          <w:sz w:val="24"/>
          <w:szCs w:val="24"/>
        </w:rPr>
        <w:t>Cmax</w:t>
      </w:r>
      <w:proofErr w:type="spellEnd"/>
      <w:r w:rsidRPr="0061056A">
        <w:rPr>
          <w:color w:val="010202"/>
          <w:sz w:val="24"/>
          <w:szCs w:val="24"/>
        </w:rPr>
        <w:t>) 3 timer (</w:t>
      </w:r>
      <w:proofErr w:type="spellStart"/>
      <w:r w:rsidRPr="0061056A">
        <w:rPr>
          <w:color w:val="010202"/>
          <w:sz w:val="24"/>
          <w:szCs w:val="24"/>
        </w:rPr>
        <w:t>Tmax</w:t>
      </w:r>
      <w:proofErr w:type="spellEnd"/>
      <w:r w:rsidRPr="0061056A">
        <w:rPr>
          <w:color w:val="010202"/>
          <w:sz w:val="24"/>
          <w:szCs w:val="24"/>
        </w:rPr>
        <w:t xml:space="preserve">) efter administration hos fastende voksne. Den gennemsnitlige, orale biotilgængelighed er 64 %. Den orale biotilgængelighed og </w:t>
      </w:r>
      <w:proofErr w:type="spellStart"/>
      <w:r w:rsidRPr="0061056A">
        <w:rPr>
          <w:color w:val="010202"/>
          <w:sz w:val="24"/>
          <w:szCs w:val="24"/>
        </w:rPr>
        <w:t>Cmax</w:t>
      </w:r>
      <w:proofErr w:type="spellEnd"/>
      <w:r w:rsidRPr="0061056A">
        <w:rPr>
          <w:color w:val="010202"/>
          <w:sz w:val="24"/>
          <w:szCs w:val="24"/>
        </w:rPr>
        <w:t xml:space="preserve"> påvirkes ikke af et standardmåltid. Sikkerhed og effekt er påvist i kliniske forsøg, hvor den filmovertrukne 10 mg-tablet blev administreret uden hensyn til tidspunktet for fødeindtagelse.</w:t>
      </w:r>
    </w:p>
    <w:p w:rsidR="002929E3" w:rsidRPr="0061056A" w:rsidRDefault="002929E3" w:rsidP="002929E3">
      <w:pPr>
        <w:tabs>
          <w:tab w:val="left" w:pos="3852"/>
        </w:tabs>
        <w:ind w:left="851" w:hanging="851"/>
        <w:rPr>
          <w:color w:val="010202"/>
          <w:sz w:val="24"/>
          <w:szCs w:val="24"/>
        </w:rPr>
      </w:pPr>
    </w:p>
    <w:p w:rsidR="002929E3" w:rsidRPr="0061056A" w:rsidRDefault="002929E3" w:rsidP="002929E3">
      <w:pPr>
        <w:tabs>
          <w:tab w:val="left" w:pos="3852"/>
        </w:tabs>
        <w:ind w:left="851" w:hanging="851"/>
        <w:rPr>
          <w:color w:val="010202"/>
          <w:sz w:val="24"/>
          <w:szCs w:val="24"/>
        </w:rPr>
      </w:pPr>
      <w:r>
        <w:rPr>
          <w:color w:val="010202"/>
          <w:sz w:val="24"/>
          <w:szCs w:val="24"/>
        </w:rPr>
        <w:tab/>
      </w:r>
      <w:r w:rsidRPr="0061056A">
        <w:rPr>
          <w:color w:val="010202"/>
          <w:sz w:val="24"/>
          <w:szCs w:val="24"/>
        </w:rPr>
        <w:t xml:space="preserve">Ved 5 mg tyggetabletten nås </w:t>
      </w:r>
      <w:proofErr w:type="spellStart"/>
      <w:r w:rsidRPr="0061056A">
        <w:rPr>
          <w:color w:val="010202"/>
          <w:sz w:val="24"/>
          <w:szCs w:val="24"/>
        </w:rPr>
        <w:t>Cmax</w:t>
      </w:r>
      <w:proofErr w:type="spellEnd"/>
      <w:r w:rsidRPr="0061056A">
        <w:rPr>
          <w:color w:val="010202"/>
          <w:sz w:val="24"/>
          <w:szCs w:val="24"/>
        </w:rPr>
        <w:t xml:space="preserve"> 2 timer efter administration hos fastende voksne. Den gennemsnitlige, orale biotilgængelighed er 73 % og falder til 63 % ved indtagelse af et standardmåltid.</w:t>
      </w:r>
    </w:p>
    <w:p w:rsidR="002929E3" w:rsidRPr="0061056A" w:rsidRDefault="002929E3" w:rsidP="002929E3">
      <w:pPr>
        <w:tabs>
          <w:tab w:val="left" w:pos="3852"/>
        </w:tabs>
        <w:ind w:left="851" w:hanging="851"/>
        <w:rPr>
          <w:i/>
          <w:iCs/>
          <w:color w:val="010202"/>
          <w:sz w:val="24"/>
          <w:szCs w:val="24"/>
        </w:rPr>
      </w:pPr>
    </w:p>
    <w:p w:rsidR="002929E3" w:rsidRPr="00EA55E3" w:rsidRDefault="002929E3" w:rsidP="002929E3">
      <w:pPr>
        <w:tabs>
          <w:tab w:val="left" w:pos="3852"/>
        </w:tabs>
        <w:ind w:left="851" w:hanging="851"/>
        <w:rPr>
          <w:bCs/>
          <w:i/>
          <w:iCs/>
          <w:color w:val="010202"/>
          <w:sz w:val="24"/>
          <w:szCs w:val="24"/>
        </w:rPr>
      </w:pPr>
      <w:r>
        <w:rPr>
          <w:b/>
          <w:bCs/>
          <w:i/>
          <w:iCs/>
          <w:color w:val="010202"/>
          <w:sz w:val="24"/>
          <w:szCs w:val="24"/>
        </w:rPr>
        <w:tab/>
      </w:r>
      <w:r w:rsidRPr="00EA55E3">
        <w:rPr>
          <w:bCs/>
          <w:i/>
          <w:iCs/>
          <w:color w:val="010202"/>
          <w:sz w:val="24"/>
          <w:szCs w:val="24"/>
        </w:rPr>
        <w:t>Distribution</w:t>
      </w:r>
    </w:p>
    <w:p w:rsidR="002929E3" w:rsidRPr="0061056A" w:rsidRDefault="002929E3" w:rsidP="002929E3">
      <w:pPr>
        <w:tabs>
          <w:tab w:val="left" w:pos="3852"/>
        </w:tabs>
        <w:ind w:left="851" w:hanging="851"/>
        <w:rPr>
          <w:color w:val="010202"/>
          <w:sz w:val="24"/>
          <w:szCs w:val="24"/>
        </w:rPr>
      </w:pPr>
      <w:r>
        <w:rPr>
          <w:color w:val="010202"/>
          <w:sz w:val="24"/>
          <w:szCs w:val="24"/>
        </w:rPr>
        <w:tab/>
      </w:r>
      <w:proofErr w:type="spellStart"/>
      <w:r w:rsidRPr="0061056A">
        <w:rPr>
          <w:color w:val="010202"/>
          <w:sz w:val="24"/>
          <w:szCs w:val="24"/>
        </w:rPr>
        <w:t>Montelukast</w:t>
      </w:r>
      <w:proofErr w:type="spellEnd"/>
      <w:r w:rsidRPr="0061056A">
        <w:rPr>
          <w:color w:val="010202"/>
          <w:sz w:val="24"/>
          <w:szCs w:val="24"/>
        </w:rPr>
        <w:t xml:space="preserve"> bindes mere end 99 % til plasmaproteiner. </w:t>
      </w:r>
      <w:proofErr w:type="spellStart"/>
      <w:r w:rsidRPr="0061056A">
        <w:rPr>
          <w:color w:val="010202"/>
          <w:sz w:val="24"/>
          <w:szCs w:val="24"/>
        </w:rPr>
        <w:t>Montelukasts</w:t>
      </w:r>
      <w:proofErr w:type="spellEnd"/>
      <w:r w:rsidRPr="0061056A">
        <w:rPr>
          <w:color w:val="010202"/>
          <w:sz w:val="24"/>
          <w:szCs w:val="24"/>
        </w:rPr>
        <w:t xml:space="preserve"> </w:t>
      </w:r>
      <w:proofErr w:type="spellStart"/>
      <w:r w:rsidRPr="0061056A">
        <w:rPr>
          <w:color w:val="010202"/>
          <w:sz w:val="24"/>
          <w:szCs w:val="24"/>
        </w:rPr>
        <w:t>steady</w:t>
      </w:r>
      <w:proofErr w:type="spellEnd"/>
      <w:r w:rsidRPr="0061056A">
        <w:rPr>
          <w:color w:val="010202"/>
          <w:sz w:val="24"/>
          <w:szCs w:val="24"/>
        </w:rPr>
        <w:t>-</w:t>
      </w:r>
      <w:proofErr w:type="spellStart"/>
      <w:r w:rsidRPr="0061056A">
        <w:rPr>
          <w:color w:val="010202"/>
          <w:sz w:val="24"/>
          <w:szCs w:val="24"/>
        </w:rPr>
        <w:t>state</w:t>
      </w:r>
      <w:proofErr w:type="spellEnd"/>
      <w:r w:rsidRPr="0061056A">
        <w:rPr>
          <w:color w:val="010202"/>
          <w:sz w:val="24"/>
          <w:szCs w:val="24"/>
        </w:rPr>
        <w:t xml:space="preserve">-distributionsvolumen er i gennemsnit 8-11 liter. Forsøg med radioaktivt mærket </w:t>
      </w:r>
      <w:proofErr w:type="spellStart"/>
      <w:r w:rsidRPr="0061056A">
        <w:rPr>
          <w:color w:val="010202"/>
          <w:sz w:val="24"/>
          <w:szCs w:val="24"/>
        </w:rPr>
        <w:t>montelukast</w:t>
      </w:r>
      <w:proofErr w:type="spellEnd"/>
      <w:r w:rsidRPr="0061056A">
        <w:rPr>
          <w:color w:val="010202"/>
          <w:sz w:val="24"/>
          <w:szCs w:val="24"/>
        </w:rPr>
        <w:t xml:space="preserve"> til rotter indikerer minimal distribution over blod-hjernebarrieren. Derudover var koncentrationerne af radioaktivt mærket materiale minimale i alle andre væv 24 timer efter administration af dosis.</w:t>
      </w:r>
    </w:p>
    <w:p w:rsidR="002929E3" w:rsidRPr="0061056A" w:rsidRDefault="002929E3" w:rsidP="002929E3">
      <w:pPr>
        <w:tabs>
          <w:tab w:val="left" w:pos="3852"/>
        </w:tabs>
        <w:ind w:left="851" w:hanging="851"/>
        <w:rPr>
          <w:i/>
          <w:iCs/>
          <w:color w:val="010202"/>
          <w:sz w:val="24"/>
          <w:szCs w:val="24"/>
        </w:rPr>
      </w:pPr>
    </w:p>
    <w:p w:rsidR="002929E3" w:rsidRPr="00EA55E3" w:rsidRDefault="002929E3" w:rsidP="002929E3">
      <w:pPr>
        <w:tabs>
          <w:tab w:val="left" w:pos="3852"/>
        </w:tabs>
        <w:ind w:left="851" w:hanging="851"/>
        <w:rPr>
          <w:bCs/>
          <w:i/>
          <w:iCs/>
          <w:color w:val="010202"/>
          <w:sz w:val="24"/>
          <w:szCs w:val="24"/>
        </w:rPr>
      </w:pPr>
      <w:r>
        <w:rPr>
          <w:b/>
          <w:bCs/>
          <w:i/>
          <w:iCs/>
          <w:color w:val="010202"/>
          <w:sz w:val="24"/>
          <w:szCs w:val="24"/>
        </w:rPr>
        <w:tab/>
      </w:r>
      <w:r w:rsidRPr="00EA55E3">
        <w:rPr>
          <w:bCs/>
          <w:i/>
          <w:iCs/>
          <w:color w:val="010202"/>
          <w:sz w:val="24"/>
          <w:szCs w:val="24"/>
        </w:rPr>
        <w:t>Biotransformation</w:t>
      </w:r>
    </w:p>
    <w:p w:rsidR="002929E3" w:rsidRPr="0061056A" w:rsidRDefault="002929E3" w:rsidP="002929E3">
      <w:pPr>
        <w:tabs>
          <w:tab w:val="left" w:pos="3852"/>
        </w:tabs>
        <w:ind w:left="851" w:hanging="851"/>
        <w:rPr>
          <w:color w:val="010202"/>
          <w:sz w:val="24"/>
          <w:szCs w:val="24"/>
        </w:rPr>
      </w:pPr>
      <w:r>
        <w:rPr>
          <w:color w:val="010202"/>
          <w:sz w:val="24"/>
          <w:szCs w:val="24"/>
        </w:rPr>
        <w:tab/>
      </w:r>
      <w:proofErr w:type="spellStart"/>
      <w:r w:rsidRPr="0061056A">
        <w:rPr>
          <w:color w:val="010202"/>
          <w:sz w:val="24"/>
          <w:szCs w:val="24"/>
        </w:rPr>
        <w:t>Montelukast</w:t>
      </w:r>
      <w:proofErr w:type="spellEnd"/>
      <w:r w:rsidRPr="0061056A">
        <w:rPr>
          <w:color w:val="010202"/>
          <w:sz w:val="24"/>
          <w:szCs w:val="24"/>
        </w:rPr>
        <w:t xml:space="preserve"> </w:t>
      </w:r>
      <w:proofErr w:type="spellStart"/>
      <w:r w:rsidRPr="0061056A">
        <w:rPr>
          <w:color w:val="010202"/>
          <w:sz w:val="24"/>
          <w:szCs w:val="24"/>
        </w:rPr>
        <w:t>metaboliseres</w:t>
      </w:r>
      <w:proofErr w:type="spellEnd"/>
      <w:r w:rsidRPr="0061056A">
        <w:rPr>
          <w:color w:val="010202"/>
          <w:sz w:val="24"/>
          <w:szCs w:val="24"/>
        </w:rPr>
        <w:t xml:space="preserve"> ekstensivt. I studier med terapeutiske doser er plasmakoncentrationer af </w:t>
      </w:r>
      <w:proofErr w:type="spellStart"/>
      <w:r w:rsidRPr="0061056A">
        <w:rPr>
          <w:color w:val="010202"/>
          <w:sz w:val="24"/>
          <w:szCs w:val="24"/>
        </w:rPr>
        <w:t>montelukastmetabolitter</w:t>
      </w:r>
      <w:proofErr w:type="spellEnd"/>
      <w:r w:rsidRPr="0061056A">
        <w:rPr>
          <w:color w:val="010202"/>
          <w:sz w:val="24"/>
          <w:szCs w:val="24"/>
        </w:rPr>
        <w:t xml:space="preserve"> ikke-</w:t>
      </w:r>
      <w:proofErr w:type="spellStart"/>
      <w:r w:rsidRPr="0061056A">
        <w:rPr>
          <w:color w:val="010202"/>
          <w:sz w:val="24"/>
          <w:szCs w:val="24"/>
        </w:rPr>
        <w:t>detekterbare</w:t>
      </w:r>
      <w:proofErr w:type="spellEnd"/>
      <w:r w:rsidRPr="0061056A">
        <w:rPr>
          <w:color w:val="010202"/>
          <w:sz w:val="24"/>
          <w:szCs w:val="24"/>
        </w:rPr>
        <w:t xml:space="preserve"> ved </w:t>
      </w:r>
      <w:proofErr w:type="spellStart"/>
      <w:r w:rsidRPr="0061056A">
        <w:rPr>
          <w:color w:val="010202"/>
          <w:sz w:val="24"/>
          <w:szCs w:val="24"/>
        </w:rPr>
        <w:t>steady</w:t>
      </w:r>
      <w:proofErr w:type="spellEnd"/>
      <w:r w:rsidRPr="0061056A">
        <w:rPr>
          <w:color w:val="010202"/>
          <w:sz w:val="24"/>
          <w:szCs w:val="24"/>
        </w:rPr>
        <w:t xml:space="preserve"> </w:t>
      </w:r>
      <w:proofErr w:type="spellStart"/>
      <w:r w:rsidRPr="0061056A">
        <w:rPr>
          <w:color w:val="010202"/>
          <w:sz w:val="24"/>
          <w:szCs w:val="24"/>
        </w:rPr>
        <w:t>state</w:t>
      </w:r>
      <w:proofErr w:type="spellEnd"/>
      <w:r w:rsidRPr="0061056A">
        <w:rPr>
          <w:color w:val="010202"/>
          <w:sz w:val="24"/>
          <w:szCs w:val="24"/>
        </w:rPr>
        <w:t xml:space="preserve"> hos voksne og børn.</w:t>
      </w:r>
    </w:p>
    <w:p w:rsidR="002929E3" w:rsidRPr="0061056A" w:rsidRDefault="002929E3" w:rsidP="002929E3">
      <w:pPr>
        <w:tabs>
          <w:tab w:val="left" w:pos="3852"/>
        </w:tabs>
        <w:ind w:left="851" w:hanging="851"/>
        <w:rPr>
          <w:i/>
          <w:iCs/>
          <w:color w:val="010202"/>
          <w:sz w:val="24"/>
          <w:szCs w:val="24"/>
        </w:rPr>
      </w:pPr>
    </w:p>
    <w:p w:rsidR="002929E3" w:rsidRPr="000344F8" w:rsidRDefault="002929E3" w:rsidP="002929E3">
      <w:pPr>
        <w:tabs>
          <w:tab w:val="left" w:pos="3852"/>
        </w:tabs>
        <w:ind w:left="851"/>
        <w:jc w:val="both"/>
        <w:rPr>
          <w:i/>
          <w:iCs/>
          <w:color w:val="010202"/>
          <w:sz w:val="24"/>
        </w:rPr>
      </w:pPr>
      <w:proofErr w:type="spellStart"/>
      <w:r w:rsidRPr="000344F8">
        <w:rPr>
          <w:iCs/>
          <w:color w:val="010202"/>
          <w:sz w:val="24"/>
        </w:rPr>
        <w:t>Cytochrom</w:t>
      </w:r>
      <w:proofErr w:type="spellEnd"/>
      <w:r w:rsidRPr="000344F8">
        <w:rPr>
          <w:iCs/>
          <w:color w:val="010202"/>
          <w:sz w:val="24"/>
        </w:rPr>
        <w:t xml:space="preserve"> P450 2C8 er det vigtigste enzym i biotransformationen af </w:t>
      </w:r>
      <w:proofErr w:type="spellStart"/>
      <w:r w:rsidRPr="000344F8">
        <w:rPr>
          <w:iCs/>
          <w:color w:val="010202"/>
          <w:sz w:val="24"/>
        </w:rPr>
        <w:t>montelukast</w:t>
      </w:r>
      <w:proofErr w:type="spellEnd"/>
      <w:r w:rsidRPr="000344F8">
        <w:rPr>
          <w:iCs/>
          <w:color w:val="010202"/>
          <w:sz w:val="24"/>
        </w:rPr>
        <w:t xml:space="preserve">. Derudover spiller CYP 3A4 og 2C9 muligvis en mindre rolle, selv om det er blevet vist, at </w:t>
      </w:r>
      <w:proofErr w:type="spellStart"/>
      <w:r w:rsidRPr="000344F8">
        <w:rPr>
          <w:iCs/>
          <w:color w:val="010202"/>
          <w:sz w:val="24"/>
        </w:rPr>
        <w:t>itraconazol</w:t>
      </w:r>
      <w:proofErr w:type="spellEnd"/>
      <w:r w:rsidRPr="000344F8">
        <w:rPr>
          <w:iCs/>
          <w:color w:val="010202"/>
          <w:sz w:val="24"/>
        </w:rPr>
        <w:t xml:space="preserve">, der er en CYP 3A4-hæmmer, ikke ændrer </w:t>
      </w:r>
      <w:proofErr w:type="spellStart"/>
      <w:r w:rsidRPr="000344F8">
        <w:rPr>
          <w:iCs/>
          <w:color w:val="010202"/>
          <w:sz w:val="24"/>
        </w:rPr>
        <w:t>montelukasts</w:t>
      </w:r>
      <w:proofErr w:type="spellEnd"/>
      <w:r w:rsidRPr="000344F8">
        <w:rPr>
          <w:iCs/>
          <w:color w:val="010202"/>
          <w:sz w:val="24"/>
        </w:rPr>
        <w:t xml:space="preserve"> </w:t>
      </w:r>
      <w:proofErr w:type="spellStart"/>
      <w:r w:rsidRPr="000344F8">
        <w:rPr>
          <w:iCs/>
          <w:color w:val="010202"/>
          <w:sz w:val="24"/>
        </w:rPr>
        <w:t>farmakokinetiske</w:t>
      </w:r>
      <w:proofErr w:type="spellEnd"/>
      <w:r w:rsidRPr="000344F8">
        <w:rPr>
          <w:iCs/>
          <w:color w:val="010202"/>
          <w:sz w:val="24"/>
        </w:rPr>
        <w:t xml:space="preserve"> variable hos sunde forsøgspersoner, som fik 10 mg </w:t>
      </w:r>
      <w:proofErr w:type="spellStart"/>
      <w:r w:rsidRPr="000344F8">
        <w:rPr>
          <w:iCs/>
          <w:color w:val="010202"/>
          <w:sz w:val="24"/>
        </w:rPr>
        <w:t>montelukast</w:t>
      </w:r>
      <w:proofErr w:type="spellEnd"/>
      <w:r w:rsidRPr="000344F8">
        <w:rPr>
          <w:iCs/>
          <w:color w:val="010202"/>
          <w:sz w:val="24"/>
        </w:rPr>
        <w:t xml:space="preserve"> dagligt. Baseret på </w:t>
      </w:r>
      <w:r w:rsidRPr="000344F8">
        <w:rPr>
          <w:i/>
          <w:iCs/>
          <w:color w:val="010202"/>
          <w:sz w:val="24"/>
        </w:rPr>
        <w:t xml:space="preserve">in </w:t>
      </w:r>
      <w:proofErr w:type="spellStart"/>
      <w:r w:rsidRPr="000344F8">
        <w:rPr>
          <w:i/>
          <w:iCs/>
          <w:color w:val="010202"/>
          <w:sz w:val="24"/>
        </w:rPr>
        <w:t>vitro</w:t>
      </w:r>
      <w:proofErr w:type="spellEnd"/>
      <w:r w:rsidRPr="000344F8">
        <w:rPr>
          <w:iCs/>
          <w:color w:val="010202"/>
          <w:sz w:val="24"/>
        </w:rPr>
        <w:t xml:space="preserve">-resultater i humane </w:t>
      </w:r>
      <w:proofErr w:type="spellStart"/>
      <w:r w:rsidRPr="000344F8">
        <w:rPr>
          <w:iCs/>
          <w:color w:val="010202"/>
          <w:sz w:val="24"/>
        </w:rPr>
        <w:t>levermikrosomer</w:t>
      </w:r>
      <w:proofErr w:type="spellEnd"/>
      <w:r w:rsidRPr="000344F8">
        <w:rPr>
          <w:iCs/>
          <w:color w:val="010202"/>
          <w:sz w:val="24"/>
        </w:rPr>
        <w:t xml:space="preserve">, hæmmer terapeutiske plasmakoncentrationer af </w:t>
      </w:r>
      <w:proofErr w:type="spellStart"/>
      <w:r w:rsidRPr="000344F8">
        <w:rPr>
          <w:iCs/>
          <w:color w:val="010202"/>
          <w:sz w:val="24"/>
        </w:rPr>
        <w:t>montelukast</w:t>
      </w:r>
      <w:proofErr w:type="spellEnd"/>
      <w:r w:rsidRPr="000344F8">
        <w:rPr>
          <w:iCs/>
          <w:color w:val="010202"/>
          <w:sz w:val="24"/>
        </w:rPr>
        <w:t xml:space="preserve"> ikke </w:t>
      </w:r>
      <w:proofErr w:type="spellStart"/>
      <w:r w:rsidRPr="000344F8">
        <w:rPr>
          <w:iCs/>
          <w:color w:val="010202"/>
          <w:sz w:val="24"/>
        </w:rPr>
        <w:t>cytokrom</w:t>
      </w:r>
      <w:proofErr w:type="spellEnd"/>
      <w:r w:rsidRPr="000344F8">
        <w:rPr>
          <w:iCs/>
          <w:color w:val="010202"/>
          <w:sz w:val="24"/>
        </w:rPr>
        <w:t xml:space="preserve"> P450 3A4, 2C9, 1A2, 2A6, 2C19 eller 2D6. Metabolitter bidrager kun minimalt til den terapeutiske virkning af </w:t>
      </w:r>
      <w:proofErr w:type="spellStart"/>
      <w:r w:rsidRPr="000344F8">
        <w:rPr>
          <w:iCs/>
          <w:color w:val="010202"/>
          <w:sz w:val="24"/>
        </w:rPr>
        <w:t>montelukast</w:t>
      </w:r>
      <w:proofErr w:type="spellEnd"/>
      <w:r w:rsidRPr="000344F8">
        <w:rPr>
          <w:iCs/>
          <w:color w:val="010202"/>
          <w:sz w:val="24"/>
        </w:rPr>
        <w:t>.</w:t>
      </w:r>
    </w:p>
    <w:p w:rsidR="002929E3" w:rsidRPr="0061056A" w:rsidRDefault="002929E3" w:rsidP="002929E3">
      <w:pPr>
        <w:tabs>
          <w:tab w:val="left" w:pos="3852"/>
        </w:tabs>
        <w:ind w:left="851" w:hanging="851"/>
        <w:rPr>
          <w:i/>
          <w:iCs/>
          <w:color w:val="010202"/>
          <w:sz w:val="24"/>
          <w:szCs w:val="24"/>
        </w:rPr>
      </w:pPr>
    </w:p>
    <w:p w:rsidR="002929E3" w:rsidRPr="00EA55E3" w:rsidRDefault="002929E3" w:rsidP="002929E3">
      <w:pPr>
        <w:tabs>
          <w:tab w:val="left" w:pos="3852"/>
        </w:tabs>
        <w:ind w:left="851" w:hanging="851"/>
        <w:rPr>
          <w:bCs/>
          <w:i/>
          <w:iCs/>
          <w:color w:val="010202"/>
          <w:sz w:val="24"/>
          <w:szCs w:val="24"/>
        </w:rPr>
      </w:pPr>
      <w:r>
        <w:rPr>
          <w:b/>
          <w:bCs/>
          <w:i/>
          <w:iCs/>
          <w:color w:val="010202"/>
          <w:sz w:val="24"/>
          <w:szCs w:val="24"/>
        </w:rPr>
        <w:tab/>
      </w:r>
      <w:r w:rsidRPr="00EA55E3">
        <w:rPr>
          <w:bCs/>
          <w:i/>
          <w:iCs/>
          <w:color w:val="010202"/>
          <w:sz w:val="24"/>
          <w:szCs w:val="24"/>
        </w:rPr>
        <w:t>Elimination</w:t>
      </w:r>
    </w:p>
    <w:p w:rsidR="002929E3" w:rsidRPr="0061056A" w:rsidRDefault="002929E3" w:rsidP="002929E3">
      <w:pPr>
        <w:tabs>
          <w:tab w:val="left" w:pos="3852"/>
        </w:tabs>
        <w:ind w:left="851" w:hanging="851"/>
        <w:rPr>
          <w:color w:val="010202"/>
          <w:sz w:val="24"/>
          <w:szCs w:val="24"/>
        </w:rPr>
      </w:pPr>
      <w:r>
        <w:rPr>
          <w:color w:val="010202"/>
          <w:sz w:val="24"/>
          <w:szCs w:val="24"/>
        </w:rPr>
        <w:tab/>
      </w:r>
      <w:proofErr w:type="spellStart"/>
      <w:r w:rsidRPr="0061056A">
        <w:rPr>
          <w:color w:val="010202"/>
          <w:sz w:val="24"/>
          <w:szCs w:val="24"/>
        </w:rPr>
        <w:t>Montelukasts</w:t>
      </w:r>
      <w:proofErr w:type="spellEnd"/>
      <w:r w:rsidRPr="0061056A">
        <w:rPr>
          <w:color w:val="010202"/>
          <w:sz w:val="24"/>
          <w:szCs w:val="24"/>
        </w:rPr>
        <w:t xml:space="preserve"> </w:t>
      </w:r>
      <w:proofErr w:type="spellStart"/>
      <w:r w:rsidRPr="0061056A">
        <w:rPr>
          <w:color w:val="010202"/>
          <w:sz w:val="24"/>
          <w:szCs w:val="24"/>
        </w:rPr>
        <w:t>plasmaclearance</w:t>
      </w:r>
      <w:proofErr w:type="spellEnd"/>
      <w:r w:rsidRPr="0061056A">
        <w:rPr>
          <w:color w:val="010202"/>
          <w:sz w:val="24"/>
          <w:szCs w:val="24"/>
        </w:rPr>
        <w:t xml:space="preserve"> er i gennemsnit 45 ml/min hos raske voksne. Efter en oral dosis af radioaktivt mærket </w:t>
      </w:r>
      <w:proofErr w:type="spellStart"/>
      <w:r w:rsidRPr="0061056A">
        <w:rPr>
          <w:color w:val="010202"/>
          <w:sz w:val="24"/>
          <w:szCs w:val="24"/>
        </w:rPr>
        <w:t>montelukast</w:t>
      </w:r>
      <w:proofErr w:type="spellEnd"/>
      <w:r w:rsidRPr="0061056A">
        <w:rPr>
          <w:color w:val="010202"/>
          <w:sz w:val="24"/>
          <w:szCs w:val="24"/>
        </w:rPr>
        <w:t xml:space="preserve"> blev 86 % af radioaktiviteten genfundet i </w:t>
      </w:r>
      <w:proofErr w:type="spellStart"/>
      <w:r w:rsidRPr="0061056A">
        <w:rPr>
          <w:color w:val="010202"/>
          <w:sz w:val="24"/>
          <w:szCs w:val="24"/>
        </w:rPr>
        <w:t>fæcesindsamling</w:t>
      </w:r>
      <w:proofErr w:type="spellEnd"/>
      <w:r w:rsidRPr="0061056A">
        <w:rPr>
          <w:color w:val="010202"/>
          <w:sz w:val="24"/>
          <w:szCs w:val="24"/>
        </w:rPr>
        <w:t xml:space="preserve"> efter 5 dage og &lt;0,2 % blev genfundet i urinen. Sammenholdt med estimater af </w:t>
      </w:r>
      <w:proofErr w:type="spellStart"/>
      <w:r w:rsidRPr="0061056A">
        <w:rPr>
          <w:color w:val="010202"/>
          <w:sz w:val="24"/>
          <w:szCs w:val="24"/>
        </w:rPr>
        <w:t>montelukasts</w:t>
      </w:r>
      <w:proofErr w:type="spellEnd"/>
      <w:r w:rsidRPr="0061056A">
        <w:rPr>
          <w:color w:val="010202"/>
          <w:sz w:val="24"/>
          <w:szCs w:val="24"/>
        </w:rPr>
        <w:t xml:space="preserve"> orale biotilgængelighed indikerer dette, at </w:t>
      </w:r>
      <w:proofErr w:type="spellStart"/>
      <w:r w:rsidRPr="0061056A">
        <w:rPr>
          <w:color w:val="010202"/>
          <w:sz w:val="24"/>
          <w:szCs w:val="24"/>
        </w:rPr>
        <w:t>montelukast</w:t>
      </w:r>
      <w:proofErr w:type="spellEnd"/>
      <w:r w:rsidRPr="0061056A">
        <w:rPr>
          <w:color w:val="010202"/>
          <w:sz w:val="24"/>
          <w:szCs w:val="24"/>
        </w:rPr>
        <w:t xml:space="preserve"> og dets metabolitter næsten udelukkende udskilles via galden.</w:t>
      </w:r>
    </w:p>
    <w:p w:rsidR="002929E3" w:rsidRPr="0061056A" w:rsidRDefault="002929E3" w:rsidP="002929E3">
      <w:pPr>
        <w:tabs>
          <w:tab w:val="left" w:pos="3852"/>
        </w:tabs>
        <w:ind w:left="851" w:hanging="851"/>
        <w:rPr>
          <w:i/>
          <w:iCs/>
          <w:color w:val="010202"/>
          <w:sz w:val="24"/>
          <w:szCs w:val="24"/>
        </w:rPr>
      </w:pPr>
    </w:p>
    <w:p w:rsidR="002929E3" w:rsidRPr="00EA55E3" w:rsidRDefault="002929E3" w:rsidP="002929E3">
      <w:pPr>
        <w:keepNext/>
        <w:tabs>
          <w:tab w:val="left" w:pos="3852"/>
        </w:tabs>
        <w:ind w:left="851" w:hanging="851"/>
        <w:rPr>
          <w:bCs/>
          <w:i/>
          <w:iCs/>
          <w:color w:val="010202"/>
          <w:sz w:val="24"/>
          <w:szCs w:val="24"/>
        </w:rPr>
      </w:pPr>
      <w:r>
        <w:rPr>
          <w:b/>
          <w:bCs/>
          <w:i/>
          <w:iCs/>
          <w:color w:val="010202"/>
          <w:sz w:val="24"/>
          <w:szCs w:val="24"/>
        </w:rPr>
        <w:tab/>
      </w:r>
      <w:r w:rsidRPr="00EA55E3">
        <w:rPr>
          <w:bCs/>
          <w:i/>
          <w:iCs/>
          <w:color w:val="010202"/>
          <w:sz w:val="24"/>
          <w:szCs w:val="24"/>
        </w:rPr>
        <w:t>Patientkarakteristika</w:t>
      </w:r>
    </w:p>
    <w:p w:rsidR="002929E3" w:rsidRPr="0061056A" w:rsidRDefault="002929E3" w:rsidP="002929E3">
      <w:pPr>
        <w:tabs>
          <w:tab w:val="left" w:pos="3852"/>
        </w:tabs>
        <w:ind w:left="851" w:hanging="851"/>
        <w:rPr>
          <w:color w:val="010202"/>
          <w:sz w:val="24"/>
          <w:szCs w:val="24"/>
        </w:rPr>
      </w:pPr>
      <w:r>
        <w:rPr>
          <w:color w:val="010202"/>
          <w:sz w:val="24"/>
          <w:szCs w:val="24"/>
        </w:rPr>
        <w:tab/>
      </w:r>
      <w:r w:rsidRPr="0061056A">
        <w:rPr>
          <w:color w:val="010202"/>
          <w:sz w:val="24"/>
          <w:szCs w:val="24"/>
        </w:rPr>
        <w:t xml:space="preserve">Det er ikke nødvendigt at foretage dosisjustering ved ældre patienter eller patienter med let til moderat leverinsufficiens. Der er ikke udført studier af patienter med nedsat nyrefunktion. Da </w:t>
      </w:r>
      <w:proofErr w:type="spellStart"/>
      <w:r w:rsidRPr="0061056A">
        <w:rPr>
          <w:color w:val="010202"/>
          <w:sz w:val="24"/>
          <w:szCs w:val="24"/>
        </w:rPr>
        <w:t>montelukast</w:t>
      </w:r>
      <w:proofErr w:type="spellEnd"/>
      <w:r w:rsidRPr="0061056A">
        <w:rPr>
          <w:color w:val="010202"/>
          <w:sz w:val="24"/>
          <w:szCs w:val="24"/>
        </w:rPr>
        <w:t xml:space="preserve"> og dets metabolitter elimineres via galdevejene, er dosisjustering ikke nødvendig ved patienter med nedsat nyrefunktion. Der foreligger ingen data vedrørende </w:t>
      </w:r>
      <w:proofErr w:type="spellStart"/>
      <w:r w:rsidRPr="0061056A">
        <w:rPr>
          <w:color w:val="010202"/>
          <w:sz w:val="24"/>
          <w:szCs w:val="24"/>
        </w:rPr>
        <w:t>montelukasts</w:t>
      </w:r>
      <w:proofErr w:type="spellEnd"/>
      <w:r w:rsidRPr="0061056A">
        <w:rPr>
          <w:color w:val="010202"/>
          <w:sz w:val="24"/>
          <w:szCs w:val="24"/>
        </w:rPr>
        <w:t xml:space="preserve"> farmakokinetik hos patienter med alvorlig leverinsufficiens (Child-</w:t>
      </w:r>
      <w:proofErr w:type="spellStart"/>
      <w:r w:rsidRPr="0061056A">
        <w:rPr>
          <w:color w:val="010202"/>
          <w:sz w:val="24"/>
          <w:szCs w:val="24"/>
        </w:rPr>
        <w:t>Pugh</w:t>
      </w:r>
      <w:proofErr w:type="spellEnd"/>
      <w:r w:rsidRPr="0061056A">
        <w:rPr>
          <w:color w:val="010202"/>
          <w:sz w:val="24"/>
          <w:szCs w:val="24"/>
        </w:rPr>
        <w:t xml:space="preserve"> score &gt;9).</w:t>
      </w:r>
    </w:p>
    <w:p w:rsidR="002929E3" w:rsidRPr="0061056A" w:rsidRDefault="002929E3" w:rsidP="002929E3">
      <w:pPr>
        <w:tabs>
          <w:tab w:val="left" w:pos="3852"/>
        </w:tabs>
        <w:ind w:left="851" w:hanging="851"/>
        <w:rPr>
          <w:color w:val="010202"/>
          <w:sz w:val="24"/>
          <w:szCs w:val="24"/>
        </w:rPr>
      </w:pPr>
    </w:p>
    <w:p w:rsidR="002929E3" w:rsidRPr="0061056A" w:rsidRDefault="002929E3" w:rsidP="002929E3">
      <w:pPr>
        <w:tabs>
          <w:tab w:val="left" w:pos="3852"/>
        </w:tabs>
        <w:ind w:left="851" w:hanging="851"/>
        <w:rPr>
          <w:color w:val="010202"/>
          <w:sz w:val="24"/>
          <w:szCs w:val="24"/>
        </w:rPr>
      </w:pPr>
      <w:r>
        <w:rPr>
          <w:color w:val="010202"/>
          <w:sz w:val="24"/>
          <w:szCs w:val="24"/>
        </w:rPr>
        <w:tab/>
      </w:r>
      <w:r w:rsidRPr="0061056A">
        <w:rPr>
          <w:color w:val="010202"/>
          <w:sz w:val="24"/>
          <w:szCs w:val="24"/>
        </w:rPr>
        <w:t xml:space="preserve">Ved høje doser af </w:t>
      </w:r>
      <w:proofErr w:type="spellStart"/>
      <w:r w:rsidRPr="0061056A">
        <w:rPr>
          <w:color w:val="010202"/>
          <w:sz w:val="24"/>
          <w:szCs w:val="24"/>
        </w:rPr>
        <w:t>montelukast</w:t>
      </w:r>
      <w:proofErr w:type="spellEnd"/>
      <w:r w:rsidRPr="0061056A">
        <w:rPr>
          <w:color w:val="010202"/>
          <w:sz w:val="24"/>
          <w:szCs w:val="24"/>
        </w:rPr>
        <w:t xml:space="preserve"> (20 og 60 gange den anbefalede voksendosis) blev der observeret fald i </w:t>
      </w:r>
      <w:proofErr w:type="spellStart"/>
      <w:r w:rsidRPr="0061056A">
        <w:rPr>
          <w:color w:val="010202"/>
          <w:sz w:val="24"/>
          <w:szCs w:val="24"/>
        </w:rPr>
        <w:t>plasmatheophyllinkoncentrationen</w:t>
      </w:r>
      <w:proofErr w:type="spellEnd"/>
      <w:r w:rsidRPr="0061056A">
        <w:rPr>
          <w:color w:val="010202"/>
          <w:sz w:val="24"/>
          <w:szCs w:val="24"/>
        </w:rPr>
        <w:t>. Denne effekt sås ikke ved den anbefalede dosis på 10 mg én gang dagligt.</w:t>
      </w:r>
    </w:p>
    <w:p w:rsidR="002929E3" w:rsidRPr="0061056A" w:rsidRDefault="002929E3" w:rsidP="002929E3">
      <w:pPr>
        <w:tabs>
          <w:tab w:val="left" w:pos="851"/>
        </w:tabs>
        <w:ind w:left="851" w:hanging="851"/>
        <w:rPr>
          <w:sz w:val="24"/>
          <w:szCs w:val="24"/>
        </w:rPr>
      </w:pPr>
    </w:p>
    <w:p w:rsidR="002929E3" w:rsidRPr="0061056A" w:rsidRDefault="007011C8" w:rsidP="002929E3">
      <w:pPr>
        <w:numPr>
          <w:ilvl w:val="1"/>
          <w:numId w:val="4"/>
        </w:numPr>
        <w:ind w:left="851" w:hanging="851"/>
        <w:rPr>
          <w:b/>
          <w:sz w:val="24"/>
          <w:szCs w:val="24"/>
        </w:rPr>
      </w:pPr>
      <w:r>
        <w:rPr>
          <w:b/>
          <w:sz w:val="24"/>
          <w:szCs w:val="24"/>
        </w:rPr>
        <w:t>Non-</w:t>
      </w:r>
      <w:r w:rsidR="002929E3" w:rsidRPr="0061056A">
        <w:rPr>
          <w:b/>
          <w:sz w:val="24"/>
          <w:szCs w:val="24"/>
        </w:rPr>
        <w:t>kliniske sikkerhedsdata</w:t>
      </w:r>
    </w:p>
    <w:p w:rsidR="002929E3" w:rsidRPr="0061056A" w:rsidRDefault="002929E3" w:rsidP="002929E3">
      <w:pPr>
        <w:ind w:left="851"/>
        <w:rPr>
          <w:sz w:val="24"/>
          <w:szCs w:val="24"/>
        </w:rPr>
      </w:pPr>
      <w:r w:rsidRPr="0061056A">
        <w:rPr>
          <w:sz w:val="24"/>
          <w:szCs w:val="24"/>
        </w:rPr>
        <w:t xml:space="preserve">I toksicitetsforsøg med dyr blev der observeret mindre, forbigående serum-biokemiske ændringer i ALAT, </w:t>
      </w:r>
      <w:proofErr w:type="spellStart"/>
      <w:r w:rsidRPr="0061056A">
        <w:rPr>
          <w:sz w:val="24"/>
          <w:szCs w:val="24"/>
        </w:rPr>
        <w:t>glucose</w:t>
      </w:r>
      <w:proofErr w:type="spellEnd"/>
      <w:r w:rsidRPr="0061056A">
        <w:rPr>
          <w:sz w:val="24"/>
          <w:szCs w:val="24"/>
        </w:rPr>
        <w:t xml:space="preserve">, fosfor og triglycerider. Tegn på toksicitet hos dyr var øget spytsekretion, </w:t>
      </w:r>
      <w:proofErr w:type="spellStart"/>
      <w:r w:rsidRPr="0061056A">
        <w:rPr>
          <w:sz w:val="24"/>
          <w:szCs w:val="24"/>
        </w:rPr>
        <w:t>gastrointestinale</w:t>
      </w:r>
      <w:proofErr w:type="spellEnd"/>
      <w:r w:rsidRPr="0061056A">
        <w:rPr>
          <w:sz w:val="24"/>
          <w:szCs w:val="24"/>
        </w:rPr>
        <w:t xml:space="preserve"> symptomer, tynd afføring og ionubalance. Disse forekom ved doser, der betød en systemisk eksponering, som var mere en 17 gange højere end den systemiske eksponering ved klinisk dosis. Hos aber forekom bivirkningerne ved doser fra 150 mg/kg/dag (&gt;232 gange den systemiske eksponering ved klinisk dosis). I dyreforsøg påvirkede </w:t>
      </w:r>
      <w:proofErr w:type="spellStart"/>
      <w:r w:rsidRPr="0061056A">
        <w:rPr>
          <w:sz w:val="24"/>
          <w:szCs w:val="24"/>
        </w:rPr>
        <w:t>montelukast</w:t>
      </w:r>
      <w:proofErr w:type="spellEnd"/>
      <w:r w:rsidRPr="0061056A">
        <w:rPr>
          <w:sz w:val="24"/>
          <w:szCs w:val="24"/>
        </w:rPr>
        <w:t xml:space="preserve"> ikke fertilitet eller reproduktionsevne ved systemisk eksponering &gt;24 gange højere end den kliniske systemiske eksponering. Der sås et lille fald i afkommets kropsvægt i et fertilitetsstudie med hunrotter ved 200 mg/kg/dag (&gt;69 gange den kliniske systemiske eksponering). I forsøg med kaniner sås højere forekomst af ukomplet </w:t>
      </w:r>
      <w:proofErr w:type="spellStart"/>
      <w:r w:rsidRPr="0061056A">
        <w:rPr>
          <w:sz w:val="24"/>
          <w:szCs w:val="24"/>
        </w:rPr>
        <w:t>ossifikation</w:t>
      </w:r>
      <w:proofErr w:type="spellEnd"/>
      <w:r w:rsidRPr="0061056A">
        <w:rPr>
          <w:sz w:val="24"/>
          <w:szCs w:val="24"/>
        </w:rPr>
        <w:t xml:space="preserve"> sammenlignet med gruppen med kontroldyr ved systemisk eksponering &gt;24 gange større end den kliniske systemiske eksponering ved klinisk dosis. Der sås ingen abnormiteter hos rotter. Det er påvist, at </w:t>
      </w:r>
      <w:proofErr w:type="spellStart"/>
      <w:r>
        <w:rPr>
          <w:sz w:val="24"/>
          <w:szCs w:val="24"/>
        </w:rPr>
        <w:t>m</w:t>
      </w:r>
      <w:r w:rsidRPr="0061056A">
        <w:rPr>
          <w:sz w:val="24"/>
          <w:szCs w:val="24"/>
        </w:rPr>
        <w:t>ontelukast</w:t>
      </w:r>
      <w:proofErr w:type="spellEnd"/>
      <w:r w:rsidRPr="0061056A">
        <w:rPr>
          <w:sz w:val="24"/>
          <w:szCs w:val="24"/>
        </w:rPr>
        <w:t xml:space="preserve"> passerer placentabarrieren og udskilles i modermælken hos dyr.</w:t>
      </w:r>
    </w:p>
    <w:p w:rsidR="002929E3" w:rsidRPr="0061056A" w:rsidRDefault="002929E3" w:rsidP="002929E3">
      <w:pPr>
        <w:ind w:left="851"/>
        <w:rPr>
          <w:sz w:val="24"/>
          <w:szCs w:val="24"/>
        </w:rPr>
      </w:pPr>
      <w:r w:rsidRPr="0061056A">
        <w:rPr>
          <w:sz w:val="24"/>
          <w:szCs w:val="24"/>
        </w:rPr>
        <w:t xml:space="preserve">Der sås ingen dødsfald efter oral enkeltadministration af </w:t>
      </w:r>
      <w:proofErr w:type="spellStart"/>
      <w:r w:rsidRPr="0061056A">
        <w:rPr>
          <w:sz w:val="24"/>
          <w:szCs w:val="24"/>
        </w:rPr>
        <w:t>montelukastnatrium</w:t>
      </w:r>
      <w:proofErr w:type="spellEnd"/>
      <w:r w:rsidRPr="0061056A">
        <w:rPr>
          <w:sz w:val="24"/>
          <w:szCs w:val="24"/>
        </w:rPr>
        <w:t xml:space="preserve"> i doser på op til 5000 mg/kg hos mus og rotter (henholdsvis 15.000 mg/m2 og 30.000 mg/m2 hos mus og rotter), den maksimale testede dosis. Denne dosis svarer til 25.000 gange den anbefalede daglige dosis til voksne mennesker (baseret på en voksenpatientvægt på 50 kg).</w:t>
      </w:r>
    </w:p>
    <w:p w:rsidR="002929E3" w:rsidRPr="0061056A" w:rsidRDefault="002929E3" w:rsidP="002929E3">
      <w:pPr>
        <w:ind w:left="851"/>
        <w:rPr>
          <w:sz w:val="24"/>
          <w:szCs w:val="24"/>
        </w:rPr>
      </w:pPr>
      <w:r w:rsidRPr="0061056A">
        <w:rPr>
          <w:sz w:val="24"/>
          <w:szCs w:val="24"/>
        </w:rPr>
        <w:t xml:space="preserve">Det er fastslået, at </w:t>
      </w:r>
      <w:proofErr w:type="spellStart"/>
      <w:r>
        <w:rPr>
          <w:sz w:val="24"/>
          <w:szCs w:val="24"/>
        </w:rPr>
        <w:t>m</w:t>
      </w:r>
      <w:r w:rsidRPr="0061056A">
        <w:rPr>
          <w:sz w:val="24"/>
          <w:szCs w:val="24"/>
        </w:rPr>
        <w:t>ontelukast</w:t>
      </w:r>
      <w:proofErr w:type="spellEnd"/>
      <w:r w:rsidRPr="0061056A">
        <w:rPr>
          <w:sz w:val="24"/>
          <w:szCs w:val="24"/>
        </w:rPr>
        <w:t xml:space="preserve"> ikke er fototoksisk hos mus ved UVA, UVB eller synligt lysspektrum ved doser på op til 500 mg/kg/dag (ca. &gt;200 gange baseret på systemisk eksponering).</w:t>
      </w:r>
    </w:p>
    <w:p w:rsidR="002929E3" w:rsidRDefault="002929E3" w:rsidP="007011C8">
      <w:pPr>
        <w:ind w:left="851"/>
        <w:rPr>
          <w:sz w:val="24"/>
          <w:szCs w:val="24"/>
        </w:rPr>
      </w:pPr>
      <w:proofErr w:type="spellStart"/>
      <w:r w:rsidRPr="0061056A">
        <w:rPr>
          <w:sz w:val="24"/>
          <w:szCs w:val="24"/>
        </w:rPr>
        <w:t>Montelukast</w:t>
      </w:r>
      <w:proofErr w:type="spellEnd"/>
      <w:r w:rsidRPr="0061056A">
        <w:rPr>
          <w:sz w:val="24"/>
          <w:szCs w:val="24"/>
        </w:rPr>
        <w:t xml:space="preserve"> var hverken mutagent i in </w:t>
      </w:r>
      <w:proofErr w:type="spellStart"/>
      <w:r w:rsidRPr="0061056A">
        <w:rPr>
          <w:sz w:val="24"/>
          <w:szCs w:val="24"/>
        </w:rPr>
        <w:t>vitro</w:t>
      </w:r>
      <w:proofErr w:type="spellEnd"/>
      <w:r w:rsidRPr="0061056A">
        <w:rPr>
          <w:sz w:val="24"/>
          <w:szCs w:val="24"/>
        </w:rPr>
        <w:t xml:space="preserve">- eller in </w:t>
      </w:r>
      <w:proofErr w:type="spellStart"/>
      <w:r w:rsidRPr="0061056A">
        <w:rPr>
          <w:sz w:val="24"/>
          <w:szCs w:val="24"/>
        </w:rPr>
        <w:t>vivo</w:t>
      </w:r>
      <w:proofErr w:type="spellEnd"/>
      <w:r w:rsidRPr="0061056A">
        <w:rPr>
          <w:sz w:val="24"/>
          <w:szCs w:val="24"/>
        </w:rPr>
        <w:t xml:space="preserve">-undersøgelser eller </w:t>
      </w:r>
      <w:proofErr w:type="spellStart"/>
      <w:r w:rsidRPr="0061056A">
        <w:rPr>
          <w:sz w:val="24"/>
          <w:szCs w:val="24"/>
        </w:rPr>
        <w:t>tumorgent</w:t>
      </w:r>
      <w:proofErr w:type="spellEnd"/>
      <w:r w:rsidRPr="0061056A">
        <w:rPr>
          <w:sz w:val="24"/>
          <w:szCs w:val="24"/>
        </w:rPr>
        <w:t xml:space="preserve"> hos gnaverarter.</w:t>
      </w:r>
    </w:p>
    <w:p w:rsidR="007011C8" w:rsidRPr="0061056A" w:rsidRDefault="007011C8" w:rsidP="007011C8">
      <w:pPr>
        <w:ind w:left="851"/>
        <w:rPr>
          <w:sz w:val="24"/>
          <w:szCs w:val="24"/>
        </w:rPr>
      </w:pPr>
    </w:p>
    <w:p w:rsidR="002929E3" w:rsidRDefault="002929E3" w:rsidP="002929E3">
      <w:pPr>
        <w:rPr>
          <w:sz w:val="24"/>
          <w:szCs w:val="24"/>
        </w:rPr>
      </w:pPr>
    </w:p>
    <w:p w:rsidR="002929E3" w:rsidRPr="0061056A" w:rsidRDefault="002929E3" w:rsidP="002929E3">
      <w:pPr>
        <w:numPr>
          <w:ilvl w:val="0"/>
          <w:numId w:val="3"/>
        </w:numPr>
        <w:ind w:left="851" w:hanging="851"/>
        <w:rPr>
          <w:b/>
          <w:sz w:val="24"/>
          <w:szCs w:val="24"/>
        </w:rPr>
      </w:pPr>
      <w:r w:rsidRPr="0061056A">
        <w:rPr>
          <w:b/>
          <w:sz w:val="24"/>
          <w:szCs w:val="24"/>
        </w:rPr>
        <w:t>FARMACEUTISKE OPLYSNINGER</w:t>
      </w:r>
    </w:p>
    <w:p w:rsidR="002929E3" w:rsidRPr="0061056A" w:rsidRDefault="002929E3" w:rsidP="002929E3">
      <w:pPr>
        <w:tabs>
          <w:tab w:val="left" w:pos="851"/>
        </w:tabs>
        <w:ind w:left="851" w:hanging="851"/>
        <w:rPr>
          <w:b/>
          <w:sz w:val="24"/>
          <w:szCs w:val="24"/>
        </w:rPr>
      </w:pPr>
    </w:p>
    <w:p w:rsidR="002929E3" w:rsidRPr="0061056A" w:rsidRDefault="002929E3" w:rsidP="002929E3">
      <w:pPr>
        <w:numPr>
          <w:ilvl w:val="1"/>
          <w:numId w:val="5"/>
        </w:numPr>
        <w:ind w:left="851" w:hanging="851"/>
        <w:rPr>
          <w:b/>
          <w:sz w:val="24"/>
          <w:szCs w:val="24"/>
        </w:rPr>
      </w:pPr>
      <w:r w:rsidRPr="0061056A">
        <w:rPr>
          <w:b/>
          <w:sz w:val="24"/>
          <w:szCs w:val="24"/>
        </w:rPr>
        <w:t>Hjælpestoffer</w:t>
      </w:r>
    </w:p>
    <w:p w:rsidR="002929E3" w:rsidRPr="0061056A" w:rsidRDefault="002929E3" w:rsidP="002929E3">
      <w:pPr>
        <w:autoSpaceDE w:val="0"/>
        <w:autoSpaceDN w:val="0"/>
        <w:adjustRightInd w:val="0"/>
        <w:ind w:left="851"/>
        <w:jc w:val="both"/>
        <w:rPr>
          <w:color w:val="010202"/>
          <w:sz w:val="24"/>
          <w:szCs w:val="24"/>
        </w:rPr>
      </w:pPr>
      <w:r w:rsidRPr="0061056A">
        <w:rPr>
          <w:color w:val="010202"/>
          <w:sz w:val="24"/>
          <w:szCs w:val="24"/>
          <w:u w:val="single"/>
        </w:rPr>
        <w:t>Tabletkerne</w:t>
      </w:r>
      <w:r w:rsidRPr="0061056A">
        <w:rPr>
          <w:color w:val="010202"/>
          <w:sz w:val="24"/>
          <w:szCs w:val="24"/>
        </w:rPr>
        <w:t>:</w:t>
      </w:r>
    </w:p>
    <w:p w:rsidR="002929E3" w:rsidRPr="0061056A" w:rsidRDefault="002929E3" w:rsidP="002929E3">
      <w:pPr>
        <w:autoSpaceDE w:val="0"/>
        <w:autoSpaceDN w:val="0"/>
        <w:adjustRightInd w:val="0"/>
        <w:ind w:left="851"/>
        <w:rPr>
          <w:color w:val="010202"/>
          <w:sz w:val="24"/>
          <w:szCs w:val="24"/>
        </w:rPr>
      </w:pPr>
      <w:r w:rsidRPr="0061056A">
        <w:rPr>
          <w:color w:val="010202"/>
          <w:sz w:val="24"/>
          <w:szCs w:val="24"/>
        </w:rPr>
        <w:t>Laktosemonohydrat</w:t>
      </w:r>
    </w:p>
    <w:p w:rsidR="002929E3" w:rsidRDefault="002929E3" w:rsidP="002929E3">
      <w:pPr>
        <w:autoSpaceDE w:val="0"/>
        <w:autoSpaceDN w:val="0"/>
        <w:adjustRightInd w:val="0"/>
        <w:ind w:left="851"/>
        <w:rPr>
          <w:color w:val="010202"/>
          <w:sz w:val="24"/>
          <w:szCs w:val="24"/>
        </w:rPr>
      </w:pPr>
      <w:r w:rsidRPr="0061056A">
        <w:rPr>
          <w:color w:val="010202"/>
          <w:sz w:val="24"/>
          <w:szCs w:val="24"/>
        </w:rPr>
        <w:t>Cellulose, mikrokrystallins</w:t>
      </w:r>
      <w:r>
        <w:rPr>
          <w:color w:val="010202"/>
          <w:sz w:val="24"/>
          <w:szCs w:val="24"/>
        </w:rPr>
        <w:t>k</w:t>
      </w:r>
      <w:r w:rsidRPr="0061056A">
        <w:rPr>
          <w:color w:val="010202"/>
          <w:sz w:val="24"/>
          <w:szCs w:val="24"/>
        </w:rPr>
        <w:t xml:space="preserve"> </w:t>
      </w:r>
    </w:p>
    <w:p w:rsidR="002929E3" w:rsidRPr="0061056A" w:rsidRDefault="002929E3" w:rsidP="002929E3">
      <w:pPr>
        <w:autoSpaceDE w:val="0"/>
        <w:autoSpaceDN w:val="0"/>
        <w:adjustRightInd w:val="0"/>
        <w:ind w:left="851"/>
        <w:rPr>
          <w:color w:val="010202"/>
          <w:sz w:val="24"/>
          <w:szCs w:val="24"/>
        </w:rPr>
      </w:pPr>
      <w:r w:rsidRPr="0061056A">
        <w:rPr>
          <w:color w:val="010202"/>
          <w:sz w:val="24"/>
          <w:szCs w:val="24"/>
        </w:rPr>
        <w:t xml:space="preserve">Lavsubstitueret </w:t>
      </w:r>
      <w:proofErr w:type="spellStart"/>
      <w:r w:rsidRPr="0061056A">
        <w:rPr>
          <w:color w:val="010202"/>
          <w:sz w:val="24"/>
          <w:szCs w:val="24"/>
        </w:rPr>
        <w:t>hydroxypropylcellulose</w:t>
      </w:r>
      <w:proofErr w:type="spellEnd"/>
      <w:r w:rsidRPr="0061056A">
        <w:rPr>
          <w:color w:val="010202"/>
          <w:sz w:val="24"/>
          <w:szCs w:val="24"/>
        </w:rPr>
        <w:t xml:space="preserve"> (LH-11) (E 463)</w:t>
      </w:r>
    </w:p>
    <w:p w:rsidR="002929E3" w:rsidRPr="0061056A" w:rsidRDefault="002929E3" w:rsidP="002929E3">
      <w:pPr>
        <w:autoSpaceDE w:val="0"/>
        <w:autoSpaceDN w:val="0"/>
        <w:adjustRightInd w:val="0"/>
        <w:ind w:left="851"/>
        <w:rPr>
          <w:color w:val="010202"/>
          <w:sz w:val="24"/>
          <w:szCs w:val="24"/>
          <w:lang w:val="en-US"/>
        </w:rPr>
      </w:pPr>
      <w:proofErr w:type="spellStart"/>
      <w:r w:rsidRPr="0061056A">
        <w:rPr>
          <w:color w:val="010202"/>
          <w:sz w:val="24"/>
          <w:szCs w:val="24"/>
          <w:lang w:val="en-US"/>
        </w:rPr>
        <w:t>Croscarmellosenatrium</w:t>
      </w:r>
      <w:proofErr w:type="spellEnd"/>
    </w:p>
    <w:p w:rsidR="002929E3" w:rsidRPr="0061056A" w:rsidRDefault="002929E3" w:rsidP="002929E3">
      <w:pPr>
        <w:autoSpaceDE w:val="0"/>
        <w:autoSpaceDN w:val="0"/>
        <w:adjustRightInd w:val="0"/>
        <w:ind w:left="851"/>
        <w:rPr>
          <w:color w:val="010202"/>
          <w:sz w:val="24"/>
          <w:szCs w:val="24"/>
          <w:lang w:val="en-US"/>
        </w:rPr>
      </w:pPr>
      <w:proofErr w:type="spellStart"/>
      <w:r w:rsidRPr="0061056A">
        <w:rPr>
          <w:color w:val="010202"/>
          <w:sz w:val="24"/>
          <w:szCs w:val="24"/>
          <w:lang w:val="en-US"/>
        </w:rPr>
        <w:t>Magnesiumstearat</w:t>
      </w:r>
      <w:proofErr w:type="spellEnd"/>
    </w:p>
    <w:p w:rsidR="002929E3" w:rsidRPr="0061056A" w:rsidRDefault="002929E3" w:rsidP="002929E3">
      <w:pPr>
        <w:autoSpaceDE w:val="0"/>
        <w:autoSpaceDN w:val="0"/>
        <w:adjustRightInd w:val="0"/>
        <w:ind w:left="851" w:hanging="851"/>
        <w:rPr>
          <w:color w:val="010202"/>
          <w:sz w:val="24"/>
          <w:szCs w:val="24"/>
          <w:u w:val="single"/>
          <w:lang w:val="en-US"/>
        </w:rPr>
      </w:pPr>
    </w:p>
    <w:p w:rsidR="002929E3" w:rsidRPr="0061056A" w:rsidRDefault="002929E3" w:rsidP="002929E3">
      <w:pPr>
        <w:autoSpaceDE w:val="0"/>
        <w:autoSpaceDN w:val="0"/>
        <w:adjustRightInd w:val="0"/>
        <w:ind w:left="851"/>
        <w:rPr>
          <w:color w:val="010202"/>
          <w:sz w:val="24"/>
          <w:szCs w:val="24"/>
          <w:u w:val="single"/>
          <w:lang w:val="en-US"/>
        </w:rPr>
      </w:pPr>
      <w:proofErr w:type="spellStart"/>
      <w:r w:rsidRPr="0061056A">
        <w:rPr>
          <w:color w:val="010202"/>
          <w:sz w:val="24"/>
          <w:szCs w:val="24"/>
          <w:u w:val="single"/>
          <w:lang w:val="en-US"/>
        </w:rPr>
        <w:t>Filmovertræk</w:t>
      </w:r>
      <w:proofErr w:type="spellEnd"/>
      <w:r w:rsidRPr="0061056A">
        <w:rPr>
          <w:color w:val="010202"/>
          <w:sz w:val="24"/>
          <w:szCs w:val="24"/>
          <w:lang w:val="en-US"/>
        </w:rPr>
        <w:t>:</w:t>
      </w:r>
    </w:p>
    <w:p w:rsidR="002929E3" w:rsidRPr="0061056A" w:rsidRDefault="002929E3" w:rsidP="002929E3">
      <w:pPr>
        <w:autoSpaceDE w:val="0"/>
        <w:autoSpaceDN w:val="0"/>
        <w:adjustRightInd w:val="0"/>
        <w:ind w:left="851"/>
        <w:rPr>
          <w:color w:val="010202"/>
          <w:sz w:val="24"/>
          <w:szCs w:val="24"/>
          <w:lang w:val="en-US"/>
        </w:rPr>
      </w:pPr>
      <w:proofErr w:type="spellStart"/>
      <w:r w:rsidRPr="0061056A">
        <w:rPr>
          <w:color w:val="010202"/>
          <w:sz w:val="24"/>
          <w:szCs w:val="24"/>
          <w:lang w:val="en-US"/>
        </w:rPr>
        <w:t>Hydroxypropylcellulose</w:t>
      </w:r>
      <w:proofErr w:type="spellEnd"/>
      <w:r w:rsidRPr="0061056A">
        <w:rPr>
          <w:color w:val="010202"/>
          <w:sz w:val="24"/>
          <w:szCs w:val="24"/>
          <w:lang w:val="en-US"/>
        </w:rPr>
        <w:t xml:space="preserve"> (LF) (E 463)</w:t>
      </w:r>
    </w:p>
    <w:p w:rsidR="002929E3" w:rsidRPr="0061056A" w:rsidRDefault="002929E3" w:rsidP="002929E3">
      <w:pPr>
        <w:autoSpaceDE w:val="0"/>
        <w:autoSpaceDN w:val="0"/>
        <w:adjustRightInd w:val="0"/>
        <w:ind w:left="851"/>
        <w:rPr>
          <w:color w:val="010202"/>
          <w:sz w:val="24"/>
          <w:szCs w:val="24"/>
          <w:lang w:val="en-US"/>
        </w:rPr>
      </w:pPr>
      <w:r w:rsidRPr="0061056A">
        <w:rPr>
          <w:color w:val="010202"/>
          <w:sz w:val="24"/>
          <w:szCs w:val="24"/>
          <w:lang w:val="en-US"/>
        </w:rPr>
        <w:t>Hypromellose 6CPS (A)</w:t>
      </w:r>
    </w:p>
    <w:p w:rsidR="002929E3" w:rsidRPr="0061056A" w:rsidRDefault="002929E3" w:rsidP="002929E3">
      <w:pPr>
        <w:autoSpaceDE w:val="0"/>
        <w:autoSpaceDN w:val="0"/>
        <w:adjustRightInd w:val="0"/>
        <w:ind w:left="851"/>
        <w:rPr>
          <w:color w:val="010202"/>
          <w:sz w:val="24"/>
          <w:szCs w:val="24"/>
          <w:lang w:val="en-US"/>
        </w:rPr>
      </w:pPr>
      <w:proofErr w:type="spellStart"/>
      <w:r w:rsidRPr="0061056A">
        <w:rPr>
          <w:color w:val="010202"/>
          <w:sz w:val="24"/>
          <w:szCs w:val="24"/>
          <w:lang w:val="en-US"/>
        </w:rPr>
        <w:t>Titandioxid</w:t>
      </w:r>
      <w:proofErr w:type="spellEnd"/>
      <w:r w:rsidRPr="0061056A">
        <w:rPr>
          <w:color w:val="010202"/>
          <w:sz w:val="24"/>
          <w:szCs w:val="24"/>
          <w:lang w:val="en-US"/>
        </w:rPr>
        <w:t xml:space="preserve"> (E 171)</w:t>
      </w:r>
    </w:p>
    <w:p w:rsidR="002929E3" w:rsidRPr="0061056A" w:rsidRDefault="002929E3" w:rsidP="002929E3">
      <w:pPr>
        <w:autoSpaceDE w:val="0"/>
        <w:autoSpaceDN w:val="0"/>
        <w:adjustRightInd w:val="0"/>
        <w:ind w:left="851"/>
        <w:rPr>
          <w:color w:val="010202"/>
          <w:sz w:val="24"/>
          <w:szCs w:val="24"/>
        </w:rPr>
      </w:pPr>
      <w:proofErr w:type="spellStart"/>
      <w:r w:rsidRPr="0061056A">
        <w:rPr>
          <w:color w:val="010202"/>
          <w:sz w:val="24"/>
          <w:szCs w:val="24"/>
        </w:rPr>
        <w:t>Macrogol</w:t>
      </w:r>
      <w:proofErr w:type="spellEnd"/>
      <w:r w:rsidRPr="0061056A">
        <w:rPr>
          <w:color w:val="010202"/>
          <w:sz w:val="24"/>
          <w:szCs w:val="24"/>
        </w:rPr>
        <w:t xml:space="preserve"> 6000</w:t>
      </w:r>
    </w:p>
    <w:p w:rsidR="002929E3" w:rsidRPr="0061056A" w:rsidRDefault="002929E3" w:rsidP="002929E3">
      <w:pPr>
        <w:autoSpaceDE w:val="0"/>
        <w:autoSpaceDN w:val="0"/>
        <w:adjustRightInd w:val="0"/>
        <w:ind w:left="851"/>
        <w:rPr>
          <w:color w:val="010202"/>
          <w:sz w:val="24"/>
          <w:szCs w:val="24"/>
        </w:rPr>
      </w:pPr>
      <w:r w:rsidRPr="0061056A">
        <w:rPr>
          <w:color w:val="010202"/>
          <w:sz w:val="24"/>
          <w:szCs w:val="24"/>
        </w:rPr>
        <w:t>Gul jernoxid (E172)</w:t>
      </w:r>
    </w:p>
    <w:p w:rsidR="002929E3" w:rsidRPr="0061056A" w:rsidRDefault="002929E3" w:rsidP="002929E3">
      <w:pPr>
        <w:autoSpaceDE w:val="0"/>
        <w:autoSpaceDN w:val="0"/>
        <w:adjustRightInd w:val="0"/>
        <w:ind w:left="851"/>
        <w:rPr>
          <w:color w:val="010202"/>
          <w:sz w:val="24"/>
          <w:szCs w:val="24"/>
        </w:rPr>
      </w:pPr>
      <w:r w:rsidRPr="0061056A">
        <w:rPr>
          <w:color w:val="010202"/>
          <w:sz w:val="24"/>
          <w:szCs w:val="24"/>
        </w:rPr>
        <w:t>Rød jernoxid (E172)</w:t>
      </w:r>
    </w:p>
    <w:p w:rsidR="002929E3" w:rsidRPr="0061056A" w:rsidRDefault="002929E3" w:rsidP="002929E3">
      <w:pPr>
        <w:tabs>
          <w:tab w:val="left" w:pos="851"/>
        </w:tabs>
        <w:ind w:left="851" w:hanging="851"/>
        <w:rPr>
          <w:sz w:val="24"/>
          <w:szCs w:val="24"/>
        </w:rPr>
      </w:pPr>
    </w:p>
    <w:p w:rsidR="002929E3" w:rsidRPr="0061056A" w:rsidRDefault="002929E3" w:rsidP="002929E3">
      <w:pPr>
        <w:numPr>
          <w:ilvl w:val="1"/>
          <w:numId w:val="5"/>
        </w:numPr>
        <w:ind w:left="851" w:hanging="851"/>
        <w:rPr>
          <w:b/>
          <w:sz w:val="24"/>
          <w:szCs w:val="24"/>
        </w:rPr>
      </w:pPr>
      <w:r w:rsidRPr="0061056A">
        <w:rPr>
          <w:b/>
          <w:sz w:val="24"/>
          <w:szCs w:val="24"/>
        </w:rPr>
        <w:t>Uforligeligheder</w:t>
      </w:r>
    </w:p>
    <w:p w:rsidR="002929E3" w:rsidRPr="0061056A" w:rsidRDefault="002929E3" w:rsidP="002929E3">
      <w:pPr>
        <w:autoSpaceDE w:val="0"/>
        <w:autoSpaceDN w:val="0"/>
        <w:adjustRightInd w:val="0"/>
        <w:ind w:left="851"/>
        <w:rPr>
          <w:color w:val="010202"/>
          <w:sz w:val="24"/>
          <w:szCs w:val="24"/>
        </w:rPr>
      </w:pPr>
      <w:r w:rsidRPr="0061056A">
        <w:rPr>
          <w:color w:val="010202"/>
          <w:sz w:val="24"/>
          <w:szCs w:val="24"/>
        </w:rPr>
        <w:t>Ikke relevant.</w:t>
      </w:r>
    </w:p>
    <w:p w:rsidR="002929E3" w:rsidRPr="0061056A" w:rsidRDefault="002929E3" w:rsidP="002929E3">
      <w:pPr>
        <w:tabs>
          <w:tab w:val="left" w:pos="851"/>
        </w:tabs>
        <w:ind w:left="851" w:hanging="851"/>
        <w:rPr>
          <w:sz w:val="24"/>
          <w:szCs w:val="24"/>
        </w:rPr>
      </w:pPr>
    </w:p>
    <w:p w:rsidR="002929E3" w:rsidRPr="0061056A" w:rsidRDefault="002929E3" w:rsidP="002929E3">
      <w:pPr>
        <w:numPr>
          <w:ilvl w:val="1"/>
          <w:numId w:val="5"/>
        </w:numPr>
        <w:ind w:left="851" w:hanging="851"/>
        <w:rPr>
          <w:b/>
          <w:sz w:val="24"/>
          <w:szCs w:val="24"/>
        </w:rPr>
      </w:pPr>
      <w:r w:rsidRPr="0061056A">
        <w:rPr>
          <w:b/>
          <w:sz w:val="24"/>
          <w:szCs w:val="24"/>
        </w:rPr>
        <w:t>Opbevaringstid</w:t>
      </w:r>
    </w:p>
    <w:p w:rsidR="002929E3" w:rsidRPr="0061056A" w:rsidRDefault="002929E3" w:rsidP="002929E3">
      <w:pPr>
        <w:tabs>
          <w:tab w:val="left" w:pos="851"/>
        </w:tabs>
        <w:ind w:left="851" w:hanging="851"/>
        <w:rPr>
          <w:sz w:val="24"/>
          <w:szCs w:val="24"/>
        </w:rPr>
      </w:pPr>
      <w:r>
        <w:rPr>
          <w:color w:val="010202"/>
          <w:sz w:val="24"/>
          <w:szCs w:val="24"/>
        </w:rPr>
        <w:tab/>
      </w:r>
      <w:r w:rsidRPr="0061056A">
        <w:rPr>
          <w:color w:val="010202"/>
          <w:sz w:val="24"/>
          <w:szCs w:val="24"/>
        </w:rPr>
        <w:t>2 år.</w:t>
      </w:r>
    </w:p>
    <w:p w:rsidR="002929E3" w:rsidRPr="0061056A" w:rsidRDefault="002929E3" w:rsidP="002929E3">
      <w:pPr>
        <w:tabs>
          <w:tab w:val="left" w:pos="851"/>
        </w:tabs>
        <w:ind w:left="851" w:hanging="851"/>
        <w:rPr>
          <w:sz w:val="24"/>
          <w:szCs w:val="24"/>
        </w:rPr>
      </w:pPr>
    </w:p>
    <w:p w:rsidR="002929E3" w:rsidRPr="0061056A" w:rsidRDefault="002929E3" w:rsidP="002929E3">
      <w:pPr>
        <w:numPr>
          <w:ilvl w:val="1"/>
          <w:numId w:val="5"/>
        </w:numPr>
        <w:ind w:left="851" w:hanging="851"/>
        <w:rPr>
          <w:b/>
          <w:sz w:val="24"/>
          <w:szCs w:val="24"/>
        </w:rPr>
      </w:pPr>
      <w:r w:rsidRPr="0061056A">
        <w:rPr>
          <w:b/>
          <w:sz w:val="24"/>
          <w:szCs w:val="24"/>
        </w:rPr>
        <w:lastRenderedPageBreak/>
        <w:t>Særlige opbevaringsforhold</w:t>
      </w:r>
    </w:p>
    <w:p w:rsidR="002929E3" w:rsidRDefault="002929E3" w:rsidP="002929E3">
      <w:pPr>
        <w:autoSpaceDE w:val="0"/>
        <w:autoSpaceDN w:val="0"/>
        <w:adjustRightInd w:val="0"/>
        <w:ind w:left="851" w:hanging="851"/>
        <w:rPr>
          <w:sz w:val="24"/>
          <w:szCs w:val="24"/>
        </w:rPr>
      </w:pPr>
      <w:r w:rsidRPr="0061056A">
        <w:rPr>
          <w:sz w:val="24"/>
          <w:szCs w:val="24"/>
        </w:rPr>
        <w:tab/>
      </w:r>
      <w:r w:rsidRPr="00384CAD">
        <w:rPr>
          <w:sz w:val="24"/>
          <w:szCs w:val="24"/>
        </w:rPr>
        <w:t>Der er ingen særlige krav vedrørende opbevaringstemperaturer for dette lægemiddel.</w:t>
      </w:r>
    </w:p>
    <w:p w:rsidR="002929E3" w:rsidRPr="0061056A" w:rsidRDefault="002929E3" w:rsidP="002929E3">
      <w:pPr>
        <w:autoSpaceDE w:val="0"/>
        <w:autoSpaceDN w:val="0"/>
        <w:adjustRightInd w:val="0"/>
        <w:ind w:left="851"/>
        <w:rPr>
          <w:sz w:val="24"/>
          <w:szCs w:val="24"/>
        </w:rPr>
      </w:pPr>
      <w:r w:rsidRPr="0061056A">
        <w:rPr>
          <w:sz w:val="24"/>
          <w:szCs w:val="24"/>
        </w:rPr>
        <w:t>Opbevares i den originale yderpakning for at beskytte mod lys og fugt.</w:t>
      </w:r>
    </w:p>
    <w:p w:rsidR="002929E3" w:rsidRPr="0061056A" w:rsidRDefault="002929E3" w:rsidP="002929E3">
      <w:pPr>
        <w:tabs>
          <w:tab w:val="left" w:pos="851"/>
        </w:tabs>
        <w:ind w:left="851" w:hanging="851"/>
        <w:rPr>
          <w:sz w:val="24"/>
          <w:szCs w:val="24"/>
        </w:rPr>
      </w:pPr>
    </w:p>
    <w:p w:rsidR="002929E3" w:rsidRPr="0061056A" w:rsidRDefault="002929E3" w:rsidP="002929E3">
      <w:pPr>
        <w:numPr>
          <w:ilvl w:val="1"/>
          <w:numId w:val="5"/>
        </w:numPr>
        <w:ind w:left="851" w:hanging="851"/>
        <w:rPr>
          <w:b/>
          <w:sz w:val="24"/>
          <w:szCs w:val="24"/>
        </w:rPr>
      </w:pPr>
      <w:r w:rsidRPr="0061056A">
        <w:rPr>
          <w:b/>
          <w:sz w:val="24"/>
          <w:szCs w:val="24"/>
        </w:rPr>
        <w:t>Emballagetype og pakningsstørrelser</w:t>
      </w:r>
    </w:p>
    <w:p w:rsidR="002929E3" w:rsidRPr="0061056A" w:rsidRDefault="002929E3" w:rsidP="002929E3">
      <w:pPr>
        <w:pStyle w:val="Brdtekst3"/>
        <w:ind w:left="851"/>
        <w:jc w:val="left"/>
        <w:rPr>
          <w:rFonts w:ascii="Times New Roman" w:hAnsi="Times New Roman" w:cs="Times New Roman"/>
          <w:color w:val="auto"/>
          <w:lang w:val="da-DK"/>
        </w:rPr>
      </w:pPr>
      <w:proofErr w:type="spellStart"/>
      <w:r w:rsidRPr="0061056A">
        <w:rPr>
          <w:rFonts w:ascii="Times New Roman" w:hAnsi="Times New Roman" w:cs="Times New Roman"/>
          <w:color w:val="auto"/>
          <w:lang w:val="da-DK"/>
        </w:rPr>
        <w:t>Montelukast</w:t>
      </w:r>
      <w:proofErr w:type="spellEnd"/>
      <w:r w:rsidRPr="0061056A">
        <w:rPr>
          <w:rFonts w:ascii="Times New Roman" w:hAnsi="Times New Roman" w:cs="Times New Roman"/>
          <w:color w:val="auto"/>
          <w:lang w:val="da-DK"/>
        </w:rPr>
        <w:t xml:space="preserve"> 10 mg tabletter er pakket i OPA-Al-PVC/Al-blisterpakninger. </w:t>
      </w:r>
    </w:p>
    <w:p w:rsidR="002929E3" w:rsidRPr="0061056A" w:rsidRDefault="002929E3" w:rsidP="002929E3">
      <w:pPr>
        <w:ind w:left="851" w:hanging="851"/>
        <w:rPr>
          <w:color w:val="010202"/>
          <w:sz w:val="24"/>
          <w:szCs w:val="24"/>
        </w:rPr>
      </w:pPr>
    </w:p>
    <w:p w:rsidR="002929E3" w:rsidRPr="0061056A" w:rsidRDefault="002929E3" w:rsidP="002929E3">
      <w:pPr>
        <w:ind w:left="851"/>
        <w:rPr>
          <w:sz w:val="24"/>
          <w:szCs w:val="24"/>
        </w:rPr>
      </w:pPr>
      <w:r w:rsidRPr="0061056A">
        <w:rPr>
          <w:color w:val="010202"/>
          <w:sz w:val="24"/>
          <w:szCs w:val="24"/>
        </w:rPr>
        <w:t>Pakningsstørrelser: p</w:t>
      </w:r>
      <w:r w:rsidRPr="0061056A">
        <w:rPr>
          <w:sz w:val="24"/>
          <w:szCs w:val="24"/>
        </w:rPr>
        <w:t>akninger med 7, 10, 14, 20, 28, 30, 50, 56, 84, 90, 98, 100, 140 og 200 tabletter i blister.</w:t>
      </w:r>
    </w:p>
    <w:p w:rsidR="002929E3" w:rsidRPr="0061056A" w:rsidRDefault="002929E3" w:rsidP="002929E3">
      <w:pPr>
        <w:ind w:left="851" w:hanging="851"/>
        <w:rPr>
          <w:sz w:val="24"/>
          <w:szCs w:val="24"/>
        </w:rPr>
      </w:pPr>
    </w:p>
    <w:p w:rsidR="002929E3" w:rsidRPr="0061056A" w:rsidRDefault="002929E3" w:rsidP="002929E3">
      <w:pPr>
        <w:tabs>
          <w:tab w:val="left" w:pos="851"/>
        </w:tabs>
        <w:ind w:left="851" w:hanging="851"/>
        <w:rPr>
          <w:sz w:val="24"/>
          <w:szCs w:val="24"/>
        </w:rPr>
      </w:pPr>
      <w:r>
        <w:rPr>
          <w:color w:val="010202"/>
          <w:sz w:val="24"/>
          <w:szCs w:val="24"/>
        </w:rPr>
        <w:tab/>
      </w:r>
      <w:r w:rsidRPr="0061056A">
        <w:rPr>
          <w:color w:val="010202"/>
          <w:sz w:val="24"/>
          <w:szCs w:val="24"/>
        </w:rPr>
        <w:t>Ikke alle pakningsstørrelser er nødvendigvis markedsført.</w:t>
      </w:r>
    </w:p>
    <w:p w:rsidR="002929E3" w:rsidRPr="0061056A" w:rsidRDefault="002929E3" w:rsidP="002929E3">
      <w:pPr>
        <w:tabs>
          <w:tab w:val="left" w:pos="851"/>
        </w:tabs>
        <w:ind w:left="851" w:hanging="851"/>
        <w:rPr>
          <w:sz w:val="24"/>
          <w:szCs w:val="24"/>
        </w:rPr>
      </w:pPr>
    </w:p>
    <w:p w:rsidR="002929E3" w:rsidRPr="0061056A" w:rsidRDefault="002929E3" w:rsidP="002929E3">
      <w:pPr>
        <w:numPr>
          <w:ilvl w:val="1"/>
          <w:numId w:val="5"/>
        </w:numPr>
        <w:ind w:left="851" w:hanging="851"/>
        <w:rPr>
          <w:b/>
          <w:sz w:val="24"/>
          <w:szCs w:val="24"/>
        </w:rPr>
      </w:pPr>
      <w:r w:rsidRPr="0061056A">
        <w:rPr>
          <w:b/>
          <w:sz w:val="24"/>
          <w:szCs w:val="24"/>
        </w:rPr>
        <w:t xml:space="preserve">Regler for </w:t>
      </w:r>
      <w:r w:rsidR="007011C8">
        <w:rPr>
          <w:b/>
          <w:sz w:val="24"/>
          <w:szCs w:val="24"/>
        </w:rPr>
        <w:t>bortskaffelse</w:t>
      </w:r>
      <w:r w:rsidRPr="0061056A">
        <w:rPr>
          <w:b/>
          <w:sz w:val="24"/>
          <w:szCs w:val="24"/>
        </w:rPr>
        <w:t xml:space="preserve"> og anden håndtering</w:t>
      </w:r>
    </w:p>
    <w:p w:rsidR="004B7906" w:rsidRPr="004B7906" w:rsidRDefault="004B7906" w:rsidP="004B7906">
      <w:pPr>
        <w:autoSpaceDE w:val="0"/>
        <w:autoSpaceDN w:val="0"/>
        <w:adjustRightInd w:val="0"/>
        <w:ind w:left="851"/>
        <w:rPr>
          <w:color w:val="010202"/>
          <w:sz w:val="24"/>
          <w:szCs w:val="22"/>
        </w:rPr>
      </w:pPr>
      <w:r w:rsidRPr="004B7906">
        <w:rPr>
          <w:color w:val="010202"/>
          <w:sz w:val="24"/>
          <w:szCs w:val="22"/>
        </w:rPr>
        <w:t>Ikke anvendt lægemiddel samt affald heraf skal bortskaffes i henhold til lokale retningslinjer.</w:t>
      </w:r>
    </w:p>
    <w:p w:rsidR="004B7906" w:rsidRDefault="004B7906" w:rsidP="002929E3">
      <w:pPr>
        <w:tabs>
          <w:tab w:val="left" w:pos="851"/>
        </w:tabs>
        <w:ind w:left="851" w:hanging="851"/>
        <w:rPr>
          <w:b/>
          <w:sz w:val="24"/>
          <w:szCs w:val="24"/>
        </w:rPr>
      </w:pPr>
    </w:p>
    <w:p w:rsidR="002929E3" w:rsidRPr="003E09A4" w:rsidRDefault="002929E3" w:rsidP="002929E3">
      <w:pPr>
        <w:tabs>
          <w:tab w:val="left" w:pos="851"/>
        </w:tabs>
        <w:ind w:left="851" w:hanging="851"/>
        <w:rPr>
          <w:b/>
          <w:sz w:val="24"/>
          <w:szCs w:val="24"/>
        </w:rPr>
      </w:pPr>
      <w:r w:rsidRPr="003E09A4">
        <w:rPr>
          <w:b/>
          <w:sz w:val="24"/>
          <w:szCs w:val="24"/>
        </w:rPr>
        <w:t>7.</w:t>
      </w:r>
      <w:r w:rsidRPr="003E09A4">
        <w:rPr>
          <w:b/>
          <w:sz w:val="24"/>
          <w:szCs w:val="24"/>
        </w:rPr>
        <w:tab/>
        <w:t>INDEHAVER AF MARKEDSFØRINGSTILLADELSEN</w:t>
      </w:r>
    </w:p>
    <w:p w:rsidR="00EC04BA" w:rsidRPr="00B703F3" w:rsidRDefault="002929E3" w:rsidP="00EC04BA">
      <w:pPr>
        <w:autoSpaceDE w:val="0"/>
        <w:autoSpaceDN w:val="0"/>
        <w:adjustRightInd w:val="0"/>
        <w:ind w:left="851" w:hanging="851"/>
        <w:rPr>
          <w:color w:val="010202"/>
          <w:sz w:val="24"/>
          <w:szCs w:val="24"/>
        </w:rPr>
      </w:pPr>
      <w:r w:rsidRPr="003E09A4">
        <w:rPr>
          <w:sz w:val="24"/>
          <w:szCs w:val="24"/>
        </w:rPr>
        <w:tab/>
      </w:r>
      <w:proofErr w:type="spellStart"/>
      <w:r w:rsidR="00EC04BA" w:rsidRPr="00B703F3">
        <w:rPr>
          <w:color w:val="010202"/>
          <w:sz w:val="24"/>
          <w:szCs w:val="24"/>
        </w:rPr>
        <w:t>Accord</w:t>
      </w:r>
      <w:proofErr w:type="spellEnd"/>
      <w:r w:rsidR="00EC04BA" w:rsidRPr="00B703F3">
        <w:rPr>
          <w:color w:val="010202"/>
          <w:sz w:val="24"/>
          <w:szCs w:val="24"/>
        </w:rPr>
        <w:t xml:space="preserve"> Healthcare B.V.</w:t>
      </w:r>
    </w:p>
    <w:p w:rsidR="00EC04BA" w:rsidRPr="00B703F3" w:rsidRDefault="00EC04BA" w:rsidP="00EC04BA">
      <w:pPr>
        <w:autoSpaceDE w:val="0"/>
        <w:autoSpaceDN w:val="0"/>
        <w:adjustRightInd w:val="0"/>
        <w:ind w:left="851"/>
        <w:rPr>
          <w:color w:val="010202"/>
          <w:sz w:val="24"/>
          <w:szCs w:val="24"/>
        </w:rPr>
      </w:pPr>
      <w:proofErr w:type="spellStart"/>
      <w:r w:rsidRPr="00B703F3">
        <w:rPr>
          <w:color w:val="010202"/>
          <w:sz w:val="24"/>
          <w:szCs w:val="24"/>
        </w:rPr>
        <w:t>Winthontlaan</w:t>
      </w:r>
      <w:proofErr w:type="spellEnd"/>
      <w:r w:rsidRPr="00B703F3">
        <w:rPr>
          <w:color w:val="010202"/>
          <w:sz w:val="24"/>
          <w:szCs w:val="24"/>
        </w:rPr>
        <w:t xml:space="preserve"> 200</w:t>
      </w:r>
    </w:p>
    <w:p w:rsidR="00EC04BA" w:rsidRPr="00EC04BA" w:rsidRDefault="00EC04BA" w:rsidP="00EC04BA">
      <w:pPr>
        <w:autoSpaceDE w:val="0"/>
        <w:autoSpaceDN w:val="0"/>
        <w:adjustRightInd w:val="0"/>
        <w:ind w:left="851"/>
        <w:rPr>
          <w:color w:val="010202"/>
          <w:sz w:val="24"/>
          <w:szCs w:val="24"/>
        </w:rPr>
      </w:pPr>
      <w:r w:rsidRPr="00EC04BA">
        <w:rPr>
          <w:color w:val="010202"/>
          <w:sz w:val="24"/>
          <w:szCs w:val="24"/>
        </w:rPr>
        <w:t>3526KV Utrecht</w:t>
      </w:r>
    </w:p>
    <w:p w:rsidR="002929E3" w:rsidRPr="003E09A4" w:rsidRDefault="00EC04BA" w:rsidP="00EC04BA">
      <w:pPr>
        <w:autoSpaceDE w:val="0"/>
        <w:autoSpaceDN w:val="0"/>
        <w:adjustRightInd w:val="0"/>
        <w:ind w:left="851"/>
        <w:rPr>
          <w:color w:val="010202"/>
          <w:sz w:val="24"/>
          <w:szCs w:val="24"/>
        </w:rPr>
      </w:pPr>
      <w:r w:rsidRPr="00EC04BA">
        <w:rPr>
          <w:color w:val="010202"/>
          <w:sz w:val="24"/>
          <w:szCs w:val="24"/>
        </w:rPr>
        <w:t>Holland</w:t>
      </w:r>
    </w:p>
    <w:p w:rsidR="002929E3" w:rsidRPr="003E09A4" w:rsidRDefault="002929E3" w:rsidP="002929E3">
      <w:pPr>
        <w:tabs>
          <w:tab w:val="left" w:pos="851"/>
        </w:tabs>
        <w:ind w:left="851" w:hanging="851"/>
        <w:rPr>
          <w:sz w:val="24"/>
          <w:szCs w:val="24"/>
        </w:rPr>
      </w:pPr>
    </w:p>
    <w:p w:rsidR="002929E3" w:rsidRPr="0061056A" w:rsidRDefault="002929E3" w:rsidP="002929E3">
      <w:pPr>
        <w:tabs>
          <w:tab w:val="left" w:pos="851"/>
        </w:tabs>
        <w:ind w:left="851" w:hanging="851"/>
        <w:rPr>
          <w:b/>
          <w:sz w:val="24"/>
          <w:szCs w:val="24"/>
        </w:rPr>
      </w:pPr>
      <w:r w:rsidRPr="0061056A">
        <w:rPr>
          <w:b/>
          <w:sz w:val="24"/>
          <w:szCs w:val="24"/>
        </w:rPr>
        <w:t>8.</w:t>
      </w:r>
      <w:r w:rsidRPr="0061056A">
        <w:rPr>
          <w:b/>
          <w:sz w:val="24"/>
          <w:szCs w:val="24"/>
        </w:rPr>
        <w:tab/>
        <w:t>MARKEDSFØRINGSTILLADELSESNUMMER (</w:t>
      </w:r>
      <w:r w:rsidR="007011C8">
        <w:rPr>
          <w:b/>
          <w:sz w:val="24"/>
          <w:szCs w:val="24"/>
        </w:rPr>
        <w:t>-</w:t>
      </w:r>
      <w:r w:rsidRPr="0061056A">
        <w:rPr>
          <w:b/>
          <w:sz w:val="24"/>
          <w:szCs w:val="24"/>
        </w:rPr>
        <w:t>NUMRE)</w:t>
      </w:r>
    </w:p>
    <w:p w:rsidR="002929E3" w:rsidRPr="0061056A" w:rsidRDefault="002929E3" w:rsidP="002929E3">
      <w:pPr>
        <w:tabs>
          <w:tab w:val="left" w:pos="851"/>
        </w:tabs>
        <w:ind w:left="851" w:hanging="851"/>
        <w:rPr>
          <w:sz w:val="24"/>
          <w:szCs w:val="24"/>
        </w:rPr>
      </w:pPr>
      <w:r w:rsidRPr="0061056A">
        <w:rPr>
          <w:sz w:val="24"/>
          <w:szCs w:val="24"/>
        </w:rPr>
        <w:tab/>
        <w:t>47653</w:t>
      </w:r>
    </w:p>
    <w:p w:rsidR="002929E3" w:rsidRPr="0061056A" w:rsidRDefault="002929E3" w:rsidP="002929E3">
      <w:pPr>
        <w:tabs>
          <w:tab w:val="left" w:pos="851"/>
        </w:tabs>
        <w:ind w:left="851" w:hanging="851"/>
        <w:jc w:val="both"/>
        <w:rPr>
          <w:sz w:val="24"/>
          <w:szCs w:val="24"/>
        </w:rPr>
      </w:pPr>
    </w:p>
    <w:p w:rsidR="002929E3" w:rsidRPr="0061056A" w:rsidRDefault="002929E3" w:rsidP="002929E3">
      <w:pPr>
        <w:tabs>
          <w:tab w:val="left" w:pos="851"/>
        </w:tabs>
        <w:ind w:left="851" w:hanging="851"/>
        <w:rPr>
          <w:b/>
          <w:sz w:val="24"/>
          <w:szCs w:val="24"/>
        </w:rPr>
      </w:pPr>
      <w:r w:rsidRPr="0061056A">
        <w:rPr>
          <w:b/>
          <w:sz w:val="24"/>
          <w:szCs w:val="24"/>
        </w:rPr>
        <w:t>9.</w:t>
      </w:r>
      <w:r w:rsidRPr="0061056A">
        <w:rPr>
          <w:b/>
          <w:sz w:val="24"/>
          <w:szCs w:val="24"/>
        </w:rPr>
        <w:tab/>
        <w:t>DATO FOR FØRSTE MARKEDSFØRINGSTILLADELSE</w:t>
      </w:r>
    </w:p>
    <w:p w:rsidR="002929E3" w:rsidRPr="0061056A" w:rsidRDefault="002929E3" w:rsidP="002929E3">
      <w:pPr>
        <w:tabs>
          <w:tab w:val="left" w:pos="851"/>
        </w:tabs>
        <w:ind w:left="851" w:hanging="851"/>
        <w:rPr>
          <w:sz w:val="24"/>
          <w:szCs w:val="24"/>
        </w:rPr>
      </w:pPr>
      <w:r w:rsidRPr="0061056A">
        <w:rPr>
          <w:sz w:val="24"/>
          <w:szCs w:val="24"/>
        </w:rPr>
        <w:tab/>
        <w:t>1</w:t>
      </w:r>
      <w:r>
        <w:rPr>
          <w:sz w:val="24"/>
          <w:szCs w:val="24"/>
        </w:rPr>
        <w:t>6</w:t>
      </w:r>
      <w:r w:rsidRPr="0061056A">
        <w:rPr>
          <w:sz w:val="24"/>
          <w:szCs w:val="24"/>
        </w:rPr>
        <w:t>. februar 2012</w:t>
      </w:r>
    </w:p>
    <w:p w:rsidR="002929E3" w:rsidRPr="0061056A" w:rsidRDefault="002929E3" w:rsidP="002929E3">
      <w:pPr>
        <w:tabs>
          <w:tab w:val="left" w:pos="851"/>
        </w:tabs>
        <w:ind w:left="851" w:hanging="851"/>
        <w:rPr>
          <w:sz w:val="24"/>
          <w:szCs w:val="24"/>
        </w:rPr>
      </w:pPr>
    </w:p>
    <w:p w:rsidR="002929E3" w:rsidRPr="0061056A" w:rsidRDefault="002929E3" w:rsidP="002929E3">
      <w:pPr>
        <w:tabs>
          <w:tab w:val="left" w:pos="851"/>
        </w:tabs>
        <w:ind w:left="851" w:hanging="851"/>
        <w:rPr>
          <w:b/>
          <w:sz w:val="24"/>
          <w:szCs w:val="24"/>
        </w:rPr>
      </w:pPr>
      <w:r w:rsidRPr="0061056A">
        <w:rPr>
          <w:b/>
          <w:sz w:val="24"/>
          <w:szCs w:val="24"/>
        </w:rPr>
        <w:t>10.</w:t>
      </w:r>
      <w:r w:rsidRPr="0061056A">
        <w:rPr>
          <w:b/>
          <w:sz w:val="24"/>
          <w:szCs w:val="24"/>
        </w:rPr>
        <w:tab/>
        <w:t>DATO FOR ÆNDRING AF TEKSTEN</w:t>
      </w:r>
    </w:p>
    <w:p w:rsidR="002929E3" w:rsidRPr="0061056A" w:rsidRDefault="00B751B3" w:rsidP="002929E3">
      <w:pPr>
        <w:tabs>
          <w:tab w:val="left" w:pos="851"/>
        </w:tabs>
        <w:ind w:left="851"/>
        <w:rPr>
          <w:sz w:val="24"/>
          <w:szCs w:val="24"/>
        </w:rPr>
      </w:pPr>
      <w:r>
        <w:rPr>
          <w:sz w:val="24"/>
          <w:szCs w:val="24"/>
        </w:rPr>
        <w:t>6. november</w:t>
      </w:r>
      <w:bookmarkStart w:id="0" w:name="_GoBack"/>
      <w:bookmarkEnd w:id="0"/>
      <w:r w:rsidR="007011C8">
        <w:rPr>
          <w:sz w:val="24"/>
          <w:szCs w:val="24"/>
        </w:rPr>
        <w:t xml:space="preserve"> 2024</w:t>
      </w:r>
    </w:p>
    <w:p w:rsidR="002929E3" w:rsidRPr="00980208" w:rsidRDefault="002929E3" w:rsidP="002929E3"/>
    <w:p w:rsidR="002929E3" w:rsidRPr="0000048C" w:rsidRDefault="002929E3" w:rsidP="002929E3"/>
    <w:p w:rsidR="009260DE" w:rsidRPr="002929E3" w:rsidRDefault="009260DE" w:rsidP="002929E3"/>
    <w:sectPr w:rsidR="009260DE" w:rsidRPr="002929E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9E3" w:rsidRDefault="002929E3">
      <w:r>
        <w:separator/>
      </w:r>
    </w:p>
  </w:endnote>
  <w:endnote w:type="continuationSeparator" w:id="0">
    <w:p w:rsidR="002929E3" w:rsidRDefault="0029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Italic">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30C0B">
      <w:rPr>
        <w:i/>
        <w:noProof/>
        <w:sz w:val="18"/>
        <w:szCs w:val="18"/>
      </w:rPr>
      <w:t>Montelukast Accord Healthcare, filmovertrukne tabletter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9E3" w:rsidRDefault="002929E3">
      <w:r>
        <w:separator/>
      </w:r>
    </w:p>
  </w:footnote>
  <w:footnote w:type="continuationSeparator" w:id="0">
    <w:p w:rsidR="002929E3" w:rsidRDefault="00292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8925171"/>
    <w:multiLevelType w:val="hybridMultilevel"/>
    <w:tmpl w:val="1F28B0B8"/>
    <w:lvl w:ilvl="0" w:tplc="0B5AC9D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79382805"/>
    <w:multiLevelType w:val="hybridMultilevel"/>
    <w:tmpl w:val="FDE02AEC"/>
    <w:lvl w:ilvl="0" w:tplc="5A5CF712">
      <w:start w:val="1"/>
      <w:numFmt w:val="bullet"/>
      <w:lvlText w:val="-"/>
      <w:lvlJc w:val="left"/>
      <w:pPr>
        <w:ind w:left="1571" w:hanging="360"/>
      </w:pPr>
      <w:rPr>
        <w:rFonts w:ascii="Courier New" w:hAnsi="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E3"/>
    <w:rsid w:val="000259B9"/>
    <w:rsid w:val="00041491"/>
    <w:rsid w:val="00050D16"/>
    <w:rsid w:val="00074F2A"/>
    <w:rsid w:val="000A1CA8"/>
    <w:rsid w:val="000A466B"/>
    <w:rsid w:val="000B058C"/>
    <w:rsid w:val="000E4EE6"/>
    <w:rsid w:val="001454E2"/>
    <w:rsid w:val="00196D6E"/>
    <w:rsid w:val="001E3A27"/>
    <w:rsid w:val="00206CE8"/>
    <w:rsid w:val="0021526C"/>
    <w:rsid w:val="00220A6E"/>
    <w:rsid w:val="00283A2B"/>
    <w:rsid w:val="002929E3"/>
    <w:rsid w:val="002B30AD"/>
    <w:rsid w:val="002C2C01"/>
    <w:rsid w:val="003936BB"/>
    <w:rsid w:val="003A29AE"/>
    <w:rsid w:val="003A32D7"/>
    <w:rsid w:val="003B4074"/>
    <w:rsid w:val="003C769A"/>
    <w:rsid w:val="003F1838"/>
    <w:rsid w:val="004426B2"/>
    <w:rsid w:val="0045746C"/>
    <w:rsid w:val="00477E66"/>
    <w:rsid w:val="0049104B"/>
    <w:rsid w:val="004B2C0F"/>
    <w:rsid w:val="004B7906"/>
    <w:rsid w:val="004E3B12"/>
    <w:rsid w:val="00532310"/>
    <w:rsid w:val="00560ECC"/>
    <w:rsid w:val="00565F0F"/>
    <w:rsid w:val="00594A86"/>
    <w:rsid w:val="00596D86"/>
    <w:rsid w:val="005D16B9"/>
    <w:rsid w:val="005E0866"/>
    <w:rsid w:val="00630CC1"/>
    <w:rsid w:val="00637F5A"/>
    <w:rsid w:val="006560B1"/>
    <w:rsid w:val="006756DD"/>
    <w:rsid w:val="007011C8"/>
    <w:rsid w:val="00737275"/>
    <w:rsid w:val="00740EEC"/>
    <w:rsid w:val="0078011A"/>
    <w:rsid w:val="00782AF4"/>
    <w:rsid w:val="00784BCA"/>
    <w:rsid w:val="00790EE7"/>
    <w:rsid w:val="007B6649"/>
    <w:rsid w:val="0081546F"/>
    <w:rsid w:val="00822842"/>
    <w:rsid w:val="0082576E"/>
    <w:rsid w:val="00907F75"/>
    <w:rsid w:val="009260DE"/>
    <w:rsid w:val="0093258A"/>
    <w:rsid w:val="009A7227"/>
    <w:rsid w:val="009C7BA3"/>
    <w:rsid w:val="009D1F5A"/>
    <w:rsid w:val="009E4309"/>
    <w:rsid w:val="00AA18D7"/>
    <w:rsid w:val="00AA2C6D"/>
    <w:rsid w:val="00AB18E3"/>
    <w:rsid w:val="00AE6C99"/>
    <w:rsid w:val="00B003BF"/>
    <w:rsid w:val="00B373D7"/>
    <w:rsid w:val="00B703F3"/>
    <w:rsid w:val="00B751B3"/>
    <w:rsid w:val="00C36276"/>
    <w:rsid w:val="00C42586"/>
    <w:rsid w:val="00C60CCD"/>
    <w:rsid w:val="00C84483"/>
    <w:rsid w:val="00C95551"/>
    <w:rsid w:val="00CB20D7"/>
    <w:rsid w:val="00D01D61"/>
    <w:rsid w:val="00D020B0"/>
    <w:rsid w:val="00D055D3"/>
    <w:rsid w:val="00D11748"/>
    <w:rsid w:val="00D30C0B"/>
    <w:rsid w:val="00D366CF"/>
    <w:rsid w:val="00E108AA"/>
    <w:rsid w:val="00E31812"/>
    <w:rsid w:val="00E3749A"/>
    <w:rsid w:val="00E7437F"/>
    <w:rsid w:val="00E81D2F"/>
    <w:rsid w:val="00E865B8"/>
    <w:rsid w:val="00EA55E3"/>
    <w:rsid w:val="00EC04BA"/>
    <w:rsid w:val="00EC0B9B"/>
    <w:rsid w:val="00ED5E9F"/>
    <w:rsid w:val="00F25C47"/>
    <w:rsid w:val="00F47EA2"/>
    <w:rsid w:val="00F66D4F"/>
    <w:rsid w:val="00FB6D01"/>
    <w:rsid w:val="00FC64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C83C1"/>
  <w15:chartTrackingRefBased/>
  <w15:docId w15:val="{34AEB2FF-881A-4D1B-A46E-546E76AA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google-src-text1">
    <w:name w:val="google-src-text1"/>
    <w:rsid w:val="002929E3"/>
    <w:rPr>
      <w:vanish/>
      <w:webHidden w:val="0"/>
      <w:specVanish w:val="0"/>
    </w:rPr>
  </w:style>
  <w:style w:type="paragraph" w:styleId="Brdtekst3">
    <w:name w:val="Body Text 3"/>
    <w:basedOn w:val="Normal"/>
    <w:link w:val="Brdtekst3Tegn"/>
    <w:semiHidden/>
    <w:unhideWhenUsed/>
    <w:rsid w:val="002929E3"/>
    <w:pPr>
      <w:jc w:val="both"/>
    </w:pPr>
    <w:rPr>
      <w:rFonts w:ascii="Arial" w:hAnsi="Arial" w:cs="Arial"/>
      <w:color w:val="000000"/>
      <w:sz w:val="24"/>
      <w:szCs w:val="24"/>
      <w:lang w:val="en-US"/>
    </w:rPr>
  </w:style>
  <w:style w:type="character" w:customStyle="1" w:styleId="Brdtekst3Tegn">
    <w:name w:val="Brødtekst 3 Tegn"/>
    <w:basedOn w:val="Standardskrifttypeiafsnit"/>
    <w:link w:val="Brdtekst3"/>
    <w:semiHidden/>
    <w:rsid w:val="002929E3"/>
    <w:rPr>
      <w:rFonts w:ascii="Arial" w:hAnsi="Arial" w:cs="Arial"/>
      <w:color w:val="000000"/>
      <w:sz w:val="24"/>
      <w:szCs w:val="24"/>
      <w:lang w:val="en-US" w:eastAsia="en-US"/>
    </w:rPr>
  </w:style>
  <w:style w:type="table" w:styleId="Tabel-Gitter">
    <w:name w:val="Table Grid"/>
    <w:basedOn w:val="Tabel-Normal"/>
    <w:uiPriority w:val="59"/>
    <w:rsid w:val="00292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2929E3"/>
    <w:rPr>
      <w:color w:val="0000FF"/>
      <w:u w:val="single"/>
    </w:rPr>
  </w:style>
  <w:style w:type="paragraph" w:styleId="Listeafsnit">
    <w:name w:val="List Paragraph"/>
    <w:basedOn w:val="Normal"/>
    <w:uiPriority w:val="34"/>
    <w:qFormat/>
    <w:rsid w:val="009A7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65074762">
      <w:bodyDiv w:val="1"/>
      <w:marLeft w:val="0"/>
      <w:marRight w:val="0"/>
      <w:marTop w:val="0"/>
      <w:marBottom w:val="0"/>
      <w:divBdr>
        <w:top w:val="none" w:sz="0" w:space="0" w:color="auto"/>
        <w:left w:val="none" w:sz="0" w:space="0" w:color="auto"/>
        <w:bottom w:val="none" w:sz="0" w:space="0" w:color="auto"/>
        <w:right w:val="none" w:sz="0" w:space="0" w:color="auto"/>
      </w:divBdr>
    </w:div>
    <w:div w:id="1395197808">
      <w:bodyDiv w:val="1"/>
      <w:marLeft w:val="0"/>
      <w:marRight w:val="0"/>
      <w:marTop w:val="0"/>
      <w:marBottom w:val="0"/>
      <w:divBdr>
        <w:top w:val="none" w:sz="0" w:space="0" w:color="auto"/>
        <w:left w:val="none" w:sz="0" w:space="0" w:color="auto"/>
        <w:bottom w:val="none" w:sz="0" w:space="0" w:color="auto"/>
        <w:right w:val="none" w:sz="0" w:space="0" w:color="auto"/>
      </w:divBdr>
    </w:div>
    <w:div w:id="1679381094">
      <w:bodyDiv w:val="1"/>
      <w:marLeft w:val="0"/>
      <w:marRight w:val="0"/>
      <w:marTop w:val="0"/>
      <w:marBottom w:val="0"/>
      <w:divBdr>
        <w:top w:val="none" w:sz="0" w:space="0" w:color="auto"/>
        <w:left w:val="none" w:sz="0" w:space="0" w:color="auto"/>
        <w:bottom w:val="none" w:sz="0" w:space="0" w:color="auto"/>
        <w:right w:val="none" w:sz="0" w:space="0" w:color="auto"/>
      </w:divBdr>
    </w:div>
    <w:div w:id="1736661701">
      <w:bodyDiv w:val="1"/>
      <w:marLeft w:val="0"/>
      <w:marRight w:val="0"/>
      <w:marTop w:val="0"/>
      <w:marBottom w:val="0"/>
      <w:divBdr>
        <w:top w:val="none" w:sz="0" w:space="0" w:color="auto"/>
        <w:left w:val="none" w:sz="0" w:space="0" w:color="auto"/>
        <w:bottom w:val="none" w:sz="0" w:space="0" w:color="auto"/>
        <w:right w:val="none" w:sz="0" w:space="0" w:color="auto"/>
      </w:divBdr>
    </w:div>
    <w:div w:id="1914779139">
      <w:bodyDiv w:val="1"/>
      <w:marLeft w:val="0"/>
      <w:marRight w:val="0"/>
      <w:marTop w:val="0"/>
      <w:marBottom w:val="0"/>
      <w:divBdr>
        <w:top w:val="none" w:sz="0" w:space="0" w:color="auto"/>
        <w:left w:val="none" w:sz="0" w:space="0" w:color="auto"/>
        <w:bottom w:val="none" w:sz="0" w:space="0" w:color="auto"/>
        <w:right w:val="none" w:sz="0" w:space="0" w:color="auto"/>
      </w:divBdr>
    </w:div>
    <w:div w:id="213301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ldenbivirkning.dk" TargetMode="External"/><Relationship Id="rId4" Type="http://schemas.openxmlformats.org/officeDocument/2006/relationships/webSettings" Target="webSettings.xml"/><Relationship Id="rId9" Type="http://schemas.openxmlformats.org/officeDocument/2006/relationships/image" Target="http://renderer.medicines.org.uk/images/entities/GREATER-THAN_OR_EQUAL_TO.gif"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3362</Words>
  <Characters>22432</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2023090552_x000d_
SPC pkt. 4.4, 4.6, 4.8, 4.9</dc:description>
  <cp:lastModifiedBy>Iman El Kadiri</cp:lastModifiedBy>
  <cp:revision>4</cp:revision>
  <cp:lastPrinted>2012-08-22T08:53:00Z</cp:lastPrinted>
  <dcterms:created xsi:type="dcterms:W3CDTF">2024-10-28T11:39:00Z</dcterms:created>
  <dcterms:modified xsi:type="dcterms:W3CDTF">2024-11-06T12:59:00Z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