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7469E" w14:textId="3D4B4F0D" w:rsidR="009260DE" w:rsidRPr="00C37DCA" w:rsidRDefault="0021526C" w:rsidP="00C37DCA">
      <w:pPr>
        <w:rPr>
          <w:b/>
          <w:sz w:val="24"/>
          <w:szCs w:val="24"/>
        </w:rPr>
      </w:pPr>
      <w:bookmarkStart w:id="0" w:name="_GoBack"/>
      <w:bookmarkEnd w:id="0"/>
      <w:r w:rsidRPr="00C37DCA">
        <w:rPr>
          <w:noProof/>
          <w:sz w:val="24"/>
          <w:szCs w:val="24"/>
          <w:lang w:eastAsia="da-DK"/>
        </w:rPr>
        <w:drawing>
          <wp:anchor distT="0" distB="0" distL="114300" distR="114300" simplePos="0" relativeHeight="251658240" behindDoc="0" locked="0" layoutInCell="1" allowOverlap="1" wp14:anchorId="14615288" wp14:editId="74A7EC8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C37DCA">
        <w:rPr>
          <w:sz w:val="24"/>
          <w:szCs w:val="24"/>
        </w:rPr>
        <w:br w:type="textWrapping" w:clear="all"/>
      </w:r>
    </w:p>
    <w:p w14:paraId="289CC85B" w14:textId="47C9E95D" w:rsidR="009260DE" w:rsidRPr="00C37DCA" w:rsidRDefault="009260DE" w:rsidP="009260DE">
      <w:pPr>
        <w:pStyle w:val="Titel"/>
        <w:tabs>
          <w:tab w:val="right" w:pos="9356"/>
        </w:tabs>
        <w:jc w:val="left"/>
        <w:rPr>
          <w:b w:val="0"/>
          <w:szCs w:val="24"/>
          <w:lang w:eastAsia="en-US"/>
        </w:rPr>
      </w:pPr>
      <w:r w:rsidRPr="00C37DCA">
        <w:rPr>
          <w:b w:val="0"/>
          <w:szCs w:val="24"/>
          <w:lang w:eastAsia="en-US"/>
        </w:rPr>
        <w:tab/>
      </w:r>
      <w:r w:rsidR="00AA04D1" w:rsidRPr="00C37DCA">
        <w:rPr>
          <w:szCs w:val="24"/>
        </w:rPr>
        <w:t>14. september 2020</w:t>
      </w:r>
    </w:p>
    <w:p w14:paraId="21BF244D" w14:textId="77777777" w:rsidR="009260DE" w:rsidRPr="00C37DCA" w:rsidRDefault="009260DE" w:rsidP="009260DE">
      <w:pPr>
        <w:pStyle w:val="Titel"/>
        <w:tabs>
          <w:tab w:val="left" w:pos="8222"/>
        </w:tabs>
        <w:jc w:val="left"/>
        <w:rPr>
          <w:b w:val="0"/>
          <w:szCs w:val="24"/>
        </w:rPr>
      </w:pPr>
    </w:p>
    <w:p w14:paraId="3CE05E43" w14:textId="77777777" w:rsidR="009260DE" w:rsidRPr="00C37DCA" w:rsidRDefault="009260DE" w:rsidP="009260DE">
      <w:pPr>
        <w:pStyle w:val="Titel"/>
        <w:jc w:val="left"/>
        <w:rPr>
          <w:b w:val="0"/>
          <w:szCs w:val="24"/>
        </w:rPr>
      </w:pPr>
    </w:p>
    <w:p w14:paraId="068D0457" w14:textId="77777777" w:rsidR="009260DE" w:rsidRPr="00C37DCA" w:rsidRDefault="009260DE" w:rsidP="009260DE">
      <w:pPr>
        <w:pStyle w:val="Titel"/>
        <w:jc w:val="left"/>
        <w:rPr>
          <w:b w:val="0"/>
          <w:szCs w:val="24"/>
        </w:rPr>
      </w:pPr>
    </w:p>
    <w:p w14:paraId="6AEC2278" w14:textId="77777777" w:rsidR="009260DE" w:rsidRPr="00C37DCA" w:rsidRDefault="009260DE" w:rsidP="009260DE">
      <w:pPr>
        <w:jc w:val="center"/>
        <w:rPr>
          <w:b/>
          <w:sz w:val="24"/>
          <w:szCs w:val="24"/>
        </w:rPr>
      </w:pPr>
      <w:r w:rsidRPr="00C37DCA">
        <w:rPr>
          <w:b/>
          <w:sz w:val="24"/>
          <w:szCs w:val="24"/>
        </w:rPr>
        <w:t>PRODUKTRESUMÉ</w:t>
      </w:r>
    </w:p>
    <w:p w14:paraId="7FF33D84" w14:textId="77777777" w:rsidR="009260DE" w:rsidRPr="00C37DCA" w:rsidRDefault="009260DE" w:rsidP="009260DE">
      <w:pPr>
        <w:jc w:val="center"/>
        <w:rPr>
          <w:b/>
          <w:sz w:val="24"/>
          <w:szCs w:val="24"/>
        </w:rPr>
      </w:pPr>
    </w:p>
    <w:p w14:paraId="318BEEC2" w14:textId="77777777" w:rsidR="009260DE" w:rsidRPr="00C37DCA" w:rsidRDefault="009260DE" w:rsidP="009260DE">
      <w:pPr>
        <w:jc w:val="center"/>
        <w:rPr>
          <w:b/>
          <w:sz w:val="24"/>
          <w:szCs w:val="24"/>
        </w:rPr>
      </w:pPr>
      <w:r w:rsidRPr="00C37DCA">
        <w:rPr>
          <w:b/>
          <w:sz w:val="24"/>
          <w:szCs w:val="24"/>
        </w:rPr>
        <w:t>for</w:t>
      </w:r>
    </w:p>
    <w:p w14:paraId="6053616A" w14:textId="77777777" w:rsidR="000B058C" w:rsidRPr="00C37DCA" w:rsidRDefault="000B058C" w:rsidP="009260DE">
      <w:pPr>
        <w:jc w:val="center"/>
        <w:rPr>
          <w:b/>
          <w:sz w:val="24"/>
          <w:szCs w:val="24"/>
        </w:rPr>
      </w:pPr>
    </w:p>
    <w:p w14:paraId="79CD10A5" w14:textId="4E982A1A" w:rsidR="009260DE" w:rsidRPr="00C37DCA" w:rsidRDefault="00E06489" w:rsidP="009260DE">
      <w:pPr>
        <w:jc w:val="center"/>
        <w:rPr>
          <w:b/>
          <w:sz w:val="24"/>
          <w:szCs w:val="24"/>
        </w:rPr>
      </w:pPr>
      <w:proofErr w:type="spellStart"/>
      <w:r w:rsidRPr="00C37DCA">
        <w:rPr>
          <w:b/>
          <w:sz w:val="24"/>
          <w:szCs w:val="24"/>
        </w:rPr>
        <w:t>Monurol</w:t>
      </w:r>
      <w:proofErr w:type="spellEnd"/>
      <w:r w:rsidRPr="00C37DCA">
        <w:rPr>
          <w:b/>
          <w:sz w:val="24"/>
          <w:szCs w:val="24"/>
        </w:rPr>
        <w:t>, granulat til oral opløsning, enkeltdosisbeholder</w:t>
      </w:r>
    </w:p>
    <w:p w14:paraId="4B0494C8" w14:textId="77777777" w:rsidR="009260DE" w:rsidRPr="00C37DCA" w:rsidRDefault="009260DE" w:rsidP="009260DE">
      <w:pPr>
        <w:jc w:val="both"/>
        <w:rPr>
          <w:sz w:val="24"/>
          <w:szCs w:val="24"/>
        </w:rPr>
      </w:pPr>
    </w:p>
    <w:p w14:paraId="09CCACD4" w14:textId="77777777" w:rsidR="009260DE" w:rsidRPr="00C37DCA" w:rsidRDefault="009260DE" w:rsidP="009260DE">
      <w:pPr>
        <w:jc w:val="both"/>
        <w:rPr>
          <w:sz w:val="24"/>
          <w:szCs w:val="24"/>
        </w:rPr>
      </w:pPr>
    </w:p>
    <w:p w14:paraId="0C0EF146" w14:textId="77777777" w:rsidR="009260DE" w:rsidRPr="00C37DCA" w:rsidRDefault="009260DE" w:rsidP="009260DE">
      <w:pPr>
        <w:tabs>
          <w:tab w:val="left" w:pos="851"/>
        </w:tabs>
        <w:ind w:left="851" w:hanging="851"/>
        <w:rPr>
          <w:b/>
          <w:sz w:val="24"/>
          <w:szCs w:val="24"/>
        </w:rPr>
      </w:pPr>
      <w:r w:rsidRPr="00C37DCA">
        <w:rPr>
          <w:b/>
          <w:sz w:val="24"/>
          <w:szCs w:val="24"/>
        </w:rPr>
        <w:t>0.</w:t>
      </w:r>
      <w:r w:rsidRPr="00C37DCA">
        <w:rPr>
          <w:b/>
          <w:sz w:val="24"/>
          <w:szCs w:val="24"/>
        </w:rPr>
        <w:tab/>
        <w:t>D.SP.NR.</w:t>
      </w:r>
    </w:p>
    <w:p w14:paraId="344ABD02" w14:textId="7FC9B51A" w:rsidR="009260DE" w:rsidRPr="00C37DCA" w:rsidRDefault="00A36670" w:rsidP="009260DE">
      <w:pPr>
        <w:tabs>
          <w:tab w:val="left" w:pos="851"/>
        </w:tabs>
        <w:ind w:left="851"/>
        <w:rPr>
          <w:sz w:val="24"/>
          <w:szCs w:val="24"/>
        </w:rPr>
      </w:pPr>
      <w:r w:rsidRPr="00C37DCA">
        <w:rPr>
          <w:sz w:val="24"/>
          <w:szCs w:val="24"/>
        </w:rPr>
        <w:t>08807</w:t>
      </w:r>
    </w:p>
    <w:p w14:paraId="3241C082" w14:textId="77777777" w:rsidR="009260DE" w:rsidRPr="00C37DCA" w:rsidRDefault="009260DE" w:rsidP="009260DE">
      <w:pPr>
        <w:tabs>
          <w:tab w:val="left" w:pos="851"/>
        </w:tabs>
        <w:ind w:left="851"/>
        <w:rPr>
          <w:sz w:val="24"/>
          <w:szCs w:val="24"/>
        </w:rPr>
      </w:pPr>
    </w:p>
    <w:p w14:paraId="1F82F958" w14:textId="77777777" w:rsidR="009260DE" w:rsidRPr="00C37DCA" w:rsidRDefault="009260DE" w:rsidP="009260DE">
      <w:pPr>
        <w:tabs>
          <w:tab w:val="left" w:pos="851"/>
        </w:tabs>
        <w:ind w:left="851" w:hanging="851"/>
        <w:rPr>
          <w:b/>
          <w:sz w:val="24"/>
          <w:szCs w:val="24"/>
        </w:rPr>
      </w:pPr>
      <w:r w:rsidRPr="00C37DCA">
        <w:rPr>
          <w:b/>
          <w:sz w:val="24"/>
          <w:szCs w:val="24"/>
        </w:rPr>
        <w:t>1.</w:t>
      </w:r>
      <w:r w:rsidRPr="00C37DCA">
        <w:rPr>
          <w:b/>
          <w:sz w:val="24"/>
          <w:szCs w:val="24"/>
        </w:rPr>
        <w:tab/>
        <w:t>LÆGEMIDLETS NAVN</w:t>
      </w:r>
    </w:p>
    <w:p w14:paraId="7EA46EB2" w14:textId="4FC4015A" w:rsidR="009260DE" w:rsidRPr="00C37DCA" w:rsidRDefault="00A36670" w:rsidP="009260DE">
      <w:pPr>
        <w:tabs>
          <w:tab w:val="left" w:pos="851"/>
        </w:tabs>
        <w:ind w:left="851"/>
        <w:rPr>
          <w:sz w:val="24"/>
          <w:szCs w:val="24"/>
        </w:rPr>
      </w:pPr>
      <w:proofErr w:type="spellStart"/>
      <w:r w:rsidRPr="00C37DCA">
        <w:rPr>
          <w:sz w:val="24"/>
          <w:szCs w:val="24"/>
        </w:rPr>
        <w:t>Monurol</w:t>
      </w:r>
      <w:proofErr w:type="spellEnd"/>
    </w:p>
    <w:p w14:paraId="053798AE" w14:textId="77777777" w:rsidR="009260DE" w:rsidRPr="00C37DCA" w:rsidRDefault="009260DE" w:rsidP="009260DE">
      <w:pPr>
        <w:tabs>
          <w:tab w:val="left" w:pos="851"/>
        </w:tabs>
        <w:ind w:left="851"/>
        <w:rPr>
          <w:sz w:val="24"/>
          <w:szCs w:val="24"/>
        </w:rPr>
      </w:pPr>
    </w:p>
    <w:p w14:paraId="40E901FC" w14:textId="77777777" w:rsidR="009260DE" w:rsidRPr="00C37DCA" w:rsidRDefault="009260DE" w:rsidP="009260DE">
      <w:pPr>
        <w:tabs>
          <w:tab w:val="left" w:pos="851"/>
        </w:tabs>
        <w:ind w:left="851" w:hanging="851"/>
        <w:rPr>
          <w:b/>
          <w:sz w:val="24"/>
          <w:szCs w:val="24"/>
        </w:rPr>
      </w:pPr>
      <w:r w:rsidRPr="00C37DCA">
        <w:rPr>
          <w:b/>
          <w:sz w:val="24"/>
          <w:szCs w:val="24"/>
        </w:rPr>
        <w:t>2.</w:t>
      </w:r>
      <w:r w:rsidRPr="00C37DCA">
        <w:rPr>
          <w:b/>
          <w:sz w:val="24"/>
          <w:szCs w:val="24"/>
        </w:rPr>
        <w:tab/>
        <w:t>KVALITATIV OG KVANTITATIV SAMMENSÆTNING</w:t>
      </w:r>
    </w:p>
    <w:p w14:paraId="1A7C7EA7" w14:textId="77777777" w:rsidR="007A0377" w:rsidRDefault="007A0377" w:rsidP="00C37DCA">
      <w:pPr>
        <w:tabs>
          <w:tab w:val="left" w:pos="851"/>
        </w:tabs>
        <w:ind w:left="851"/>
        <w:rPr>
          <w:sz w:val="24"/>
          <w:szCs w:val="24"/>
          <w:u w:val="single"/>
          <w:lang w:val="fr-LU"/>
        </w:rPr>
      </w:pPr>
    </w:p>
    <w:p w14:paraId="1DC276FB" w14:textId="56306AC2" w:rsidR="00FB3A37" w:rsidRPr="00C37DCA" w:rsidRDefault="00FB3A37" w:rsidP="00C37DCA">
      <w:pPr>
        <w:tabs>
          <w:tab w:val="left" w:pos="851"/>
        </w:tabs>
        <w:ind w:left="851"/>
        <w:rPr>
          <w:sz w:val="24"/>
          <w:szCs w:val="24"/>
          <w:u w:val="single"/>
          <w:lang w:val="fr-LU" w:eastAsia="da-DK"/>
        </w:rPr>
      </w:pPr>
      <w:r w:rsidRPr="00C37DCA">
        <w:rPr>
          <w:sz w:val="24"/>
          <w:szCs w:val="24"/>
          <w:u w:val="single"/>
          <w:lang w:val="fr-LU"/>
        </w:rPr>
        <w:t>Monurol 3 g granulat til oral opløsning:</w:t>
      </w:r>
    </w:p>
    <w:p w14:paraId="485B3F38" w14:textId="77777777" w:rsidR="00FB3A37" w:rsidRPr="00C37DCA" w:rsidRDefault="00FB3A37" w:rsidP="00C37DCA">
      <w:pPr>
        <w:tabs>
          <w:tab w:val="left" w:pos="851"/>
        </w:tabs>
        <w:ind w:left="851"/>
        <w:rPr>
          <w:sz w:val="24"/>
          <w:szCs w:val="24"/>
          <w:lang w:val="fr-LU"/>
        </w:rPr>
      </w:pPr>
      <w:r w:rsidRPr="00C37DCA">
        <w:rPr>
          <w:sz w:val="24"/>
          <w:szCs w:val="24"/>
          <w:lang w:val="fr-LU"/>
        </w:rPr>
        <w:t>Et brev indeholder 5,631 g fosfomycin trometamol svarende til 3,0 g fosfomycin</w:t>
      </w:r>
    </w:p>
    <w:p w14:paraId="47425129" w14:textId="77777777" w:rsidR="007A0377" w:rsidRDefault="007A0377" w:rsidP="00C37DCA">
      <w:pPr>
        <w:tabs>
          <w:tab w:val="left" w:pos="851"/>
        </w:tabs>
        <w:ind w:left="851"/>
        <w:rPr>
          <w:sz w:val="24"/>
          <w:szCs w:val="24"/>
          <w:lang w:val="fr-LU"/>
        </w:rPr>
      </w:pPr>
    </w:p>
    <w:p w14:paraId="6F951E7C" w14:textId="1BF95519" w:rsidR="00FB3A37" w:rsidRPr="007A0377" w:rsidRDefault="00FB3A37" w:rsidP="00C37DCA">
      <w:pPr>
        <w:tabs>
          <w:tab w:val="left" w:pos="851"/>
        </w:tabs>
        <w:ind w:left="851"/>
        <w:rPr>
          <w:sz w:val="24"/>
          <w:szCs w:val="24"/>
          <w:u w:val="single"/>
          <w:lang w:val="fr-LU"/>
        </w:rPr>
      </w:pPr>
      <w:r w:rsidRPr="007A0377">
        <w:rPr>
          <w:sz w:val="24"/>
          <w:szCs w:val="24"/>
          <w:u w:val="single"/>
          <w:lang w:val="fr-LU"/>
        </w:rPr>
        <w:t>Hjælpestoffer</w:t>
      </w:r>
    </w:p>
    <w:p w14:paraId="46BF5E67" w14:textId="7B005327" w:rsidR="00FB3A37" w:rsidRPr="00C37DCA" w:rsidRDefault="00FB3A37" w:rsidP="00C37DCA">
      <w:pPr>
        <w:tabs>
          <w:tab w:val="left" w:pos="851"/>
        </w:tabs>
        <w:ind w:left="851"/>
        <w:rPr>
          <w:sz w:val="24"/>
          <w:szCs w:val="24"/>
          <w:lang w:val="fr-LU"/>
        </w:rPr>
      </w:pPr>
      <w:r w:rsidRPr="00C37DCA">
        <w:rPr>
          <w:sz w:val="24"/>
          <w:szCs w:val="24"/>
          <w:lang w:val="fr-LU"/>
        </w:rPr>
        <w:t xml:space="preserve">Et brev indeholder 2,262 g saccharose, 50 mg maltodextrin (majs) og sulfitter (&lt; 10 ppm), (se </w:t>
      </w:r>
      <w:r w:rsidR="00E37DA1">
        <w:rPr>
          <w:sz w:val="24"/>
          <w:szCs w:val="24"/>
          <w:lang w:val="fr-LU"/>
        </w:rPr>
        <w:t>pkt.</w:t>
      </w:r>
      <w:r w:rsidRPr="00C37DCA">
        <w:rPr>
          <w:sz w:val="24"/>
          <w:szCs w:val="24"/>
          <w:lang w:val="fr-LU"/>
        </w:rPr>
        <w:t xml:space="preserve"> 4.4).</w:t>
      </w:r>
    </w:p>
    <w:p w14:paraId="3A36A840" w14:textId="7334F6BE" w:rsidR="009260DE" w:rsidRDefault="00FB3A37" w:rsidP="00FB3A37">
      <w:pPr>
        <w:tabs>
          <w:tab w:val="left" w:pos="851"/>
        </w:tabs>
        <w:ind w:left="851"/>
        <w:rPr>
          <w:sz w:val="24"/>
          <w:szCs w:val="24"/>
          <w:lang w:val="fr-LU"/>
        </w:rPr>
      </w:pPr>
      <w:r w:rsidRPr="00C37DCA">
        <w:rPr>
          <w:sz w:val="24"/>
          <w:szCs w:val="24"/>
          <w:lang w:val="fr-LU"/>
        </w:rPr>
        <w:t>En liste over alle hjælpestoffer er anført under afsnit 6.1</w:t>
      </w:r>
      <w:r w:rsidR="00C37DCA">
        <w:rPr>
          <w:sz w:val="24"/>
          <w:szCs w:val="24"/>
          <w:lang w:val="fr-LU"/>
        </w:rPr>
        <w:t>.</w:t>
      </w:r>
    </w:p>
    <w:p w14:paraId="51EADA73" w14:textId="77777777" w:rsidR="00C37DCA" w:rsidRPr="00C37DCA" w:rsidRDefault="00C37DCA" w:rsidP="00FB3A37">
      <w:pPr>
        <w:tabs>
          <w:tab w:val="left" w:pos="851"/>
        </w:tabs>
        <w:ind w:left="851"/>
        <w:rPr>
          <w:sz w:val="24"/>
          <w:szCs w:val="24"/>
          <w:lang w:val="fr-LU"/>
        </w:rPr>
      </w:pPr>
    </w:p>
    <w:p w14:paraId="5DE17DF5" w14:textId="77777777" w:rsidR="009260DE" w:rsidRPr="00C37DCA" w:rsidRDefault="009260DE" w:rsidP="009260DE">
      <w:pPr>
        <w:tabs>
          <w:tab w:val="left" w:pos="851"/>
        </w:tabs>
        <w:ind w:left="851" w:hanging="851"/>
        <w:rPr>
          <w:b/>
          <w:sz w:val="24"/>
          <w:szCs w:val="24"/>
        </w:rPr>
      </w:pPr>
      <w:r w:rsidRPr="00C37DCA">
        <w:rPr>
          <w:b/>
          <w:sz w:val="24"/>
          <w:szCs w:val="24"/>
        </w:rPr>
        <w:t>3.</w:t>
      </w:r>
      <w:r w:rsidRPr="00C37DCA">
        <w:rPr>
          <w:b/>
          <w:sz w:val="24"/>
          <w:szCs w:val="24"/>
        </w:rPr>
        <w:tab/>
        <w:t>LÆGEMIDDELFORM</w:t>
      </w:r>
    </w:p>
    <w:p w14:paraId="64A955AC" w14:textId="77777777" w:rsidR="00FB3A37" w:rsidRPr="00C37DCA" w:rsidRDefault="00FB3A37" w:rsidP="00FB3A37">
      <w:pPr>
        <w:tabs>
          <w:tab w:val="left" w:pos="851"/>
        </w:tabs>
        <w:ind w:left="855"/>
        <w:rPr>
          <w:sz w:val="24"/>
          <w:szCs w:val="24"/>
          <w:lang w:eastAsia="da-DK"/>
        </w:rPr>
      </w:pPr>
      <w:r w:rsidRPr="00C37DCA">
        <w:rPr>
          <w:sz w:val="24"/>
          <w:szCs w:val="24"/>
        </w:rPr>
        <w:t>Granulat til oral opløsning, enkeltdosisbeholder</w:t>
      </w:r>
    </w:p>
    <w:p w14:paraId="4F488A77" w14:textId="77777777" w:rsidR="00FB3A37" w:rsidRPr="00C37DCA" w:rsidRDefault="00FB3A37" w:rsidP="00FB3A37">
      <w:pPr>
        <w:tabs>
          <w:tab w:val="left" w:pos="851"/>
        </w:tabs>
        <w:ind w:left="855"/>
        <w:rPr>
          <w:sz w:val="24"/>
          <w:szCs w:val="24"/>
        </w:rPr>
      </w:pPr>
    </w:p>
    <w:p w14:paraId="4D4C7DD3" w14:textId="2CF4CF0C" w:rsidR="009260DE" w:rsidRPr="00C37DCA" w:rsidRDefault="00FB3A37" w:rsidP="00FB3A37">
      <w:pPr>
        <w:tabs>
          <w:tab w:val="left" w:pos="851"/>
        </w:tabs>
        <w:ind w:left="851"/>
        <w:rPr>
          <w:sz w:val="24"/>
          <w:szCs w:val="24"/>
        </w:rPr>
      </w:pPr>
      <w:proofErr w:type="gramStart"/>
      <w:r w:rsidRPr="00C37DCA">
        <w:rPr>
          <w:sz w:val="24"/>
          <w:szCs w:val="24"/>
        </w:rPr>
        <w:t>Hvid granulat</w:t>
      </w:r>
      <w:proofErr w:type="gramEnd"/>
      <w:r w:rsidRPr="00C37DCA">
        <w:rPr>
          <w:sz w:val="24"/>
          <w:szCs w:val="24"/>
        </w:rPr>
        <w:t xml:space="preserve"> til oral opløsning.</w:t>
      </w:r>
    </w:p>
    <w:p w14:paraId="0A83EE3C" w14:textId="77777777" w:rsidR="009260DE" w:rsidRPr="00C37DCA" w:rsidRDefault="009260DE" w:rsidP="009260DE">
      <w:pPr>
        <w:tabs>
          <w:tab w:val="left" w:pos="851"/>
        </w:tabs>
        <w:ind w:left="851"/>
        <w:rPr>
          <w:sz w:val="24"/>
          <w:szCs w:val="24"/>
        </w:rPr>
      </w:pPr>
    </w:p>
    <w:p w14:paraId="02571A77" w14:textId="77777777" w:rsidR="009260DE" w:rsidRPr="00C37DCA" w:rsidRDefault="009260DE" w:rsidP="009260DE">
      <w:pPr>
        <w:tabs>
          <w:tab w:val="left" w:pos="851"/>
        </w:tabs>
        <w:ind w:left="851" w:hanging="851"/>
        <w:rPr>
          <w:b/>
          <w:sz w:val="24"/>
          <w:szCs w:val="24"/>
        </w:rPr>
      </w:pPr>
      <w:r w:rsidRPr="00C37DCA">
        <w:rPr>
          <w:b/>
          <w:sz w:val="24"/>
          <w:szCs w:val="24"/>
        </w:rPr>
        <w:t>4.</w:t>
      </w:r>
      <w:r w:rsidRPr="00C37DCA">
        <w:rPr>
          <w:b/>
          <w:sz w:val="24"/>
          <w:szCs w:val="24"/>
        </w:rPr>
        <w:tab/>
        <w:t>KLINISKE OPLYSNINGER</w:t>
      </w:r>
    </w:p>
    <w:p w14:paraId="629EF037" w14:textId="77777777" w:rsidR="009260DE" w:rsidRPr="00C37DCA" w:rsidRDefault="009260DE" w:rsidP="009260DE">
      <w:pPr>
        <w:tabs>
          <w:tab w:val="left" w:pos="851"/>
        </w:tabs>
        <w:ind w:left="851"/>
        <w:rPr>
          <w:b/>
          <w:sz w:val="24"/>
          <w:szCs w:val="24"/>
        </w:rPr>
      </w:pPr>
    </w:p>
    <w:p w14:paraId="0672558A" w14:textId="77777777" w:rsidR="009260DE" w:rsidRPr="00C37DCA" w:rsidRDefault="009260DE" w:rsidP="009260DE">
      <w:pPr>
        <w:tabs>
          <w:tab w:val="left" w:pos="851"/>
        </w:tabs>
        <w:ind w:left="851" w:hanging="851"/>
        <w:rPr>
          <w:b/>
          <w:sz w:val="24"/>
          <w:szCs w:val="24"/>
          <w:u w:val="single"/>
        </w:rPr>
      </w:pPr>
      <w:r w:rsidRPr="00C37DCA">
        <w:rPr>
          <w:b/>
          <w:sz w:val="24"/>
          <w:szCs w:val="24"/>
        </w:rPr>
        <w:t>4.1</w:t>
      </w:r>
      <w:r w:rsidRPr="00C37DCA">
        <w:rPr>
          <w:b/>
          <w:sz w:val="24"/>
          <w:szCs w:val="24"/>
        </w:rPr>
        <w:tab/>
        <w:t>Terapeutiske indikationer</w:t>
      </w:r>
    </w:p>
    <w:p w14:paraId="2E454472" w14:textId="77777777" w:rsidR="00FB3A37" w:rsidRPr="00C37DCA" w:rsidRDefault="00FB3A37" w:rsidP="00C37DCA">
      <w:pPr>
        <w:ind w:left="851"/>
        <w:rPr>
          <w:sz w:val="24"/>
          <w:szCs w:val="24"/>
          <w:lang w:eastAsia="da-DK"/>
        </w:rPr>
      </w:pPr>
      <w:proofErr w:type="spellStart"/>
      <w:r w:rsidRPr="00C37DCA">
        <w:rPr>
          <w:sz w:val="24"/>
          <w:szCs w:val="24"/>
        </w:rPr>
        <w:t>Monurol</w:t>
      </w:r>
      <w:proofErr w:type="spellEnd"/>
      <w:r w:rsidRPr="00C37DCA">
        <w:rPr>
          <w:sz w:val="24"/>
          <w:szCs w:val="24"/>
        </w:rPr>
        <w:t xml:space="preserve"> er indiceret til (se pkt. 5.1):</w:t>
      </w:r>
    </w:p>
    <w:p w14:paraId="325FA0A2" w14:textId="77777777" w:rsidR="00FB3A37" w:rsidRPr="00C37DCA" w:rsidRDefault="00FB3A37" w:rsidP="00FB3A37">
      <w:pPr>
        <w:jc w:val="both"/>
        <w:rPr>
          <w:sz w:val="24"/>
          <w:szCs w:val="24"/>
        </w:rPr>
      </w:pPr>
    </w:p>
    <w:p w14:paraId="19A22AD0" w14:textId="77777777" w:rsidR="00FB3A37" w:rsidRPr="00C37DCA" w:rsidRDefault="00FB3A37" w:rsidP="00C37DCA">
      <w:pPr>
        <w:pStyle w:val="Listeafsnit"/>
        <w:numPr>
          <w:ilvl w:val="0"/>
          <w:numId w:val="6"/>
        </w:numPr>
        <w:ind w:left="1276" w:hanging="425"/>
        <w:rPr>
          <w:rFonts w:ascii="Times New Roman" w:hAnsi="Times New Roman" w:cs="Times New Roman"/>
          <w:sz w:val="24"/>
          <w:szCs w:val="24"/>
        </w:rPr>
      </w:pPr>
      <w:r w:rsidRPr="00C37DCA">
        <w:rPr>
          <w:rFonts w:ascii="Times New Roman" w:hAnsi="Times New Roman" w:cs="Times New Roman"/>
          <w:sz w:val="24"/>
          <w:szCs w:val="24"/>
        </w:rPr>
        <w:t>behandling af akut, ukompliceret cystitis hos voksne og unge</w:t>
      </w:r>
      <w:r w:rsidRPr="00C37DCA">
        <w:rPr>
          <w:rFonts w:ascii="Times New Roman" w:hAnsi="Times New Roman" w:cs="Times New Roman"/>
          <w:spacing w:val="-15"/>
          <w:sz w:val="24"/>
          <w:szCs w:val="24"/>
        </w:rPr>
        <w:t xml:space="preserve"> </w:t>
      </w:r>
      <w:r w:rsidRPr="00C37DCA">
        <w:rPr>
          <w:rFonts w:ascii="Times New Roman" w:hAnsi="Times New Roman" w:cs="Times New Roman"/>
          <w:sz w:val="24"/>
          <w:szCs w:val="24"/>
        </w:rPr>
        <w:t>kvinder</w:t>
      </w:r>
    </w:p>
    <w:p w14:paraId="30BA3CC6" w14:textId="77777777" w:rsidR="00FB3A37" w:rsidRPr="00C37DCA" w:rsidRDefault="00FB3A37" w:rsidP="00C37DCA">
      <w:pPr>
        <w:rPr>
          <w:sz w:val="24"/>
          <w:szCs w:val="24"/>
        </w:rPr>
      </w:pPr>
    </w:p>
    <w:p w14:paraId="4C0B250B" w14:textId="6F67BF25" w:rsidR="009260DE" w:rsidRDefault="00FB3A37" w:rsidP="00FB3A37">
      <w:pPr>
        <w:tabs>
          <w:tab w:val="left" w:pos="851"/>
        </w:tabs>
        <w:ind w:left="851"/>
        <w:rPr>
          <w:sz w:val="24"/>
          <w:szCs w:val="24"/>
        </w:rPr>
      </w:pPr>
      <w:r w:rsidRPr="00C37DCA">
        <w:rPr>
          <w:sz w:val="24"/>
          <w:szCs w:val="24"/>
        </w:rPr>
        <w:t>Der bør tages hensyn til officielle retningslinjer vedrørende korrekt brug af antibakterielle</w:t>
      </w:r>
      <w:r w:rsidRPr="00C37DCA">
        <w:rPr>
          <w:spacing w:val="-37"/>
          <w:sz w:val="24"/>
          <w:szCs w:val="24"/>
        </w:rPr>
        <w:t xml:space="preserve"> </w:t>
      </w:r>
      <w:r w:rsidRPr="00C37DCA">
        <w:rPr>
          <w:sz w:val="24"/>
          <w:szCs w:val="24"/>
        </w:rPr>
        <w:t>midler.</w:t>
      </w:r>
    </w:p>
    <w:p w14:paraId="7A1CDD7B" w14:textId="5682F63A" w:rsidR="00E37DA1" w:rsidRDefault="00E37DA1">
      <w:pPr>
        <w:rPr>
          <w:sz w:val="24"/>
          <w:szCs w:val="24"/>
        </w:rPr>
      </w:pPr>
      <w:r>
        <w:rPr>
          <w:sz w:val="24"/>
          <w:szCs w:val="24"/>
        </w:rPr>
        <w:br w:type="page"/>
      </w:r>
    </w:p>
    <w:p w14:paraId="792D0108" w14:textId="77777777" w:rsidR="00DD336C" w:rsidRPr="00C37DCA" w:rsidRDefault="00DD336C" w:rsidP="00FB3A37">
      <w:pPr>
        <w:tabs>
          <w:tab w:val="left" w:pos="851"/>
        </w:tabs>
        <w:ind w:left="851"/>
        <w:rPr>
          <w:sz w:val="24"/>
          <w:szCs w:val="24"/>
        </w:rPr>
      </w:pPr>
    </w:p>
    <w:p w14:paraId="62990451" w14:textId="77777777" w:rsidR="009260DE" w:rsidRPr="00C37DCA" w:rsidRDefault="009260DE" w:rsidP="009260DE">
      <w:pPr>
        <w:tabs>
          <w:tab w:val="left" w:pos="851"/>
        </w:tabs>
        <w:ind w:left="851" w:hanging="851"/>
        <w:rPr>
          <w:b/>
          <w:sz w:val="24"/>
          <w:szCs w:val="24"/>
        </w:rPr>
      </w:pPr>
      <w:r w:rsidRPr="00C37DCA">
        <w:rPr>
          <w:b/>
          <w:sz w:val="24"/>
          <w:szCs w:val="24"/>
        </w:rPr>
        <w:t>4.2</w:t>
      </w:r>
      <w:r w:rsidRPr="00C37DCA">
        <w:rPr>
          <w:b/>
          <w:sz w:val="24"/>
          <w:szCs w:val="24"/>
        </w:rPr>
        <w:tab/>
        <w:t>Dosering og indgivelsesmåde</w:t>
      </w:r>
    </w:p>
    <w:p w14:paraId="33DFC448" w14:textId="77777777" w:rsidR="00DD336C" w:rsidRDefault="00DD336C" w:rsidP="00DD336C">
      <w:pPr>
        <w:ind w:left="851"/>
      </w:pPr>
    </w:p>
    <w:p w14:paraId="1E7DBC03" w14:textId="4069BF61" w:rsidR="00FB3A37" w:rsidRPr="00DD336C" w:rsidRDefault="00FB3A37" w:rsidP="00DD336C">
      <w:pPr>
        <w:ind w:left="851"/>
        <w:rPr>
          <w:sz w:val="24"/>
          <w:u w:val="single"/>
        </w:rPr>
      </w:pPr>
      <w:r w:rsidRPr="00DD336C">
        <w:rPr>
          <w:sz w:val="24"/>
          <w:u w:val="single"/>
        </w:rPr>
        <w:t>Dosering</w:t>
      </w:r>
    </w:p>
    <w:p w14:paraId="58A2854C" w14:textId="77777777" w:rsidR="00FB3A37" w:rsidRPr="00C37DCA" w:rsidRDefault="00FB3A37" w:rsidP="00DD336C">
      <w:pPr>
        <w:ind w:left="851"/>
        <w:rPr>
          <w:sz w:val="24"/>
        </w:rPr>
      </w:pPr>
      <w:r w:rsidRPr="00C37DCA">
        <w:rPr>
          <w:i/>
          <w:iCs/>
          <w:sz w:val="24"/>
        </w:rPr>
        <w:t>Akut, ukompliceret cystitis hos voksne og unge kvinder (&gt; 12 år)</w:t>
      </w:r>
      <w:r w:rsidRPr="00C37DCA">
        <w:rPr>
          <w:i/>
          <w:sz w:val="24"/>
        </w:rPr>
        <w:t xml:space="preserve">: </w:t>
      </w:r>
      <w:r w:rsidRPr="00C37DCA">
        <w:rPr>
          <w:sz w:val="24"/>
        </w:rPr>
        <w:t xml:space="preserve">3 g </w:t>
      </w:r>
      <w:proofErr w:type="spellStart"/>
      <w:r w:rsidRPr="00C37DCA">
        <w:rPr>
          <w:sz w:val="24"/>
        </w:rPr>
        <w:t>fosfomycin</w:t>
      </w:r>
      <w:proofErr w:type="spellEnd"/>
      <w:r w:rsidRPr="00C37DCA">
        <w:rPr>
          <w:sz w:val="24"/>
        </w:rPr>
        <w:t xml:space="preserve"> én gang</w:t>
      </w:r>
    </w:p>
    <w:p w14:paraId="5BE7F663" w14:textId="77777777" w:rsidR="00FB3A37" w:rsidRPr="00C37DCA" w:rsidRDefault="00FB3A37" w:rsidP="00DD336C">
      <w:pPr>
        <w:ind w:left="851"/>
        <w:rPr>
          <w:sz w:val="24"/>
          <w:lang w:val="fr-LU" w:eastAsia="fr-LU"/>
        </w:rPr>
      </w:pPr>
    </w:p>
    <w:p w14:paraId="6CE41332" w14:textId="77777777" w:rsidR="00FB3A37" w:rsidRPr="00DD336C" w:rsidRDefault="00FB3A37" w:rsidP="00DD336C">
      <w:pPr>
        <w:ind w:left="851"/>
        <w:rPr>
          <w:sz w:val="24"/>
          <w:u w:val="single"/>
          <w:lang w:eastAsia="da-DK"/>
        </w:rPr>
      </w:pPr>
      <w:r w:rsidRPr="00DD336C">
        <w:rPr>
          <w:sz w:val="24"/>
          <w:u w:val="single"/>
        </w:rPr>
        <w:lastRenderedPageBreak/>
        <w:t>Nedsat nyrefunktion:</w:t>
      </w:r>
    </w:p>
    <w:p w14:paraId="04C16033" w14:textId="77777777" w:rsidR="00FB3A37" w:rsidRPr="00C37DCA" w:rsidRDefault="00FB3A37" w:rsidP="00DD336C">
      <w:pPr>
        <w:ind w:left="851"/>
        <w:rPr>
          <w:sz w:val="24"/>
        </w:rPr>
      </w:pPr>
      <w:r w:rsidRPr="00C37DCA">
        <w:rPr>
          <w:sz w:val="24"/>
        </w:rPr>
        <w:t xml:space="preserve">Brug af </w:t>
      </w:r>
      <w:proofErr w:type="spellStart"/>
      <w:r w:rsidRPr="00C37DCA">
        <w:rPr>
          <w:sz w:val="24"/>
        </w:rPr>
        <w:t>Monurol</w:t>
      </w:r>
      <w:proofErr w:type="spellEnd"/>
      <w:r w:rsidRPr="00C37DCA">
        <w:rPr>
          <w:sz w:val="24"/>
        </w:rPr>
        <w:t xml:space="preserve"> anbefales ikke til patienter med nedsat nyrefunktion (</w:t>
      </w:r>
      <w:proofErr w:type="spellStart"/>
      <w:r w:rsidRPr="00C37DCA">
        <w:rPr>
          <w:sz w:val="24"/>
        </w:rPr>
        <w:t>kreatininclearance</w:t>
      </w:r>
      <w:proofErr w:type="spellEnd"/>
      <w:r w:rsidRPr="00C37DCA">
        <w:rPr>
          <w:sz w:val="24"/>
        </w:rPr>
        <w:t xml:space="preserve"> &lt; 10 ml/min., se pkt.</w:t>
      </w:r>
      <w:r w:rsidRPr="00C37DCA">
        <w:rPr>
          <w:spacing w:val="-6"/>
          <w:sz w:val="24"/>
        </w:rPr>
        <w:t xml:space="preserve"> </w:t>
      </w:r>
      <w:r w:rsidRPr="00C37DCA">
        <w:rPr>
          <w:sz w:val="24"/>
        </w:rPr>
        <w:t>5.2).</w:t>
      </w:r>
    </w:p>
    <w:p w14:paraId="099441E6" w14:textId="77777777" w:rsidR="00FB3A37" w:rsidRPr="00C37DCA" w:rsidRDefault="00FB3A37" w:rsidP="00DD336C">
      <w:pPr>
        <w:ind w:left="851"/>
        <w:rPr>
          <w:iCs/>
          <w:sz w:val="24"/>
        </w:rPr>
      </w:pPr>
    </w:p>
    <w:p w14:paraId="17B0BEF8" w14:textId="77777777" w:rsidR="00FB3A37" w:rsidRPr="00DD336C" w:rsidRDefault="00FB3A37" w:rsidP="00DD336C">
      <w:pPr>
        <w:ind w:left="851"/>
        <w:rPr>
          <w:iCs/>
          <w:sz w:val="24"/>
          <w:u w:val="single"/>
        </w:rPr>
      </w:pPr>
      <w:r w:rsidRPr="00DD336C">
        <w:rPr>
          <w:iCs/>
          <w:sz w:val="24"/>
          <w:u w:val="single"/>
        </w:rPr>
        <w:t>Pædiatrisk</w:t>
      </w:r>
      <w:r w:rsidRPr="00DD336C">
        <w:rPr>
          <w:iCs/>
          <w:spacing w:val="-6"/>
          <w:sz w:val="24"/>
          <w:u w:val="single"/>
        </w:rPr>
        <w:t xml:space="preserve"> </w:t>
      </w:r>
      <w:r w:rsidRPr="00DD336C">
        <w:rPr>
          <w:iCs/>
          <w:sz w:val="24"/>
          <w:u w:val="single"/>
        </w:rPr>
        <w:t>population</w:t>
      </w:r>
    </w:p>
    <w:p w14:paraId="729ADC39" w14:textId="77777777" w:rsidR="00FB3A37" w:rsidRPr="00C37DCA" w:rsidRDefault="00FB3A37" w:rsidP="00DD336C">
      <w:pPr>
        <w:ind w:left="851"/>
        <w:rPr>
          <w:sz w:val="24"/>
        </w:rPr>
      </w:pPr>
      <w:r w:rsidRPr="00C37DCA">
        <w:rPr>
          <w:sz w:val="24"/>
        </w:rPr>
        <w:t xml:space="preserve">Sikkerheden og virkningen af </w:t>
      </w:r>
      <w:proofErr w:type="spellStart"/>
      <w:r w:rsidRPr="00C37DCA">
        <w:rPr>
          <w:sz w:val="24"/>
        </w:rPr>
        <w:t>Monurol</w:t>
      </w:r>
      <w:proofErr w:type="spellEnd"/>
      <w:r w:rsidRPr="00C37DCA">
        <w:rPr>
          <w:sz w:val="24"/>
        </w:rPr>
        <w:t xml:space="preserve"> hos børn under 12 år er ikke klarlagt. </w:t>
      </w:r>
    </w:p>
    <w:p w14:paraId="39FF7663" w14:textId="77777777" w:rsidR="00FB3A37" w:rsidRPr="00C37DCA" w:rsidRDefault="00FB3A37" w:rsidP="00DD336C">
      <w:pPr>
        <w:ind w:left="851"/>
        <w:rPr>
          <w:sz w:val="24"/>
        </w:rPr>
      </w:pPr>
    </w:p>
    <w:p w14:paraId="186D7B39" w14:textId="77777777" w:rsidR="00FB3A37" w:rsidRPr="00DD336C" w:rsidRDefault="00FB3A37" w:rsidP="00DD336C">
      <w:pPr>
        <w:ind w:left="851"/>
        <w:rPr>
          <w:sz w:val="24"/>
          <w:u w:val="single"/>
        </w:rPr>
      </w:pPr>
      <w:r w:rsidRPr="00DD336C">
        <w:rPr>
          <w:sz w:val="24"/>
          <w:u w:val="single"/>
        </w:rPr>
        <w:t>Administration</w:t>
      </w:r>
    </w:p>
    <w:p w14:paraId="3B1D0995" w14:textId="77777777" w:rsidR="00FB3A37" w:rsidRPr="00C37DCA" w:rsidRDefault="00FB3A37" w:rsidP="00DD336C">
      <w:pPr>
        <w:ind w:left="851"/>
        <w:rPr>
          <w:sz w:val="24"/>
        </w:rPr>
      </w:pPr>
      <w:r w:rsidRPr="00C37DCA">
        <w:rPr>
          <w:sz w:val="24"/>
        </w:rPr>
        <w:t>Til oral anvendelse.</w:t>
      </w:r>
    </w:p>
    <w:p w14:paraId="640564BB" w14:textId="77777777" w:rsidR="00FB3A37" w:rsidRPr="00C37DCA" w:rsidRDefault="00FB3A37" w:rsidP="00DD336C">
      <w:pPr>
        <w:ind w:left="851"/>
        <w:rPr>
          <w:sz w:val="24"/>
        </w:rPr>
      </w:pPr>
    </w:p>
    <w:p w14:paraId="3DF63E57" w14:textId="77777777" w:rsidR="00FB3A37" w:rsidRPr="00C37DCA" w:rsidRDefault="00FB3A37" w:rsidP="00DD336C">
      <w:pPr>
        <w:ind w:left="851"/>
        <w:rPr>
          <w:sz w:val="24"/>
        </w:rPr>
      </w:pPr>
      <w:r w:rsidRPr="00C37DCA">
        <w:rPr>
          <w:sz w:val="24"/>
        </w:rPr>
        <w:t>Til indikationen akut, ukompliceret cystitis hos voksne og unge kvinder skal præparatet tages på tom mave (cirka 2-3 timer før eller 2-3 timer efter et måltid), helst inden sengetid og efter blæren er tømt.</w:t>
      </w:r>
    </w:p>
    <w:p w14:paraId="2AC2525E" w14:textId="77777777" w:rsidR="00FB3A37" w:rsidRPr="00C37DCA" w:rsidRDefault="00FB3A37" w:rsidP="00DD336C">
      <w:pPr>
        <w:ind w:left="851"/>
        <w:rPr>
          <w:sz w:val="24"/>
        </w:rPr>
      </w:pPr>
    </w:p>
    <w:p w14:paraId="234771CB" w14:textId="7BDEB3EA" w:rsidR="009260DE" w:rsidRPr="00C37DCA" w:rsidRDefault="00FB3A37" w:rsidP="00DD336C">
      <w:pPr>
        <w:ind w:left="851"/>
        <w:rPr>
          <w:sz w:val="24"/>
        </w:rPr>
      </w:pPr>
      <w:r w:rsidRPr="00C37DCA">
        <w:rPr>
          <w:sz w:val="24"/>
        </w:rPr>
        <w:t>Dosis skal være opløst i et glas vand og skal tages umiddelbart efter forberedelse.</w:t>
      </w:r>
    </w:p>
    <w:p w14:paraId="06E52E79" w14:textId="77777777" w:rsidR="009260DE" w:rsidRPr="00C37DCA" w:rsidRDefault="009260DE" w:rsidP="009260DE">
      <w:pPr>
        <w:tabs>
          <w:tab w:val="left" w:pos="851"/>
        </w:tabs>
        <w:ind w:left="851"/>
        <w:rPr>
          <w:sz w:val="24"/>
          <w:szCs w:val="24"/>
        </w:rPr>
      </w:pPr>
    </w:p>
    <w:p w14:paraId="21349480" w14:textId="77777777" w:rsidR="009260DE" w:rsidRPr="00C37DCA" w:rsidRDefault="009260DE" w:rsidP="009260DE">
      <w:pPr>
        <w:tabs>
          <w:tab w:val="left" w:pos="851"/>
        </w:tabs>
        <w:ind w:left="851" w:hanging="851"/>
        <w:rPr>
          <w:b/>
          <w:sz w:val="24"/>
          <w:szCs w:val="24"/>
        </w:rPr>
      </w:pPr>
      <w:r w:rsidRPr="00C37DCA">
        <w:rPr>
          <w:b/>
          <w:sz w:val="24"/>
          <w:szCs w:val="24"/>
        </w:rPr>
        <w:t>4.3</w:t>
      </w:r>
      <w:r w:rsidRPr="00C37DCA">
        <w:rPr>
          <w:b/>
          <w:sz w:val="24"/>
          <w:szCs w:val="24"/>
        </w:rPr>
        <w:tab/>
        <w:t>Kontraindikationer</w:t>
      </w:r>
    </w:p>
    <w:p w14:paraId="7931C358" w14:textId="53B03F11" w:rsidR="009260DE" w:rsidRPr="00C37DCA" w:rsidRDefault="00FB3A37" w:rsidP="009260DE">
      <w:pPr>
        <w:tabs>
          <w:tab w:val="left" w:pos="851"/>
        </w:tabs>
        <w:ind w:left="851"/>
        <w:rPr>
          <w:sz w:val="24"/>
          <w:szCs w:val="24"/>
        </w:rPr>
      </w:pPr>
      <w:r w:rsidRPr="00C37DCA">
        <w:rPr>
          <w:sz w:val="24"/>
          <w:szCs w:val="24"/>
        </w:rPr>
        <w:t>Overfølsomhed over for det aktive stof eller over for et eller flere af hjælpestofferne anført i pkt. 6.1.</w:t>
      </w:r>
    </w:p>
    <w:p w14:paraId="052006CD" w14:textId="77777777" w:rsidR="009260DE" w:rsidRPr="00C37DCA" w:rsidRDefault="009260DE" w:rsidP="009260DE">
      <w:pPr>
        <w:tabs>
          <w:tab w:val="left" w:pos="851"/>
        </w:tabs>
        <w:ind w:left="851"/>
        <w:rPr>
          <w:sz w:val="24"/>
          <w:szCs w:val="24"/>
        </w:rPr>
      </w:pPr>
    </w:p>
    <w:p w14:paraId="38B19574" w14:textId="77777777" w:rsidR="009260DE" w:rsidRPr="00C37DCA" w:rsidRDefault="009260DE" w:rsidP="009260DE">
      <w:pPr>
        <w:tabs>
          <w:tab w:val="left" w:pos="851"/>
        </w:tabs>
        <w:ind w:left="851" w:hanging="851"/>
        <w:rPr>
          <w:b/>
          <w:sz w:val="24"/>
          <w:szCs w:val="24"/>
        </w:rPr>
      </w:pPr>
      <w:r w:rsidRPr="00C37DCA">
        <w:rPr>
          <w:b/>
          <w:sz w:val="24"/>
          <w:szCs w:val="24"/>
        </w:rPr>
        <w:t>4.4</w:t>
      </w:r>
      <w:r w:rsidRPr="00C37DCA">
        <w:rPr>
          <w:b/>
          <w:sz w:val="24"/>
          <w:szCs w:val="24"/>
        </w:rPr>
        <w:tab/>
        <w:t>Særlige advarsler og forsigtighedsregler vedrørende brugen</w:t>
      </w:r>
    </w:p>
    <w:p w14:paraId="26859222" w14:textId="77777777" w:rsidR="00DD336C" w:rsidRDefault="00DD336C" w:rsidP="00FB3A37">
      <w:pPr>
        <w:rPr>
          <w:sz w:val="24"/>
          <w:szCs w:val="24"/>
          <w:u w:val="single"/>
        </w:rPr>
      </w:pPr>
    </w:p>
    <w:p w14:paraId="4F9CA69B" w14:textId="433D6CD9" w:rsidR="00FB3A37" w:rsidRPr="00C37DCA" w:rsidRDefault="00FB3A37" w:rsidP="00DD336C">
      <w:pPr>
        <w:ind w:left="851"/>
        <w:rPr>
          <w:sz w:val="24"/>
          <w:szCs w:val="24"/>
          <w:u w:val="single"/>
          <w:lang w:eastAsia="da-DK"/>
        </w:rPr>
      </w:pPr>
      <w:r w:rsidRPr="00C37DCA">
        <w:rPr>
          <w:sz w:val="24"/>
          <w:szCs w:val="24"/>
          <w:u w:val="single"/>
        </w:rPr>
        <w:t>Overfølsomhedsreaktioner</w:t>
      </w:r>
    </w:p>
    <w:p w14:paraId="47B06405" w14:textId="77777777" w:rsidR="00FB3A37" w:rsidRPr="00C37DCA" w:rsidRDefault="00FB3A37" w:rsidP="00DD336C">
      <w:pPr>
        <w:ind w:left="851"/>
        <w:rPr>
          <w:sz w:val="24"/>
          <w:szCs w:val="24"/>
        </w:rPr>
      </w:pPr>
      <w:r w:rsidRPr="00C37DCA">
        <w:rPr>
          <w:sz w:val="24"/>
          <w:szCs w:val="24"/>
        </w:rPr>
        <w:t xml:space="preserve">Alvorlige og undertiden dødelige overfølsomhedsreaktioner, herunder anafylaksi og </w:t>
      </w:r>
      <w:proofErr w:type="spellStart"/>
      <w:r w:rsidRPr="00C37DCA">
        <w:rPr>
          <w:sz w:val="24"/>
          <w:szCs w:val="24"/>
        </w:rPr>
        <w:t>anafylaktisk</w:t>
      </w:r>
      <w:proofErr w:type="spellEnd"/>
      <w:r w:rsidRPr="00C37DCA">
        <w:rPr>
          <w:sz w:val="24"/>
          <w:szCs w:val="24"/>
        </w:rPr>
        <w:t xml:space="preserve"> </w:t>
      </w:r>
      <w:proofErr w:type="spellStart"/>
      <w:r w:rsidRPr="00C37DCA">
        <w:rPr>
          <w:sz w:val="24"/>
          <w:szCs w:val="24"/>
        </w:rPr>
        <w:t>shock</w:t>
      </w:r>
      <w:proofErr w:type="spellEnd"/>
      <w:r w:rsidRPr="00C37DCA">
        <w:rPr>
          <w:sz w:val="24"/>
          <w:szCs w:val="24"/>
        </w:rPr>
        <w:t xml:space="preserve">, kan forekomme under behandling med </w:t>
      </w:r>
      <w:proofErr w:type="spellStart"/>
      <w:r w:rsidRPr="00C37DCA">
        <w:rPr>
          <w:sz w:val="24"/>
          <w:szCs w:val="24"/>
        </w:rPr>
        <w:t>fosfomycin</w:t>
      </w:r>
      <w:proofErr w:type="spellEnd"/>
      <w:r w:rsidRPr="00C37DCA">
        <w:rPr>
          <w:sz w:val="24"/>
          <w:szCs w:val="24"/>
        </w:rPr>
        <w:t xml:space="preserve"> (se pkt. 4.3 og 4.8). Hvis sådanne reaktioner opstår, skal behandling med </w:t>
      </w:r>
      <w:proofErr w:type="spellStart"/>
      <w:r w:rsidRPr="00C37DCA">
        <w:rPr>
          <w:sz w:val="24"/>
          <w:szCs w:val="24"/>
        </w:rPr>
        <w:t>fosfomycin</w:t>
      </w:r>
      <w:proofErr w:type="spellEnd"/>
      <w:r w:rsidRPr="00C37DCA">
        <w:rPr>
          <w:sz w:val="24"/>
          <w:szCs w:val="24"/>
        </w:rPr>
        <w:t xml:space="preserve"> straks seponeres, og der skal iværksættes passende nødforanstaltninger.</w:t>
      </w:r>
    </w:p>
    <w:p w14:paraId="54F9FA3E" w14:textId="77777777" w:rsidR="00FB3A37" w:rsidRPr="00C37DCA" w:rsidRDefault="00FB3A37" w:rsidP="00DD336C">
      <w:pPr>
        <w:ind w:left="851"/>
        <w:rPr>
          <w:sz w:val="24"/>
          <w:szCs w:val="24"/>
        </w:rPr>
      </w:pPr>
    </w:p>
    <w:p w14:paraId="150201FB" w14:textId="77777777" w:rsidR="00FB3A37" w:rsidRPr="00C37DCA" w:rsidRDefault="00FB3A37" w:rsidP="00DD336C">
      <w:pPr>
        <w:ind w:left="851"/>
        <w:rPr>
          <w:sz w:val="24"/>
          <w:szCs w:val="24"/>
          <w:u w:val="single"/>
        </w:rPr>
      </w:pPr>
      <w:proofErr w:type="spellStart"/>
      <w:r w:rsidRPr="00C37DCA">
        <w:rPr>
          <w:i/>
          <w:sz w:val="24"/>
          <w:szCs w:val="24"/>
          <w:u w:val="single"/>
        </w:rPr>
        <w:t>Clostridioides</w:t>
      </w:r>
      <w:proofErr w:type="spellEnd"/>
      <w:r w:rsidRPr="00C37DCA">
        <w:rPr>
          <w:i/>
          <w:sz w:val="24"/>
          <w:szCs w:val="24"/>
          <w:u w:val="single"/>
        </w:rPr>
        <w:t xml:space="preserve"> difficile</w:t>
      </w:r>
      <w:r w:rsidRPr="00C37DCA">
        <w:rPr>
          <w:sz w:val="24"/>
          <w:szCs w:val="24"/>
          <w:u w:val="single"/>
        </w:rPr>
        <w:t>-associeret diarré</w:t>
      </w:r>
    </w:p>
    <w:p w14:paraId="0912AB6A" w14:textId="77777777" w:rsidR="00FB3A37" w:rsidRPr="00C37DCA" w:rsidRDefault="00FB3A37" w:rsidP="00DD336C">
      <w:pPr>
        <w:ind w:left="851"/>
        <w:rPr>
          <w:sz w:val="24"/>
          <w:szCs w:val="24"/>
        </w:rPr>
      </w:pPr>
      <w:proofErr w:type="spellStart"/>
      <w:r w:rsidRPr="00C37DCA">
        <w:rPr>
          <w:i/>
          <w:sz w:val="24"/>
          <w:szCs w:val="24"/>
        </w:rPr>
        <w:t>Clostridioides</w:t>
      </w:r>
      <w:proofErr w:type="spellEnd"/>
      <w:r w:rsidRPr="00C37DCA">
        <w:rPr>
          <w:i/>
          <w:sz w:val="24"/>
          <w:szCs w:val="24"/>
        </w:rPr>
        <w:t xml:space="preserve"> difficile</w:t>
      </w:r>
      <w:r w:rsidRPr="00C37DCA">
        <w:rPr>
          <w:sz w:val="24"/>
          <w:szCs w:val="24"/>
        </w:rPr>
        <w:t xml:space="preserve">-associeret </w:t>
      </w:r>
      <w:proofErr w:type="spellStart"/>
      <w:r w:rsidRPr="00C37DCA">
        <w:rPr>
          <w:sz w:val="24"/>
          <w:szCs w:val="24"/>
        </w:rPr>
        <w:t>kolitis</w:t>
      </w:r>
      <w:proofErr w:type="spellEnd"/>
      <w:r w:rsidRPr="00C37DCA">
        <w:rPr>
          <w:sz w:val="24"/>
          <w:szCs w:val="24"/>
        </w:rPr>
        <w:t xml:space="preserve"> og </w:t>
      </w:r>
      <w:proofErr w:type="spellStart"/>
      <w:r w:rsidRPr="00C37DCA">
        <w:rPr>
          <w:sz w:val="24"/>
          <w:szCs w:val="24"/>
        </w:rPr>
        <w:t>pseudomembranøs</w:t>
      </w:r>
      <w:proofErr w:type="spellEnd"/>
      <w:r w:rsidRPr="00C37DCA">
        <w:rPr>
          <w:sz w:val="24"/>
          <w:szCs w:val="24"/>
        </w:rPr>
        <w:t xml:space="preserve"> </w:t>
      </w:r>
      <w:proofErr w:type="spellStart"/>
      <w:r w:rsidRPr="00C37DCA">
        <w:rPr>
          <w:sz w:val="24"/>
          <w:szCs w:val="24"/>
        </w:rPr>
        <w:t>kolitis</w:t>
      </w:r>
      <w:proofErr w:type="spellEnd"/>
      <w:r w:rsidRPr="00C37DCA">
        <w:rPr>
          <w:sz w:val="24"/>
          <w:szCs w:val="24"/>
        </w:rPr>
        <w:t xml:space="preserve"> er blevet rapporteret med </w:t>
      </w:r>
      <w:proofErr w:type="spellStart"/>
      <w:r w:rsidRPr="00C37DCA">
        <w:rPr>
          <w:sz w:val="24"/>
          <w:szCs w:val="24"/>
        </w:rPr>
        <w:t>fosfomycin</w:t>
      </w:r>
      <w:proofErr w:type="spellEnd"/>
      <w:r w:rsidRPr="00C37DCA">
        <w:rPr>
          <w:sz w:val="24"/>
          <w:szCs w:val="24"/>
        </w:rPr>
        <w:t xml:space="preserve"> og kan variere i sværhedsgrad fra let til livstruende (se pkt. 4.8). Det er derfor vigtigt at overveje denne diagnose hos patienter, der får diarré under eller efter administration af </w:t>
      </w:r>
      <w:proofErr w:type="spellStart"/>
      <w:r w:rsidRPr="00C37DCA">
        <w:rPr>
          <w:sz w:val="24"/>
          <w:szCs w:val="24"/>
        </w:rPr>
        <w:t>fosfomycin</w:t>
      </w:r>
      <w:proofErr w:type="spellEnd"/>
      <w:r w:rsidRPr="00C37DCA">
        <w:rPr>
          <w:sz w:val="24"/>
          <w:szCs w:val="24"/>
        </w:rPr>
        <w:t xml:space="preserve">. </w:t>
      </w:r>
      <w:proofErr w:type="spellStart"/>
      <w:r w:rsidRPr="00C37DCA">
        <w:rPr>
          <w:sz w:val="24"/>
          <w:szCs w:val="24"/>
        </w:rPr>
        <w:t>Seponering</w:t>
      </w:r>
      <w:proofErr w:type="spellEnd"/>
      <w:r w:rsidRPr="00C37DCA">
        <w:rPr>
          <w:sz w:val="24"/>
          <w:szCs w:val="24"/>
        </w:rPr>
        <w:t xml:space="preserve"> af behandlingen med </w:t>
      </w:r>
      <w:proofErr w:type="spellStart"/>
      <w:r w:rsidRPr="00C37DCA">
        <w:rPr>
          <w:sz w:val="24"/>
          <w:szCs w:val="24"/>
        </w:rPr>
        <w:t>fosfomycin</w:t>
      </w:r>
      <w:proofErr w:type="spellEnd"/>
      <w:r w:rsidRPr="00C37DCA">
        <w:rPr>
          <w:sz w:val="24"/>
          <w:szCs w:val="24"/>
        </w:rPr>
        <w:t xml:space="preserve"> og administration af specifik behandling for </w:t>
      </w:r>
      <w:proofErr w:type="spellStart"/>
      <w:r w:rsidRPr="00C37DCA">
        <w:rPr>
          <w:i/>
          <w:sz w:val="24"/>
          <w:szCs w:val="24"/>
        </w:rPr>
        <w:t>Clostridioides</w:t>
      </w:r>
      <w:proofErr w:type="spellEnd"/>
      <w:r w:rsidRPr="00C37DCA">
        <w:rPr>
          <w:i/>
          <w:sz w:val="24"/>
          <w:szCs w:val="24"/>
        </w:rPr>
        <w:t xml:space="preserve"> difficile </w:t>
      </w:r>
      <w:r w:rsidRPr="00C37DCA">
        <w:rPr>
          <w:sz w:val="24"/>
          <w:szCs w:val="24"/>
        </w:rPr>
        <w:t>bør overvejes. Der bør ikke gives lægemidler, der hæmmer peristaltikken.</w:t>
      </w:r>
    </w:p>
    <w:p w14:paraId="2C46C1F3" w14:textId="77777777" w:rsidR="00FB3A37" w:rsidRPr="00C37DCA" w:rsidRDefault="00FB3A37" w:rsidP="00DD336C">
      <w:pPr>
        <w:ind w:left="851"/>
        <w:rPr>
          <w:sz w:val="24"/>
          <w:szCs w:val="24"/>
        </w:rPr>
      </w:pPr>
    </w:p>
    <w:p w14:paraId="318B42D9" w14:textId="77777777" w:rsidR="00FB3A37" w:rsidRPr="00C37DCA" w:rsidRDefault="00FB3A37" w:rsidP="00DD336C">
      <w:pPr>
        <w:ind w:left="851"/>
        <w:rPr>
          <w:sz w:val="24"/>
          <w:szCs w:val="24"/>
        </w:rPr>
      </w:pPr>
      <w:r w:rsidRPr="00C37DCA">
        <w:rPr>
          <w:sz w:val="24"/>
          <w:szCs w:val="24"/>
          <w:u w:val="single"/>
        </w:rPr>
        <w:t>Pædiatrisk population</w:t>
      </w:r>
    </w:p>
    <w:p w14:paraId="469041D1" w14:textId="77777777" w:rsidR="00FB3A37" w:rsidRPr="00C37DCA" w:rsidRDefault="00FB3A37" w:rsidP="00DD336C">
      <w:pPr>
        <w:ind w:left="851"/>
        <w:rPr>
          <w:sz w:val="24"/>
          <w:szCs w:val="24"/>
        </w:rPr>
      </w:pPr>
      <w:r w:rsidRPr="00C37DCA">
        <w:rPr>
          <w:sz w:val="24"/>
          <w:szCs w:val="24"/>
        </w:rPr>
        <w:t xml:space="preserve">Sikkerheden og virkningen af </w:t>
      </w:r>
      <w:proofErr w:type="spellStart"/>
      <w:r w:rsidRPr="00C37DCA">
        <w:rPr>
          <w:sz w:val="24"/>
          <w:szCs w:val="24"/>
        </w:rPr>
        <w:t>Monurol</w:t>
      </w:r>
      <w:proofErr w:type="spellEnd"/>
      <w:r w:rsidRPr="00C37DCA">
        <w:rPr>
          <w:sz w:val="24"/>
          <w:szCs w:val="24"/>
        </w:rPr>
        <w:t xml:space="preserve"> hos børn under 12 år er ikke klarlagt. Derfor bør dette lægemiddel ikke bruges hos denne aldersgruppe (se pkt. 4.2).</w:t>
      </w:r>
    </w:p>
    <w:p w14:paraId="2739D79A" w14:textId="77777777" w:rsidR="00FB3A37" w:rsidRPr="00C37DCA" w:rsidRDefault="00FB3A37" w:rsidP="00DD336C">
      <w:pPr>
        <w:ind w:left="851"/>
        <w:rPr>
          <w:sz w:val="24"/>
          <w:szCs w:val="24"/>
          <w:u w:val="single"/>
        </w:rPr>
      </w:pPr>
    </w:p>
    <w:p w14:paraId="7110FF44" w14:textId="77777777" w:rsidR="00FB3A37" w:rsidRPr="00C37DCA" w:rsidRDefault="00FB3A37" w:rsidP="00DD336C">
      <w:pPr>
        <w:ind w:left="851"/>
        <w:rPr>
          <w:sz w:val="24"/>
          <w:szCs w:val="24"/>
        </w:rPr>
      </w:pPr>
      <w:r w:rsidRPr="00C37DCA">
        <w:rPr>
          <w:sz w:val="24"/>
          <w:szCs w:val="24"/>
          <w:u w:val="single"/>
        </w:rPr>
        <w:t>Vedvarende infektioner og mandlige patienter</w:t>
      </w:r>
    </w:p>
    <w:p w14:paraId="341DC91E" w14:textId="77777777" w:rsidR="00FB3A37" w:rsidRPr="00C37DCA" w:rsidRDefault="00FB3A37" w:rsidP="00DD336C">
      <w:pPr>
        <w:ind w:left="851"/>
        <w:rPr>
          <w:sz w:val="24"/>
          <w:szCs w:val="24"/>
        </w:rPr>
      </w:pPr>
      <w:r w:rsidRPr="00C37DCA">
        <w:rPr>
          <w:sz w:val="24"/>
          <w:szCs w:val="24"/>
        </w:rPr>
        <w:t xml:space="preserve">I tilfælde af vedvarende infektioner anbefales en grundig undersøgelse og en revurdering af diagnosen, da dette ofte skyldes komplicerede urinvejsinfektioner eller forekomsten af resistente </w:t>
      </w:r>
      <w:proofErr w:type="spellStart"/>
      <w:r w:rsidRPr="00C37DCA">
        <w:rPr>
          <w:sz w:val="24"/>
          <w:szCs w:val="24"/>
        </w:rPr>
        <w:t>patogener</w:t>
      </w:r>
      <w:proofErr w:type="spellEnd"/>
      <w:r w:rsidRPr="00C37DCA">
        <w:rPr>
          <w:sz w:val="24"/>
          <w:szCs w:val="24"/>
        </w:rPr>
        <w:t xml:space="preserve"> (f.eks. </w:t>
      </w:r>
      <w:proofErr w:type="spellStart"/>
      <w:r w:rsidRPr="00C37DCA">
        <w:rPr>
          <w:i/>
          <w:sz w:val="24"/>
          <w:szCs w:val="24"/>
        </w:rPr>
        <w:t>Staphylococcus</w:t>
      </w:r>
      <w:proofErr w:type="spellEnd"/>
      <w:r w:rsidRPr="00C37DCA">
        <w:rPr>
          <w:i/>
          <w:sz w:val="24"/>
          <w:szCs w:val="24"/>
        </w:rPr>
        <w:t xml:space="preserve"> </w:t>
      </w:r>
      <w:proofErr w:type="spellStart"/>
      <w:r w:rsidRPr="00C37DCA">
        <w:rPr>
          <w:i/>
          <w:sz w:val="24"/>
          <w:szCs w:val="24"/>
        </w:rPr>
        <w:t>saprophyticus</w:t>
      </w:r>
      <w:proofErr w:type="spellEnd"/>
      <w:r w:rsidRPr="00C37DCA">
        <w:rPr>
          <w:sz w:val="24"/>
          <w:szCs w:val="24"/>
        </w:rPr>
        <w:t>, se pkt. 5.1). Generelt skal urinvejsinfektioner hos mandlige patienter betragtes som komplicerede urinvejsinfektioner, hvilket dette lægemiddel ikke er indiceret til (se pkt. 4.1).</w:t>
      </w:r>
    </w:p>
    <w:p w14:paraId="75B94FA6" w14:textId="77777777" w:rsidR="00FB3A37" w:rsidRPr="00C37DCA" w:rsidRDefault="00FB3A37" w:rsidP="00DD336C">
      <w:pPr>
        <w:ind w:left="851"/>
        <w:rPr>
          <w:sz w:val="24"/>
          <w:szCs w:val="24"/>
        </w:rPr>
      </w:pPr>
    </w:p>
    <w:p w14:paraId="613185A5" w14:textId="77777777" w:rsidR="00FB3A37" w:rsidRPr="00C37DCA" w:rsidRDefault="00FB3A37" w:rsidP="00DD336C">
      <w:pPr>
        <w:widowControl w:val="0"/>
        <w:autoSpaceDE w:val="0"/>
        <w:autoSpaceDN w:val="0"/>
        <w:adjustRightInd w:val="0"/>
        <w:ind w:left="851"/>
        <w:rPr>
          <w:sz w:val="24"/>
          <w:szCs w:val="24"/>
        </w:rPr>
      </w:pPr>
      <w:r w:rsidRPr="00C37DCA">
        <w:rPr>
          <w:sz w:val="24"/>
          <w:szCs w:val="24"/>
          <w:u w:val="single"/>
        </w:rPr>
        <w:t>Hjælpestoffer</w:t>
      </w:r>
    </w:p>
    <w:p w14:paraId="43E0EBF9" w14:textId="77777777" w:rsidR="00FB3A37" w:rsidRPr="00E37DA1" w:rsidRDefault="00FB3A37" w:rsidP="00DD336C">
      <w:pPr>
        <w:ind w:left="851"/>
        <w:rPr>
          <w:i/>
          <w:sz w:val="24"/>
          <w:szCs w:val="24"/>
        </w:rPr>
      </w:pPr>
      <w:r w:rsidRPr="00E37DA1">
        <w:rPr>
          <w:i/>
          <w:sz w:val="24"/>
          <w:szCs w:val="24"/>
        </w:rPr>
        <w:t>Natrium</w:t>
      </w:r>
    </w:p>
    <w:p w14:paraId="26C991EA" w14:textId="2973A19C" w:rsidR="00FB3A37" w:rsidRPr="00C37DCA" w:rsidRDefault="00FB3A37" w:rsidP="00DD336C">
      <w:pPr>
        <w:ind w:left="851"/>
        <w:rPr>
          <w:sz w:val="24"/>
          <w:szCs w:val="24"/>
        </w:rPr>
      </w:pPr>
      <w:r w:rsidRPr="00C37DCA">
        <w:rPr>
          <w:sz w:val="24"/>
          <w:szCs w:val="24"/>
        </w:rPr>
        <w:t xml:space="preserve">Dette lægemiddel indeholder mindre end 1 mmol natrium (23 mg) pr. brev, </w:t>
      </w:r>
      <w:r w:rsidRPr="00C37DCA">
        <w:rPr>
          <w:sz w:val="24"/>
          <w:szCs w:val="24"/>
          <w:shd w:val="clear" w:color="auto" w:fill="FFFFFF"/>
        </w:rPr>
        <w:t>dvs. det er i det </w:t>
      </w:r>
      <w:r w:rsidRPr="00C37DCA">
        <w:rPr>
          <w:rStyle w:val="Fremhv"/>
          <w:bCs/>
          <w:i w:val="0"/>
          <w:iCs w:val="0"/>
          <w:sz w:val="24"/>
          <w:szCs w:val="24"/>
          <w:shd w:val="clear" w:color="auto" w:fill="FFFFFF"/>
        </w:rPr>
        <w:t>væsentlige</w:t>
      </w:r>
      <w:r w:rsidRPr="00C37DCA">
        <w:rPr>
          <w:sz w:val="24"/>
          <w:szCs w:val="24"/>
        </w:rPr>
        <w:t xml:space="preserve"> 'natriumfrit'.</w:t>
      </w:r>
    </w:p>
    <w:p w14:paraId="1DEF8B69" w14:textId="77777777" w:rsidR="00FB3A37" w:rsidRPr="00C37DCA" w:rsidRDefault="00FB3A37" w:rsidP="00DD336C">
      <w:pPr>
        <w:ind w:left="851"/>
        <w:rPr>
          <w:sz w:val="24"/>
          <w:szCs w:val="24"/>
        </w:rPr>
      </w:pPr>
    </w:p>
    <w:p w14:paraId="09C406FA" w14:textId="77777777" w:rsidR="00FB3A37" w:rsidRPr="00C37DCA" w:rsidRDefault="00FB3A37" w:rsidP="00DD336C">
      <w:pPr>
        <w:widowControl w:val="0"/>
        <w:autoSpaceDE w:val="0"/>
        <w:autoSpaceDN w:val="0"/>
        <w:adjustRightInd w:val="0"/>
        <w:ind w:left="851"/>
        <w:rPr>
          <w:sz w:val="24"/>
          <w:szCs w:val="24"/>
        </w:rPr>
      </w:pPr>
      <w:proofErr w:type="spellStart"/>
      <w:r w:rsidRPr="00E37DA1">
        <w:rPr>
          <w:i/>
          <w:sz w:val="24"/>
          <w:szCs w:val="24"/>
        </w:rPr>
        <w:t>Monurol</w:t>
      </w:r>
      <w:proofErr w:type="spellEnd"/>
      <w:r w:rsidRPr="00E37DA1">
        <w:rPr>
          <w:i/>
          <w:sz w:val="24"/>
          <w:szCs w:val="24"/>
        </w:rPr>
        <w:t xml:space="preserve"> indeholder </w:t>
      </w:r>
      <w:proofErr w:type="spellStart"/>
      <w:r w:rsidRPr="00E37DA1">
        <w:rPr>
          <w:i/>
          <w:sz w:val="24"/>
          <w:szCs w:val="24"/>
        </w:rPr>
        <w:t>saccharose</w:t>
      </w:r>
      <w:proofErr w:type="spellEnd"/>
      <w:r w:rsidRPr="00E37DA1">
        <w:rPr>
          <w:i/>
          <w:sz w:val="24"/>
          <w:szCs w:val="24"/>
        </w:rPr>
        <w:t xml:space="preserve"> og </w:t>
      </w:r>
      <w:proofErr w:type="spellStart"/>
      <w:r w:rsidRPr="00E37DA1">
        <w:rPr>
          <w:i/>
          <w:sz w:val="24"/>
          <w:szCs w:val="24"/>
        </w:rPr>
        <w:t>maltodextrin</w:t>
      </w:r>
      <w:proofErr w:type="spellEnd"/>
      <w:r w:rsidRPr="00E37DA1">
        <w:rPr>
          <w:i/>
          <w:sz w:val="24"/>
          <w:szCs w:val="24"/>
        </w:rPr>
        <w:t>:</w:t>
      </w:r>
      <w:r w:rsidRPr="00C37DCA">
        <w:rPr>
          <w:sz w:val="24"/>
          <w:szCs w:val="24"/>
        </w:rPr>
        <w:t xml:space="preserve"> Bør ikke anvendes til patienter med hereditær </w:t>
      </w:r>
      <w:proofErr w:type="spellStart"/>
      <w:r w:rsidRPr="00C37DCA">
        <w:rPr>
          <w:sz w:val="24"/>
          <w:szCs w:val="24"/>
        </w:rPr>
        <w:t>fructoseintolerans</w:t>
      </w:r>
      <w:proofErr w:type="spellEnd"/>
      <w:r w:rsidRPr="00C37DCA">
        <w:rPr>
          <w:sz w:val="24"/>
          <w:szCs w:val="24"/>
        </w:rPr>
        <w:t xml:space="preserve">, </w:t>
      </w:r>
      <w:proofErr w:type="spellStart"/>
      <w:r w:rsidRPr="00C37DCA">
        <w:rPr>
          <w:sz w:val="24"/>
          <w:szCs w:val="24"/>
        </w:rPr>
        <w:t>glucose</w:t>
      </w:r>
      <w:proofErr w:type="spellEnd"/>
      <w:r w:rsidRPr="00C37DCA">
        <w:rPr>
          <w:sz w:val="24"/>
          <w:szCs w:val="24"/>
        </w:rPr>
        <w:t>/</w:t>
      </w:r>
      <w:proofErr w:type="spellStart"/>
      <w:r w:rsidRPr="00C37DCA">
        <w:rPr>
          <w:sz w:val="24"/>
          <w:szCs w:val="24"/>
        </w:rPr>
        <w:t>galactosemalabsorption</w:t>
      </w:r>
      <w:proofErr w:type="spellEnd"/>
      <w:r w:rsidRPr="00C37DCA">
        <w:rPr>
          <w:sz w:val="24"/>
          <w:szCs w:val="24"/>
        </w:rPr>
        <w:t xml:space="preserve"> og </w:t>
      </w:r>
      <w:proofErr w:type="spellStart"/>
      <w:r w:rsidRPr="00C37DCA">
        <w:rPr>
          <w:sz w:val="24"/>
          <w:szCs w:val="24"/>
        </w:rPr>
        <w:t>sucraseisomaltasemangel</w:t>
      </w:r>
      <w:proofErr w:type="spellEnd"/>
      <w:r w:rsidRPr="00C37DCA">
        <w:rPr>
          <w:sz w:val="24"/>
          <w:szCs w:val="24"/>
        </w:rPr>
        <w:t>.</w:t>
      </w:r>
    </w:p>
    <w:p w14:paraId="404C5167" w14:textId="77777777" w:rsidR="00FB3A37" w:rsidRPr="00C37DCA" w:rsidRDefault="00FB3A37" w:rsidP="00DD336C">
      <w:pPr>
        <w:widowControl w:val="0"/>
        <w:autoSpaceDE w:val="0"/>
        <w:autoSpaceDN w:val="0"/>
        <w:adjustRightInd w:val="0"/>
        <w:ind w:left="851"/>
        <w:rPr>
          <w:sz w:val="24"/>
          <w:szCs w:val="24"/>
        </w:rPr>
      </w:pPr>
    </w:p>
    <w:p w14:paraId="4ADBB92E" w14:textId="77777777" w:rsidR="00FB3A37" w:rsidRPr="00E37DA1" w:rsidRDefault="00FB3A37" w:rsidP="00DD336C">
      <w:pPr>
        <w:widowControl w:val="0"/>
        <w:autoSpaceDE w:val="0"/>
        <w:autoSpaceDN w:val="0"/>
        <w:adjustRightInd w:val="0"/>
        <w:ind w:left="851"/>
        <w:rPr>
          <w:i/>
          <w:sz w:val="24"/>
          <w:szCs w:val="24"/>
        </w:rPr>
      </w:pPr>
      <w:r w:rsidRPr="00E37DA1">
        <w:rPr>
          <w:i/>
          <w:sz w:val="24"/>
          <w:szCs w:val="24"/>
        </w:rPr>
        <w:t>Sulfitter</w:t>
      </w:r>
    </w:p>
    <w:p w14:paraId="6A5BEE9A" w14:textId="77777777" w:rsidR="00FB3A37" w:rsidRPr="00C37DCA" w:rsidRDefault="00FB3A37" w:rsidP="00DD336C">
      <w:pPr>
        <w:widowControl w:val="0"/>
        <w:autoSpaceDE w:val="0"/>
        <w:autoSpaceDN w:val="0"/>
        <w:adjustRightInd w:val="0"/>
        <w:ind w:left="851"/>
        <w:rPr>
          <w:sz w:val="24"/>
          <w:szCs w:val="24"/>
        </w:rPr>
      </w:pPr>
      <w:r w:rsidRPr="00C37DCA">
        <w:rPr>
          <w:sz w:val="24"/>
          <w:szCs w:val="24"/>
        </w:rPr>
        <w:t xml:space="preserve">Kan i sjældne tilfælde forårsage alvorlige overfølsomhedsreaktioner og </w:t>
      </w:r>
      <w:proofErr w:type="spellStart"/>
      <w:r w:rsidRPr="00C37DCA">
        <w:rPr>
          <w:sz w:val="24"/>
          <w:szCs w:val="24"/>
        </w:rPr>
        <w:t>bronkospasme</w:t>
      </w:r>
      <w:proofErr w:type="spellEnd"/>
      <w:r w:rsidRPr="00C37DCA">
        <w:rPr>
          <w:sz w:val="24"/>
          <w:szCs w:val="24"/>
        </w:rPr>
        <w:t>.</w:t>
      </w:r>
    </w:p>
    <w:p w14:paraId="3ABB023A" w14:textId="77777777" w:rsidR="009260DE" w:rsidRPr="00C37DCA" w:rsidRDefault="009260DE" w:rsidP="009260DE">
      <w:pPr>
        <w:tabs>
          <w:tab w:val="left" w:pos="851"/>
        </w:tabs>
        <w:ind w:left="851"/>
        <w:rPr>
          <w:sz w:val="24"/>
          <w:szCs w:val="24"/>
        </w:rPr>
      </w:pPr>
    </w:p>
    <w:p w14:paraId="3351492E" w14:textId="77777777" w:rsidR="009260DE" w:rsidRPr="00C37DCA" w:rsidRDefault="009260DE" w:rsidP="009260DE">
      <w:pPr>
        <w:tabs>
          <w:tab w:val="left" w:pos="851"/>
        </w:tabs>
        <w:ind w:left="851" w:hanging="851"/>
        <w:rPr>
          <w:b/>
          <w:sz w:val="24"/>
          <w:szCs w:val="24"/>
        </w:rPr>
      </w:pPr>
      <w:r w:rsidRPr="00C37DCA">
        <w:rPr>
          <w:b/>
          <w:sz w:val="24"/>
          <w:szCs w:val="24"/>
        </w:rPr>
        <w:t>4.5</w:t>
      </w:r>
      <w:r w:rsidRPr="00C37DCA">
        <w:rPr>
          <w:b/>
          <w:sz w:val="24"/>
          <w:szCs w:val="24"/>
        </w:rPr>
        <w:tab/>
        <w:t>Interaktion med andre lægemidler og andre former for interaktion</w:t>
      </w:r>
    </w:p>
    <w:p w14:paraId="23D08333" w14:textId="77777777" w:rsidR="00DD336C" w:rsidRDefault="00DD336C" w:rsidP="00DD336C">
      <w:pPr>
        <w:ind w:left="851"/>
        <w:rPr>
          <w:sz w:val="24"/>
          <w:szCs w:val="24"/>
          <w:u w:val="single"/>
        </w:rPr>
      </w:pPr>
    </w:p>
    <w:p w14:paraId="76C8DB26" w14:textId="1C207260" w:rsidR="00FB3A37" w:rsidRPr="00C37DCA" w:rsidRDefault="00FB3A37" w:rsidP="00DD336C">
      <w:pPr>
        <w:ind w:left="851"/>
        <w:rPr>
          <w:sz w:val="24"/>
          <w:szCs w:val="24"/>
          <w:u w:val="single"/>
          <w:lang w:eastAsia="da-DK"/>
        </w:rPr>
      </w:pPr>
      <w:proofErr w:type="spellStart"/>
      <w:r w:rsidRPr="00C37DCA">
        <w:rPr>
          <w:sz w:val="24"/>
          <w:szCs w:val="24"/>
          <w:u w:val="single"/>
        </w:rPr>
        <w:t>Metoclopramid</w:t>
      </w:r>
      <w:proofErr w:type="spellEnd"/>
    </w:p>
    <w:p w14:paraId="128C32C6" w14:textId="77777777" w:rsidR="00FB3A37" w:rsidRPr="00C37DCA" w:rsidRDefault="00FB3A37" w:rsidP="00DD336C">
      <w:pPr>
        <w:ind w:left="851"/>
        <w:rPr>
          <w:sz w:val="24"/>
          <w:szCs w:val="24"/>
        </w:rPr>
      </w:pPr>
      <w:r w:rsidRPr="00C37DCA">
        <w:rPr>
          <w:sz w:val="24"/>
          <w:szCs w:val="24"/>
        </w:rPr>
        <w:t xml:space="preserve">Samtidig administration af </w:t>
      </w:r>
      <w:proofErr w:type="spellStart"/>
      <w:r w:rsidRPr="00C37DCA">
        <w:rPr>
          <w:sz w:val="24"/>
          <w:szCs w:val="24"/>
        </w:rPr>
        <w:t>metoclopramid</w:t>
      </w:r>
      <w:proofErr w:type="spellEnd"/>
      <w:r w:rsidRPr="00C37DCA">
        <w:rPr>
          <w:sz w:val="24"/>
          <w:szCs w:val="24"/>
        </w:rPr>
        <w:t xml:space="preserve"> er blevet påvist at sænke koncentrationer af </w:t>
      </w:r>
      <w:proofErr w:type="spellStart"/>
      <w:r w:rsidRPr="00C37DCA">
        <w:rPr>
          <w:sz w:val="24"/>
          <w:szCs w:val="24"/>
        </w:rPr>
        <w:t>fosfomycin</w:t>
      </w:r>
      <w:proofErr w:type="spellEnd"/>
      <w:r w:rsidRPr="00C37DCA">
        <w:rPr>
          <w:sz w:val="24"/>
          <w:szCs w:val="24"/>
        </w:rPr>
        <w:t xml:space="preserve"> i serum og urin og bør undgås.</w:t>
      </w:r>
    </w:p>
    <w:p w14:paraId="2784940C" w14:textId="77777777" w:rsidR="00FB3A37" w:rsidRPr="00C37DCA" w:rsidRDefault="00FB3A37" w:rsidP="00DD336C">
      <w:pPr>
        <w:ind w:left="851"/>
        <w:rPr>
          <w:sz w:val="24"/>
          <w:szCs w:val="24"/>
        </w:rPr>
      </w:pPr>
    </w:p>
    <w:p w14:paraId="24305A17" w14:textId="77777777" w:rsidR="00FB3A37" w:rsidRPr="00C37DCA" w:rsidRDefault="00FB3A37" w:rsidP="00DD336C">
      <w:pPr>
        <w:ind w:left="851"/>
        <w:rPr>
          <w:sz w:val="24"/>
          <w:szCs w:val="24"/>
          <w:lang w:val="fr-LU"/>
        </w:rPr>
      </w:pPr>
      <w:r w:rsidRPr="00C37DCA">
        <w:rPr>
          <w:sz w:val="24"/>
          <w:szCs w:val="24"/>
        </w:rPr>
        <w:t xml:space="preserve">Andre lægemidler, som forøger </w:t>
      </w:r>
      <w:proofErr w:type="spellStart"/>
      <w:r w:rsidRPr="00C37DCA">
        <w:rPr>
          <w:sz w:val="24"/>
          <w:szCs w:val="24"/>
        </w:rPr>
        <w:t>gastrointestinal</w:t>
      </w:r>
      <w:proofErr w:type="spellEnd"/>
      <w:r w:rsidRPr="00C37DCA">
        <w:rPr>
          <w:sz w:val="24"/>
          <w:szCs w:val="24"/>
        </w:rPr>
        <w:t xml:space="preserve"> </w:t>
      </w:r>
      <w:proofErr w:type="spellStart"/>
      <w:r w:rsidRPr="00C37DCA">
        <w:rPr>
          <w:sz w:val="24"/>
          <w:szCs w:val="24"/>
        </w:rPr>
        <w:t>motilitet</w:t>
      </w:r>
      <w:proofErr w:type="spellEnd"/>
      <w:r w:rsidRPr="00C37DCA">
        <w:rPr>
          <w:sz w:val="24"/>
          <w:szCs w:val="24"/>
        </w:rPr>
        <w:t xml:space="preserve">, kan fremkalde lignende virkninger. </w:t>
      </w:r>
    </w:p>
    <w:p w14:paraId="6DFCF400" w14:textId="77777777" w:rsidR="00FB3A37" w:rsidRPr="00C37DCA" w:rsidRDefault="00FB3A37" w:rsidP="00DD336C">
      <w:pPr>
        <w:ind w:left="851"/>
        <w:rPr>
          <w:sz w:val="24"/>
          <w:szCs w:val="24"/>
          <w:u w:val="single"/>
          <w:lang w:val="fr-LU"/>
        </w:rPr>
      </w:pPr>
    </w:p>
    <w:p w14:paraId="1C29A76D" w14:textId="77777777" w:rsidR="00FB3A37" w:rsidRPr="00C37DCA" w:rsidRDefault="00FB3A37" w:rsidP="00DD336C">
      <w:pPr>
        <w:ind w:left="851"/>
        <w:rPr>
          <w:sz w:val="24"/>
          <w:szCs w:val="24"/>
          <w:u w:val="single"/>
        </w:rPr>
      </w:pPr>
      <w:r w:rsidRPr="00C37DCA">
        <w:rPr>
          <w:sz w:val="24"/>
          <w:szCs w:val="24"/>
          <w:u w:val="single"/>
        </w:rPr>
        <w:t>Effekt af føde</w:t>
      </w:r>
    </w:p>
    <w:p w14:paraId="0508CB28" w14:textId="77777777" w:rsidR="00FB3A37" w:rsidRPr="00C37DCA" w:rsidRDefault="00FB3A37" w:rsidP="00DD336C">
      <w:pPr>
        <w:ind w:left="851"/>
        <w:rPr>
          <w:sz w:val="24"/>
          <w:szCs w:val="24"/>
          <w:lang w:val="fr-LU"/>
        </w:rPr>
      </w:pPr>
      <w:r w:rsidRPr="00C37DCA">
        <w:rPr>
          <w:sz w:val="24"/>
          <w:szCs w:val="24"/>
        </w:rPr>
        <w:t xml:space="preserve">Føde </w:t>
      </w:r>
      <w:r w:rsidRPr="00C37DCA">
        <w:rPr>
          <w:sz w:val="24"/>
          <w:szCs w:val="24"/>
          <w:lang w:val="fr-LU"/>
        </w:rPr>
        <w:t xml:space="preserve">kan forsinke absorptionen af </w:t>
      </w:r>
      <w:proofErr w:type="spellStart"/>
      <w:r w:rsidRPr="00C37DCA">
        <w:rPr>
          <w:sz w:val="24"/>
          <w:szCs w:val="24"/>
        </w:rPr>
        <w:t>fosfomycin</w:t>
      </w:r>
      <w:proofErr w:type="spellEnd"/>
      <w:r w:rsidRPr="00C37DCA">
        <w:rPr>
          <w:sz w:val="24"/>
          <w:szCs w:val="24"/>
        </w:rPr>
        <w:t xml:space="preserve">, </w:t>
      </w:r>
      <w:r w:rsidRPr="00C37DCA">
        <w:rPr>
          <w:sz w:val="24"/>
          <w:szCs w:val="24"/>
          <w:lang w:val="fr-LU"/>
        </w:rPr>
        <w:t xml:space="preserve">med deraf følgende mindre </w:t>
      </w:r>
      <w:r w:rsidRPr="00C37DCA">
        <w:rPr>
          <w:sz w:val="24"/>
          <w:szCs w:val="24"/>
        </w:rPr>
        <w:t>nedsættelse af de</w:t>
      </w:r>
      <w:r w:rsidRPr="00C37DCA">
        <w:rPr>
          <w:sz w:val="24"/>
          <w:szCs w:val="24"/>
          <w:lang w:val="fr-LU"/>
        </w:rPr>
        <w:t xml:space="preserve"> maksimale plasmaniveauer og urinkoncentrationerne. Det er derfor </w:t>
      </w:r>
      <w:r w:rsidRPr="00C37DCA">
        <w:rPr>
          <w:sz w:val="24"/>
          <w:szCs w:val="24"/>
        </w:rPr>
        <w:t xml:space="preserve">at foretrække at tage lægemidlet </w:t>
      </w:r>
      <w:r w:rsidRPr="00C37DCA">
        <w:rPr>
          <w:sz w:val="24"/>
          <w:szCs w:val="24"/>
          <w:lang w:val="fr-LU"/>
        </w:rPr>
        <w:t>på tom mave eller ca 2 - 3 timer efter et måltid.</w:t>
      </w:r>
    </w:p>
    <w:p w14:paraId="3D6666BE" w14:textId="77777777" w:rsidR="00FB3A37" w:rsidRPr="00C37DCA" w:rsidRDefault="00FB3A37" w:rsidP="00DD336C">
      <w:pPr>
        <w:ind w:left="851"/>
        <w:rPr>
          <w:sz w:val="24"/>
          <w:szCs w:val="24"/>
          <w:u w:val="single"/>
          <w:lang w:val="fr-LU"/>
        </w:rPr>
      </w:pPr>
    </w:p>
    <w:p w14:paraId="1C805D1E" w14:textId="77777777" w:rsidR="00FB3A37" w:rsidRPr="00C37DCA" w:rsidRDefault="00FB3A37" w:rsidP="00DD336C">
      <w:pPr>
        <w:ind w:left="851"/>
        <w:rPr>
          <w:sz w:val="24"/>
          <w:szCs w:val="24"/>
          <w:u w:val="single"/>
        </w:rPr>
      </w:pPr>
      <w:r w:rsidRPr="00C37DCA">
        <w:rPr>
          <w:sz w:val="24"/>
          <w:szCs w:val="24"/>
          <w:u w:val="single"/>
        </w:rPr>
        <w:t>Specifikke problemer vedrørende ændring i INR</w:t>
      </w:r>
    </w:p>
    <w:p w14:paraId="0381166D" w14:textId="77777777" w:rsidR="00FB3A37" w:rsidRPr="00C37DCA" w:rsidRDefault="00FB3A37" w:rsidP="00DD336C">
      <w:pPr>
        <w:ind w:left="851"/>
        <w:rPr>
          <w:sz w:val="24"/>
          <w:szCs w:val="24"/>
        </w:rPr>
      </w:pPr>
      <w:r w:rsidRPr="00C37DCA">
        <w:rPr>
          <w:sz w:val="24"/>
          <w:szCs w:val="24"/>
        </w:rPr>
        <w:t xml:space="preserve">Adskillige tilfælde af øget oral antikoagulerende aktivitet er blevet rapporteret hos patienter, som fik antibiotikabehandling. Risikofaktorer omfatter svær infektion eller inflammation, alder og dårlig almentilstand. Under disse omstændigheder er det svært at fastslå, om ændringen i INR skyldes smitsomme sygdomme eller behandlingen deraf. Dog er visse klasser af antibiotika hyppigere involverede, især: </w:t>
      </w:r>
      <w:proofErr w:type="spellStart"/>
      <w:r w:rsidRPr="00C37DCA">
        <w:rPr>
          <w:sz w:val="24"/>
          <w:szCs w:val="24"/>
        </w:rPr>
        <w:t>fluoroquinoloner</w:t>
      </w:r>
      <w:proofErr w:type="spellEnd"/>
      <w:r w:rsidRPr="00C37DCA">
        <w:rPr>
          <w:sz w:val="24"/>
          <w:szCs w:val="24"/>
        </w:rPr>
        <w:t xml:space="preserve">, makrolider, </w:t>
      </w:r>
      <w:proofErr w:type="spellStart"/>
      <w:r w:rsidRPr="00C37DCA">
        <w:rPr>
          <w:sz w:val="24"/>
          <w:szCs w:val="24"/>
        </w:rPr>
        <w:t>cycliner</w:t>
      </w:r>
      <w:proofErr w:type="spellEnd"/>
      <w:r w:rsidRPr="00C37DCA">
        <w:rPr>
          <w:sz w:val="24"/>
          <w:szCs w:val="24"/>
        </w:rPr>
        <w:t xml:space="preserve">, </w:t>
      </w:r>
      <w:proofErr w:type="spellStart"/>
      <w:r w:rsidRPr="00C37DCA">
        <w:rPr>
          <w:sz w:val="24"/>
          <w:szCs w:val="24"/>
        </w:rPr>
        <w:t>cotrimoxazol</w:t>
      </w:r>
      <w:proofErr w:type="spellEnd"/>
      <w:r w:rsidRPr="00C37DCA">
        <w:rPr>
          <w:sz w:val="24"/>
          <w:szCs w:val="24"/>
        </w:rPr>
        <w:t xml:space="preserve"> og visse </w:t>
      </w:r>
      <w:proofErr w:type="spellStart"/>
      <w:r w:rsidRPr="00C37DCA">
        <w:rPr>
          <w:sz w:val="24"/>
          <w:szCs w:val="24"/>
        </w:rPr>
        <w:t>cefalosporiner</w:t>
      </w:r>
      <w:proofErr w:type="spellEnd"/>
      <w:r w:rsidRPr="00C37DCA">
        <w:rPr>
          <w:sz w:val="24"/>
          <w:szCs w:val="24"/>
        </w:rPr>
        <w:t>.</w:t>
      </w:r>
    </w:p>
    <w:p w14:paraId="0A4614DD" w14:textId="77777777" w:rsidR="00FB3A37" w:rsidRPr="00C37DCA" w:rsidRDefault="00FB3A37" w:rsidP="00DD336C">
      <w:pPr>
        <w:ind w:left="851"/>
        <w:rPr>
          <w:sz w:val="24"/>
          <w:szCs w:val="24"/>
        </w:rPr>
      </w:pPr>
    </w:p>
    <w:p w14:paraId="3D9B1DC7" w14:textId="77777777" w:rsidR="00FB3A37" w:rsidRPr="00C37DCA" w:rsidRDefault="00FB3A37" w:rsidP="00DD336C">
      <w:pPr>
        <w:ind w:left="851"/>
        <w:rPr>
          <w:sz w:val="24"/>
          <w:szCs w:val="24"/>
          <w:u w:val="single"/>
        </w:rPr>
      </w:pPr>
      <w:r w:rsidRPr="00C37DCA">
        <w:rPr>
          <w:sz w:val="24"/>
          <w:szCs w:val="24"/>
          <w:u w:val="single"/>
        </w:rPr>
        <w:t>Pædiatrisk population</w:t>
      </w:r>
    </w:p>
    <w:p w14:paraId="507148F2" w14:textId="02D23DAE" w:rsidR="009260DE" w:rsidRPr="00C37DCA" w:rsidRDefault="00FB3A37" w:rsidP="00DD336C">
      <w:pPr>
        <w:tabs>
          <w:tab w:val="left" w:pos="851"/>
        </w:tabs>
        <w:ind w:left="851"/>
        <w:rPr>
          <w:sz w:val="24"/>
          <w:szCs w:val="24"/>
        </w:rPr>
      </w:pPr>
      <w:r w:rsidRPr="00C37DCA">
        <w:rPr>
          <w:sz w:val="24"/>
          <w:szCs w:val="24"/>
        </w:rPr>
        <w:t>Der er kun udført interaktionsstudier hos voksne.</w:t>
      </w:r>
    </w:p>
    <w:p w14:paraId="25084096" w14:textId="77777777" w:rsidR="009260DE" w:rsidRPr="00C37DCA" w:rsidRDefault="009260DE" w:rsidP="009260DE">
      <w:pPr>
        <w:tabs>
          <w:tab w:val="left" w:pos="851"/>
        </w:tabs>
        <w:ind w:left="851"/>
        <w:rPr>
          <w:sz w:val="24"/>
          <w:szCs w:val="24"/>
        </w:rPr>
      </w:pPr>
    </w:p>
    <w:p w14:paraId="48A277B5" w14:textId="77777777" w:rsidR="009260DE" w:rsidRPr="00C37DCA" w:rsidRDefault="009260DE" w:rsidP="009260DE">
      <w:pPr>
        <w:tabs>
          <w:tab w:val="left" w:pos="851"/>
        </w:tabs>
        <w:ind w:left="851" w:hanging="851"/>
        <w:rPr>
          <w:b/>
          <w:sz w:val="24"/>
          <w:szCs w:val="24"/>
        </w:rPr>
      </w:pPr>
      <w:r w:rsidRPr="00C37DCA">
        <w:rPr>
          <w:b/>
          <w:sz w:val="24"/>
          <w:szCs w:val="24"/>
        </w:rPr>
        <w:t>4.6</w:t>
      </w:r>
      <w:r w:rsidRPr="00C37DCA">
        <w:rPr>
          <w:b/>
          <w:sz w:val="24"/>
          <w:szCs w:val="24"/>
        </w:rPr>
        <w:tab/>
        <w:t>Graviditet og amning</w:t>
      </w:r>
    </w:p>
    <w:p w14:paraId="48369B01" w14:textId="77777777" w:rsidR="00DD336C" w:rsidRDefault="00DD336C" w:rsidP="00FB3A37">
      <w:pPr>
        <w:widowControl w:val="0"/>
        <w:autoSpaceDE w:val="0"/>
        <w:autoSpaceDN w:val="0"/>
        <w:adjustRightInd w:val="0"/>
        <w:rPr>
          <w:sz w:val="24"/>
          <w:szCs w:val="24"/>
          <w:u w:val="single"/>
        </w:rPr>
      </w:pPr>
    </w:p>
    <w:p w14:paraId="4A03C691" w14:textId="4E810F59" w:rsidR="00FB3A37" w:rsidRPr="00C37DCA" w:rsidRDefault="00FB3A37" w:rsidP="00DD336C">
      <w:pPr>
        <w:widowControl w:val="0"/>
        <w:autoSpaceDE w:val="0"/>
        <w:autoSpaceDN w:val="0"/>
        <w:adjustRightInd w:val="0"/>
        <w:ind w:left="851"/>
        <w:rPr>
          <w:sz w:val="24"/>
          <w:szCs w:val="24"/>
          <w:lang w:eastAsia="da-DK"/>
        </w:rPr>
      </w:pPr>
      <w:r w:rsidRPr="00C37DCA">
        <w:rPr>
          <w:sz w:val="24"/>
          <w:szCs w:val="24"/>
          <w:u w:val="single"/>
        </w:rPr>
        <w:t>Graviditet:</w:t>
      </w:r>
    </w:p>
    <w:p w14:paraId="0DE58B5C" w14:textId="77777777" w:rsidR="00FB3A37" w:rsidRPr="00C37DCA" w:rsidRDefault="00FB3A37" w:rsidP="00DD336C">
      <w:pPr>
        <w:ind w:left="851"/>
        <w:rPr>
          <w:sz w:val="24"/>
          <w:szCs w:val="24"/>
        </w:rPr>
      </w:pPr>
      <w:r w:rsidRPr="00C37DCA">
        <w:rPr>
          <w:sz w:val="24"/>
          <w:szCs w:val="24"/>
        </w:rPr>
        <w:t xml:space="preserve">Der er kun begrænsede tilgængelige data om sikkerheden ved behandling med </w:t>
      </w:r>
      <w:proofErr w:type="spellStart"/>
      <w:r w:rsidRPr="00C37DCA">
        <w:rPr>
          <w:sz w:val="24"/>
          <w:szCs w:val="24"/>
        </w:rPr>
        <w:t>fosfomycin</w:t>
      </w:r>
      <w:proofErr w:type="spellEnd"/>
      <w:r w:rsidRPr="00C37DCA">
        <w:rPr>
          <w:sz w:val="24"/>
          <w:szCs w:val="24"/>
        </w:rPr>
        <w:t xml:space="preserve"> i graviditetens 1. trimester (n=152). Disse data udløser hidtil ingen sikkerhedssignaler for </w:t>
      </w:r>
      <w:proofErr w:type="spellStart"/>
      <w:r w:rsidRPr="00C37DCA">
        <w:rPr>
          <w:sz w:val="24"/>
          <w:szCs w:val="24"/>
        </w:rPr>
        <w:t>teratogenicitet</w:t>
      </w:r>
      <w:proofErr w:type="spellEnd"/>
      <w:r w:rsidRPr="00C37DCA">
        <w:rPr>
          <w:sz w:val="24"/>
          <w:szCs w:val="24"/>
        </w:rPr>
        <w:t xml:space="preserve">. </w:t>
      </w:r>
      <w:proofErr w:type="spellStart"/>
      <w:r w:rsidRPr="00C37DCA">
        <w:rPr>
          <w:sz w:val="24"/>
          <w:szCs w:val="24"/>
        </w:rPr>
        <w:t>Fosfomycin</w:t>
      </w:r>
      <w:proofErr w:type="spellEnd"/>
      <w:r w:rsidRPr="00C37DCA">
        <w:rPr>
          <w:sz w:val="24"/>
          <w:szCs w:val="24"/>
        </w:rPr>
        <w:t xml:space="preserve"> krydser placenta.</w:t>
      </w:r>
    </w:p>
    <w:p w14:paraId="3A20045D" w14:textId="77777777" w:rsidR="00FB3A37" w:rsidRPr="00C37DCA" w:rsidRDefault="00FB3A37" w:rsidP="00DD336C">
      <w:pPr>
        <w:ind w:left="851"/>
        <w:rPr>
          <w:sz w:val="24"/>
          <w:szCs w:val="24"/>
        </w:rPr>
      </w:pPr>
    </w:p>
    <w:p w14:paraId="7954499C" w14:textId="77777777" w:rsidR="00FB3A37" w:rsidRPr="00C37DCA" w:rsidRDefault="00FB3A37" w:rsidP="00DD336C">
      <w:pPr>
        <w:ind w:left="851"/>
        <w:rPr>
          <w:sz w:val="24"/>
          <w:szCs w:val="24"/>
        </w:rPr>
      </w:pPr>
      <w:r w:rsidRPr="00C37DCA">
        <w:rPr>
          <w:sz w:val="24"/>
          <w:szCs w:val="24"/>
        </w:rPr>
        <w:t>Dyreforsøg indikerer hverken direkte eller indirekte skadelige virkninger hvad angår reproduktionstoksicitet (se pkt. 5.3).</w:t>
      </w:r>
    </w:p>
    <w:p w14:paraId="3198E01B" w14:textId="77777777" w:rsidR="00FB3A37" w:rsidRPr="00C37DCA" w:rsidRDefault="00FB3A37" w:rsidP="00DD336C">
      <w:pPr>
        <w:ind w:left="851"/>
        <w:rPr>
          <w:sz w:val="24"/>
          <w:szCs w:val="24"/>
        </w:rPr>
      </w:pPr>
    </w:p>
    <w:p w14:paraId="50DA3E27" w14:textId="77777777" w:rsidR="00FB3A37" w:rsidRPr="00C37DCA" w:rsidRDefault="00FB3A37" w:rsidP="00DD336C">
      <w:pPr>
        <w:ind w:left="851"/>
        <w:rPr>
          <w:sz w:val="24"/>
          <w:szCs w:val="24"/>
        </w:rPr>
      </w:pPr>
      <w:proofErr w:type="spellStart"/>
      <w:r w:rsidRPr="00C37DCA">
        <w:rPr>
          <w:sz w:val="24"/>
          <w:szCs w:val="24"/>
        </w:rPr>
        <w:t>Monurol</w:t>
      </w:r>
      <w:proofErr w:type="spellEnd"/>
      <w:r w:rsidRPr="00C37DCA">
        <w:rPr>
          <w:sz w:val="24"/>
          <w:szCs w:val="24"/>
        </w:rPr>
        <w:t xml:space="preserve"> bør kun anvendes under graviditet, hvis det er tvingende nødvendigt. </w:t>
      </w:r>
    </w:p>
    <w:p w14:paraId="5F8F4FE8" w14:textId="77777777" w:rsidR="00FB3A37" w:rsidRPr="00C37DCA" w:rsidRDefault="00FB3A37" w:rsidP="00DD336C">
      <w:pPr>
        <w:ind w:left="851"/>
        <w:rPr>
          <w:sz w:val="24"/>
          <w:szCs w:val="24"/>
        </w:rPr>
      </w:pPr>
    </w:p>
    <w:p w14:paraId="17F96D25" w14:textId="77777777" w:rsidR="00FB3A37" w:rsidRPr="00C37DCA" w:rsidRDefault="00FB3A37" w:rsidP="00DD336C">
      <w:pPr>
        <w:ind w:left="851"/>
        <w:rPr>
          <w:sz w:val="24"/>
          <w:szCs w:val="24"/>
        </w:rPr>
      </w:pPr>
      <w:r w:rsidRPr="00C37DCA">
        <w:rPr>
          <w:sz w:val="24"/>
          <w:szCs w:val="24"/>
          <w:u w:val="single"/>
        </w:rPr>
        <w:t>Amning:</w:t>
      </w:r>
    </w:p>
    <w:p w14:paraId="56DCF391" w14:textId="77777777" w:rsidR="00FB3A37" w:rsidRPr="00C37DCA" w:rsidRDefault="00FB3A37" w:rsidP="00DD336C">
      <w:pPr>
        <w:ind w:left="851"/>
        <w:rPr>
          <w:sz w:val="24"/>
          <w:szCs w:val="24"/>
        </w:rPr>
      </w:pPr>
      <w:proofErr w:type="spellStart"/>
      <w:r w:rsidRPr="00C37DCA">
        <w:rPr>
          <w:sz w:val="24"/>
          <w:szCs w:val="24"/>
        </w:rPr>
        <w:t>Fosfomycin</w:t>
      </w:r>
      <w:proofErr w:type="spellEnd"/>
      <w:r w:rsidRPr="00C37DCA">
        <w:rPr>
          <w:sz w:val="24"/>
          <w:szCs w:val="24"/>
        </w:rPr>
        <w:t xml:space="preserve"> udskilles i human mælk i små mængder. Hvis det er tvingende nødvendigt, kan en enkelt dosis oral </w:t>
      </w:r>
      <w:proofErr w:type="spellStart"/>
      <w:r w:rsidRPr="00C37DCA">
        <w:rPr>
          <w:sz w:val="24"/>
          <w:szCs w:val="24"/>
        </w:rPr>
        <w:t>fosfomycin</w:t>
      </w:r>
      <w:proofErr w:type="spellEnd"/>
      <w:r w:rsidRPr="00C37DCA">
        <w:rPr>
          <w:sz w:val="24"/>
          <w:szCs w:val="24"/>
        </w:rPr>
        <w:t xml:space="preserve"> anvendes under amning.</w:t>
      </w:r>
    </w:p>
    <w:p w14:paraId="7578D452" w14:textId="77777777" w:rsidR="00FB3A37" w:rsidRPr="00C37DCA" w:rsidRDefault="00FB3A37" w:rsidP="00DD336C">
      <w:pPr>
        <w:ind w:left="851"/>
        <w:rPr>
          <w:sz w:val="24"/>
          <w:szCs w:val="24"/>
        </w:rPr>
      </w:pPr>
    </w:p>
    <w:p w14:paraId="3776350B" w14:textId="77777777" w:rsidR="00FB3A37" w:rsidRPr="00C37DCA" w:rsidRDefault="00FB3A37" w:rsidP="00DD336C">
      <w:pPr>
        <w:widowControl w:val="0"/>
        <w:autoSpaceDE w:val="0"/>
        <w:autoSpaceDN w:val="0"/>
        <w:adjustRightInd w:val="0"/>
        <w:ind w:left="851"/>
        <w:rPr>
          <w:sz w:val="24"/>
          <w:szCs w:val="24"/>
        </w:rPr>
      </w:pPr>
      <w:r w:rsidRPr="00C37DCA">
        <w:rPr>
          <w:sz w:val="24"/>
          <w:szCs w:val="24"/>
          <w:u w:val="single"/>
        </w:rPr>
        <w:t>Fertilitet</w:t>
      </w:r>
    </w:p>
    <w:p w14:paraId="1BD743F5" w14:textId="4CDDA629" w:rsidR="009260DE" w:rsidRPr="00C37DCA" w:rsidRDefault="00FB3A37" w:rsidP="00DD336C">
      <w:pPr>
        <w:tabs>
          <w:tab w:val="left" w:pos="851"/>
        </w:tabs>
        <w:ind w:left="851"/>
        <w:rPr>
          <w:sz w:val="24"/>
          <w:szCs w:val="24"/>
        </w:rPr>
      </w:pPr>
      <w:r w:rsidRPr="00C37DCA">
        <w:rPr>
          <w:sz w:val="24"/>
          <w:szCs w:val="24"/>
        </w:rPr>
        <w:t xml:space="preserve">Der er ingen tilgængelige data hos mennesker. I han- og hunrotter påvirkede oral administration af </w:t>
      </w:r>
      <w:proofErr w:type="spellStart"/>
      <w:r w:rsidRPr="00C37DCA">
        <w:rPr>
          <w:sz w:val="24"/>
          <w:szCs w:val="24"/>
        </w:rPr>
        <w:t>fosfomycin</w:t>
      </w:r>
      <w:proofErr w:type="spellEnd"/>
      <w:r w:rsidRPr="00C37DCA">
        <w:rPr>
          <w:sz w:val="24"/>
          <w:szCs w:val="24"/>
        </w:rPr>
        <w:t xml:space="preserve"> op til 1000 mg/kg/dag ikke fertilitet.</w:t>
      </w:r>
    </w:p>
    <w:p w14:paraId="2C56C261" w14:textId="77777777" w:rsidR="009260DE" w:rsidRPr="00C37DCA" w:rsidRDefault="009260DE" w:rsidP="009260DE">
      <w:pPr>
        <w:tabs>
          <w:tab w:val="left" w:pos="851"/>
        </w:tabs>
        <w:ind w:left="851"/>
        <w:rPr>
          <w:sz w:val="24"/>
          <w:szCs w:val="24"/>
        </w:rPr>
      </w:pPr>
    </w:p>
    <w:p w14:paraId="176BDBCE" w14:textId="77777777" w:rsidR="009260DE" w:rsidRPr="00C37DCA" w:rsidRDefault="009260DE" w:rsidP="009260DE">
      <w:pPr>
        <w:tabs>
          <w:tab w:val="left" w:pos="851"/>
        </w:tabs>
        <w:ind w:left="851" w:hanging="851"/>
        <w:rPr>
          <w:b/>
          <w:sz w:val="24"/>
          <w:szCs w:val="24"/>
        </w:rPr>
      </w:pPr>
      <w:r w:rsidRPr="00C37DCA">
        <w:rPr>
          <w:b/>
          <w:sz w:val="24"/>
          <w:szCs w:val="24"/>
        </w:rPr>
        <w:t>4.7</w:t>
      </w:r>
      <w:r w:rsidRPr="00C37DCA">
        <w:rPr>
          <w:b/>
          <w:sz w:val="24"/>
          <w:szCs w:val="24"/>
        </w:rPr>
        <w:tab/>
        <w:t>Virkninger på evnen til at føre motorkøretøj eller betjene maskiner</w:t>
      </w:r>
    </w:p>
    <w:p w14:paraId="616032C7" w14:textId="77777777" w:rsidR="00C22E63" w:rsidRPr="00C37DCA" w:rsidRDefault="00C22E63" w:rsidP="00DD336C">
      <w:pPr>
        <w:ind w:left="851"/>
        <w:rPr>
          <w:sz w:val="24"/>
          <w:szCs w:val="24"/>
          <w:lang w:val="it-IT" w:eastAsia="da-DK"/>
        </w:rPr>
      </w:pPr>
      <w:r w:rsidRPr="00C37DCA">
        <w:rPr>
          <w:sz w:val="24"/>
          <w:szCs w:val="24"/>
          <w:lang w:val="it-IT"/>
        </w:rPr>
        <w:t>Ikke mærkning.</w:t>
      </w:r>
    </w:p>
    <w:p w14:paraId="1FDC3C23" w14:textId="1726E10B" w:rsidR="009260DE" w:rsidRPr="00C37DCA" w:rsidRDefault="00C22E63" w:rsidP="00DD336C">
      <w:pPr>
        <w:tabs>
          <w:tab w:val="left" w:pos="851"/>
        </w:tabs>
        <w:ind w:left="851"/>
        <w:rPr>
          <w:sz w:val="24"/>
          <w:szCs w:val="24"/>
        </w:rPr>
      </w:pPr>
      <w:r w:rsidRPr="00C37DCA">
        <w:rPr>
          <w:sz w:val="24"/>
          <w:szCs w:val="24"/>
        </w:rPr>
        <w:t>Der er ikke blevet udført nogen specifikke studier, men patienter bør informeres om, at svimmelhed er blevet rapporteret. Dette kan påvirke nogle patienters evne til at føre motorkøretøj og betjene maskiner (se pkt. 4.8).</w:t>
      </w:r>
    </w:p>
    <w:p w14:paraId="5EFBDD6F" w14:textId="77777777" w:rsidR="009260DE" w:rsidRPr="00C37DCA" w:rsidRDefault="009260DE" w:rsidP="009260DE">
      <w:pPr>
        <w:tabs>
          <w:tab w:val="left" w:pos="851"/>
        </w:tabs>
        <w:ind w:left="851"/>
        <w:rPr>
          <w:sz w:val="24"/>
          <w:szCs w:val="24"/>
        </w:rPr>
      </w:pPr>
    </w:p>
    <w:p w14:paraId="7F6AD98A" w14:textId="77777777" w:rsidR="009260DE" w:rsidRPr="00C37DCA" w:rsidRDefault="009260DE" w:rsidP="009260DE">
      <w:pPr>
        <w:tabs>
          <w:tab w:val="left" w:pos="851"/>
        </w:tabs>
        <w:ind w:left="851" w:hanging="851"/>
        <w:rPr>
          <w:b/>
          <w:sz w:val="24"/>
          <w:szCs w:val="24"/>
        </w:rPr>
      </w:pPr>
      <w:r w:rsidRPr="00C37DCA">
        <w:rPr>
          <w:b/>
          <w:sz w:val="24"/>
          <w:szCs w:val="24"/>
        </w:rPr>
        <w:t>4.8</w:t>
      </w:r>
      <w:r w:rsidRPr="00C37DCA">
        <w:rPr>
          <w:b/>
          <w:sz w:val="24"/>
          <w:szCs w:val="24"/>
        </w:rPr>
        <w:tab/>
        <w:t>Bivirkninger</w:t>
      </w:r>
    </w:p>
    <w:p w14:paraId="1E5681EF" w14:textId="77777777" w:rsidR="00DD336C" w:rsidRDefault="00DD336C" w:rsidP="00C22E63">
      <w:pPr>
        <w:rPr>
          <w:sz w:val="24"/>
          <w:szCs w:val="24"/>
          <w:u w:val="single"/>
        </w:rPr>
      </w:pPr>
    </w:p>
    <w:p w14:paraId="413D595B" w14:textId="1977A736" w:rsidR="00C22E63" w:rsidRPr="00C37DCA" w:rsidRDefault="00C22E63" w:rsidP="00DD336C">
      <w:pPr>
        <w:ind w:left="851"/>
        <w:rPr>
          <w:sz w:val="24"/>
          <w:szCs w:val="24"/>
          <w:u w:val="single"/>
          <w:lang w:eastAsia="da-DK"/>
        </w:rPr>
      </w:pPr>
      <w:r w:rsidRPr="00C37DCA">
        <w:rPr>
          <w:sz w:val="24"/>
          <w:szCs w:val="24"/>
          <w:u w:val="single"/>
        </w:rPr>
        <w:t>Sammenfatning af sikkerhedsprofilen</w:t>
      </w:r>
    </w:p>
    <w:p w14:paraId="6999BECA" w14:textId="77777777" w:rsidR="00C22E63" w:rsidRPr="00C37DCA" w:rsidRDefault="00C22E63" w:rsidP="00DD336C">
      <w:pPr>
        <w:ind w:left="851"/>
        <w:rPr>
          <w:sz w:val="24"/>
          <w:szCs w:val="24"/>
        </w:rPr>
      </w:pPr>
      <w:r w:rsidRPr="00C37DCA">
        <w:rPr>
          <w:sz w:val="24"/>
          <w:szCs w:val="24"/>
        </w:rPr>
        <w:t xml:space="preserve">De mest almindelige bivirkninger efter enkeltdosis administration af </w:t>
      </w:r>
      <w:proofErr w:type="spellStart"/>
      <w:r w:rsidRPr="00C37DCA">
        <w:rPr>
          <w:sz w:val="24"/>
          <w:szCs w:val="24"/>
        </w:rPr>
        <w:t>fosfomycin</w:t>
      </w:r>
      <w:proofErr w:type="spellEnd"/>
      <w:r w:rsidRPr="00C37DCA">
        <w:rPr>
          <w:sz w:val="24"/>
          <w:szCs w:val="24"/>
        </w:rPr>
        <w:t xml:space="preserve"> trometamol involverer mave-tarm-kanalen, hovedsageligt diarré. Disse hændelser er sædvanligvis selvbegrænsende i varighed og forsvinder spontant.</w:t>
      </w:r>
    </w:p>
    <w:p w14:paraId="4A393734" w14:textId="77777777" w:rsidR="00C22E63" w:rsidRPr="00C37DCA" w:rsidRDefault="00C22E63" w:rsidP="00DD336C">
      <w:pPr>
        <w:ind w:left="851"/>
        <w:rPr>
          <w:sz w:val="24"/>
          <w:szCs w:val="24"/>
        </w:rPr>
      </w:pPr>
    </w:p>
    <w:p w14:paraId="1007AE58" w14:textId="77777777" w:rsidR="00C22E63" w:rsidRPr="00C37DCA" w:rsidRDefault="00C22E63" w:rsidP="00DD336C">
      <w:pPr>
        <w:ind w:left="851"/>
        <w:rPr>
          <w:sz w:val="24"/>
          <w:szCs w:val="24"/>
        </w:rPr>
      </w:pPr>
      <w:r w:rsidRPr="00C37DCA">
        <w:rPr>
          <w:sz w:val="24"/>
          <w:szCs w:val="24"/>
          <w:u w:val="single"/>
        </w:rPr>
        <w:t>Tabel over bivirkninger</w:t>
      </w:r>
    </w:p>
    <w:p w14:paraId="11B82164" w14:textId="77777777" w:rsidR="00C22E63" w:rsidRPr="00C37DCA" w:rsidRDefault="00C22E63" w:rsidP="00DD336C">
      <w:pPr>
        <w:ind w:left="851"/>
        <w:rPr>
          <w:sz w:val="24"/>
          <w:szCs w:val="24"/>
        </w:rPr>
      </w:pPr>
      <w:r w:rsidRPr="00C37DCA">
        <w:rPr>
          <w:sz w:val="24"/>
          <w:szCs w:val="24"/>
        </w:rPr>
        <w:t xml:space="preserve">Følgende tabel viser bivirkninger, der er rapporteret med brug af </w:t>
      </w:r>
      <w:proofErr w:type="spellStart"/>
      <w:r w:rsidRPr="00C37DCA">
        <w:rPr>
          <w:sz w:val="24"/>
          <w:szCs w:val="24"/>
        </w:rPr>
        <w:t>fosfomycin</w:t>
      </w:r>
      <w:proofErr w:type="spellEnd"/>
      <w:r w:rsidRPr="00C37DCA">
        <w:rPr>
          <w:sz w:val="24"/>
          <w:szCs w:val="24"/>
        </w:rPr>
        <w:t xml:space="preserve"> trometamol fra enten kliniske forsøg eller erfaringer efter markedsføringen.</w:t>
      </w:r>
    </w:p>
    <w:p w14:paraId="5FE5AE60" w14:textId="77777777" w:rsidR="00C22E63" w:rsidRPr="00C37DCA" w:rsidRDefault="00C22E63" w:rsidP="00DD336C">
      <w:pPr>
        <w:ind w:left="851"/>
        <w:rPr>
          <w:sz w:val="24"/>
          <w:szCs w:val="24"/>
        </w:rPr>
      </w:pPr>
    </w:p>
    <w:p w14:paraId="095F89CC" w14:textId="77777777" w:rsidR="00C22E63" w:rsidRPr="00C37DCA" w:rsidRDefault="00C22E63" w:rsidP="00DD336C">
      <w:pPr>
        <w:ind w:left="851"/>
        <w:rPr>
          <w:sz w:val="24"/>
          <w:szCs w:val="24"/>
        </w:rPr>
      </w:pPr>
      <w:r w:rsidRPr="00C37DCA">
        <w:rPr>
          <w:sz w:val="24"/>
          <w:szCs w:val="24"/>
          <w:u w:val="single"/>
        </w:rPr>
        <w:t>Bivirkninger er angivet efter systemorganklasse og hyppighed ved brug af følgende konvention:</w:t>
      </w:r>
    </w:p>
    <w:p w14:paraId="31360052" w14:textId="77777777" w:rsidR="00C22E63" w:rsidRPr="00C37DCA" w:rsidRDefault="00C22E63" w:rsidP="00DD336C">
      <w:pPr>
        <w:ind w:left="851"/>
        <w:rPr>
          <w:sz w:val="24"/>
          <w:szCs w:val="24"/>
        </w:rPr>
      </w:pPr>
      <w:r w:rsidRPr="00C37DCA">
        <w:rPr>
          <w:sz w:val="24"/>
          <w:szCs w:val="24"/>
        </w:rPr>
        <w:t>Meget almindelig (≥ 1/10); almindelig (≥ 1/100 til &lt;1/10); ikke almindelig (≥ 1 / 1.000 til &lt;1/100); sjælden (≥ 1 / 10.000 til &lt;1 / 1.000); meget sjælden (&lt;1 / 10.000), ikke kendt (kan ikke estimeres ud fra forhåndenværende data).</w:t>
      </w:r>
    </w:p>
    <w:p w14:paraId="41288AC1" w14:textId="7FB71FE1" w:rsidR="009260DE" w:rsidRPr="00C37DCA" w:rsidRDefault="009260DE" w:rsidP="00DD336C">
      <w:pPr>
        <w:tabs>
          <w:tab w:val="left" w:pos="851"/>
        </w:tabs>
        <w:ind w:left="851"/>
        <w:rPr>
          <w:sz w:val="24"/>
          <w:szCs w:val="24"/>
        </w:rPr>
      </w:pPr>
    </w:p>
    <w:p w14:paraId="2F4EEFA1" w14:textId="5AA05109" w:rsidR="00C22E63" w:rsidRPr="00C37DCA" w:rsidRDefault="00C22E63" w:rsidP="00DD336C">
      <w:pPr>
        <w:tabs>
          <w:tab w:val="left" w:pos="851"/>
        </w:tabs>
        <w:ind w:left="851"/>
        <w:rPr>
          <w:sz w:val="24"/>
          <w:szCs w:val="24"/>
        </w:rPr>
      </w:pPr>
      <w:r w:rsidRPr="00C37DCA">
        <w:rPr>
          <w:sz w:val="24"/>
          <w:szCs w:val="24"/>
        </w:rPr>
        <w:t>Inden for hver hyppighedsgruppering vises bivirkninger efter aftagende sværhedsgrad.</w:t>
      </w:r>
    </w:p>
    <w:p w14:paraId="5351A8CD" w14:textId="7EC594D7" w:rsidR="00C22E63" w:rsidRPr="00C37DCA" w:rsidRDefault="00C22E63" w:rsidP="009260DE">
      <w:pPr>
        <w:tabs>
          <w:tab w:val="left" w:pos="851"/>
        </w:tabs>
        <w:ind w:left="851"/>
        <w:rPr>
          <w:sz w:val="24"/>
          <w:szCs w:val="24"/>
        </w:rPr>
      </w:pPr>
    </w:p>
    <w:tbl>
      <w:tblPr>
        <w:tblStyle w:val="Tabel-Gitter"/>
        <w:tblW w:w="5000" w:type="pct"/>
        <w:tblInd w:w="0" w:type="dxa"/>
        <w:tblLook w:val="04A0" w:firstRow="1" w:lastRow="0" w:firstColumn="1" w:lastColumn="0" w:noHBand="0" w:noVBand="1"/>
      </w:tblPr>
      <w:tblGrid>
        <w:gridCol w:w="2424"/>
        <w:gridCol w:w="2405"/>
        <w:gridCol w:w="2390"/>
        <w:gridCol w:w="2409"/>
      </w:tblGrid>
      <w:tr w:rsidR="008458B8" w:rsidRPr="008458B8" w14:paraId="0992E4A6" w14:textId="77777777" w:rsidTr="008458B8">
        <w:tc>
          <w:tcPr>
            <w:tcW w:w="1259" w:type="pct"/>
            <w:tcBorders>
              <w:top w:val="single" w:sz="4" w:space="0" w:color="auto"/>
              <w:left w:val="single" w:sz="4" w:space="0" w:color="auto"/>
              <w:bottom w:val="single" w:sz="4" w:space="0" w:color="auto"/>
              <w:right w:val="single" w:sz="4" w:space="0" w:color="auto"/>
            </w:tcBorders>
            <w:hideMark/>
          </w:tcPr>
          <w:p w14:paraId="7168F4D3" w14:textId="77777777" w:rsidR="008458B8" w:rsidRPr="008458B8" w:rsidRDefault="008458B8">
            <w:pPr>
              <w:rPr>
                <w:b/>
                <w:sz w:val="24"/>
                <w:szCs w:val="24"/>
                <w:lang w:eastAsia="da-DK"/>
              </w:rPr>
            </w:pPr>
            <w:r w:rsidRPr="008458B8">
              <w:rPr>
                <w:b/>
                <w:sz w:val="24"/>
                <w:szCs w:val="24"/>
              </w:rPr>
              <w:t>Systemorganklasse</w:t>
            </w:r>
          </w:p>
        </w:tc>
        <w:tc>
          <w:tcPr>
            <w:tcW w:w="3741" w:type="pct"/>
            <w:gridSpan w:val="3"/>
            <w:tcBorders>
              <w:top w:val="single" w:sz="4" w:space="0" w:color="auto"/>
              <w:left w:val="single" w:sz="4" w:space="0" w:color="auto"/>
              <w:bottom w:val="single" w:sz="4" w:space="0" w:color="auto"/>
              <w:right w:val="single" w:sz="4" w:space="0" w:color="auto"/>
            </w:tcBorders>
            <w:hideMark/>
          </w:tcPr>
          <w:p w14:paraId="13DC681D" w14:textId="3A5BF730" w:rsidR="008458B8" w:rsidRPr="008458B8" w:rsidRDefault="008458B8">
            <w:pPr>
              <w:rPr>
                <w:b/>
                <w:sz w:val="24"/>
                <w:szCs w:val="24"/>
              </w:rPr>
            </w:pPr>
            <w:r w:rsidRPr="008458B8">
              <w:rPr>
                <w:b/>
                <w:sz w:val="24"/>
                <w:szCs w:val="24"/>
              </w:rPr>
              <w:t>Bivirkninger</w:t>
            </w:r>
          </w:p>
        </w:tc>
      </w:tr>
      <w:tr w:rsidR="00C22E63" w:rsidRPr="008458B8" w14:paraId="33B47516" w14:textId="77777777" w:rsidTr="008458B8">
        <w:tc>
          <w:tcPr>
            <w:tcW w:w="1259" w:type="pct"/>
            <w:tcBorders>
              <w:top w:val="single" w:sz="4" w:space="0" w:color="auto"/>
              <w:left w:val="single" w:sz="4" w:space="0" w:color="auto"/>
              <w:bottom w:val="single" w:sz="4" w:space="0" w:color="auto"/>
              <w:right w:val="single" w:sz="4" w:space="0" w:color="auto"/>
            </w:tcBorders>
          </w:tcPr>
          <w:p w14:paraId="635A6C0D" w14:textId="77777777" w:rsidR="00C22E63" w:rsidRPr="008458B8" w:rsidRDefault="00C22E63">
            <w:pPr>
              <w:rPr>
                <w:b/>
                <w:sz w:val="24"/>
                <w:szCs w:val="24"/>
              </w:rPr>
            </w:pPr>
          </w:p>
        </w:tc>
        <w:tc>
          <w:tcPr>
            <w:tcW w:w="1249" w:type="pct"/>
            <w:tcBorders>
              <w:top w:val="single" w:sz="4" w:space="0" w:color="auto"/>
              <w:left w:val="single" w:sz="4" w:space="0" w:color="auto"/>
              <w:bottom w:val="single" w:sz="4" w:space="0" w:color="auto"/>
              <w:right w:val="single" w:sz="4" w:space="0" w:color="auto"/>
            </w:tcBorders>
            <w:hideMark/>
          </w:tcPr>
          <w:p w14:paraId="1EF00DF5" w14:textId="77777777" w:rsidR="00C22E63" w:rsidRPr="008458B8" w:rsidRDefault="00C22E63">
            <w:pPr>
              <w:rPr>
                <w:b/>
                <w:sz w:val="24"/>
                <w:szCs w:val="24"/>
              </w:rPr>
            </w:pPr>
            <w:r w:rsidRPr="008458B8">
              <w:rPr>
                <w:b/>
                <w:sz w:val="24"/>
                <w:szCs w:val="24"/>
              </w:rPr>
              <w:t>Almindelig</w:t>
            </w:r>
          </w:p>
        </w:tc>
        <w:tc>
          <w:tcPr>
            <w:tcW w:w="1241" w:type="pct"/>
            <w:tcBorders>
              <w:top w:val="single" w:sz="4" w:space="0" w:color="auto"/>
              <w:left w:val="single" w:sz="4" w:space="0" w:color="auto"/>
              <w:bottom w:val="single" w:sz="4" w:space="0" w:color="auto"/>
              <w:right w:val="single" w:sz="4" w:space="0" w:color="auto"/>
            </w:tcBorders>
            <w:hideMark/>
          </w:tcPr>
          <w:p w14:paraId="7A5444AB" w14:textId="77777777" w:rsidR="00C22E63" w:rsidRPr="008458B8" w:rsidRDefault="00C22E63">
            <w:pPr>
              <w:rPr>
                <w:b/>
                <w:sz w:val="24"/>
                <w:szCs w:val="24"/>
              </w:rPr>
            </w:pPr>
            <w:r w:rsidRPr="008458B8">
              <w:rPr>
                <w:b/>
                <w:sz w:val="24"/>
                <w:szCs w:val="24"/>
              </w:rPr>
              <w:t>Ikke almindelig</w:t>
            </w:r>
          </w:p>
        </w:tc>
        <w:tc>
          <w:tcPr>
            <w:tcW w:w="1250" w:type="pct"/>
            <w:tcBorders>
              <w:top w:val="single" w:sz="4" w:space="0" w:color="auto"/>
              <w:left w:val="single" w:sz="4" w:space="0" w:color="auto"/>
              <w:bottom w:val="single" w:sz="4" w:space="0" w:color="auto"/>
              <w:right w:val="single" w:sz="4" w:space="0" w:color="auto"/>
            </w:tcBorders>
            <w:hideMark/>
          </w:tcPr>
          <w:p w14:paraId="0DDB5E11" w14:textId="77777777" w:rsidR="00C22E63" w:rsidRPr="008458B8" w:rsidRDefault="00C22E63">
            <w:pPr>
              <w:rPr>
                <w:b/>
                <w:sz w:val="24"/>
                <w:szCs w:val="24"/>
              </w:rPr>
            </w:pPr>
            <w:r w:rsidRPr="008458B8">
              <w:rPr>
                <w:b/>
                <w:sz w:val="24"/>
                <w:szCs w:val="24"/>
              </w:rPr>
              <w:t>Ikke kendt</w:t>
            </w:r>
          </w:p>
        </w:tc>
      </w:tr>
      <w:tr w:rsidR="00C22E63" w:rsidRPr="00C37DCA" w14:paraId="76D64B13" w14:textId="77777777" w:rsidTr="008458B8">
        <w:tc>
          <w:tcPr>
            <w:tcW w:w="1259" w:type="pct"/>
            <w:tcBorders>
              <w:top w:val="single" w:sz="4" w:space="0" w:color="auto"/>
              <w:left w:val="single" w:sz="4" w:space="0" w:color="auto"/>
              <w:bottom w:val="single" w:sz="4" w:space="0" w:color="auto"/>
              <w:right w:val="single" w:sz="4" w:space="0" w:color="auto"/>
            </w:tcBorders>
            <w:hideMark/>
          </w:tcPr>
          <w:p w14:paraId="2CFCAEB3" w14:textId="77777777" w:rsidR="00C22E63" w:rsidRPr="00C37DCA" w:rsidRDefault="00C22E63">
            <w:pPr>
              <w:rPr>
                <w:sz w:val="24"/>
                <w:szCs w:val="24"/>
              </w:rPr>
            </w:pPr>
            <w:r w:rsidRPr="00C37DCA">
              <w:rPr>
                <w:sz w:val="24"/>
                <w:szCs w:val="24"/>
              </w:rPr>
              <w:t>Infektioner og parasitære sygdomme</w:t>
            </w:r>
          </w:p>
        </w:tc>
        <w:tc>
          <w:tcPr>
            <w:tcW w:w="1249" w:type="pct"/>
            <w:tcBorders>
              <w:top w:val="single" w:sz="4" w:space="0" w:color="auto"/>
              <w:left w:val="single" w:sz="4" w:space="0" w:color="auto"/>
              <w:bottom w:val="single" w:sz="4" w:space="0" w:color="auto"/>
              <w:right w:val="single" w:sz="4" w:space="0" w:color="auto"/>
            </w:tcBorders>
            <w:hideMark/>
          </w:tcPr>
          <w:p w14:paraId="74C6DD78" w14:textId="77777777" w:rsidR="00C22E63" w:rsidRPr="00C37DCA" w:rsidRDefault="00C22E63">
            <w:pPr>
              <w:rPr>
                <w:sz w:val="24"/>
                <w:szCs w:val="24"/>
              </w:rPr>
            </w:pPr>
            <w:proofErr w:type="spellStart"/>
            <w:r w:rsidRPr="00C37DCA">
              <w:rPr>
                <w:sz w:val="24"/>
                <w:szCs w:val="24"/>
              </w:rPr>
              <w:t>Vulvovaginitis</w:t>
            </w:r>
            <w:proofErr w:type="spellEnd"/>
          </w:p>
        </w:tc>
        <w:tc>
          <w:tcPr>
            <w:tcW w:w="1241" w:type="pct"/>
            <w:tcBorders>
              <w:top w:val="single" w:sz="4" w:space="0" w:color="auto"/>
              <w:left w:val="single" w:sz="4" w:space="0" w:color="auto"/>
              <w:bottom w:val="single" w:sz="4" w:space="0" w:color="auto"/>
              <w:right w:val="single" w:sz="4" w:space="0" w:color="auto"/>
            </w:tcBorders>
          </w:tcPr>
          <w:p w14:paraId="0C2B39A3" w14:textId="77777777" w:rsidR="00C22E63" w:rsidRPr="00C37DCA" w:rsidRDefault="00C22E63">
            <w:pPr>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714ECB33" w14:textId="77777777" w:rsidR="00C22E63" w:rsidRPr="00C37DCA" w:rsidRDefault="00C22E63">
            <w:pPr>
              <w:rPr>
                <w:sz w:val="24"/>
                <w:szCs w:val="24"/>
              </w:rPr>
            </w:pPr>
          </w:p>
        </w:tc>
      </w:tr>
      <w:tr w:rsidR="00C22E63" w:rsidRPr="00C37DCA" w14:paraId="1C4F9FDA" w14:textId="77777777" w:rsidTr="008458B8">
        <w:tc>
          <w:tcPr>
            <w:tcW w:w="1259" w:type="pct"/>
            <w:tcBorders>
              <w:top w:val="single" w:sz="4" w:space="0" w:color="auto"/>
              <w:left w:val="single" w:sz="4" w:space="0" w:color="auto"/>
              <w:bottom w:val="single" w:sz="4" w:space="0" w:color="auto"/>
              <w:right w:val="single" w:sz="4" w:space="0" w:color="auto"/>
            </w:tcBorders>
            <w:hideMark/>
          </w:tcPr>
          <w:p w14:paraId="160B194E" w14:textId="77777777" w:rsidR="00C22E63" w:rsidRPr="00C37DCA" w:rsidRDefault="00C22E63">
            <w:pPr>
              <w:rPr>
                <w:sz w:val="24"/>
                <w:szCs w:val="24"/>
              </w:rPr>
            </w:pPr>
            <w:r w:rsidRPr="00C37DCA">
              <w:rPr>
                <w:sz w:val="24"/>
                <w:szCs w:val="24"/>
              </w:rPr>
              <w:t>Immunsystemet</w:t>
            </w:r>
          </w:p>
        </w:tc>
        <w:tc>
          <w:tcPr>
            <w:tcW w:w="1249" w:type="pct"/>
            <w:tcBorders>
              <w:top w:val="single" w:sz="4" w:space="0" w:color="auto"/>
              <w:left w:val="single" w:sz="4" w:space="0" w:color="auto"/>
              <w:bottom w:val="single" w:sz="4" w:space="0" w:color="auto"/>
              <w:right w:val="single" w:sz="4" w:space="0" w:color="auto"/>
            </w:tcBorders>
          </w:tcPr>
          <w:p w14:paraId="42D6937C" w14:textId="77777777" w:rsidR="00C22E63" w:rsidRPr="00C37DCA" w:rsidRDefault="00C22E63">
            <w:pPr>
              <w:rPr>
                <w:sz w:val="24"/>
                <w:szCs w:val="24"/>
              </w:rPr>
            </w:pPr>
          </w:p>
        </w:tc>
        <w:tc>
          <w:tcPr>
            <w:tcW w:w="1241" w:type="pct"/>
            <w:tcBorders>
              <w:top w:val="single" w:sz="4" w:space="0" w:color="auto"/>
              <w:left w:val="single" w:sz="4" w:space="0" w:color="auto"/>
              <w:bottom w:val="single" w:sz="4" w:space="0" w:color="auto"/>
              <w:right w:val="single" w:sz="4" w:space="0" w:color="auto"/>
            </w:tcBorders>
          </w:tcPr>
          <w:p w14:paraId="3CE4E732" w14:textId="77777777" w:rsidR="00C22E63" w:rsidRPr="00C37DCA" w:rsidRDefault="00C22E63">
            <w:pPr>
              <w:rPr>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14:paraId="34863943" w14:textId="77777777" w:rsidR="00C22E63" w:rsidRPr="00C37DCA" w:rsidRDefault="00C22E63">
            <w:pPr>
              <w:rPr>
                <w:sz w:val="24"/>
                <w:szCs w:val="24"/>
              </w:rPr>
            </w:pPr>
            <w:proofErr w:type="spellStart"/>
            <w:r w:rsidRPr="00C37DCA">
              <w:rPr>
                <w:sz w:val="24"/>
                <w:szCs w:val="24"/>
              </w:rPr>
              <w:t>Anafylaktiske</w:t>
            </w:r>
            <w:proofErr w:type="spellEnd"/>
            <w:r w:rsidRPr="00C37DCA">
              <w:rPr>
                <w:sz w:val="24"/>
                <w:szCs w:val="24"/>
              </w:rPr>
              <w:t xml:space="preserve"> reaktioner, herunder </w:t>
            </w:r>
            <w:proofErr w:type="spellStart"/>
            <w:r w:rsidRPr="00C37DCA">
              <w:rPr>
                <w:sz w:val="24"/>
                <w:szCs w:val="24"/>
              </w:rPr>
              <w:t>anafylaktisk</w:t>
            </w:r>
            <w:proofErr w:type="spellEnd"/>
            <w:r w:rsidRPr="00C37DCA">
              <w:rPr>
                <w:sz w:val="24"/>
                <w:szCs w:val="24"/>
              </w:rPr>
              <w:t xml:space="preserve"> chok, overfølsomhed (se pkt. 4.4)</w:t>
            </w:r>
          </w:p>
        </w:tc>
      </w:tr>
      <w:tr w:rsidR="00C22E63" w:rsidRPr="00C37DCA" w14:paraId="7E5BCF43" w14:textId="77777777" w:rsidTr="008458B8">
        <w:tc>
          <w:tcPr>
            <w:tcW w:w="1259" w:type="pct"/>
            <w:tcBorders>
              <w:top w:val="single" w:sz="4" w:space="0" w:color="auto"/>
              <w:left w:val="single" w:sz="4" w:space="0" w:color="auto"/>
              <w:bottom w:val="single" w:sz="4" w:space="0" w:color="auto"/>
              <w:right w:val="single" w:sz="4" w:space="0" w:color="auto"/>
            </w:tcBorders>
            <w:hideMark/>
          </w:tcPr>
          <w:p w14:paraId="35B41FE0" w14:textId="77777777" w:rsidR="00C22E63" w:rsidRPr="00C37DCA" w:rsidRDefault="00C22E63">
            <w:pPr>
              <w:rPr>
                <w:sz w:val="24"/>
                <w:szCs w:val="24"/>
              </w:rPr>
            </w:pPr>
            <w:r w:rsidRPr="00C37DCA">
              <w:rPr>
                <w:sz w:val="24"/>
                <w:szCs w:val="24"/>
              </w:rPr>
              <w:t>Nervesystemet</w:t>
            </w:r>
          </w:p>
        </w:tc>
        <w:tc>
          <w:tcPr>
            <w:tcW w:w="1249" w:type="pct"/>
            <w:tcBorders>
              <w:top w:val="single" w:sz="4" w:space="0" w:color="auto"/>
              <w:left w:val="single" w:sz="4" w:space="0" w:color="auto"/>
              <w:bottom w:val="single" w:sz="4" w:space="0" w:color="auto"/>
              <w:right w:val="single" w:sz="4" w:space="0" w:color="auto"/>
            </w:tcBorders>
            <w:hideMark/>
          </w:tcPr>
          <w:p w14:paraId="5A379842" w14:textId="77777777" w:rsidR="00C22E63" w:rsidRPr="00C37DCA" w:rsidRDefault="00C22E63">
            <w:pPr>
              <w:rPr>
                <w:sz w:val="24"/>
                <w:szCs w:val="24"/>
              </w:rPr>
            </w:pPr>
            <w:r w:rsidRPr="00C37DCA">
              <w:rPr>
                <w:sz w:val="24"/>
                <w:szCs w:val="24"/>
              </w:rPr>
              <w:t xml:space="preserve">Hovedpine, </w:t>
            </w:r>
            <w:proofErr w:type="spellStart"/>
            <w:r w:rsidRPr="00C37DCA">
              <w:rPr>
                <w:sz w:val="24"/>
                <w:szCs w:val="24"/>
              </w:rPr>
              <w:t>svimmelh</w:t>
            </w:r>
            <w:proofErr w:type="spellEnd"/>
            <w:r w:rsidRPr="00C37DCA">
              <w:rPr>
                <w:sz w:val="24"/>
                <w:szCs w:val="24"/>
                <w:lang w:val="sk-SK"/>
              </w:rPr>
              <w:t>ed</w:t>
            </w:r>
          </w:p>
        </w:tc>
        <w:tc>
          <w:tcPr>
            <w:tcW w:w="1241" w:type="pct"/>
            <w:tcBorders>
              <w:top w:val="single" w:sz="4" w:space="0" w:color="auto"/>
              <w:left w:val="single" w:sz="4" w:space="0" w:color="auto"/>
              <w:bottom w:val="single" w:sz="4" w:space="0" w:color="auto"/>
              <w:right w:val="single" w:sz="4" w:space="0" w:color="auto"/>
            </w:tcBorders>
          </w:tcPr>
          <w:p w14:paraId="21D90B8C" w14:textId="77777777" w:rsidR="00C22E63" w:rsidRPr="00C37DCA" w:rsidRDefault="00C22E63">
            <w:pPr>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1E9CBF18" w14:textId="77777777" w:rsidR="00C22E63" w:rsidRPr="00C37DCA" w:rsidRDefault="00C22E63">
            <w:pPr>
              <w:rPr>
                <w:sz w:val="24"/>
                <w:szCs w:val="24"/>
              </w:rPr>
            </w:pPr>
          </w:p>
        </w:tc>
      </w:tr>
      <w:tr w:rsidR="00C22E63" w:rsidRPr="00C37DCA" w14:paraId="04725AA9" w14:textId="77777777" w:rsidTr="008458B8">
        <w:tc>
          <w:tcPr>
            <w:tcW w:w="1259" w:type="pct"/>
            <w:tcBorders>
              <w:top w:val="single" w:sz="4" w:space="0" w:color="auto"/>
              <w:left w:val="single" w:sz="4" w:space="0" w:color="auto"/>
              <w:bottom w:val="single" w:sz="4" w:space="0" w:color="auto"/>
              <w:right w:val="single" w:sz="4" w:space="0" w:color="auto"/>
            </w:tcBorders>
            <w:hideMark/>
          </w:tcPr>
          <w:p w14:paraId="232B2B7D" w14:textId="77777777" w:rsidR="00C22E63" w:rsidRPr="00C37DCA" w:rsidRDefault="00C22E63">
            <w:pPr>
              <w:rPr>
                <w:sz w:val="24"/>
                <w:szCs w:val="24"/>
              </w:rPr>
            </w:pPr>
            <w:r w:rsidRPr="00C37DCA">
              <w:rPr>
                <w:sz w:val="24"/>
                <w:szCs w:val="24"/>
              </w:rPr>
              <w:t>Mave-tarm-kanalen</w:t>
            </w:r>
          </w:p>
        </w:tc>
        <w:tc>
          <w:tcPr>
            <w:tcW w:w="1249" w:type="pct"/>
            <w:tcBorders>
              <w:top w:val="single" w:sz="4" w:space="0" w:color="auto"/>
              <w:left w:val="single" w:sz="4" w:space="0" w:color="auto"/>
              <w:bottom w:val="single" w:sz="4" w:space="0" w:color="auto"/>
              <w:right w:val="single" w:sz="4" w:space="0" w:color="auto"/>
            </w:tcBorders>
            <w:hideMark/>
          </w:tcPr>
          <w:p w14:paraId="4A300E7C" w14:textId="7526B6B0" w:rsidR="00C22E63" w:rsidRPr="00C37DCA" w:rsidRDefault="00C22E63">
            <w:pPr>
              <w:rPr>
                <w:sz w:val="24"/>
                <w:szCs w:val="24"/>
              </w:rPr>
            </w:pPr>
            <w:r w:rsidRPr="00C37DCA">
              <w:rPr>
                <w:sz w:val="24"/>
                <w:szCs w:val="24"/>
              </w:rPr>
              <w:t>Diarré,</w:t>
            </w:r>
            <w:r w:rsidR="008458B8">
              <w:rPr>
                <w:sz w:val="24"/>
                <w:szCs w:val="24"/>
              </w:rPr>
              <w:t xml:space="preserve"> </w:t>
            </w:r>
            <w:r w:rsidRPr="00C37DCA">
              <w:rPr>
                <w:sz w:val="24"/>
                <w:szCs w:val="24"/>
              </w:rPr>
              <w:t>kvalme, dyspepsi, mavesmerter</w:t>
            </w:r>
          </w:p>
        </w:tc>
        <w:tc>
          <w:tcPr>
            <w:tcW w:w="1241" w:type="pct"/>
            <w:tcBorders>
              <w:top w:val="single" w:sz="4" w:space="0" w:color="auto"/>
              <w:left w:val="single" w:sz="4" w:space="0" w:color="auto"/>
              <w:bottom w:val="single" w:sz="4" w:space="0" w:color="auto"/>
              <w:right w:val="single" w:sz="4" w:space="0" w:color="auto"/>
            </w:tcBorders>
            <w:hideMark/>
          </w:tcPr>
          <w:p w14:paraId="30A88E1A" w14:textId="77777777" w:rsidR="00C22E63" w:rsidRPr="00C37DCA" w:rsidRDefault="00C22E63">
            <w:pPr>
              <w:rPr>
                <w:sz w:val="24"/>
                <w:szCs w:val="24"/>
              </w:rPr>
            </w:pPr>
            <w:r w:rsidRPr="00C37DCA">
              <w:rPr>
                <w:sz w:val="24"/>
                <w:szCs w:val="24"/>
              </w:rPr>
              <w:t>Opkastning</w:t>
            </w:r>
          </w:p>
        </w:tc>
        <w:tc>
          <w:tcPr>
            <w:tcW w:w="1250" w:type="pct"/>
            <w:tcBorders>
              <w:top w:val="single" w:sz="4" w:space="0" w:color="auto"/>
              <w:left w:val="single" w:sz="4" w:space="0" w:color="auto"/>
              <w:bottom w:val="single" w:sz="4" w:space="0" w:color="auto"/>
              <w:right w:val="single" w:sz="4" w:space="0" w:color="auto"/>
            </w:tcBorders>
            <w:hideMark/>
          </w:tcPr>
          <w:p w14:paraId="4D605A3B" w14:textId="77777777" w:rsidR="00C22E63" w:rsidRPr="00C37DCA" w:rsidRDefault="00C22E63">
            <w:pPr>
              <w:rPr>
                <w:sz w:val="24"/>
                <w:szCs w:val="24"/>
              </w:rPr>
            </w:pPr>
            <w:r w:rsidRPr="00C37DCA">
              <w:rPr>
                <w:sz w:val="24"/>
                <w:szCs w:val="24"/>
              </w:rPr>
              <w:t xml:space="preserve">Antibiotika-associeret </w:t>
            </w:r>
            <w:proofErr w:type="spellStart"/>
            <w:r w:rsidRPr="00C37DCA">
              <w:rPr>
                <w:sz w:val="24"/>
                <w:szCs w:val="24"/>
              </w:rPr>
              <w:t>kolitis</w:t>
            </w:r>
            <w:proofErr w:type="spellEnd"/>
            <w:r w:rsidRPr="00C37DCA">
              <w:rPr>
                <w:sz w:val="24"/>
                <w:szCs w:val="24"/>
              </w:rPr>
              <w:t xml:space="preserve"> (se pkt. 4.4)</w:t>
            </w:r>
          </w:p>
        </w:tc>
      </w:tr>
      <w:tr w:rsidR="00C22E63" w:rsidRPr="00C37DCA" w14:paraId="35CD3692" w14:textId="77777777" w:rsidTr="008458B8">
        <w:tc>
          <w:tcPr>
            <w:tcW w:w="1259" w:type="pct"/>
            <w:tcBorders>
              <w:top w:val="single" w:sz="4" w:space="0" w:color="auto"/>
              <w:left w:val="single" w:sz="4" w:space="0" w:color="auto"/>
              <w:bottom w:val="single" w:sz="4" w:space="0" w:color="auto"/>
              <w:right w:val="single" w:sz="4" w:space="0" w:color="auto"/>
            </w:tcBorders>
            <w:hideMark/>
          </w:tcPr>
          <w:p w14:paraId="320CB4FA" w14:textId="77777777" w:rsidR="00C22E63" w:rsidRPr="00C37DCA" w:rsidRDefault="00C22E63">
            <w:pPr>
              <w:rPr>
                <w:sz w:val="24"/>
                <w:szCs w:val="24"/>
              </w:rPr>
            </w:pPr>
            <w:r w:rsidRPr="00C37DCA">
              <w:rPr>
                <w:sz w:val="24"/>
                <w:szCs w:val="24"/>
              </w:rPr>
              <w:t>Hud og subkutane væv</w:t>
            </w:r>
          </w:p>
        </w:tc>
        <w:tc>
          <w:tcPr>
            <w:tcW w:w="1249" w:type="pct"/>
            <w:tcBorders>
              <w:top w:val="single" w:sz="4" w:space="0" w:color="auto"/>
              <w:left w:val="single" w:sz="4" w:space="0" w:color="auto"/>
              <w:bottom w:val="single" w:sz="4" w:space="0" w:color="auto"/>
              <w:right w:val="single" w:sz="4" w:space="0" w:color="auto"/>
            </w:tcBorders>
          </w:tcPr>
          <w:p w14:paraId="2C879B69" w14:textId="77777777" w:rsidR="00C22E63" w:rsidRPr="00C37DCA" w:rsidRDefault="00C22E63">
            <w:pPr>
              <w:rPr>
                <w:sz w:val="24"/>
                <w:szCs w:val="24"/>
              </w:rPr>
            </w:pPr>
          </w:p>
        </w:tc>
        <w:tc>
          <w:tcPr>
            <w:tcW w:w="1241" w:type="pct"/>
            <w:tcBorders>
              <w:top w:val="single" w:sz="4" w:space="0" w:color="auto"/>
              <w:left w:val="single" w:sz="4" w:space="0" w:color="auto"/>
              <w:bottom w:val="single" w:sz="4" w:space="0" w:color="auto"/>
              <w:right w:val="single" w:sz="4" w:space="0" w:color="auto"/>
            </w:tcBorders>
            <w:hideMark/>
          </w:tcPr>
          <w:p w14:paraId="6961D4A6" w14:textId="77777777" w:rsidR="00C22E63" w:rsidRPr="00C37DCA" w:rsidRDefault="00C22E63">
            <w:pPr>
              <w:rPr>
                <w:sz w:val="24"/>
                <w:szCs w:val="24"/>
              </w:rPr>
            </w:pPr>
            <w:r w:rsidRPr="00C37DCA">
              <w:rPr>
                <w:sz w:val="24"/>
                <w:szCs w:val="24"/>
              </w:rPr>
              <w:t xml:space="preserve">Kløe, </w:t>
            </w:r>
            <w:proofErr w:type="spellStart"/>
            <w:r w:rsidRPr="00C37DCA">
              <w:rPr>
                <w:sz w:val="24"/>
                <w:szCs w:val="24"/>
              </w:rPr>
              <w:t>urticaria</w:t>
            </w:r>
            <w:proofErr w:type="spellEnd"/>
            <w:r w:rsidRPr="00C37DCA">
              <w:rPr>
                <w:sz w:val="24"/>
                <w:szCs w:val="24"/>
              </w:rPr>
              <w:t xml:space="preserve">, </w:t>
            </w:r>
            <w:proofErr w:type="spellStart"/>
            <w:r w:rsidRPr="00C37DCA">
              <w:rPr>
                <w:sz w:val="24"/>
                <w:szCs w:val="24"/>
              </w:rPr>
              <w:t>pruritus</w:t>
            </w:r>
            <w:proofErr w:type="spellEnd"/>
          </w:p>
        </w:tc>
        <w:tc>
          <w:tcPr>
            <w:tcW w:w="1250" w:type="pct"/>
            <w:tcBorders>
              <w:top w:val="single" w:sz="4" w:space="0" w:color="auto"/>
              <w:left w:val="single" w:sz="4" w:space="0" w:color="auto"/>
              <w:bottom w:val="single" w:sz="4" w:space="0" w:color="auto"/>
              <w:right w:val="single" w:sz="4" w:space="0" w:color="auto"/>
            </w:tcBorders>
            <w:hideMark/>
          </w:tcPr>
          <w:p w14:paraId="6927C569" w14:textId="77777777" w:rsidR="00C22E63" w:rsidRPr="00C37DCA" w:rsidRDefault="00C22E63">
            <w:pPr>
              <w:rPr>
                <w:sz w:val="24"/>
                <w:szCs w:val="24"/>
              </w:rPr>
            </w:pPr>
            <w:proofErr w:type="spellStart"/>
            <w:r w:rsidRPr="00C37DCA">
              <w:rPr>
                <w:sz w:val="24"/>
                <w:szCs w:val="24"/>
              </w:rPr>
              <w:t>Angioødem</w:t>
            </w:r>
            <w:proofErr w:type="spellEnd"/>
          </w:p>
        </w:tc>
      </w:tr>
    </w:tbl>
    <w:p w14:paraId="7CEBEA2C" w14:textId="14948E18" w:rsidR="003C795F" w:rsidRDefault="003C795F" w:rsidP="009260DE">
      <w:pPr>
        <w:tabs>
          <w:tab w:val="left" w:pos="851"/>
        </w:tabs>
        <w:ind w:left="851"/>
        <w:rPr>
          <w:sz w:val="24"/>
          <w:szCs w:val="24"/>
        </w:rPr>
      </w:pPr>
    </w:p>
    <w:p w14:paraId="221BF7A0" w14:textId="77777777" w:rsidR="003C795F" w:rsidRDefault="003C795F">
      <w:pPr>
        <w:rPr>
          <w:sz w:val="24"/>
          <w:szCs w:val="24"/>
        </w:rPr>
      </w:pPr>
      <w:r>
        <w:rPr>
          <w:sz w:val="24"/>
          <w:szCs w:val="24"/>
        </w:rPr>
        <w:br w:type="page"/>
      </w:r>
    </w:p>
    <w:p w14:paraId="637181FC" w14:textId="77777777" w:rsidR="00C22E63" w:rsidRPr="00C37DCA" w:rsidRDefault="00C22E63" w:rsidP="009260DE">
      <w:pPr>
        <w:tabs>
          <w:tab w:val="left" w:pos="851"/>
        </w:tabs>
        <w:ind w:left="851"/>
        <w:rPr>
          <w:sz w:val="24"/>
          <w:szCs w:val="24"/>
        </w:rPr>
      </w:pPr>
    </w:p>
    <w:p w14:paraId="018FBAB4" w14:textId="77777777" w:rsidR="008458B8" w:rsidRPr="003952CE" w:rsidRDefault="008458B8" w:rsidP="008458B8">
      <w:pPr>
        <w:autoSpaceDE w:val="0"/>
        <w:autoSpaceDN w:val="0"/>
        <w:ind w:left="851"/>
        <w:rPr>
          <w:sz w:val="24"/>
          <w:szCs w:val="24"/>
          <w:u w:val="single"/>
        </w:rPr>
      </w:pPr>
      <w:r w:rsidRPr="003952CE">
        <w:rPr>
          <w:sz w:val="24"/>
          <w:szCs w:val="24"/>
          <w:u w:val="single"/>
        </w:rPr>
        <w:t>Indberetning af formodede bivirkninger</w:t>
      </w:r>
    </w:p>
    <w:p w14:paraId="01FA4EFB" w14:textId="77777777" w:rsidR="008458B8" w:rsidRPr="003952CE" w:rsidRDefault="008458B8" w:rsidP="008458B8">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Pr>
          <w:sz w:val="24"/>
          <w:szCs w:val="24"/>
        </w:rPr>
        <w:t>S</w:t>
      </w:r>
      <w:r w:rsidRPr="003952CE">
        <w:rPr>
          <w:sz w:val="24"/>
          <w:szCs w:val="24"/>
        </w:rPr>
        <w:t>undhedsperson</w:t>
      </w:r>
      <w:r>
        <w:rPr>
          <w:sz w:val="24"/>
          <w:szCs w:val="24"/>
        </w:rPr>
        <w:t>er</w:t>
      </w:r>
      <w:r w:rsidRPr="003952CE">
        <w:rPr>
          <w:sz w:val="24"/>
          <w:szCs w:val="24"/>
        </w:rPr>
        <w:t xml:space="preserve"> anmodes om at indberette alle formodede bivirkninger via:</w:t>
      </w:r>
    </w:p>
    <w:p w14:paraId="7AB4A083" w14:textId="77777777" w:rsidR="008458B8" w:rsidRPr="003952CE" w:rsidRDefault="008458B8" w:rsidP="008458B8">
      <w:pPr>
        <w:tabs>
          <w:tab w:val="left" w:pos="2440"/>
        </w:tabs>
        <w:ind w:left="851"/>
        <w:rPr>
          <w:sz w:val="24"/>
          <w:szCs w:val="24"/>
        </w:rPr>
      </w:pPr>
    </w:p>
    <w:p w14:paraId="7E7EC92B" w14:textId="77777777" w:rsidR="008458B8" w:rsidRPr="003952CE" w:rsidRDefault="008458B8" w:rsidP="008458B8">
      <w:pPr>
        <w:ind w:left="851"/>
        <w:rPr>
          <w:sz w:val="24"/>
          <w:szCs w:val="24"/>
        </w:rPr>
      </w:pPr>
      <w:r w:rsidRPr="003952CE">
        <w:rPr>
          <w:sz w:val="24"/>
          <w:szCs w:val="24"/>
        </w:rPr>
        <w:t>Lægemiddelstyrelsen</w:t>
      </w:r>
    </w:p>
    <w:p w14:paraId="60F866C9" w14:textId="77777777" w:rsidR="008458B8" w:rsidRPr="003952CE" w:rsidRDefault="008458B8" w:rsidP="008458B8">
      <w:pPr>
        <w:ind w:left="851"/>
        <w:rPr>
          <w:sz w:val="24"/>
          <w:szCs w:val="24"/>
        </w:rPr>
      </w:pPr>
      <w:r w:rsidRPr="003952CE">
        <w:rPr>
          <w:sz w:val="24"/>
          <w:szCs w:val="24"/>
        </w:rPr>
        <w:t>Axel Heides Gade 1</w:t>
      </w:r>
    </w:p>
    <w:p w14:paraId="348C2A13" w14:textId="77777777" w:rsidR="008458B8" w:rsidRPr="003952CE" w:rsidRDefault="008458B8" w:rsidP="008458B8">
      <w:pPr>
        <w:ind w:left="851"/>
        <w:rPr>
          <w:sz w:val="24"/>
          <w:szCs w:val="24"/>
        </w:rPr>
      </w:pPr>
      <w:r w:rsidRPr="003952CE">
        <w:rPr>
          <w:sz w:val="24"/>
          <w:szCs w:val="24"/>
        </w:rPr>
        <w:lastRenderedPageBreak/>
        <w:t>DK-2300 København S</w:t>
      </w:r>
    </w:p>
    <w:p w14:paraId="0036FAD1" w14:textId="77777777" w:rsidR="008458B8" w:rsidRPr="000A1DC3" w:rsidRDefault="008458B8" w:rsidP="008458B8">
      <w:pPr>
        <w:ind w:left="851"/>
        <w:rPr>
          <w:sz w:val="24"/>
          <w:szCs w:val="24"/>
        </w:rPr>
      </w:pPr>
      <w:r w:rsidRPr="000A1DC3">
        <w:rPr>
          <w:sz w:val="24"/>
          <w:szCs w:val="24"/>
        </w:rPr>
        <w:t xml:space="preserve">Websted: </w:t>
      </w:r>
      <w:hyperlink r:id="rId8" w:history="1">
        <w:r w:rsidRPr="000A1DC3">
          <w:rPr>
            <w:rStyle w:val="Hyperlink"/>
            <w:sz w:val="24"/>
            <w:szCs w:val="24"/>
          </w:rPr>
          <w:t>www.meldenbivirkning.dk</w:t>
        </w:r>
      </w:hyperlink>
    </w:p>
    <w:p w14:paraId="4B5FDF43" w14:textId="77777777" w:rsidR="009260DE" w:rsidRPr="00C37DCA" w:rsidRDefault="009260DE" w:rsidP="009260DE">
      <w:pPr>
        <w:pStyle w:val="Sidehoved"/>
        <w:tabs>
          <w:tab w:val="left" w:pos="851"/>
        </w:tabs>
        <w:ind w:left="851"/>
        <w:rPr>
          <w:szCs w:val="24"/>
        </w:rPr>
      </w:pPr>
    </w:p>
    <w:p w14:paraId="3804DC51" w14:textId="77777777" w:rsidR="009260DE" w:rsidRPr="00C37DCA" w:rsidRDefault="009260DE" w:rsidP="009260DE">
      <w:pPr>
        <w:tabs>
          <w:tab w:val="left" w:pos="851"/>
        </w:tabs>
        <w:ind w:left="851" w:hanging="851"/>
        <w:rPr>
          <w:b/>
          <w:sz w:val="24"/>
          <w:szCs w:val="24"/>
        </w:rPr>
      </w:pPr>
      <w:r w:rsidRPr="00C37DCA">
        <w:rPr>
          <w:b/>
          <w:sz w:val="24"/>
          <w:szCs w:val="24"/>
        </w:rPr>
        <w:t>4.9</w:t>
      </w:r>
      <w:r w:rsidRPr="00C37DCA">
        <w:rPr>
          <w:b/>
          <w:sz w:val="24"/>
          <w:szCs w:val="24"/>
        </w:rPr>
        <w:tab/>
        <w:t>Overdosering</w:t>
      </w:r>
    </w:p>
    <w:p w14:paraId="13E17172" w14:textId="77777777" w:rsidR="00DE22D4" w:rsidRPr="00C37DCA" w:rsidRDefault="00DE22D4" w:rsidP="008458B8">
      <w:pPr>
        <w:widowControl w:val="0"/>
        <w:autoSpaceDE w:val="0"/>
        <w:autoSpaceDN w:val="0"/>
        <w:adjustRightInd w:val="0"/>
        <w:ind w:left="851"/>
        <w:rPr>
          <w:sz w:val="24"/>
          <w:szCs w:val="24"/>
          <w:lang w:eastAsia="da-DK"/>
        </w:rPr>
      </w:pPr>
      <w:r w:rsidRPr="00C37DCA">
        <w:rPr>
          <w:sz w:val="24"/>
          <w:szCs w:val="24"/>
        </w:rPr>
        <w:t xml:space="preserve">Erfaring vedrørende overdosering af oral </w:t>
      </w:r>
      <w:proofErr w:type="spellStart"/>
      <w:r w:rsidRPr="00C37DCA">
        <w:rPr>
          <w:sz w:val="24"/>
          <w:szCs w:val="24"/>
        </w:rPr>
        <w:t>fosfomycin</w:t>
      </w:r>
      <w:proofErr w:type="spellEnd"/>
      <w:r w:rsidRPr="00C37DCA">
        <w:rPr>
          <w:sz w:val="24"/>
          <w:szCs w:val="24"/>
        </w:rPr>
        <w:t xml:space="preserve"> er begrænset. Tilfælde af </w:t>
      </w:r>
      <w:proofErr w:type="spellStart"/>
      <w:r w:rsidRPr="00C37DCA">
        <w:rPr>
          <w:sz w:val="24"/>
          <w:szCs w:val="24"/>
        </w:rPr>
        <w:t>hypotoni</w:t>
      </w:r>
      <w:proofErr w:type="spellEnd"/>
      <w:r w:rsidRPr="00C37DCA">
        <w:rPr>
          <w:sz w:val="24"/>
          <w:szCs w:val="24"/>
        </w:rPr>
        <w:t xml:space="preserve">, </w:t>
      </w:r>
      <w:proofErr w:type="spellStart"/>
      <w:r w:rsidRPr="00C37DCA">
        <w:rPr>
          <w:sz w:val="24"/>
          <w:szCs w:val="24"/>
        </w:rPr>
        <w:t>somnolens</w:t>
      </w:r>
      <w:proofErr w:type="spellEnd"/>
      <w:r w:rsidRPr="00C37DCA">
        <w:rPr>
          <w:sz w:val="24"/>
          <w:szCs w:val="24"/>
        </w:rPr>
        <w:t xml:space="preserve">, elektrolytforstyrrelser, </w:t>
      </w:r>
      <w:proofErr w:type="spellStart"/>
      <w:r w:rsidRPr="00C37DCA">
        <w:rPr>
          <w:sz w:val="24"/>
          <w:szCs w:val="24"/>
        </w:rPr>
        <w:t>trombocytopeni</w:t>
      </w:r>
      <w:proofErr w:type="spellEnd"/>
      <w:r w:rsidRPr="00C37DCA">
        <w:rPr>
          <w:sz w:val="24"/>
          <w:szCs w:val="24"/>
        </w:rPr>
        <w:t xml:space="preserve"> og </w:t>
      </w:r>
      <w:proofErr w:type="spellStart"/>
      <w:r w:rsidRPr="00C37DCA">
        <w:rPr>
          <w:sz w:val="24"/>
          <w:szCs w:val="24"/>
        </w:rPr>
        <w:t>hypoprotrombinæmi</w:t>
      </w:r>
      <w:proofErr w:type="spellEnd"/>
      <w:r w:rsidRPr="00C37DCA">
        <w:rPr>
          <w:sz w:val="24"/>
          <w:szCs w:val="24"/>
        </w:rPr>
        <w:t xml:space="preserve"> er blevet rapporteret med parenteral anvendelse af </w:t>
      </w:r>
      <w:proofErr w:type="spellStart"/>
      <w:r w:rsidRPr="00C37DCA">
        <w:rPr>
          <w:sz w:val="24"/>
          <w:szCs w:val="24"/>
        </w:rPr>
        <w:t>fosfomycin</w:t>
      </w:r>
      <w:proofErr w:type="spellEnd"/>
      <w:r w:rsidRPr="00C37DCA">
        <w:rPr>
          <w:sz w:val="24"/>
          <w:szCs w:val="24"/>
        </w:rPr>
        <w:t>.</w:t>
      </w:r>
    </w:p>
    <w:p w14:paraId="4AC9D1B2" w14:textId="77777777" w:rsidR="00DE22D4" w:rsidRPr="00C37DCA" w:rsidRDefault="00DE22D4" w:rsidP="008458B8">
      <w:pPr>
        <w:widowControl w:val="0"/>
        <w:autoSpaceDE w:val="0"/>
        <w:autoSpaceDN w:val="0"/>
        <w:adjustRightInd w:val="0"/>
        <w:ind w:left="851"/>
        <w:rPr>
          <w:sz w:val="24"/>
          <w:szCs w:val="24"/>
        </w:rPr>
      </w:pPr>
    </w:p>
    <w:p w14:paraId="2D84D423" w14:textId="3B7E64BE" w:rsidR="009260DE" w:rsidRPr="00C37DCA" w:rsidRDefault="00DE22D4" w:rsidP="008458B8">
      <w:pPr>
        <w:tabs>
          <w:tab w:val="left" w:pos="851"/>
        </w:tabs>
        <w:ind w:left="851"/>
        <w:rPr>
          <w:sz w:val="24"/>
          <w:szCs w:val="24"/>
        </w:rPr>
      </w:pPr>
      <w:r w:rsidRPr="00C37DCA">
        <w:rPr>
          <w:sz w:val="24"/>
          <w:szCs w:val="24"/>
        </w:rPr>
        <w:t xml:space="preserve">I tilfælde af overdosering skal patienten monitoreres (især for elektrolytniveauer i plasma/serum), og behandling skal være symptomatisk og understøttende. </w:t>
      </w:r>
      <w:proofErr w:type="spellStart"/>
      <w:r w:rsidRPr="00C37DCA">
        <w:rPr>
          <w:sz w:val="24"/>
          <w:szCs w:val="24"/>
        </w:rPr>
        <w:t>Rehydrering</w:t>
      </w:r>
      <w:proofErr w:type="spellEnd"/>
      <w:r w:rsidRPr="00C37DCA">
        <w:rPr>
          <w:sz w:val="24"/>
          <w:szCs w:val="24"/>
        </w:rPr>
        <w:t xml:space="preserve"> anbefales for at fremme urinudskillelse af det aktive stof. </w:t>
      </w:r>
      <w:proofErr w:type="spellStart"/>
      <w:r w:rsidRPr="00C37DCA">
        <w:rPr>
          <w:sz w:val="24"/>
          <w:szCs w:val="24"/>
        </w:rPr>
        <w:t>Fosfomycin</w:t>
      </w:r>
      <w:proofErr w:type="spellEnd"/>
      <w:r w:rsidRPr="00C37DCA">
        <w:rPr>
          <w:sz w:val="24"/>
          <w:szCs w:val="24"/>
        </w:rPr>
        <w:t xml:space="preserve"> udskilles effektivt af kroppen ved hæmodialyse med en gennemsnitlig eliminationshalveringstid på cirka 4 timer.</w:t>
      </w:r>
    </w:p>
    <w:p w14:paraId="5BCB0BD8" w14:textId="77777777" w:rsidR="009260DE" w:rsidRPr="00C37DCA" w:rsidRDefault="009260DE" w:rsidP="009260DE">
      <w:pPr>
        <w:tabs>
          <w:tab w:val="left" w:pos="851"/>
        </w:tabs>
        <w:ind w:left="851"/>
        <w:rPr>
          <w:sz w:val="24"/>
          <w:szCs w:val="24"/>
        </w:rPr>
      </w:pPr>
    </w:p>
    <w:p w14:paraId="1792421A" w14:textId="77777777" w:rsidR="009260DE" w:rsidRPr="00C37DCA" w:rsidRDefault="009260DE" w:rsidP="009260DE">
      <w:pPr>
        <w:tabs>
          <w:tab w:val="left" w:pos="851"/>
        </w:tabs>
        <w:ind w:left="851" w:hanging="851"/>
        <w:rPr>
          <w:b/>
          <w:sz w:val="24"/>
          <w:szCs w:val="24"/>
        </w:rPr>
      </w:pPr>
      <w:r w:rsidRPr="00C37DCA">
        <w:rPr>
          <w:b/>
          <w:sz w:val="24"/>
          <w:szCs w:val="24"/>
        </w:rPr>
        <w:t>4.10</w:t>
      </w:r>
      <w:r w:rsidRPr="00C37DCA">
        <w:rPr>
          <w:b/>
          <w:sz w:val="24"/>
          <w:szCs w:val="24"/>
        </w:rPr>
        <w:tab/>
        <w:t>Udlevering</w:t>
      </w:r>
    </w:p>
    <w:p w14:paraId="60FE90BF" w14:textId="3D72FDB3" w:rsidR="009260DE" w:rsidRPr="00C37DCA" w:rsidRDefault="00DE22D4" w:rsidP="009260DE">
      <w:pPr>
        <w:tabs>
          <w:tab w:val="left" w:pos="851"/>
        </w:tabs>
        <w:ind w:left="851"/>
        <w:rPr>
          <w:sz w:val="24"/>
          <w:szCs w:val="24"/>
        </w:rPr>
      </w:pPr>
      <w:r w:rsidRPr="00C37DCA">
        <w:rPr>
          <w:sz w:val="24"/>
          <w:szCs w:val="24"/>
        </w:rPr>
        <w:t>B</w:t>
      </w:r>
    </w:p>
    <w:p w14:paraId="2103DD29" w14:textId="77777777" w:rsidR="009260DE" w:rsidRPr="00C37DCA" w:rsidRDefault="009260DE" w:rsidP="009260DE">
      <w:pPr>
        <w:tabs>
          <w:tab w:val="left" w:pos="851"/>
        </w:tabs>
        <w:ind w:left="851"/>
        <w:rPr>
          <w:sz w:val="24"/>
          <w:szCs w:val="24"/>
        </w:rPr>
      </w:pPr>
    </w:p>
    <w:p w14:paraId="2C482558" w14:textId="77777777" w:rsidR="009260DE" w:rsidRPr="00C37DCA" w:rsidRDefault="009260DE" w:rsidP="009260DE">
      <w:pPr>
        <w:tabs>
          <w:tab w:val="left" w:pos="851"/>
        </w:tabs>
        <w:ind w:left="851"/>
        <w:rPr>
          <w:sz w:val="24"/>
          <w:szCs w:val="24"/>
        </w:rPr>
      </w:pPr>
    </w:p>
    <w:p w14:paraId="66CD6454" w14:textId="77777777" w:rsidR="009260DE" w:rsidRPr="00C37DCA" w:rsidRDefault="009260DE" w:rsidP="009260DE">
      <w:pPr>
        <w:tabs>
          <w:tab w:val="left" w:pos="851"/>
        </w:tabs>
        <w:ind w:left="851" w:hanging="851"/>
        <w:rPr>
          <w:b/>
          <w:sz w:val="24"/>
          <w:szCs w:val="24"/>
        </w:rPr>
      </w:pPr>
      <w:r w:rsidRPr="00C37DCA">
        <w:rPr>
          <w:b/>
          <w:sz w:val="24"/>
          <w:szCs w:val="24"/>
        </w:rPr>
        <w:t>5.</w:t>
      </w:r>
      <w:r w:rsidRPr="00C37DCA">
        <w:rPr>
          <w:b/>
          <w:sz w:val="24"/>
          <w:szCs w:val="24"/>
        </w:rPr>
        <w:tab/>
        <w:t>FARMAKOLOGISKE EGENSKABER</w:t>
      </w:r>
    </w:p>
    <w:p w14:paraId="708ECFAB" w14:textId="77777777" w:rsidR="009260DE" w:rsidRPr="00C37DCA" w:rsidRDefault="009260DE" w:rsidP="009260DE">
      <w:pPr>
        <w:tabs>
          <w:tab w:val="left" w:pos="851"/>
        </w:tabs>
        <w:ind w:left="851"/>
        <w:rPr>
          <w:sz w:val="24"/>
          <w:szCs w:val="24"/>
        </w:rPr>
      </w:pPr>
    </w:p>
    <w:p w14:paraId="31C1B534" w14:textId="77777777" w:rsidR="009260DE" w:rsidRPr="00C37DCA" w:rsidRDefault="009260DE" w:rsidP="009260DE">
      <w:pPr>
        <w:tabs>
          <w:tab w:val="left" w:pos="851"/>
        </w:tabs>
        <w:ind w:left="851" w:hanging="851"/>
        <w:rPr>
          <w:b/>
          <w:sz w:val="24"/>
          <w:szCs w:val="24"/>
        </w:rPr>
      </w:pPr>
      <w:r w:rsidRPr="00C37DCA">
        <w:rPr>
          <w:b/>
          <w:sz w:val="24"/>
          <w:szCs w:val="24"/>
        </w:rPr>
        <w:t>5.0</w:t>
      </w:r>
      <w:r w:rsidRPr="00C37DCA">
        <w:rPr>
          <w:b/>
          <w:sz w:val="24"/>
          <w:szCs w:val="24"/>
        </w:rPr>
        <w:tab/>
        <w:t>Terapeutisk klassifikation</w:t>
      </w:r>
    </w:p>
    <w:p w14:paraId="1F6557DE" w14:textId="311CFDCC" w:rsidR="009260DE" w:rsidRPr="00C37DCA" w:rsidRDefault="008458B8" w:rsidP="009260DE">
      <w:pPr>
        <w:tabs>
          <w:tab w:val="left" w:pos="851"/>
        </w:tabs>
        <w:ind w:left="851"/>
        <w:rPr>
          <w:sz w:val="24"/>
          <w:szCs w:val="24"/>
        </w:rPr>
      </w:pPr>
      <w:r>
        <w:rPr>
          <w:sz w:val="24"/>
          <w:szCs w:val="24"/>
        </w:rPr>
        <w:t xml:space="preserve">ATC-kode: </w:t>
      </w:r>
      <w:r w:rsidR="00DE22D4" w:rsidRPr="00C37DCA">
        <w:rPr>
          <w:sz w:val="24"/>
          <w:szCs w:val="24"/>
        </w:rPr>
        <w:t>J</w:t>
      </w:r>
      <w:r>
        <w:rPr>
          <w:sz w:val="24"/>
          <w:szCs w:val="24"/>
        </w:rPr>
        <w:t xml:space="preserve"> </w:t>
      </w:r>
      <w:r w:rsidR="00DE22D4" w:rsidRPr="00C37DCA">
        <w:rPr>
          <w:sz w:val="24"/>
          <w:szCs w:val="24"/>
        </w:rPr>
        <w:t>01</w:t>
      </w:r>
      <w:r>
        <w:rPr>
          <w:sz w:val="24"/>
          <w:szCs w:val="24"/>
        </w:rPr>
        <w:t xml:space="preserve"> </w:t>
      </w:r>
      <w:r w:rsidR="00DE22D4" w:rsidRPr="00C37DCA">
        <w:rPr>
          <w:sz w:val="24"/>
          <w:szCs w:val="24"/>
        </w:rPr>
        <w:t>XX</w:t>
      </w:r>
      <w:r>
        <w:rPr>
          <w:sz w:val="24"/>
          <w:szCs w:val="24"/>
        </w:rPr>
        <w:t xml:space="preserve"> </w:t>
      </w:r>
      <w:r w:rsidR="00DE22D4" w:rsidRPr="00C37DCA">
        <w:rPr>
          <w:sz w:val="24"/>
          <w:szCs w:val="24"/>
        </w:rPr>
        <w:t>01</w:t>
      </w:r>
      <w:r>
        <w:rPr>
          <w:sz w:val="24"/>
          <w:szCs w:val="24"/>
        </w:rPr>
        <w:t xml:space="preserve">. </w:t>
      </w:r>
      <w:r w:rsidR="00DE22D4" w:rsidRPr="00C37DCA">
        <w:rPr>
          <w:sz w:val="24"/>
          <w:szCs w:val="24"/>
        </w:rPr>
        <w:t>Antibakterielle midler til systemisk brug.</w:t>
      </w:r>
    </w:p>
    <w:p w14:paraId="4976B4CD" w14:textId="77777777" w:rsidR="00DE22D4" w:rsidRPr="00C37DCA" w:rsidRDefault="00DE22D4" w:rsidP="009260DE">
      <w:pPr>
        <w:tabs>
          <w:tab w:val="left" w:pos="851"/>
        </w:tabs>
        <w:ind w:left="851"/>
        <w:rPr>
          <w:sz w:val="24"/>
          <w:szCs w:val="24"/>
        </w:rPr>
      </w:pPr>
    </w:p>
    <w:p w14:paraId="0DE8AC9A" w14:textId="77777777" w:rsidR="009260DE" w:rsidRPr="00C37DCA" w:rsidRDefault="009260DE" w:rsidP="009260DE">
      <w:pPr>
        <w:tabs>
          <w:tab w:val="num" w:pos="851"/>
        </w:tabs>
        <w:ind w:left="851" w:hanging="851"/>
        <w:rPr>
          <w:b/>
          <w:sz w:val="24"/>
          <w:szCs w:val="24"/>
        </w:rPr>
      </w:pPr>
      <w:r w:rsidRPr="00C37DCA">
        <w:rPr>
          <w:b/>
          <w:sz w:val="24"/>
          <w:szCs w:val="24"/>
        </w:rPr>
        <w:t>5.1</w:t>
      </w:r>
      <w:r w:rsidRPr="00C37DCA">
        <w:rPr>
          <w:b/>
          <w:sz w:val="24"/>
          <w:szCs w:val="24"/>
        </w:rPr>
        <w:tab/>
      </w:r>
      <w:proofErr w:type="spellStart"/>
      <w:r w:rsidRPr="00C37DCA">
        <w:rPr>
          <w:b/>
          <w:sz w:val="24"/>
          <w:szCs w:val="24"/>
        </w:rPr>
        <w:t>Farmakodynamiske</w:t>
      </w:r>
      <w:proofErr w:type="spellEnd"/>
      <w:r w:rsidRPr="00C37DCA">
        <w:rPr>
          <w:b/>
          <w:sz w:val="24"/>
          <w:szCs w:val="24"/>
        </w:rPr>
        <w:t xml:space="preserve"> egenskaber</w:t>
      </w:r>
    </w:p>
    <w:p w14:paraId="2FA4227E" w14:textId="77777777" w:rsidR="00412F19" w:rsidRDefault="00412F19" w:rsidP="00412F19">
      <w:pPr>
        <w:ind w:left="851"/>
        <w:rPr>
          <w:sz w:val="24"/>
          <w:szCs w:val="24"/>
        </w:rPr>
      </w:pPr>
    </w:p>
    <w:p w14:paraId="557F9147" w14:textId="1D43A6C5" w:rsidR="00DE22D4" w:rsidRPr="00412F19" w:rsidRDefault="00DE22D4" w:rsidP="00412F19">
      <w:pPr>
        <w:ind w:left="851"/>
        <w:rPr>
          <w:sz w:val="24"/>
          <w:szCs w:val="24"/>
          <w:u w:val="single"/>
          <w:lang w:eastAsia="da-DK"/>
        </w:rPr>
      </w:pPr>
      <w:r w:rsidRPr="00412F19">
        <w:rPr>
          <w:sz w:val="24"/>
          <w:szCs w:val="24"/>
          <w:u w:val="single"/>
        </w:rPr>
        <w:t>Virkningsmekanisme</w:t>
      </w:r>
    </w:p>
    <w:p w14:paraId="19F53E91" w14:textId="77777777" w:rsidR="00DE22D4" w:rsidRPr="00412F19" w:rsidRDefault="00DE22D4" w:rsidP="00412F19">
      <w:pPr>
        <w:ind w:left="851"/>
        <w:rPr>
          <w:sz w:val="24"/>
          <w:szCs w:val="24"/>
        </w:rPr>
      </w:pPr>
      <w:proofErr w:type="spellStart"/>
      <w:r w:rsidRPr="00412F19">
        <w:rPr>
          <w:sz w:val="24"/>
          <w:szCs w:val="24"/>
        </w:rPr>
        <w:t>Fosfomycin</w:t>
      </w:r>
      <w:proofErr w:type="spellEnd"/>
      <w:r w:rsidRPr="00412F19">
        <w:rPr>
          <w:sz w:val="24"/>
          <w:szCs w:val="24"/>
        </w:rPr>
        <w:t xml:space="preserve"> udøver en baktericid effekt på </w:t>
      </w:r>
      <w:proofErr w:type="spellStart"/>
      <w:r w:rsidRPr="00412F19">
        <w:rPr>
          <w:sz w:val="24"/>
          <w:szCs w:val="24"/>
        </w:rPr>
        <w:t>prolifererende</w:t>
      </w:r>
      <w:proofErr w:type="spellEnd"/>
      <w:r w:rsidRPr="00412F19">
        <w:rPr>
          <w:sz w:val="24"/>
          <w:szCs w:val="24"/>
        </w:rPr>
        <w:t xml:space="preserve"> </w:t>
      </w:r>
      <w:proofErr w:type="spellStart"/>
      <w:r w:rsidRPr="00412F19">
        <w:rPr>
          <w:sz w:val="24"/>
          <w:szCs w:val="24"/>
        </w:rPr>
        <w:t>patogener</w:t>
      </w:r>
      <w:proofErr w:type="spellEnd"/>
      <w:r w:rsidRPr="00412F19">
        <w:rPr>
          <w:sz w:val="24"/>
          <w:szCs w:val="24"/>
        </w:rPr>
        <w:t xml:space="preserve"> ved at forhindre enzymsyntesen af den bakterielle cellevæg. </w:t>
      </w:r>
      <w:proofErr w:type="spellStart"/>
      <w:r w:rsidRPr="00412F19">
        <w:rPr>
          <w:sz w:val="24"/>
          <w:szCs w:val="24"/>
        </w:rPr>
        <w:t>Fosfomycin</w:t>
      </w:r>
      <w:proofErr w:type="spellEnd"/>
      <w:r w:rsidRPr="00412F19">
        <w:rPr>
          <w:sz w:val="24"/>
          <w:szCs w:val="24"/>
        </w:rPr>
        <w:t xml:space="preserve"> hæmmer den første fase af syntesen af den intracellulære bakteriecellevæg ved at blokere syntesen af </w:t>
      </w:r>
      <w:proofErr w:type="spellStart"/>
      <w:r w:rsidRPr="00412F19">
        <w:rPr>
          <w:sz w:val="24"/>
          <w:szCs w:val="24"/>
        </w:rPr>
        <w:t>peptidoglycan</w:t>
      </w:r>
      <w:proofErr w:type="spellEnd"/>
      <w:r w:rsidRPr="00412F19">
        <w:rPr>
          <w:sz w:val="24"/>
          <w:szCs w:val="24"/>
        </w:rPr>
        <w:t>.</w:t>
      </w:r>
    </w:p>
    <w:p w14:paraId="706DF81F" w14:textId="77777777" w:rsidR="00DE22D4" w:rsidRPr="00412F19" w:rsidRDefault="00DE22D4" w:rsidP="00412F19">
      <w:pPr>
        <w:ind w:left="851"/>
        <w:rPr>
          <w:sz w:val="24"/>
          <w:szCs w:val="24"/>
        </w:rPr>
      </w:pPr>
      <w:proofErr w:type="spellStart"/>
      <w:r w:rsidRPr="00412F19">
        <w:rPr>
          <w:sz w:val="24"/>
          <w:szCs w:val="24"/>
        </w:rPr>
        <w:t>Fosfomycin</w:t>
      </w:r>
      <w:proofErr w:type="spellEnd"/>
      <w:r w:rsidRPr="00412F19">
        <w:rPr>
          <w:sz w:val="24"/>
          <w:szCs w:val="24"/>
        </w:rPr>
        <w:t xml:space="preserve"> transporteres aktivt i bakteriens cellevæg via to forskellige transportsystemer (</w:t>
      </w:r>
      <w:proofErr w:type="spellStart"/>
      <w:r w:rsidRPr="00412F19">
        <w:rPr>
          <w:sz w:val="24"/>
          <w:szCs w:val="24"/>
        </w:rPr>
        <w:t>sn</w:t>
      </w:r>
      <w:proofErr w:type="spellEnd"/>
      <w:r w:rsidRPr="00412F19">
        <w:rPr>
          <w:sz w:val="24"/>
          <w:szCs w:val="24"/>
        </w:rPr>
        <w:t>-glycerol- 3-fosfat- og</w:t>
      </w:r>
      <w:r w:rsidRPr="00412F19">
        <w:rPr>
          <w:spacing w:val="-4"/>
          <w:sz w:val="24"/>
          <w:szCs w:val="24"/>
        </w:rPr>
        <w:t xml:space="preserve"> </w:t>
      </w:r>
      <w:r w:rsidRPr="00412F19">
        <w:rPr>
          <w:sz w:val="24"/>
          <w:szCs w:val="24"/>
        </w:rPr>
        <w:t>hexose-6-transportsystemerne).</w:t>
      </w:r>
    </w:p>
    <w:p w14:paraId="45D4A6FC" w14:textId="77777777" w:rsidR="00DE22D4" w:rsidRPr="00412F19" w:rsidRDefault="00DE22D4" w:rsidP="00412F19">
      <w:pPr>
        <w:ind w:left="851"/>
        <w:rPr>
          <w:sz w:val="24"/>
          <w:szCs w:val="24"/>
        </w:rPr>
      </w:pPr>
    </w:p>
    <w:p w14:paraId="0A16F6C7" w14:textId="77777777" w:rsidR="00DE22D4" w:rsidRPr="00412F19" w:rsidRDefault="00DE22D4" w:rsidP="00412F19">
      <w:pPr>
        <w:ind w:left="851"/>
        <w:rPr>
          <w:sz w:val="24"/>
          <w:szCs w:val="24"/>
          <w:u w:val="single"/>
        </w:rPr>
      </w:pPr>
      <w:proofErr w:type="spellStart"/>
      <w:r w:rsidRPr="00412F19">
        <w:rPr>
          <w:sz w:val="24"/>
          <w:szCs w:val="24"/>
          <w:u w:val="single"/>
        </w:rPr>
        <w:t>Farmakokinetiske</w:t>
      </w:r>
      <w:proofErr w:type="spellEnd"/>
      <w:r w:rsidRPr="00412F19">
        <w:rPr>
          <w:sz w:val="24"/>
          <w:szCs w:val="24"/>
          <w:u w:val="single"/>
        </w:rPr>
        <w:t>/</w:t>
      </w:r>
      <w:proofErr w:type="spellStart"/>
      <w:r w:rsidRPr="00412F19">
        <w:rPr>
          <w:sz w:val="24"/>
          <w:szCs w:val="24"/>
          <w:u w:val="single"/>
        </w:rPr>
        <w:t>farmakodynamiske</w:t>
      </w:r>
      <w:proofErr w:type="spellEnd"/>
      <w:r w:rsidRPr="00412F19">
        <w:rPr>
          <w:spacing w:val="-13"/>
          <w:sz w:val="24"/>
          <w:szCs w:val="24"/>
          <w:u w:val="single"/>
        </w:rPr>
        <w:t xml:space="preserve"> </w:t>
      </w:r>
      <w:r w:rsidRPr="00412F19">
        <w:rPr>
          <w:sz w:val="24"/>
          <w:szCs w:val="24"/>
          <w:u w:val="single"/>
        </w:rPr>
        <w:t>forhold</w:t>
      </w:r>
    </w:p>
    <w:p w14:paraId="2E05F2FB" w14:textId="77777777" w:rsidR="00DE22D4" w:rsidRPr="00412F19" w:rsidRDefault="00DE22D4" w:rsidP="00412F19">
      <w:pPr>
        <w:ind w:left="851"/>
        <w:rPr>
          <w:sz w:val="24"/>
          <w:szCs w:val="24"/>
        </w:rPr>
      </w:pPr>
      <w:r w:rsidRPr="00412F19">
        <w:rPr>
          <w:sz w:val="24"/>
          <w:szCs w:val="24"/>
        </w:rPr>
        <w:t xml:space="preserve">Begrænsede data angiver, at </w:t>
      </w:r>
      <w:proofErr w:type="spellStart"/>
      <w:r w:rsidRPr="00412F19">
        <w:rPr>
          <w:sz w:val="24"/>
          <w:szCs w:val="24"/>
        </w:rPr>
        <w:t>fosfomycin</w:t>
      </w:r>
      <w:proofErr w:type="spellEnd"/>
      <w:r w:rsidRPr="00412F19">
        <w:rPr>
          <w:sz w:val="24"/>
          <w:szCs w:val="24"/>
        </w:rPr>
        <w:t xml:space="preserve"> sandsynligvis virker på </w:t>
      </w:r>
      <w:bookmarkStart w:id="1" w:name="_Hlk49953170"/>
      <w:r w:rsidRPr="00412F19">
        <w:rPr>
          <w:sz w:val="24"/>
          <w:szCs w:val="24"/>
        </w:rPr>
        <w:t>en tidsafhængig måde.</w:t>
      </w:r>
    </w:p>
    <w:bookmarkEnd w:id="1"/>
    <w:p w14:paraId="0C6DCB5C" w14:textId="77777777" w:rsidR="00DE22D4" w:rsidRPr="00412F19" w:rsidRDefault="00DE22D4" w:rsidP="00412F19">
      <w:pPr>
        <w:ind w:left="851"/>
        <w:rPr>
          <w:sz w:val="24"/>
          <w:szCs w:val="24"/>
        </w:rPr>
      </w:pPr>
    </w:p>
    <w:p w14:paraId="6B1F2F9B" w14:textId="77777777" w:rsidR="00DE22D4" w:rsidRPr="00412F19" w:rsidRDefault="00DE22D4" w:rsidP="00412F19">
      <w:pPr>
        <w:ind w:left="851"/>
        <w:rPr>
          <w:sz w:val="24"/>
          <w:szCs w:val="24"/>
          <w:u w:val="single"/>
        </w:rPr>
      </w:pPr>
      <w:r w:rsidRPr="00412F19">
        <w:rPr>
          <w:sz w:val="24"/>
          <w:szCs w:val="24"/>
          <w:u w:val="single"/>
        </w:rPr>
        <w:t>Mekanisme for resistens</w:t>
      </w:r>
    </w:p>
    <w:p w14:paraId="26724D70" w14:textId="77777777" w:rsidR="00DE22D4" w:rsidRPr="00412F19" w:rsidRDefault="00DE22D4" w:rsidP="00412F19">
      <w:pPr>
        <w:ind w:left="851"/>
        <w:rPr>
          <w:sz w:val="24"/>
          <w:szCs w:val="24"/>
        </w:rPr>
      </w:pPr>
      <w:r w:rsidRPr="00412F19">
        <w:rPr>
          <w:sz w:val="24"/>
          <w:szCs w:val="24"/>
        </w:rPr>
        <w:t xml:space="preserve">Hovedmekanismen for resistens er en kromosommutation, som forårsager en ændring af de bakterielle transportsystemer for </w:t>
      </w:r>
      <w:proofErr w:type="spellStart"/>
      <w:r w:rsidRPr="00412F19">
        <w:rPr>
          <w:sz w:val="24"/>
          <w:szCs w:val="24"/>
        </w:rPr>
        <w:t>fosfomycin</w:t>
      </w:r>
      <w:proofErr w:type="spellEnd"/>
      <w:r w:rsidRPr="00412F19">
        <w:rPr>
          <w:sz w:val="24"/>
          <w:szCs w:val="24"/>
        </w:rPr>
        <w:t xml:space="preserve">. Yderligere resistensmekanismer, som er affødt af plasmid eller </w:t>
      </w:r>
      <w:proofErr w:type="spellStart"/>
      <w:r w:rsidRPr="00412F19">
        <w:rPr>
          <w:sz w:val="24"/>
          <w:szCs w:val="24"/>
        </w:rPr>
        <w:t>transposon</w:t>
      </w:r>
      <w:proofErr w:type="spellEnd"/>
      <w:r w:rsidRPr="00412F19">
        <w:rPr>
          <w:sz w:val="24"/>
          <w:szCs w:val="24"/>
        </w:rPr>
        <w:t xml:space="preserve">, forårsager enzymatisk inaktivering af </w:t>
      </w:r>
      <w:proofErr w:type="spellStart"/>
      <w:r w:rsidRPr="00412F19">
        <w:rPr>
          <w:sz w:val="24"/>
          <w:szCs w:val="24"/>
        </w:rPr>
        <w:t>fosfomycin</w:t>
      </w:r>
      <w:proofErr w:type="spellEnd"/>
      <w:r w:rsidRPr="00412F19">
        <w:rPr>
          <w:sz w:val="24"/>
          <w:szCs w:val="24"/>
        </w:rPr>
        <w:t xml:space="preserve"> ved at binde molekylet til </w:t>
      </w:r>
      <w:proofErr w:type="spellStart"/>
      <w:r w:rsidRPr="00412F19">
        <w:rPr>
          <w:sz w:val="24"/>
          <w:szCs w:val="24"/>
        </w:rPr>
        <w:t>glutathion</w:t>
      </w:r>
      <w:proofErr w:type="spellEnd"/>
      <w:r w:rsidRPr="00412F19">
        <w:rPr>
          <w:sz w:val="24"/>
          <w:szCs w:val="24"/>
        </w:rPr>
        <w:t xml:space="preserve"> eller ved spaltning af kulstof-fosfor-bindingen i </w:t>
      </w:r>
      <w:proofErr w:type="spellStart"/>
      <w:r w:rsidRPr="00412F19">
        <w:rPr>
          <w:sz w:val="24"/>
          <w:szCs w:val="24"/>
        </w:rPr>
        <w:t>fosfomycin</w:t>
      </w:r>
      <w:proofErr w:type="spellEnd"/>
      <w:r w:rsidRPr="00412F19">
        <w:rPr>
          <w:sz w:val="24"/>
          <w:szCs w:val="24"/>
        </w:rPr>
        <w:t>-molekylet.</w:t>
      </w:r>
    </w:p>
    <w:p w14:paraId="0A118C8B" w14:textId="25F784DA" w:rsidR="003C795F" w:rsidRDefault="003C795F">
      <w:pPr>
        <w:rPr>
          <w:sz w:val="24"/>
          <w:szCs w:val="24"/>
        </w:rPr>
      </w:pPr>
      <w:r>
        <w:rPr>
          <w:sz w:val="24"/>
          <w:szCs w:val="24"/>
        </w:rPr>
        <w:br w:type="page"/>
      </w:r>
    </w:p>
    <w:p w14:paraId="23B05CDD" w14:textId="77777777" w:rsidR="00DE22D4" w:rsidRPr="00412F19" w:rsidRDefault="00DE22D4" w:rsidP="00412F19">
      <w:pPr>
        <w:ind w:left="851"/>
        <w:rPr>
          <w:sz w:val="24"/>
          <w:szCs w:val="24"/>
        </w:rPr>
      </w:pPr>
    </w:p>
    <w:p w14:paraId="5E497594" w14:textId="77777777" w:rsidR="00DE22D4" w:rsidRPr="00412F19" w:rsidRDefault="00DE22D4" w:rsidP="00412F19">
      <w:pPr>
        <w:ind w:left="851"/>
        <w:rPr>
          <w:sz w:val="24"/>
          <w:szCs w:val="24"/>
          <w:u w:val="single"/>
        </w:rPr>
      </w:pPr>
      <w:r w:rsidRPr="00412F19">
        <w:rPr>
          <w:sz w:val="24"/>
          <w:szCs w:val="24"/>
          <w:u w:val="single"/>
        </w:rPr>
        <w:t>Krydsresistens</w:t>
      </w:r>
    </w:p>
    <w:p w14:paraId="43309ABD" w14:textId="77777777" w:rsidR="00DE22D4" w:rsidRPr="00412F19" w:rsidRDefault="00DE22D4" w:rsidP="00412F19">
      <w:pPr>
        <w:ind w:left="851"/>
        <w:rPr>
          <w:sz w:val="24"/>
          <w:szCs w:val="24"/>
        </w:rPr>
      </w:pPr>
      <w:r w:rsidRPr="00412F19">
        <w:rPr>
          <w:sz w:val="24"/>
          <w:szCs w:val="24"/>
        </w:rPr>
        <w:t xml:space="preserve">Krydsresistens mellem </w:t>
      </w:r>
      <w:proofErr w:type="spellStart"/>
      <w:r w:rsidRPr="00412F19">
        <w:rPr>
          <w:sz w:val="24"/>
          <w:szCs w:val="24"/>
        </w:rPr>
        <w:t>fosfomycin</w:t>
      </w:r>
      <w:proofErr w:type="spellEnd"/>
      <w:r w:rsidRPr="00412F19">
        <w:rPr>
          <w:sz w:val="24"/>
          <w:szCs w:val="24"/>
        </w:rPr>
        <w:t xml:space="preserve"> og andre klasser af antibiotika er ikke kendt. </w:t>
      </w:r>
    </w:p>
    <w:p w14:paraId="3AAD14AF" w14:textId="77777777" w:rsidR="00DE22D4" w:rsidRPr="00412F19" w:rsidRDefault="00DE22D4" w:rsidP="00412F19">
      <w:pPr>
        <w:ind w:left="851"/>
        <w:rPr>
          <w:sz w:val="24"/>
          <w:szCs w:val="24"/>
        </w:rPr>
      </w:pPr>
    </w:p>
    <w:p w14:paraId="1CFF571E" w14:textId="77777777" w:rsidR="00DE22D4" w:rsidRPr="00412F19" w:rsidRDefault="00DE22D4" w:rsidP="00412F19">
      <w:pPr>
        <w:ind w:left="851"/>
        <w:rPr>
          <w:sz w:val="24"/>
          <w:szCs w:val="24"/>
          <w:u w:val="single"/>
        </w:rPr>
      </w:pPr>
      <w:r w:rsidRPr="00412F19">
        <w:rPr>
          <w:sz w:val="24"/>
          <w:szCs w:val="24"/>
          <w:u w:val="single"/>
        </w:rPr>
        <w:t xml:space="preserve">Følsomhedstestning </w:t>
      </w:r>
      <w:proofErr w:type="spellStart"/>
      <w:r w:rsidRPr="00412F19">
        <w:rPr>
          <w:sz w:val="24"/>
          <w:szCs w:val="24"/>
          <w:u w:val="single"/>
        </w:rPr>
        <w:t>breakpoints</w:t>
      </w:r>
      <w:proofErr w:type="spellEnd"/>
    </w:p>
    <w:p w14:paraId="0ABDCFB3" w14:textId="77777777" w:rsidR="00DE22D4" w:rsidRPr="00412F19" w:rsidRDefault="00DE22D4" w:rsidP="00412F19">
      <w:pPr>
        <w:ind w:left="851"/>
        <w:rPr>
          <w:sz w:val="24"/>
          <w:szCs w:val="24"/>
        </w:rPr>
      </w:pPr>
      <w:proofErr w:type="spellStart"/>
      <w:r w:rsidRPr="00412F19">
        <w:rPr>
          <w:sz w:val="24"/>
          <w:szCs w:val="24"/>
        </w:rPr>
        <w:t>Breakpoints</w:t>
      </w:r>
      <w:proofErr w:type="spellEnd"/>
      <w:r w:rsidRPr="00412F19">
        <w:rPr>
          <w:sz w:val="24"/>
          <w:szCs w:val="24"/>
        </w:rPr>
        <w:t xml:space="preserve"> for følsomhed fastsat af European </w:t>
      </w:r>
      <w:proofErr w:type="spellStart"/>
      <w:r w:rsidRPr="00412F19">
        <w:rPr>
          <w:sz w:val="24"/>
          <w:szCs w:val="24"/>
        </w:rPr>
        <w:t>Committee</w:t>
      </w:r>
      <w:proofErr w:type="spellEnd"/>
      <w:r w:rsidRPr="00412F19">
        <w:rPr>
          <w:sz w:val="24"/>
          <w:szCs w:val="24"/>
        </w:rPr>
        <w:t xml:space="preserve"> on </w:t>
      </w:r>
      <w:proofErr w:type="spellStart"/>
      <w:r w:rsidRPr="00412F19">
        <w:rPr>
          <w:sz w:val="24"/>
          <w:szCs w:val="24"/>
        </w:rPr>
        <w:t>Antimicrobial</w:t>
      </w:r>
      <w:proofErr w:type="spellEnd"/>
      <w:r w:rsidRPr="00412F19">
        <w:rPr>
          <w:sz w:val="24"/>
          <w:szCs w:val="24"/>
        </w:rPr>
        <w:t xml:space="preserve"> </w:t>
      </w:r>
      <w:proofErr w:type="spellStart"/>
      <w:r w:rsidRPr="00412F19">
        <w:rPr>
          <w:sz w:val="24"/>
          <w:szCs w:val="24"/>
        </w:rPr>
        <w:t>Susceptibility</w:t>
      </w:r>
      <w:proofErr w:type="spellEnd"/>
      <w:r w:rsidRPr="00412F19">
        <w:rPr>
          <w:sz w:val="24"/>
          <w:szCs w:val="24"/>
        </w:rPr>
        <w:t xml:space="preserve"> </w:t>
      </w:r>
      <w:proofErr w:type="spellStart"/>
      <w:r w:rsidRPr="00412F19">
        <w:rPr>
          <w:sz w:val="24"/>
          <w:szCs w:val="24"/>
        </w:rPr>
        <w:t>Testing</w:t>
      </w:r>
      <w:proofErr w:type="spellEnd"/>
      <w:r w:rsidRPr="00412F19">
        <w:rPr>
          <w:sz w:val="24"/>
          <w:szCs w:val="24"/>
        </w:rPr>
        <w:t xml:space="preserve"> er som følger (EUCAST </w:t>
      </w:r>
      <w:proofErr w:type="spellStart"/>
      <w:r w:rsidRPr="00412F19">
        <w:rPr>
          <w:sz w:val="24"/>
          <w:szCs w:val="24"/>
        </w:rPr>
        <w:t>breakpoint</w:t>
      </w:r>
      <w:proofErr w:type="spellEnd"/>
      <w:r w:rsidRPr="00412F19">
        <w:rPr>
          <w:sz w:val="24"/>
          <w:szCs w:val="24"/>
        </w:rPr>
        <w:t xml:space="preserve"> tabel version 10):</w:t>
      </w:r>
    </w:p>
    <w:p w14:paraId="2ED5C98A" w14:textId="77777777" w:rsidR="00DE22D4" w:rsidRPr="00412F19" w:rsidRDefault="00DE22D4" w:rsidP="00412F19">
      <w:pPr>
        <w:ind w:left="851"/>
        <w:rPr>
          <w:sz w:val="24"/>
          <w:szCs w:val="24"/>
        </w:rPr>
      </w:pPr>
    </w:p>
    <w:tbl>
      <w:tblPr>
        <w:tblW w:w="772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2268"/>
        <w:gridCol w:w="2906"/>
      </w:tblGrid>
      <w:tr w:rsidR="00DE22D4" w:rsidRPr="00C37DCA" w14:paraId="6D87B0FA" w14:textId="77777777" w:rsidTr="003C795F">
        <w:trPr>
          <w:trHeight w:val="422"/>
        </w:trPr>
        <w:tc>
          <w:tcPr>
            <w:tcW w:w="2551" w:type="dxa"/>
            <w:tcBorders>
              <w:top w:val="single" w:sz="4" w:space="0" w:color="000000"/>
              <w:left w:val="single" w:sz="4" w:space="0" w:color="000000"/>
              <w:bottom w:val="single" w:sz="4" w:space="0" w:color="000000"/>
              <w:right w:val="single" w:sz="4" w:space="0" w:color="000000"/>
            </w:tcBorders>
            <w:hideMark/>
          </w:tcPr>
          <w:p w14:paraId="5AA17FDC" w14:textId="77777777" w:rsidR="00DE22D4" w:rsidRPr="00C37DCA" w:rsidRDefault="00DE22D4">
            <w:pPr>
              <w:pStyle w:val="TableParagraph"/>
              <w:spacing w:before="63"/>
              <w:rPr>
                <w:rFonts w:ascii="Times New Roman" w:hAnsi="Times New Roman" w:cs="Times New Roman"/>
                <w:b/>
                <w:sz w:val="24"/>
                <w:szCs w:val="24"/>
              </w:rPr>
            </w:pPr>
            <w:r w:rsidRPr="00C37DCA">
              <w:rPr>
                <w:rFonts w:ascii="Times New Roman" w:hAnsi="Times New Roman" w:cs="Times New Roman"/>
                <w:b/>
                <w:sz w:val="24"/>
                <w:szCs w:val="24"/>
              </w:rPr>
              <w:t>Arter</w:t>
            </w:r>
          </w:p>
        </w:tc>
        <w:tc>
          <w:tcPr>
            <w:tcW w:w="2268" w:type="dxa"/>
            <w:tcBorders>
              <w:top w:val="single" w:sz="4" w:space="0" w:color="000000"/>
              <w:left w:val="single" w:sz="4" w:space="0" w:color="000000"/>
              <w:bottom w:val="single" w:sz="4" w:space="0" w:color="000000"/>
              <w:right w:val="single" w:sz="4" w:space="0" w:color="000000"/>
            </w:tcBorders>
            <w:hideMark/>
          </w:tcPr>
          <w:p w14:paraId="00B2F4C4" w14:textId="77777777" w:rsidR="00DE22D4" w:rsidRPr="00C37DCA" w:rsidRDefault="00DE22D4">
            <w:pPr>
              <w:pStyle w:val="TableParagraph"/>
              <w:spacing w:before="63"/>
              <w:rPr>
                <w:rFonts w:ascii="Times New Roman" w:hAnsi="Times New Roman" w:cs="Times New Roman"/>
                <w:b/>
                <w:sz w:val="24"/>
                <w:szCs w:val="24"/>
              </w:rPr>
            </w:pPr>
            <w:r w:rsidRPr="00C37DCA">
              <w:rPr>
                <w:rFonts w:ascii="Times New Roman" w:hAnsi="Times New Roman" w:cs="Times New Roman"/>
                <w:b/>
                <w:sz w:val="24"/>
                <w:szCs w:val="24"/>
              </w:rPr>
              <w:t>Følsom</w:t>
            </w:r>
          </w:p>
        </w:tc>
        <w:tc>
          <w:tcPr>
            <w:tcW w:w="2906" w:type="dxa"/>
            <w:tcBorders>
              <w:top w:val="single" w:sz="4" w:space="0" w:color="000000"/>
              <w:left w:val="single" w:sz="4" w:space="0" w:color="000000"/>
              <w:bottom w:val="single" w:sz="4" w:space="0" w:color="000000"/>
              <w:right w:val="single" w:sz="4" w:space="0" w:color="000000"/>
            </w:tcBorders>
            <w:hideMark/>
          </w:tcPr>
          <w:p w14:paraId="6C64AE82" w14:textId="77777777" w:rsidR="00DE22D4" w:rsidRPr="00C37DCA" w:rsidRDefault="00DE22D4">
            <w:pPr>
              <w:pStyle w:val="TableParagraph"/>
              <w:spacing w:before="63"/>
              <w:rPr>
                <w:rFonts w:ascii="Times New Roman" w:hAnsi="Times New Roman" w:cs="Times New Roman"/>
                <w:b/>
                <w:sz w:val="24"/>
                <w:szCs w:val="24"/>
              </w:rPr>
            </w:pPr>
            <w:r w:rsidRPr="00C37DCA">
              <w:rPr>
                <w:rFonts w:ascii="Times New Roman" w:hAnsi="Times New Roman" w:cs="Times New Roman"/>
                <w:b/>
                <w:sz w:val="24"/>
                <w:szCs w:val="24"/>
              </w:rPr>
              <w:t>resistent</w:t>
            </w:r>
          </w:p>
        </w:tc>
      </w:tr>
      <w:tr w:rsidR="00DE22D4" w:rsidRPr="00C37DCA" w14:paraId="1EF558C3" w14:textId="77777777" w:rsidTr="003C795F">
        <w:trPr>
          <w:trHeight w:val="419"/>
        </w:trPr>
        <w:tc>
          <w:tcPr>
            <w:tcW w:w="2551" w:type="dxa"/>
            <w:tcBorders>
              <w:top w:val="single" w:sz="4" w:space="0" w:color="000000"/>
              <w:left w:val="single" w:sz="4" w:space="0" w:color="000000"/>
              <w:bottom w:val="single" w:sz="4" w:space="0" w:color="000000"/>
              <w:right w:val="single" w:sz="4" w:space="0" w:color="000000"/>
            </w:tcBorders>
            <w:hideMark/>
          </w:tcPr>
          <w:p w14:paraId="099D6707" w14:textId="77777777" w:rsidR="00DE22D4" w:rsidRPr="00C37DCA" w:rsidRDefault="00DE22D4">
            <w:pPr>
              <w:pStyle w:val="TableParagraph"/>
              <w:spacing w:before="61"/>
              <w:rPr>
                <w:rFonts w:ascii="Times New Roman" w:hAnsi="Times New Roman" w:cs="Times New Roman"/>
                <w:i/>
                <w:sz w:val="24"/>
                <w:szCs w:val="24"/>
              </w:rPr>
            </w:pPr>
            <w:r w:rsidRPr="00C37DCA">
              <w:rPr>
                <w:rFonts w:ascii="Times New Roman" w:hAnsi="Times New Roman" w:cs="Times New Roman"/>
                <w:i/>
                <w:sz w:val="24"/>
                <w:szCs w:val="24"/>
              </w:rPr>
              <w:t>Enterobacterales</w:t>
            </w:r>
          </w:p>
        </w:tc>
        <w:tc>
          <w:tcPr>
            <w:tcW w:w="2268" w:type="dxa"/>
            <w:tcBorders>
              <w:top w:val="single" w:sz="4" w:space="0" w:color="000000"/>
              <w:left w:val="single" w:sz="4" w:space="0" w:color="000000"/>
              <w:bottom w:val="single" w:sz="4" w:space="0" w:color="000000"/>
              <w:right w:val="single" w:sz="4" w:space="0" w:color="000000"/>
            </w:tcBorders>
            <w:hideMark/>
          </w:tcPr>
          <w:p w14:paraId="768622EC" w14:textId="77777777" w:rsidR="00DE22D4" w:rsidRPr="00C37DCA" w:rsidRDefault="00DE22D4">
            <w:pPr>
              <w:pStyle w:val="TableParagraph"/>
              <w:spacing w:before="61"/>
              <w:rPr>
                <w:rFonts w:ascii="Times New Roman" w:hAnsi="Times New Roman" w:cs="Times New Roman"/>
                <w:sz w:val="24"/>
                <w:szCs w:val="24"/>
                <w:lang w:val="sk-SK"/>
              </w:rPr>
            </w:pPr>
            <w:r w:rsidRPr="00C37DCA">
              <w:rPr>
                <w:rFonts w:ascii="Times New Roman" w:hAnsi="Times New Roman" w:cs="Times New Roman"/>
                <w:sz w:val="24"/>
                <w:szCs w:val="24"/>
              </w:rPr>
              <w:t>≤ 32 mg/</w:t>
            </w:r>
            <w:r w:rsidRPr="00C37DCA">
              <w:rPr>
                <w:rFonts w:ascii="Times New Roman" w:hAnsi="Times New Roman" w:cs="Times New Roman"/>
                <w:sz w:val="24"/>
                <w:szCs w:val="24"/>
                <w:lang w:val="sk-SK"/>
              </w:rPr>
              <w:t>L</w:t>
            </w:r>
          </w:p>
        </w:tc>
        <w:tc>
          <w:tcPr>
            <w:tcW w:w="2906" w:type="dxa"/>
            <w:tcBorders>
              <w:top w:val="single" w:sz="4" w:space="0" w:color="000000"/>
              <w:left w:val="single" w:sz="4" w:space="0" w:color="000000"/>
              <w:bottom w:val="single" w:sz="4" w:space="0" w:color="000000"/>
              <w:right w:val="single" w:sz="4" w:space="0" w:color="000000"/>
            </w:tcBorders>
            <w:hideMark/>
          </w:tcPr>
          <w:p w14:paraId="12F6BE75" w14:textId="77777777" w:rsidR="00DE22D4" w:rsidRPr="00C37DCA" w:rsidRDefault="00DE22D4">
            <w:pPr>
              <w:pStyle w:val="TableParagraph"/>
              <w:spacing w:before="61"/>
              <w:rPr>
                <w:rFonts w:ascii="Times New Roman" w:hAnsi="Times New Roman" w:cs="Times New Roman"/>
                <w:sz w:val="24"/>
                <w:szCs w:val="24"/>
                <w:lang w:val="sk-SK"/>
              </w:rPr>
            </w:pPr>
            <w:r w:rsidRPr="00C37DCA">
              <w:rPr>
                <w:rFonts w:ascii="Times New Roman" w:hAnsi="Times New Roman" w:cs="Times New Roman"/>
                <w:sz w:val="24"/>
                <w:szCs w:val="24"/>
              </w:rPr>
              <w:t>&gt; 32 mg/</w:t>
            </w:r>
            <w:r w:rsidRPr="00C37DCA">
              <w:rPr>
                <w:rFonts w:ascii="Times New Roman" w:hAnsi="Times New Roman" w:cs="Times New Roman"/>
                <w:sz w:val="24"/>
                <w:szCs w:val="24"/>
                <w:lang w:val="sk-SK"/>
              </w:rPr>
              <w:t>L</w:t>
            </w:r>
          </w:p>
        </w:tc>
      </w:tr>
    </w:tbl>
    <w:p w14:paraId="455AE48A" w14:textId="77777777" w:rsidR="00DE22D4" w:rsidRPr="00412F19" w:rsidRDefault="00DE22D4" w:rsidP="00412F19">
      <w:pPr>
        <w:ind w:left="851"/>
        <w:rPr>
          <w:sz w:val="24"/>
          <w:szCs w:val="24"/>
        </w:rPr>
      </w:pPr>
    </w:p>
    <w:p w14:paraId="4AFE68B6" w14:textId="77777777" w:rsidR="00DE22D4" w:rsidRPr="003C795F" w:rsidRDefault="00DE22D4" w:rsidP="00412F19">
      <w:pPr>
        <w:ind w:left="851"/>
        <w:rPr>
          <w:sz w:val="24"/>
          <w:szCs w:val="24"/>
          <w:u w:val="single"/>
        </w:rPr>
      </w:pPr>
      <w:r w:rsidRPr="003C795F">
        <w:rPr>
          <w:sz w:val="24"/>
          <w:szCs w:val="24"/>
          <w:u w:val="single"/>
        </w:rPr>
        <w:t>Prævalens af erhvervet resistens</w:t>
      </w:r>
    </w:p>
    <w:p w14:paraId="1D03DB25" w14:textId="77777777" w:rsidR="00DE22D4" w:rsidRPr="00412F19" w:rsidRDefault="00DE22D4" w:rsidP="00412F19">
      <w:pPr>
        <w:ind w:left="851"/>
        <w:rPr>
          <w:sz w:val="24"/>
          <w:szCs w:val="24"/>
        </w:rPr>
      </w:pPr>
      <w:r w:rsidRPr="00412F19">
        <w:rPr>
          <w:sz w:val="24"/>
          <w:szCs w:val="24"/>
        </w:rPr>
        <w:t>Prævalensen af erhvervet resistens for individuelle arter kan variere geografisk og over tid. Lokal information om resistenssituationen er derfor nødvendig, navnlig for at sørge for korrekt behandling af svære infektioner.</w:t>
      </w:r>
    </w:p>
    <w:p w14:paraId="37FAE9CB" w14:textId="77777777" w:rsidR="00DE22D4" w:rsidRPr="00412F19" w:rsidRDefault="00DE22D4" w:rsidP="00412F19">
      <w:pPr>
        <w:ind w:left="851"/>
        <w:rPr>
          <w:sz w:val="24"/>
          <w:szCs w:val="24"/>
        </w:rPr>
      </w:pPr>
    </w:p>
    <w:p w14:paraId="2FE7D1EF" w14:textId="77777777" w:rsidR="00DE22D4" w:rsidRPr="00412F19" w:rsidRDefault="00DE22D4" w:rsidP="00412F19">
      <w:pPr>
        <w:ind w:left="851"/>
        <w:rPr>
          <w:sz w:val="24"/>
          <w:szCs w:val="24"/>
        </w:rPr>
      </w:pPr>
      <w:r w:rsidRPr="00412F19">
        <w:rPr>
          <w:sz w:val="24"/>
          <w:szCs w:val="24"/>
        </w:rPr>
        <w:t>Følgende tabel er baseret på data fra overvågningsprogrammer og -studier. Den omfatter organismer relevante for de godkendte indikationer:</w:t>
      </w:r>
    </w:p>
    <w:p w14:paraId="3D9A44A6" w14:textId="77777777" w:rsidR="00412F19" w:rsidRDefault="00412F19" w:rsidP="00412F19">
      <w:pPr>
        <w:ind w:left="851"/>
        <w:rPr>
          <w:b/>
          <w:bCs/>
          <w:sz w:val="24"/>
          <w:szCs w:val="24"/>
        </w:rPr>
      </w:pPr>
    </w:p>
    <w:p w14:paraId="6B6D98B6" w14:textId="4121828D" w:rsidR="00DE22D4" w:rsidRPr="00412F19" w:rsidRDefault="00DE22D4" w:rsidP="00412F19">
      <w:pPr>
        <w:ind w:left="851"/>
        <w:rPr>
          <w:b/>
          <w:bCs/>
          <w:sz w:val="24"/>
          <w:szCs w:val="24"/>
        </w:rPr>
      </w:pPr>
      <w:r w:rsidRPr="00412F19">
        <w:rPr>
          <w:b/>
          <w:bCs/>
          <w:sz w:val="24"/>
          <w:szCs w:val="24"/>
        </w:rPr>
        <w:t>Sædvanligvis følsomme arter</w:t>
      </w:r>
    </w:p>
    <w:p w14:paraId="6688649E" w14:textId="77777777" w:rsidR="00DE22D4" w:rsidRPr="00412F19" w:rsidRDefault="00DE22D4" w:rsidP="00412F19">
      <w:pPr>
        <w:ind w:left="851"/>
        <w:rPr>
          <w:b/>
          <w:bCs/>
          <w:sz w:val="24"/>
          <w:szCs w:val="24"/>
        </w:rPr>
      </w:pPr>
      <w:r w:rsidRPr="00412F19">
        <w:rPr>
          <w:b/>
          <w:bCs/>
          <w:i/>
          <w:sz w:val="24"/>
          <w:szCs w:val="24"/>
        </w:rPr>
        <w:t>Aerobe gramnegative mikroorganismer</w:t>
      </w:r>
    </w:p>
    <w:p w14:paraId="1988EDD3" w14:textId="77777777" w:rsidR="00DE22D4" w:rsidRPr="00412F19" w:rsidRDefault="00DE22D4" w:rsidP="00412F19">
      <w:pPr>
        <w:ind w:left="851"/>
        <w:rPr>
          <w:i/>
          <w:sz w:val="24"/>
          <w:szCs w:val="24"/>
        </w:rPr>
      </w:pPr>
      <w:r w:rsidRPr="00412F19">
        <w:rPr>
          <w:i/>
          <w:sz w:val="24"/>
          <w:szCs w:val="24"/>
        </w:rPr>
        <w:t>Escherichia coli</w:t>
      </w:r>
    </w:p>
    <w:p w14:paraId="0D3B0FB3" w14:textId="77777777" w:rsidR="00412F19" w:rsidRDefault="00412F19" w:rsidP="00412F19">
      <w:pPr>
        <w:ind w:left="851"/>
        <w:rPr>
          <w:b/>
          <w:bCs/>
          <w:sz w:val="24"/>
          <w:szCs w:val="24"/>
        </w:rPr>
      </w:pPr>
    </w:p>
    <w:p w14:paraId="351864C3" w14:textId="62485D95" w:rsidR="00DE22D4" w:rsidRPr="00412F19" w:rsidRDefault="00DE22D4" w:rsidP="00412F19">
      <w:pPr>
        <w:ind w:left="851"/>
        <w:rPr>
          <w:b/>
          <w:bCs/>
          <w:sz w:val="24"/>
          <w:szCs w:val="24"/>
        </w:rPr>
      </w:pPr>
      <w:r w:rsidRPr="00412F19">
        <w:rPr>
          <w:b/>
          <w:bCs/>
          <w:sz w:val="24"/>
          <w:szCs w:val="24"/>
        </w:rPr>
        <w:t>Arter for hvilke erhvervet resistens kan være et problem</w:t>
      </w:r>
    </w:p>
    <w:p w14:paraId="03DE4DA8" w14:textId="77777777" w:rsidR="00DE22D4" w:rsidRPr="00412F19" w:rsidRDefault="00DE22D4" w:rsidP="00412F19">
      <w:pPr>
        <w:ind w:left="851"/>
        <w:rPr>
          <w:sz w:val="24"/>
          <w:szCs w:val="24"/>
        </w:rPr>
      </w:pPr>
      <w:r w:rsidRPr="00412F19">
        <w:rPr>
          <w:b/>
          <w:bCs/>
          <w:i/>
          <w:sz w:val="24"/>
          <w:szCs w:val="24"/>
        </w:rPr>
        <w:t>Aerobe grampositive mikroorganismer</w:t>
      </w:r>
    </w:p>
    <w:p w14:paraId="0255DE15" w14:textId="77777777" w:rsidR="00DE22D4" w:rsidRPr="00412F19" w:rsidRDefault="00DE22D4" w:rsidP="00412F19">
      <w:pPr>
        <w:ind w:left="851"/>
        <w:rPr>
          <w:i/>
          <w:sz w:val="24"/>
          <w:szCs w:val="24"/>
        </w:rPr>
      </w:pPr>
      <w:proofErr w:type="spellStart"/>
      <w:r w:rsidRPr="00412F19">
        <w:rPr>
          <w:i/>
          <w:sz w:val="24"/>
          <w:szCs w:val="24"/>
        </w:rPr>
        <w:t>Enterococcus</w:t>
      </w:r>
      <w:proofErr w:type="spellEnd"/>
      <w:r w:rsidRPr="00412F19">
        <w:rPr>
          <w:i/>
          <w:sz w:val="24"/>
          <w:szCs w:val="24"/>
        </w:rPr>
        <w:t xml:space="preserve"> </w:t>
      </w:r>
      <w:proofErr w:type="spellStart"/>
      <w:r w:rsidRPr="00412F19">
        <w:rPr>
          <w:i/>
          <w:sz w:val="24"/>
          <w:szCs w:val="24"/>
        </w:rPr>
        <w:t>faecalis</w:t>
      </w:r>
      <w:proofErr w:type="spellEnd"/>
    </w:p>
    <w:p w14:paraId="33357A03" w14:textId="77777777" w:rsidR="00DE22D4" w:rsidRPr="00412F19" w:rsidRDefault="00DE22D4" w:rsidP="00412F19">
      <w:pPr>
        <w:ind w:left="851"/>
        <w:rPr>
          <w:b/>
          <w:bCs/>
          <w:sz w:val="24"/>
          <w:szCs w:val="24"/>
        </w:rPr>
      </w:pPr>
      <w:r w:rsidRPr="00412F19">
        <w:rPr>
          <w:b/>
          <w:bCs/>
          <w:i/>
          <w:sz w:val="24"/>
          <w:szCs w:val="24"/>
        </w:rPr>
        <w:t>Aerobe gramnegative mikroorganismer</w:t>
      </w:r>
    </w:p>
    <w:p w14:paraId="25968947" w14:textId="77777777" w:rsidR="00DE22D4" w:rsidRPr="00412F19" w:rsidRDefault="00DE22D4" w:rsidP="00412F19">
      <w:pPr>
        <w:ind w:left="851"/>
        <w:rPr>
          <w:i/>
          <w:sz w:val="24"/>
          <w:szCs w:val="24"/>
        </w:rPr>
      </w:pPr>
      <w:proofErr w:type="spellStart"/>
      <w:r w:rsidRPr="00412F19">
        <w:rPr>
          <w:i/>
          <w:sz w:val="24"/>
          <w:szCs w:val="24"/>
        </w:rPr>
        <w:t>Klebsiella</w:t>
      </w:r>
      <w:proofErr w:type="spellEnd"/>
      <w:r w:rsidRPr="00412F19">
        <w:rPr>
          <w:i/>
          <w:sz w:val="24"/>
          <w:szCs w:val="24"/>
        </w:rPr>
        <w:t xml:space="preserve"> </w:t>
      </w:r>
      <w:proofErr w:type="spellStart"/>
      <w:r w:rsidRPr="00412F19">
        <w:rPr>
          <w:i/>
          <w:sz w:val="24"/>
          <w:szCs w:val="24"/>
        </w:rPr>
        <w:t>pneumonia</w:t>
      </w:r>
      <w:proofErr w:type="spellEnd"/>
    </w:p>
    <w:p w14:paraId="1B1D3E83" w14:textId="77777777" w:rsidR="00DE22D4" w:rsidRPr="00412F19" w:rsidRDefault="00DE22D4" w:rsidP="00412F19">
      <w:pPr>
        <w:ind w:left="851"/>
        <w:rPr>
          <w:i/>
          <w:sz w:val="24"/>
          <w:szCs w:val="24"/>
        </w:rPr>
      </w:pPr>
      <w:r w:rsidRPr="00412F19">
        <w:rPr>
          <w:i/>
          <w:sz w:val="24"/>
          <w:szCs w:val="24"/>
        </w:rPr>
        <w:t xml:space="preserve">Proteus </w:t>
      </w:r>
      <w:proofErr w:type="spellStart"/>
      <w:r w:rsidRPr="00412F19">
        <w:rPr>
          <w:i/>
          <w:sz w:val="24"/>
          <w:szCs w:val="24"/>
        </w:rPr>
        <w:t>mirabilis</w:t>
      </w:r>
      <w:proofErr w:type="spellEnd"/>
    </w:p>
    <w:p w14:paraId="4BF3F9A3" w14:textId="77777777" w:rsidR="00DE22D4" w:rsidRPr="00412F19" w:rsidRDefault="00DE22D4" w:rsidP="00412F19">
      <w:pPr>
        <w:ind w:left="851"/>
        <w:rPr>
          <w:sz w:val="24"/>
          <w:szCs w:val="24"/>
        </w:rPr>
      </w:pPr>
      <w:r w:rsidRPr="00412F19">
        <w:rPr>
          <w:sz w:val="24"/>
          <w:szCs w:val="24"/>
        </w:rPr>
        <w:t>Arter med medfødt resistens</w:t>
      </w:r>
      <w:r w:rsidRPr="00412F19">
        <w:rPr>
          <w:sz w:val="24"/>
          <w:szCs w:val="24"/>
        </w:rPr>
        <w:br/>
      </w:r>
      <w:r w:rsidRPr="00412F19">
        <w:rPr>
          <w:i/>
          <w:sz w:val="24"/>
          <w:szCs w:val="24"/>
        </w:rPr>
        <w:t>Aerobe grampositive mikroorganismer</w:t>
      </w:r>
      <w:r w:rsidRPr="00412F19">
        <w:rPr>
          <w:sz w:val="24"/>
          <w:szCs w:val="24"/>
        </w:rPr>
        <w:br/>
      </w:r>
      <w:r w:rsidRPr="00412F19">
        <w:rPr>
          <w:i/>
          <w:sz w:val="24"/>
          <w:szCs w:val="24"/>
        </w:rPr>
        <w:t>Staphylococcus saprophyticus</w:t>
      </w:r>
    </w:p>
    <w:p w14:paraId="507353D3" w14:textId="77777777" w:rsidR="009260DE" w:rsidRPr="00412F19" w:rsidRDefault="009260DE" w:rsidP="00412F19">
      <w:pPr>
        <w:ind w:left="851"/>
        <w:rPr>
          <w:sz w:val="24"/>
          <w:szCs w:val="24"/>
        </w:rPr>
      </w:pPr>
    </w:p>
    <w:p w14:paraId="7363A02A" w14:textId="77777777" w:rsidR="009260DE" w:rsidRPr="00C37DCA" w:rsidRDefault="009260DE" w:rsidP="009260DE">
      <w:pPr>
        <w:tabs>
          <w:tab w:val="left" w:pos="851"/>
        </w:tabs>
        <w:ind w:left="851" w:hanging="851"/>
        <w:rPr>
          <w:b/>
          <w:sz w:val="24"/>
          <w:szCs w:val="24"/>
        </w:rPr>
      </w:pPr>
      <w:r w:rsidRPr="00C37DCA">
        <w:rPr>
          <w:b/>
          <w:sz w:val="24"/>
          <w:szCs w:val="24"/>
        </w:rPr>
        <w:t>5.2</w:t>
      </w:r>
      <w:r w:rsidRPr="00C37DCA">
        <w:rPr>
          <w:b/>
          <w:sz w:val="24"/>
          <w:szCs w:val="24"/>
        </w:rPr>
        <w:tab/>
      </w:r>
      <w:proofErr w:type="spellStart"/>
      <w:r w:rsidRPr="00C37DCA">
        <w:rPr>
          <w:b/>
          <w:sz w:val="24"/>
          <w:szCs w:val="24"/>
        </w:rPr>
        <w:t>Farmakokinetiske</w:t>
      </w:r>
      <w:proofErr w:type="spellEnd"/>
      <w:r w:rsidRPr="00C37DCA">
        <w:rPr>
          <w:b/>
          <w:sz w:val="24"/>
          <w:szCs w:val="24"/>
        </w:rPr>
        <w:t xml:space="preserve"> egenskaber</w:t>
      </w:r>
    </w:p>
    <w:p w14:paraId="0D8ECB06" w14:textId="77777777" w:rsidR="003A0FA1" w:rsidRDefault="003A0FA1" w:rsidP="00DE22D4">
      <w:pPr>
        <w:widowControl w:val="0"/>
        <w:autoSpaceDE w:val="0"/>
        <w:autoSpaceDN w:val="0"/>
        <w:adjustRightInd w:val="0"/>
        <w:rPr>
          <w:sz w:val="24"/>
          <w:szCs w:val="24"/>
          <w:u w:val="single"/>
          <w:lang w:val="pt-BR"/>
        </w:rPr>
      </w:pPr>
    </w:p>
    <w:p w14:paraId="4EBCB950" w14:textId="3EDBB3D5" w:rsidR="00DE22D4" w:rsidRPr="003A0FA1" w:rsidRDefault="00DE22D4" w:rsidP="003A0FA1">
      <w:pPr>
        <w:ind w:left="851"/>
        <w:rPr>
          <w:sz w:val="24"/>
          <w:szCs w:val="24"/>
          <w:u w:val="single"/>
          <w:lang w:val="pt-BR" w:eastAsia="da-DK"/>
        </w:rPr>
      </w:pPr>
      <w:r w:rsidRPr="003A0FA1">
        <w:rPr>
          <w:sz w:val="24"/>
          <w:szCs w:val="24"/>
          <w:u w:val="single"/>
          <w:lang w:val="pt-BR"/>
        </w:rPr>
        <w:t>Absorption</w:t>
      </w:r>
    </w:p>
    <w:p w14:paraId="391E17BE" w14:textId="77777777" w:rsidR="00DE22D4" w:rsidRPr="003A0FA1" w:rsidRDefault="00DE22D4" w:rsidP="003A0FA1">
      <w:pPr>
        <w:ind w:left="851"/>
        <w:rPr>
          <w:sz w:val="24"/>
          <w:szCs w:val="24"/>
          <w:lang w:val="fr-LU"/>
        </w:rPr>
      </w:pPr>
      <w:r w:rsidRPr="003A0FA1">
        <w:rPr>
          <w:sz w:val="24"/>
          <w:szCs w:val="24"/>
          <w:lang w:val="pt-BR"/>
        </w:rPr>
        <w:t xml:space="preserve">Efter oral administration </w:t>
      </w:r>
      <w:r w:rsidRPr="003A0FA1">
        <w:rPr>
          <w:sz w:val="24"/>
          <w:szCs w:val="24"/>
        </w:rPr>
        <w:t xml:space="preserve">af en enkelt dosis, har </w:t>
      </w:r>
      <w:proofErr w:type="spellStart"/>
      <w:r w:rsidRPr="003A0FA1">
        <w:rPr>
          <w:sz w:val="24"/>
          <w:szCs w:val="24"/>
        </w:rPr>
        <w:t>fosfomycin</w:t>
      </w:r>
      <w:proofErr w:type="spellEnd"/>
      <w:r w:rsidRPr="003A0FA1">
        <w:rPr>
          <w:sz w:val="24"/>
          <w:szCs w:val="24"/>
        </w:rPr>
        <w:t xml:space="preserve"> trometamol en absolut biotilgængelighed på cirka 33-53 %. Rate og grad af absorption reduceres af føde, men den samlede mængde aktivt stof, som udskilles i urinen over tid, er den samme. Gennemsnitlige koncentrationer af </w:t>
      </w:r>
      <w:proofErr w:type="spellStart"/>
      <w:r w:rsidRPr="003A0FA1">
        <w:rPr>
          <w:sz w:val="24"/>
          <w:szCs w:val="24"/>
        </w:rPr>
        <w:t>fosfomycin</w:t>
      </w:r>
      <w:proofErr w:type="spellEnd"/>
      <w:r w:rsidRPr="003A0FA1">
        <w:rPr>
          <w:sz w:val="24"/>
          <w:szCs w:val="24"/>
        </w:rPr>
        <w:t xml:space="preserve"> forbliver over en MIC-tærskel på 128 </w:t>
      </w:r>
      <w:proofErr w:type="spellStart"/>
      <w:r w:rsidRPr="003A0FA1">
        <w:rPr>
          <w:sz w:val="24"/>
          <w:szCs w:val="24"/>
        </w:rPr>
        <w:t>μg</w:t>
      </w:r>
      <w:proofErr w:type="spellEnd"/>
      <w:r w:rsidRPr="003A0FA1">
        <w:rPr>
          <w:sz w:val="24"/>
          <w:szCs w:val="24"/>
        </w:rPr>
        <w:t xml:space="preserve">/ml i mindst 24 timer efter en oral dosis på 3 g i enten fastende tilstand eller efter fødeindtagelse, men tid til at opnå maksimale koncentrationer i urinen er forsinket med 4 timer. </w:t>
      </w:r>
      <w:proofErr w:type="spellStart"/>
      <w:r w:rsidRPr="003A0FA1">
        <w:rPr>
          <w:sz w:val="24"/>
          <w:szCs w:val="24"/>
        </w:rPr>
        <w:t>Fosfomycin</w:t>
      </w:r>
      <w:proofErr w:type="spellEnd"/>
      <w:r w:rsidRPr="003A0FA1">
        <w:rPr>
          <w:sz w:val="24"/>
          <w:szCs w:val="24"/>
        </w:rPr>
        <w:t xml:space="preserve"> trometamol gennemgår </w:t>
      </w:r>
      <w:proofErr w:type="spellStart"/>
      <w:r w:rsidRPr="003A0FA1">
        <w:rPr>
          <w:sz w:val="24"/>
          <w:szCs w:val="24"/>
        </w:rPr>
        <w:t>enterohepatisk</w:t>
      </w:r>
      <w:proofErr w:type="spellEnd"/>
      <w:r w:rsidRPr="003A0FA1">
        <w:rPr>
          <w:sz w:val="24"/>
          <w:szCs w:val="24"/>
        </w:rPr>
        <w:t xml:space="preserve"> recirkulation.</w:t>
      </w:r>
    </w:p>
    <w:p w14:paraId="52819A28" w14:textId="77777777" w:rsidR="00DE22D4" w:rsidRPr="003A0FA1" w:rsidRDefault="00DE22D4" w:rsidP="003A0FA1">
      <w:pPr>
        <w:ind w:left="851"/>
        <w:rPr>
          <w:sz w:val="24"/>
          <w:szCs w:val="24"/>
        </w:rPr>
      </w:pPr>
    </w:p>
    <w:p w14:paraId="5103CAF8" w14:textId="77777777" w:rsidR="00DE22D4" w:rsidRPr="003A0FA1" w:rsidRDefault="00DE22D4" w:rsidP="003A0FA1">
      <w:pPr>
        <w:ind w:left="851"/>
        <w:rPr>
          <w:sz w:val="24"/>
          <w:szCs w:val="24"/>
          <w:u w:val="single"/>
        </w:rPr>
      </w:pPr>
      <w:r w:rsidRPr="003A0FA1">
        <w:rPr>
          <w:noProof/>
          <w:sz w:val="24"/>
          <w:szCs w:val="24"/>
          <w:u w:val="single"/>
        </w:rPr>
        <w:t>Fordeling</w:t>
      </w:r>
      <w:r w:rsidRPr="003A0FA1">
        <w:rPr>
          <w:sz w:val="24"/>
          <w:szCs w:val="24"/>
          <w:u w:val="single"/>
        </w:rPr>
        <w:t xml:space="preserve"> </w:t>
      </w:r>
    </w:p>
    <w:p w14:paraId="198E6F27" w14:textId="77777777" w:rsidR="00DE22D4" w:rsidRPr="003A0FA1" w:rsidRDefault="00DE22D4" w:rsidP="003A0FA1">
      <w:pPr>
        <w:ind w:left="851"/>
        <w:rPr>
          <w:sz w:val="24"/>
          <w:szCs w:val="24"/>
        </w:rPr>
      </w:pPr>
      <w:proofErr w:type="spellStart"/>
      <w:r w:rsidRPr="003A0FA1">
        <w:rPr>
          <w:sz w:val="24"/>
          <w:szCs w:val="24"/>
        </w:rPr>
        <w:t>Fosfomycin</w:t>
      </w:r>
      <w:proofErr w:type="spellEnd"/>
      <w:r w:rsidRPr="003A0FA1">
        <w:rPr>
          <w:sz w:val="24"/>
          <w:szCs w:val="24"/>
        </w:rPr>
        <w:t xml:space="preserve"> synes ikke at blive </w:t>
      </w:r>
      <w:proofErr w:type="spellStart"/>
      <w:r w:rsidRPr="003A0FA1">
        <w:rPr>
          <w:sz w:val="24"/>
          <w:szCs w:val="24"/>
        </w:rPr>
        <w:t>metaboliseret</w:t>
      </w:r>
      <w:proofErr w:type="spellEnd"/>
      <w:r w:rsidRPr="003A0FA1">
        <w:rPr>
          <w:sz w:val="24"/>
          <w:szCs w:val="24"/>
        </w:rPr>
        <w:t xml:space="preserve">. </w:t>
      </w:r>
      <w:proofErr w:type="spellStart"/>
      <w:r w:rsidRPr="003A0FA1">
        <w:rPr>
          <w:sz w:val="24"/>
          <w:szCs w:val="24"/>
        </w:rPr>
        <w:t>Fosfomycin</w:t>
      </w:r>
      <w:proofErr w:type="spellEnd"/>
      <w:r w:rsidRPr="003A0FA1">
        <w:rPr>
          <w:sz w:val="24"/>
          <w:szCs w:val="24"/>
        </w:rPr>
        <w:t xml:space="preserve"> distribueres til væv, inklusive nyrerne og blærevæggen. </w:t>
      </w:r>
      <w:proofErr w:type="spellStart"/>
      <w:r w:rsidRPr="003A0FA1">
        <w:rPr>
          <w:sz w:val="24"/>
          <w:szCs w:val="24"/>
        </w:rPr>
        <w:t>Fosfomycin</w:t>
      </w:r>
      <w:proofErr w:type="spellEnd"/>
      <w:r w:rsidRPr="003A0FA1">
        <w:rPr>
          <w:sz w:val="24"/>
          <w:szCs w:val="24"/>
        </w:rPr>
        <w:t xml:space="preserve"> er ikke bundet til plasmaproteiner og krydser placentabarrieren.</w:t>
      </w:r>
    </w:p>
    <w:p w14:paraId="084AE398" w14:textId="7AE157CF" w:rsidR="000E31D2" w:rsidRDefault="000E31D2">
      <w:pPr>
        <w:rPr>
          <w:sz w:val="24"/>
          <w:szCs w:val="24"/>
        </w:rPr>
      </w:pPr>
      <w:r>
        <w:rPr>
          <w:sz w:val="24"/>
          <w:szCs w:val="24"/>
        </w:rPr>
        <w:br w:type="page"/>
      </w:r>
    </w:p>
    <w:p w14:paraId="31F29BD5" w14:textId="77777777" w:rsidR="00DE22D4" w:rsidRPr="003A0FA1" w:rsidRDefault="00DE22D4" w:rsidP="003A0FA1">
      <w:pPr>
        <w:ind w:left="851"/>
        <w:rPr>
          <w:sz w:val="24"/>
          <w:szCs w:val="24"/>
        </w:rPr>
      </w:pPr>
    </w:p>
    <w:p w14:paraId="3C09E914" w14:textId="77777777" w:rsidR="00DE22D4" w:rsidRPr="003A0FA1" w:rsidRDefault="00DE22D4" w:rsidP="003A0FA1">
      <w:pPr>
        <w:ind w:left="851"/>
        <w:rPr>
          <w:sz w:val="24"/>
          <w:szCs w:val="24"/>
          <w:u w:val="single"/>
        </w:rPr>
      </w:pPr>
      <w:r w:rsidRPr="003A0FA1">
        <w:rPr>
          <w:sz w:val="24"/>
          <w:szCs w:val="24"/>
          <w:u w:val="single"/>
        </w:rPr>
        <w:t>Elimination</w:t>
      </w:r>
    </w:p>
    <w:p w14:paraId="633F7A35" w14:textId="797D8D05" w:rsidR="00DE22D4" w:rsidRPr="003A0FA1" w:rsidRDefault="00DE22D4" w:rsidP="003A0FA1">
      <w:pPr>
        <w:ind w:left="851"/>
        <w:rPr>
          <w:sz w:val="24"/>
          <w:szCs w:val="24"/>
        </w:rPr>
      </w:pPr>
      <w:proofErr w:type="spellStart"/>
      <w:r w:rsidRPr="003A0FA1">
        <w:rPr>
          <w:sz w:val="24"/>
          <w:szCs w:val="24"/>
        </w:rPr>
        <w:t>Fosfomycin</w:t>
      </w:r>
      <w:proofErr w:type="spellEnd"/>
      <w:r w:rsidRPr="003A0FA1">
        <w:rPr>
          <w:sz w:val="24"/>
          <w:szCs w:val="24"/>
        </w:rPr>
        <w:t xml:space="preserve"> udskilles uændret hovedsageligt via nyrerne ved </w:t>
      </w:r>
      <w:proofErr w:type="spellStart"/>
      <w:r w:rsidRPr="003A0FA1">
        <w:rPr>
          <w:sz w:val="24"/>
          <w:szCs w:val="24"/>
        </w:rPr>
        <w:t>glomerulær</w:t>
      </w:r>
      <w:proofErr w:type="spellEnd"/>
      <w:r w:rsidRPr="003A0FA1">
        <w:rPr>
          <w:sz w:val="24"/>
          <w:szCs w:val="24"/>
        </w:rPr>
        <w:t xml:space="preserve"> filtration (40-50</w:t>
      </w:r>
      <w:r w:rsidR="000E31D2">
        <w:rPr>
          <w:sz w:val="24"/>
          <w:szCs w:val="24"/>
        </w:rPr>
        <w:t> </w:t>
      </w:r>
      <w:r w:rsidRPr="003A0FA1">
        <w:rPr>
          <w:sz w:val="24"/>
          <w:szCs w:val="24"/>
        </w:rPr>
        <w:t>% af dosis udskilles i urinen) med en eliminationshalveringstid på ca. 4 timer efter oral anvendelse og i mindre grad i fæces (18-28 % af dosen). Selvom føde forsinker lægemiddelabsorption, er den samlede mængde lægemiddel, som udskilles i urinen over tid, den samme.</w:t>
      </w:r>
    </w:p>
    <w:p w14:paraId="3C990AE5" w14:textId="77777777" w:rsidR="003A0FA1" w:rsidRDefault="003A0FA1" w:rsidP="003A0FA1">
      <w:pPr>
        <w:ind w:left="851"/>
        <w:rPr>
          <w:sz w:val="24"/>
          <w:szCs w:val="24"/>
        </w:rPr>
      </w:pPr>
    </w:p>
    <w:p w14:paraId="15402A35" w14:textId="6BE49E47" w:rsidR="00DE22D4" w:rsidRPr="003A0FA1" w:rsidRDefault="00DE22D4" w:rsidP="003A0FA1">
      <w:pPr>
        <w:ind w:left="851"/>
        <w:rPr>
          <w:sz w:val="24"/>
          <w:szCs w:val="24"/>
          <w:u w:val="single"/>
        </w:rPr>
      </w:pPr>
      <w:r w:rsidRPr="003A0FA1">
        <w:rPr>
          <w:sz w:val="24"/>
          <w:szCs w:val="24"/>
          <w:u w:val="single"/>
        </w:rPr>
        <w:t>Særlige populationer</w:t>
      </w:r>
    </w:p>
    <w:p w14:paraId="599FFCC2" w14:textId="77777777" w:rsidR="00DE22D4" w:rsidRPr="003A0FA1" w:rsidRDefault="00DE22D4" w:rsidP="003A0FA1">
      <w:pPr>
        <w:ind w:left="851"/>
        <w:rPr>
          <w:sz w:val="24"/>
          <w:szCs w:val="24"/>
        </w:rPr>
      </w:pPr>
      <w:r w:rsidRPr="003A0FA1">
        <w:rPr>
          <w:sz w:val="24"/>
          <w:szCs w:val="24"/>
        </w:rPr>
        <w:t xml:space="preserve">Hos patienter med nedsat nyrefunktion er eliminationshalveringstiden forøget proportionalt i forhold til graden af nyreinsufficiens. Urinkoncentrationer af </w:t>
      </w:r>
      <w:proofErr w:type="spellStart"/>
      <w:r w:rsidRPr="003A0FA1">
        <w:rPr>
          <w:sz w:val="24"/>
          <w:szCs w:val="24"/>
        </w:rPr>
        <w:t>fosfomycin</w:t>
      </w:r>
      <w:proofErr w:type="spellEnd"/>
      <w:r w:rsidRPr="003A0FA1">
        <w:rPr>
          <w:sz w:val="24"/>
          <w:szCs w:val="24"/>
        </w:rPr>
        <w:t xml:space="preserve"> hos patienter </w:t>
      </w:r>
      <w:r w:rsidRPr="003A0FA1">
        <w:rPr>
          <w:sz w:val="24"/>
          <w:szCs w:val="24"/>
        </w:rPr>
        <w:lastRenderedPageBreak/>
        <w:t xml:space="preserve">med nedsat nyrefunktion forbliver effektive i op til 48 timer efter en sædvanlig dosis, hvis </w:t>
      </w:r>
      <w:proofErr w:type="spellStart"/>
      <w:r w:rsidRPr="003A0FA1">
        <w:rPr>
          <w:sz w:val="24"/>
          <w:szCs w:val="24"/>
        </w:rPr>
        <w:t>kreatininclearance</w:t>
      </w:r>
      <w:proofErr w:type="spellEnd"/>
      <w:r w:rsidRPr="003A0FA1">
        <w:rPr>
          <w:sz w:val="24"/>
          <w:szCs w:val="24"/>
        </w:rPr>
        <w:t xml:space="preserve"> er over 10 ml/min.</w:t>
      </w:r>
    </w:p>
    <w:p w14:paraId="69B07F95" w14:textId="77777777" w:rsidR="00DE22D4" w:rsidRPr="003A0FA1" w:rsidRDefault="00DE22D4" w:rsidP="003A0FA1">
      <w:pPr>
        <w:ind w:left="851"/>
        <w:rPr>
          <w:sz w:val="24"/>
          <w:szCs w:val="24"/>
        </w:rPr>
      </w:pPr>
      <w:r w:rsidRPr="003A0FA1">
        <w:rPr>
          <w:sz w:val="24"/>
          <w:szCs w:val="24"/>
        </w:rPr>
        <w:t xml:space="preserve">Hos ældre mennesker reduceres </w:t>
      </w:r>
      <w:proofErr w:type="spellStart"/>
      <w:r w:rsidRPr="003A0FA1">
        <w:rPr>
          <w:sz w:val="24"/>
          <w:szCs w:val="24"/>
        </w:rPr>
        <w:t>clearance</w:t>
      </w:r>
      <w:proofErr w:type="spellEnd"/>
      <w:r w:rsidRPr="003A0FA1">
        <w:rPr>
          <w:sz w:val="24"/>
          <w:szCs w:val="24"/>
        </w:rPr>
        <w:t xml:space="preserve"> af </w:t>
      </w:r>
      <w:proofErr w:type="spellStart"/>
      <w:r w:rsidRPr="003A0FA1">
        <w:rPr>
          <w:sz w:val="24"/>
          <w:szCs w:val="24"/>
        </w:rPr>
        <w:t>fosfomycin</w:t>
      </w:r>
      <w:proofErr w:type="spellEnd"/>
      <w:r w:rsidRPr="003A0FA1">
        <w:rPr>
          <w:sz w:val="24"/>
          <w:szCs w:val="24"/>
        </w:rPr>
        <w:t xml:space="preserve"> svarende til aldersrelateret reduktion i nyrefunktion.</w:t>
      </w:r>
    </w:p>
    <w:p w14:paraId="514885E5" w14:textId="77777777" w:rsidR="009260DE" w:rsidRPr="00C37DCA" w:rsidRDefault="009260DE" w:rsidP="009260DE">
      <w:pPr>
        <w:tabs>
          <w:tab w:val="left" w:pos="851"/>
        </w:tabs>
        <w:ind w:left="851"/>
        <w:rPr>
          <w:sz w:val="24"/>
          <w:szCs w:val="24"/>
        </w:rPr>
      </w:pPr>
    </w:p>
    <w:p w14:paraId="66457AC1" w14:textId="77777777" w:rsidR="009260DE" w:rsidRPr="00C37DCA" w:rsidRDefault="009260DE" w:rsidP="009260DE">
      <w:pPr>
        <w:tabs>
          <w:tab w:val="left" w:pos="851"/>
        </w:tabs>
        <w:ind w:left="851" w:hanging="851"/>
        <w:rPr>
          <w:b/>
          <w:sz w:val="24"/>
          <w:szCs w:val="24"/>
        </w:rPr>
      </w:pPr>
      <w:r w:rsidRPr="00C37DCA">
        <w:rPr>
          <w:b/>
          <w:sz w:val="24"/>
          <w:szCs w:val="24"/>
        </w:rPr>
        <w:t>5.3</w:t>
      </w:r>
      <w:r w:rsidRPr="00C37DCA">
        <w:rPr>
          <w:b/>
          <w:sz w:val="24"/>
          <w:szCs w:val="24"/>
        </w:rPr>
        <w:tab/>
        <w:t>Prækliniske sikkerhedsdata</w:t>
      </w:r>
    </w:p>
    <w:p w14:paraId="183CA658" w14:textId="77777777" w:rsidR="00DE22D4" w:rsidRPr="00C37DCA" w:rsidRDefault="00DE22D4" w:rsidP="003A0FA1">
      <w:pPr>
        <w:ind w:left="851"/>
        <w:rPr>
          <w:sz w:val="24"/>
          <w:szCs w:val="24"/>
          <w:lang w:eastAsia="da-DK"/>
        </w:rPr>
      </w:pPr>
      <w:r w:rsidRPr="00C37DCA">
        <w:rPr>
          <w:sz w:val="24"/>
          <w:szCs w:val="24"/>
        </w:rPr>
        <w:t>Non-kliniske data viser ingen speciel risiko for mennesker vurderet ud fra konventionelle studier af sikkerhedsfarmakologi, toksicitet efter gentagne doser, genotoksicitet eller reproduktionstoksicitet.</w:t>
      </w:r>
    </w:p>
    <w:p w14:paraId="69C640A7" w14:textId="77777777" w:rsidR="00DE22D4" w:rsidRPr="00C37DCA" w:rsidRDefault="00DE22D4" w:rsidP="003A0FA1">
      <w:pPr>
        <w:ind w:left="851"/>
        <w:rPr>
          <w:sz w:val="24"/>
          <w:szCs w:val="24"/>
        </w:rPr>
      </w:pPr>
    </w:p>
    <w:p w14:paraId="75AB39D4" w14:textId="77777777" w:rsidR="00DE22D4" w:rsidRPr="00C37DCA" w:rsidRDefault="00DE22D4" w:rsidP="003A0FA1">
      <w:pPr>
        <w:ind w:left="851"/>
        <w:rPr>
          <w:sz w:val="24"/>
          <w:szCs w:val="24"/>
        </w:rPr>
      </w:pPr>
      <w:r w:rsidRPr="00C37DCA">
        <w:rPr>
          <w:sz w:val="24"/>
          <w:szCs w:val="24"/>
        </w:rPr>
        <w:t xml:space="preserve">Ingen </w:t>
      </w:r>
      <w:proofErr w:type="spellStart"/>
      <w:r w:rsidRPr="00C37DCA">
        <w:rPr>
          <w:sz w:val="24"/>
          <w:szCs w:val="24"/>
        </w:rPr>
        <w:t>carcinogenicitetsdata</w:t>
      </w:r>
      <w:proofErr w:type="spellEnd"/>
      <w:r w:rsidRPr="00C37DCA">
        <w:rPr>
          <w:sz w:val="24"/>
          <w:szCs w:val="24"/>
        </w:rPr>
        <w:t xml:space="preserve"> er tilgængelige for </w:t>
      </w:r>
      <w:proofErr w:type="spellStart"/>
      <w:r w:rsidRPr="00C37DCA">
        <w:rPr>
          <w:sz w:val="24"/>
          <w:szCs w:val="24"/>
        </w:rPr>
        <w:t>fosfomycin</w:t>
      </w:r>
      <w:proofErr w:type="spellEnd"/>
      <w:r w:rsidRPr="00C37DCA">
        <w:rPr>
          <w:sz w:val="24"/>
          <w:szCs w:val="24"/>
        </w:rPr>
        <w:t>.</w:t>
      </w:r>
    </w:p>
    <w:p w14:paraId="4E3FCF03" w14:textId="77777777" w:rsidR="009260DE" w:rsidRPr="00C37DCA" w:rsidRDefault="009260DE" w:rsidP="009260DE">
      <w:pPr>
        <w:tabs>
          <w:tab w:val="left" w:pos="851"/>
        </w:tabs>
        <w:ind w:left="851"/>
        <w:rPr>
          <w:sz w:val="24"/>
          <w:szCs w:val="24"/>
        </w:rPr>
      </w:pPr>
    </w:p>
    <w:p w14:paraId="00F59450" w14:textId="77777777" w:rsidR="009260DE" w:rsidRPr="00C37DCA" w:rsidRDefault="009260DE" w:rsidP="009260DE">
      <w:pPr>
        <w:tabs>
          <w:tab w:val="left" w:pos="851"/>
        </w:tabs>
        <w:ind w:left="851"/>
        <w:rPr>
          <w:sz w:val="24"/>
          <w:szCs w:val="24"/>
        </w:rPr>
      </w:pPr>
    </w:p>
    <w:p w14:paraId="68477BF4" w14:textId="77777777" w:rsidR="009260DE" w:rsidRPr="00C37DCA" w:rsidRDefault="009260DE" w:rsidP="009260DE">
      <w:pPr>
        <w:tabs>
          <w:tab w:val="left" w:pos="851"/>
        </w:tabs>
        <w:ind w:left="851" w:hanging="851"/>
        <w:rPr>
          <w:b/>
          <w:sz w:val="24"/>
          <w:szCs w:val="24"/>
        </w:rPr>
      </w:pPr>
      <w:r w:rsidRPr="00C37DCA">
        <w:rPr>
          <w:b/>
          <w:sz w:val="24"/>
          <w:szCs w:val="24"/>
        </w:rPr>
        <w:t>6.</w:t>
      </w:r>
      <w:r w:rsidRPr="00C37DCA">
        <w:rPr>
          <w:b/>
          <w:sz w:val="24"/>
          <w:szCs w:val="24"/>
        </w:rPr>
        <w:tab/>
        <w:t>FARMACEUTISKE OPLYSNINGER</w:t>
      </w:r>
    </w:p>
    <w:p w14:paraId="196B3701" w14:textId="77777777" w:rsidR="009260DE" w:rsidRPr="00C37DCA" w:rsidRDefault="009260DE" w:rsidP="009260DE">
      <w:pPr>
        <w:tabs>
          <w:tab w:val="left" w:pos="851"/>
        </w:tabs>
        <w:ind w:left="851"/>
        <w:rPr>
          <w:sz w:val="24"/>
          <w:szCs w:val="24"/>
        </w:rPr>
      </w:pPr>
    </w:p>
    <w:p w14:paraId="4129EDDE" w14:textId="77777777" w:rsidR="009260DE" w:rsidRPr="00C37DCA" w:rsidRDefault="009260DE" w:rsidP="009260DE">
      <w:pPr>
        <w:tabs>
          <w:tab w:val="left" w:pos="851"/>
        </w:tabs>
        <w:ind w:left="851" w:hanging="851"/>
        <w:rPr>
          <w:b/>
          <w:sz w:val="24"/>
          <w:szCs w:val="24"/>
        </w:rPr>
      </w:pPr>
      <w:r w:rsidRPr="00C37DCA">
        <w:rPr>
          <w:b/>
          <w:sz w:val="24"/>
          <w:szCs w:val="24"/>
        </w:rPr>
        <w:t>6.1</w:t>
      </w:r>
      <w:r w:rsidRPr="00C37DCA">
        <w:rPr>
          <w:b/>
          <w:sz w:val="24"/>
          <w:szCs w:val="24"/>
        </w:rPr>
        <w:tab/>
        <w:t>Hjælpestoffer</w:t>
      </w:r>
    </w:p>
    <w:p w14:paraId="1BA5433A" w14:textId="77777777" w:rsidR="00DE22D4" w:rsidRPr="00C37DCA" w:rsidRDefault="00DE22D4" w:rsidP="003A0FA1">
      <w:pPr>
        <w:widowControl w:val="0"/>
        <w:autoSpaceDE w:val="0"/>
        <w:autoSpaceDN w:val="0"/>
        <w:adjustRightInd w:val="0"/>
        <w:ind w:left="851"/>
        <w:rPr>
          <w:sz w:val="24"/>
          <w:szCs w:val="24"/>
          <w:lang w:eastAsia="da-DK"/>
        </w:rPr>
      </w:pPr>
      <w:proofErr w:type="spellStart"/>
      <w:r w:rsidRPr="00C37DCA">
        <w:rPr>
          <w:sz w:val="24"/>
          <w:szCs w:val="24"/>
        </w:rPr>
        <w:t>Monurol</w:t>
      </w:r>
      <w:proofErr w:type="spellEnd"/>
      <w:r w:rsidRPr="00C37DCA">
        <w:rPr>
          <w:sz w:val="24"/>
          <w:szCs w:val="24"/>
        </w:rPr>
        <w:t xml:space="preserve"> 3 g granulat til oral opløsning:</w:t>
      </w:r>
    </w:p>
    <w:p w14:paraId="2E10BB8D" w14:textId="77777777" w:rsidR="00DE22D4" w:rsidRPr="00C37DCA" w:rsidRDefault="00DE22D4" w:rsidP="003A0FA1">
      <w:pPr>
        <w:widowControl w:val="0"/>
        <w:autoSpaceDE w:val="0"/>
        <w:autoSpaceDN w:val="0"/>
        <w:adjustRightInd w:val="0"/>
        <w:ind w:left="851"/>
        <w:rPr>
          <w:sz w:val="24"/>
          <w:szCs w:val="24"/>
        </w:rPr>
      </w:pPr>
      <w:r w:rsidRPr="00C37DCA">
        <w:rPr>
          <w:sz w:val="24"/>
          <w:szCs w:val="24"/>
        </w:rPr>
        <w:t xml:space="preserve">Mandarin smag (indeholder 0.11 mg natrium, 0.001 mg sulfitter, 49 mg </w:t>
      </w:r>
      <w:proofErr w:type="spellStart"/>
      <w:r w:rsidRPr="00C37DCA">
        <w:rPr>
          <w:sz w:val="24"/>
          <w:szCs w:val="24"/>
        </w:rPr>
        <w:t>saccharose</w:t>
      </w:r>
      <w:proofErr w:type="spellEnd"/>
      <w:r w:rsidRPr="00C37DCA">
        <w:rPr>
          <w:sz w:val="24"/>
          <w:szCs w:val="24"/>
        </w:rPr>
        <w:t>)</w:t>
      </w:r>
    </w:p>
    <w:p w14:paraId="52F7D289" w14:textId="77777777" w:rsidR="00DE22D4" w:rsidRPr="00C37DCA" w:rsidRDefault="00DE22D4" w:rsidP="003A0FA1">
      <w:pPr>
        <w:widowControl w:val="0"/>
        <w:autoSpaceDE w:val="0"/>
        <w:autoSpaceDN w:val="0"/>
        <w:adjustRightInd w:val="0"/>
        <w:ind w:left="851"/>
        <w:rPr>
          <w:sz w:val="24"/>
          <w:szCs w:val="24"/>
        </w:rPr>
      </w:pPr>
      <w:r w:rsidRPr="00C37DCA">
        <w:rPr>
          <w:sz w:val="24"/>
          <w:szCs w:val="24"/>
        </w:rPr>
        <w:t xml:space="preserve">Appelsinsmag (indeholder 50 mg </w:t>
      </w:r>
      <w:proofErr w:type="spellStart"/>
      <w:r w:rsidRPr="00C37DCA">
        <w:rPr>
          <w:sz w:val="24"/>
          <w:szCs w:val="24"/>
        </w:rPr>
        <w:t>maltodextrin</w:t>
      </w:r>
      <w:proofErr w:type="spellEnd"/>
      <w:r w:rsidRPr="00C37DCA">
        <w:rPr>
          <w:sz w:val="24"/>
          <w:szCs w:val="24"/>
        </w:rPr>
        <w:t xml:space="preserve"> (majs), 0.04 mg natrium, 0.001 mg sulfitter)</w:t>
      </w:r>
    </w:p>
    <w:p w14:paraId="0854A219" w14:textId="77777777" w:rsidR="00DE22D4" w:rsidRPr="00C37DCA" w:rsidRDefault="00DE22D4" w:rsidP="003A0FA1">
      <w:pPr>
        <w:widowControl w:val="0"/>
        <w:autoSpaceDE w:val="0"/>
        <w:autoSpaceDN w:val="0"/>
        <w:adjustRightInd w:val="0"/>
        <w:ind w:left="851"/>
        <w:rPr>
          <w:sz w:val="24"/>
          <w:szCs w:val="24"/>
        </w:rPr>
      </w:pPr>
      <w:proofErr w:type="spellStart"/>
      <w:r w:rsidRPr="00C37DCA">
        <w:rPr>
          <w:sz w:val="24"/>
          <w:szCs w:val="24"/>
        </w:rPr>
        <w:t>Saccharin</w:t>
      </w:r>
      <w:proofErr w:type="spellEnd"/>
    </w:p>
    <w:p w14:paraId="00972296" w14:textId="7ACC0236" w:rsidR="009260DE" w:rsidRPr="00C37DCA" w:rsidRDefault="00DE22D4" w:rsidP="003A0FA1">
      <w:pPr>
        <w:widowControl w:val="0"/>
        <w:autoSpaceDE w:val="0"/>
        <w:autoSpaceDN w:val="0"/>
        <w:adjustRightInd w:val="0"/>
        <w:ind w:left="851"/>
        <w:rPr>
          <w:sz w:val="24"/>
          <w:szCs w:val="24"/>
        </w:rPr>
      </w:pPr>
      <w:proofErr w:type="spellStart"/>
      <w:r w:rsidRPr="00C37DCA">
        <w:rPr>
          <w:sz w:val="24"/>
          <w:szCs w:val="24"/>
        </w:rPr>
        <w:t>Saccharose</w:t>
      </w:r>
      <w:proofErr w:type="spellEnd"/>
    </w:p>
    <w:p w14:paraId="41168C2A" w14:textId="77777777" w:rsidR="009260DE" w:rsidRPr="00C37DCA" w:rsidRDefault="009260DE" w:rsidP="009260DE">
      <w:pPr>
        <w:tabs>
          <w:tab w:val="left" w:pos="851"/>
        </w:tabs>
        <w:ind w:left="851"/>
        <w:rPr>
          <w:sz w:val="24"/>
          <w:szCs w:val="24"/>
        </w:rPr>
      </w:pPr>
    </w:p>
    <w:p w14:paraId="190BFF87" w14:textId="77777777" w:rsidR="009260DE" w:rsidRPr="00C37DCA" w:rsidRDefault="009260DE" w:rsidP="009260DE">
      <w:pPr>
        <w:tabs>
          <w:tab w:val="left" w:pos="851"/>
        </w:tabs>
        <w:ind w:left="851" w:hanging="851"/>
        <w:rPr>
          <w:b/>
          <w:sz w:val="24"/>
          <w:szCs w:val="24"/>
        </w:rPr>
      </w:pPr>
      <w:r w:rsidRPr="00C37DCA">
        <w:rPr>
          <w:b/>
          <w:sz w:val="24"/>
          <w:szCs w:val="24"/>
        </w:rPr>
        <w:t>6.2</w:t>
      </w:r>
      <w:r w:rsidRPr="00C37DCA">
        <w:rPr>
          <w:b/>
          <w:sz w:val="24"/>
          <w:szCs w:val="24"/>
        </w:rPr>
        <w:tab/>
        <w:t>Uforligeligheder</w:t>
      </w:r>
    </w:p>
    <w:p w14:paraId="133C5136" w14:textId="77777777" w:rsidR="00DE22D4" w:rsidRPr="00C37DCA" w:rsidRDefault="00DE22D4" w:rsidP="00DE22D4">
      <w:pPr>
        <w:tabs>
          <w:tab w:val="left" w:pos="851"/>
        </w:tabs>
        <w:ind w:left="855"/>
        <w:rPr>
          <w:sz w:val="24"/>
          <w:szCs w:val="24"/>
          <w:lang w:eastAsia="da-DK"/>
        </w:rPr>
      </w:pPr>
      <w:r w:rsidRPr="00C37DCA">
        <w:rPr>
          <w:sz w:val="24"/>
          <w:szCs w:val="24"/>
        </w:rPr>
        <w:t>Ikke relevant.</w:t>
      </w:r>
    </w:p>
    <w:p w14:paraId="21A8FB04" w14:textId="77777777" w:rsidR="009260DE" w:rsidRPr="00C37DCA" w:rsidRDefault="009260DE" w:rsidP="009260DE">
      <w:pPr>
        <w:tabs>
          <w:tab w:val="left" w:pos="851"/>
        </w:tabs>
        <w:ind w:left="851"/>
        <w:rPr>
          <w:sz w:val="24"/>
          <w:szCs w:val="24"/>
        </w:rPr>
      </w:pPr>
    </w:p>
    <w:p w14:paraId="6AB27E2D" w14:textId="77777777" w:rsidR="009260DE" w:rsidRPr="00C37DCA" w:rsidRDefault="009260DE" w:rsidP="009260DE">
      <w:pPr>
        <w:tabs>
          <w:tab w:val="left" w:pos="851"/>
        </w:tabs>
        <w:ind w:left="851" w:hanging="851"/>
        <w:rPr>
          <w:b/>
          <w:sz w:val="24"/>
          <w:szCs w:val="24"/>
        </w:rPr>
      </w:pPr>
      <w:r w:rsidRPr="00C37DCA">
        <w:rPr>
          <w:b/>
          <w:sz w:val="24"/>
          <w:szCs w:val="24"/>
        </w:rPr>
        <w:t>6.3</w:t>
      </w:r>
      <w:r w:rsidRPr="00C37DCA">
        <w:rPr>
          <w:b/>
          <w:sz w:val="24"/>
          <w:szCs w:val="24"/>
        </w:rPr>
        <w:tab/>
        <w:t>Opbevaringstid</w:t>
      </w:r>
    </w:p>
    <w:p w14:paraId="0B9232C9" w14:textId="7F7DC5FA" w:rsidR="00DE22D4" w:rsidRPr="00C37DCA" w:rsidRDefault="00DE22D4" w:rsidP="00DE22D4">
      <w:pPr>
        <w:tabs>
          <w:tab w:val="left" w:pos="851"/>
        </w:tabs>
        <w:ind w:left="855"/>
        <w:rPr>
          <w:sz w:val="24"/>
          <w:szCs w:val="24"/>
          <w:lang w:eastAsia="da-DK"/>
        </w:rPr>
      </w:pPr>
      <w:r w:rsidRPr="00C37DCA">
        <w:rPr>
          <w:sz w:val="24"/>
          <w:szCs w:val="24"/>
        </w:rPr>
        <w:t>3 år.</w:t>
      </w:r>
    </w:p>
    <w:p w14:paraId="6A48F975" w14:textId="77777777" w:rsidR="009260DE" w:rsidRPr="00C37DCA" w:rsidRDefault="009260DE" w:rsidP="009260DE">
      <w:pPr>
        <w:tabs>
          <w:tab w:val="left" w:pos="851"/>
        </w:tabs>
        <w:ind w:left="851"/>
        <w:rPr>
          <w:sz w:val="24"/>
          <w:szCs w:val="24"/>
        </w:rPr>
      </w:pPr>
    </w:p>
    <w:p w14:paraId="0C96FD56" w14:textId="77777777" w:rsidR="009260DE" w:rsidRPr="00C37DCA" w:rsidRDefault="009260DE" w:rsidP="009260DE">
      <w:pPr>
        <w:tabs>
          <w:tab w:val="left" w:pos="851"/>
        </w:tabs>
        <w:ind w:left="851" w:hanging="851"/>
        <w:rPr>
          <w:b/>
          <w:sz w:val="24"/>
          <w:szCs w:val="24"/>
        </w:rPr>
      </w:pPr>
      <w:r w:rsidRPr="00C37DCA">
        <w:rPr>
          <w:b/>
          <w:sz w:val="24"/>
          <w:szCs w:val="24"/>
        </w:rPr>
        <w:t>6.4</w:t>
      </w:r>
      <w:r w:rsidRPr="00C37DCA">
        <w:rPr>
          <w:b/>
          <w:sz w:val="24"/>
          <w:szCs w:val="24"/>
        </w:rPr>
        <w:tab/>
        <w:t>Særlige opbevaringsforhold</w:t>
      </w:r>
    </w:p>
    <w:p w14:paraId="0FC4B3DF" w14:textId="77777777" w:rsidR="00DE22D4" w:rsidRPr="00C37DCA" w:rsidRDefault="00DE22D4" w:rsidP="00DE22D4">
      <w:pPr>
        <w:widowControl w:val="0"/>
        <w:autoSpaceDE w:val="0"/>
        <w:autoSpaceDN w:val="0"/>
        <w:adjustRightInd w:val="0"/>
        <w:ind w:left="720" w:firstLine="130"/>
        <w:jc w:val="both"/>
        <w:rPr>
          <w:sz w:val="24"/>
          <w:szCs w:val="24"/>
          <w:lang w:eastAsia="da-DK"/>
        </w:rPr>
      </w:pPr>
      <w:r w:rsidRPr="00C37DCA">
        <w:rPr>
          <w:sz w:val="24"/>
          <w:szCs w:val="24"/>
        </w:rPr>
        <w:t>Dette lægemiddel kræver ingen særlige forholdsregler vedrørende opbevaringen.</w:t>
      </w:r>
    </w:p>
    <w:p w14:paraId="5D5B4F88" w14:textId="77777777" w:rsidR="009260DE" w:rsidRPr="00C37DCA" w:rsidRDefault="009260DE" w:rsidP="009260DE">
      <w:pPr>
        <w:tabs>
          <w:tab w:val="left" w:pos="851"/>
        </w:tabs>
        <w:ind w:left="851"/>
        <w:rPr>
          <w:sz w:val="24"/>
          <w:szCs w:val="24"/>
        </w:rPr>
      </w:pPr>
    </w:p>
    <w:p w14:paraId="13070720" w14:textId="77777777" w:rsidR="009260DE" w:rsidRPr="00C37DCA" w:rsidRDefault="009260DE" w:rsidP="009260DE">
      <w:pPr>
        <w:tabs>
          <w:tab w:val="left" w:pos="851"/>
        </w:tabs>
        <w:ind w:left="851" w:hanging="851"/>
        <w:rPr>
          <w:b/>
          <w:sz w:val="24"/>
          <w:szCs w:val="24"/>
        </w:rPr>
      </w:pPr>
      <w:r w:rsidRPr="00C37DCA">
        <w:rPr>
          <w:b/>
          <w:sz w:val="24"/>
          <w:szCs w:val="24"/>
        </w:rPr>
        <w:t>6.5</w:t>
      </w:r>
      <w:r w:rsidRPr="00C37DCA">
        <w:rPr>
          <w:b/>
          <w:sz w:val="24"/>
          <w:szCs w:val="24"/>
        </w:rPr>
        <w:tab/>
        <w:t>Emballagetyper og pakningsstørrelser</w:t>
      </w:r>
    </w:p>
    <w:p w14:paraId="36E011F7" w14:textId="77777777" w:rsidR="00DE22D4" w:rsidRPr="00C37DCA" w:rsidRDefault="00DE22D4" w:rsidP="00DE22D4">
      <w:pPr>
        <w:tabs>
          <w:tab w:val="left" w:pos="851"/>
        </w:tabs>
        <w:ind w:left="855"/>
        <w:rPr>
          <w:sz w:val="24"/>
          <w:szCs w:val="24"/>
          <w:lang w:eastAsia="da-DK"/>
        </w:rPr>
      </w:pPr>
      <w:r w:rsidRPr="00C37DCA">
        <w:rPr>
          <w:sz w:val="24"/>
          <w:szCs w:val="24"/>
        </w:rPr>
        <w:t xml:space="preserve">Breve består af fire-lags laminat: papir, </w:t>
      </w:r>
      <w:proofErr w:type="spellStart"/>
      <w:r w:rsidRPr="00C37DCA">
        <w:rPr>
          <w:sz w:val="24"/>
          <w:szCs w:val="24"/>
        </w:rPr>
        <w:t>polyethylen</w:t>
      </w:r>
      <w:proofErr w:type="spellEnd"/>
      <w:r w:rsidRPr="00C37DCA">
        <w:rPr>
          <w:sz w:val="24"/>
          <w:szCs w:val="24"/>
        </w:rPr>
        <w:t xml:space="preserve">, aluminium, </w:t>
      </w:r>
      <w:proofErr w:type="spellStart"/>
      <w:r w:rsidRPr="00C37DCA">
        <w:rPr>
          <w:sz w:val="24"/>
          <w:szCs w:val="24"/>
        </w:rPr>
        <w:t>polyethylen</w:t>
      </w:r>
      <w:proofErr w:type="spellEnd"/>
      <w:r w:rsidRPr="00C37DCA">
        <w:rPr>
          <w:sz w:val="24"/>
          <w:szCs w:val="24"/>
        </w:rPr>
        <w:t>.</w:t>
      </w:r>
    </w:p>
    <w:p w14:paraId="637C7309" w14:textId="77777777" w:rsidR="009260DE" w:rsidRPr="00C37DCA" w:rsidRDefault="009260DE" w:rsidP="009260DE">
      <w:pPr>
        <w:tabs>
          <w:tab w:val="left" w:pos="851"/>
        </w:tabs>
        <w:ind w:left="851"/>
        <w:rPr>
          <w:sz w:val="24"/>
          <w:szCs w:val="24"/>
        </w:rPr>
      </w:pPr>
    </w:p>
    <w:p w14:paraId="38561E26" w14:textId="77777777" w:rsidR="009260DE" w:rsidRPr="00C37DCA" w:rsidRDefault="009260DE" w:rsidP="009260DE">
      <w:pPr>
        <w:tabs>
          <w:tab w:val="left" w:pos="851"/>
        </w:tabs>
        <w:ind w:left="851" w:hanging="851"/>
        <w:rPr>
          <w:b/>
          <w:sz w:val="24"/>
          <w:szCs w:val="24"/>
        </w:rPr>
      </w:pPr>
      <w:r w:rsidRPr="00C37DCA">
        <w:rPr>
          <w:b/>
          <w:sz w:val="24"/>
          <w:szCs w:val="24"/>
        </w:rPr>
        <w:t>6.6</w:t>
      </w:r>
      <w:r w:rsidRPr="00C37DCA">
        <w:rPr>
          <w:b/>
          <w:sz w:val="24"/>
          <w:szCs w:val="24"/>
        </w:rPr>
        <w:tab/>
        <w:t>Regler for destruktion og anden håndtering</w:t>
      </w:r>
    </w:p>
    <w:p w14:paraId="1188A149" w14:textId="77777777" w:rsidR="00F13670" w:rsidRPr="00C37DCA" w:rsidRDefault="00F13670" w:rsidP="00F13670">
      <w:pPr>
        <w:tabs>
          <w:tab w:val="left" w:pos="851"/>
        </w:tabs>
        <w:rPr>
          <w:sz w:val="24"/>
          <w:szCs w:val="24"/>
          <w:lang w:eastAsia="da-DK"/>
        </w:rPr>
      </w:pPr>
      <w:r w:rsidRPr="00C37DCA">
        <w:rPr>
          <w:sz w:val="24"/>
          <w:szCs w:val="24"/>
        </w:rPr>
        <w:tab/>
        <w:t>Ingen særlige forholdsregler.</w:t>
      </w:r>
    </w:p>
    <w:p w14:paraId="642D8E44" w14:textId="609802AF" w:rsidR="000E31D2" w:rsidRDefault="000E31D2">
      <w:pPr>
        <w:rPr>
          <w:sz w:val="24"/>
          <w:szCs w:val="24"/>
        </w:rPr>
      </w:pPr>
      <w:r>
        <w:rPr>
          <w:sz w:val="24"/>
          <w:szCs w:val="24"/>
        </w:rPr>
        <w:br w:type="page"/>
      </w:r>
    </w:p>
    <w:p w14:paraId="42ABD5CE" w14:textId="77777777" w:rsidR="009260DE" w:rsidRPr="00C37DCA" w:rsidRDefault="009260DE" w:rsidP="009260DE">
      <w:pPr>
        <w:tabs>
          <w:tab w:val="left" w:pos="851"/>
        </w:tabs>
        <w:ind w:left="851"/>
        <w:jc w:val="both"/>
        <w:rPr>
          <w:sz w:val="24"/>
          <w:szCs w:val="24"/>
        </w:rPr>
      </w:pPr>
    </w:p>
    <w:p w14:paraId="42B7AFAE" w14:textId="77777777" w:rsidR="009260DE" w:rsidRPr="00C37DCA" w:rsidRDefault="009260DE" w:rsidP="009260DE">
      <w:pPr>
        <w:tabs>
          <w:tab w:val="left" w:pos="851"/>
        </w:tabs>
        <w:ind w:left="851" w:hanging="851"/>
        <w:rPr>
          <w:b/>
          <w:sz w:val="24"/>
          <w:szCs w:val="24"/>
        </w:rPr>
      </w:pPr>
      <w:r w:rsidRPr="00C37DCA">
        <w:rPr>
          <w:b/>
          <w:sz w:val="24"/>
          <w:szCs w:val="24"/>
        </w:rPr>
        <w:t>7.</w:t>
      </w:r>
      <w:r w:rsidRPr="00C37DCA">
        <w:rPr>
          <w:b/>
          <w:sz w:val="24"/>
          <w:szCs w:val="24"/>
        </w:rPr>
        <w:tab/>
        <w:t>INDEHAVER AF MARKEDSFØRINGSTILLADELSEN</w:t>
      </w:r>
    </w:p>
    <w:p w14:paraId="25B0DAC3" w14:textId="77777777" w:rsidR="00F13670" w:rsidRPr="00C37DCA" w:rsidRDefault="00F13670" w:rsidP="003A0FA1">
      <w:pPr>
        <w:tabs>
          <w:tab w:val="left" w:pos="851"/>
        </w:tabs>
        <w:ind w:left="851"/>
        <w:rPr>
          <w:sz w:val="24"/>
          <w:szCs w:val="24"/>
          <w:lang w:eastAsia="da-DK"/>
        </w:rPr>
      </w:pPr>
      <w:proofErr w:type="spellStart"/>
      <w:r w:rsidRPr="00C37DCA">
        <w:rPr>
          <w:sz w:val="24"/>
          <w:szCs w:val="24"/>
        </w:rPr>
        <w:t>Zambon</w:t>
      </w:r>
      <w:proofErr w:type="spellEnd"/>
      <w:r w:rsidRPr="00C37DCA">
        <w:rPr>
          <w:sz w:val="24"/>
          <w:szCs w:val="24"/>
        </w:rPr>
        <w:t xml:space="preserve"> </w:t>
      </w:r>
      <w:proofErr w:type="spellStart"/>
      <w:r w:rsidRPr="00C37DCA">
        <w:rPr>
          <w:sz w:val="24"/>
          <w:szCs w:val="24"/>
        </w:rPr>
        <w:t>SpA</w:t>
      </w:r>
      <w:proofErr w:type="spellEnd"/>
    </w:p>
    <w:p w14:paraId="0CC533D3" w14:textId="18D2DA54" w:rsidR="00F13670" w:rsidRPr="00C37DCA" w:rsidRDefault="00F13670" w:rsidP="003A0FA1">
      <w:pPr>
        <w:tabs>
          <w:tab w:val="left" w:pos="851"/>
        </w:tabs>
        <w:ind w:left="851"/>
        <w:rPr>
          <w:sz w:val="24"/>
          <w:szCs w:val="24"/>
        </w:rPr>
      </w:pPr>
      <w:r w:rsidRPr="00C37DCA">
        <w:rPr>
          <w:sz w:val="24"/>
          <w:szCs w:val="24"/>
        </w:rPr>
        <w:t xml:space="preserve">Via </w:t>
      </w:r>
      <w:proofErr w:type="spellStart"/>
      <w:r w:rsidRPr="00C37DCA">
        <w:rPr>
          <w:sz w:val="24"/>
          <w:szCs w:val="24"/>
        </w:rPr>
        <w:t>Lillo</w:t>
      </w:r>
      <w:proofErr w:type="spellEnd"/>
      <w:r w:rsidRPr="00C37DCA">
        <w:rPr>
          <w:sz w:val="24"/>
          <w:szCs w:val="24"/>
        </w:rPr>
        <w:t xml:space="preserve"> del </w:t>
      </w:r>
      <w:proofErr w:type="spellStart"/>
      <w:r w:rsidRPr="00C37DCA">
        <w:rPr>
          <w:sz w:val="24"/>
          <w:szCs w:val="24"/>
        </w:rPr>
        <w:t>Duca</w:t>
      </w:r>
      <w:proofErr w:type="spellEnd"/>
      <w:r w:rsidRPr="00C37DCA">
        <w:rPr>
          <w:sz w:val="24"/>
          <w:szCs w:val="24"/>
        </w:rPr>
        <w:t xml:space="preserve"> 10</w:t>
      </w:r>
    </w:p>
    <w:p w14:paraId="0461D5FC" w14:textId="6C0E8F19" w:rsidR="00F13670" w:rsidRPr="00C37DCA" w:rsidRDefault="00F13670" w:rsidP="003A0FA1">
      <w:pPr>
        <w:tabs>
          <w:tab w:val="left" w:pos="851"/>
        </w:tabs>
        <w:ind w:left="851"/>
        <w:rPr>
          <w:sz w:val="24"/>
          <w:szCs w:val="24"/>
        </w:rPr>
      </w:pPr>
      <w:r w:rsidRPr="00C37DCA">
        <w:rPr>
          <w:sz w:val="24"/>
          <w:szCs w:val="24"/>
        </w:rPr>
        <w:t xml:space="preserve">20091 </w:t>
      </w:r>
      <w:proofErr w:type="spellStart"/>
      <w:r w:rsidRPr="00C37DCA">
        <w:rPr>
          <w:sz w:val="24"/>
          <w:szCs w:val="24"/>
        </w:rPr>
        <w:t>Bresso</w:t>
      </w:r>
      <w:proofErr w:type="spellEnd"/>
      <w:r w:rsidRPr="00C37DCA">
        <w:rPr>
          <w:sz w:val="24"/>
          <w:szCs w:val="24"/>
        </w:rPr>
        <w:t xml:space="preserve"> (MI)</w:t>
      </w:r>
    </w:p>
    <w:p w14:paraId="385ADE18" w14:textId="05948FF9" w:rsidR="00F13670" w:rsidRPr="00C37DCA" w:rsidRDefault="00F13670" w:rsidP="003A0FA1">
      <w:pPr>
        <w:tabs>
          <w:tab w:val="left" w:pos="851"/>
        </w:tabs>
        <w:ind w:left="851"/>
        <w:rPr>
          <w:sz w:val="24"/>
          <w:szCs w:val="24"/>
        </w:rPr>
      </w:pPr>
      <w:r w:rsidRPr="00C37DCA">
        <w:rPr>
          <w:sz w:val="24"/>
          <w:szCs w:val="24"/>
        </w:rPr>
        <w:t>Italien</w:t>
      </w:r>
    </w:p>
    <w:p w14:paraId="11070561" w14:textId="77777777" w:rsidR="00F13670" w:rsidRPr="00C37DCA" w:rsidRDefault="00F13670" w:rsidP="003A0FA1">
      <w:pPr>
        <w:tabs>
          <w:tab w:val="left" w:pos="851"/>
        </w:tabs>
        <w:ind w:left="851"/>
        <w:rPr>
          <w:sz w:val="24"/>
          <w:szCs w:val="24"/>
        </w:rPr>
      </w:pPr>
    </w:p>
    <w:p w14:paraId="556618BA" w14:textId="2F63E780" w:rsidR="00F13670" w:rsidRPr="00C37DCA" w:rsidRDefault="00F13670" w:rsidP="003A0FA1">
      <w:pPr>
        <w:tabs>
          <w:tab w:val="left" w:pos="851"/>
        </w:tabs>
        <w:ind w:left="851"/>
        <w:rPr>
          <w:sz w:val="24"/>
          <w:szCs w:val="24"/>
        </w:rPr>
      </w:pPr>
      <w:r w:rsidRPr="00C37DCA">
        <w:rPr>
          <w:b/>
          <w:sz w:val="24"/>
          <w:szCs w:val="24"/>
        </w:rPr>
        <w:t>Repræsentant</w:t>
      </w:r>
    </w:p>
    <w:p w14:paraId="48CF8424" w14:textId="26B4DB24" w:rsidR="00F13670" w:rsidRPr="00C37DCA" w:rsidRDefault="00F13670" w:rsidP="003A0FA1">
      <w:pPr>
        <w:tabs>
          <w:tab w:val="left" w:pos="851"/>
        </w:tabs>
        <w:ind w:left="851"/>
        <w:rPr>
          <w:sz w:val="24"/>
          <w:szCs w:val="24"/>
        </w:rPr>
      </w:pPr>
      <w:proofErr w:type="spellStart"/>
      <w:r w:rsidRPr="00C37DCA">
        <w:rPr>
          <w:sz w:val="24"/>
          <w:szCs w:val="24"/>
        </w:rPr>
        <w:t>Zambon</w:t>
      </w:r>
      <w:proofErr w:type="spellEnd"/>
      <w:r w:rsidRPr="00C37DCA">
        <w:rPr>
          <w:sz w:val="24"/>
          <w:szCs w:val="24"/>
        </w:rPr>
        <w:t xml:space="preserve"> </w:t>
      </w:r>
      <w:proofErr w:type="spellStart"/>
      <w:r w:rsidRPr="00C37DCA">
        <w:rPr>
          <w:sz w:val="24"/>
          <w:szCs w:val="24"/>
        </w:rPr>
        <w:t>Sweden</w:t>
      </w:r>
      <w:proofErr w:type="spellEnd"/>
    </w:p>
    <w:p w14:paraId="5C0D3A7C" w14:textId="0347AC0E" w:rsidR="00F13670" w:rsidRPr="00C37DCA" w:rsidRDefault="00F13670" w:rsidP="003A0FA1">
      <w:pPr>
        <w:tabs>
          <w:tab w:val="left" w:pos="851"/>
        </w:tabs>
        <w:ind w:left="851"/>
        <w:rPr>
          <w:sz w:val="24"/>
          <w:szCs w:val="24"/>
        </w:rPr>
      </w:pPr>
      <w:r w:rsidRPr="00C37DCA">
        <w:rPr>
          <w:sz w:val="24"/>
          <w:szCs w:val="24"/>
        </w:rPr>
        <w:t xml:space="preserve">Filial of </w:t>
      </w:r>
      <w:proofErr w:type="spellStart"/>
      <w:r w:rsidRPr="00C37DCA">
        <w:rPr>
          <w:sz w:val="24"/>
          <w:szCs w:val="24"/>
        </w:rPr>
        <w:t>Zambon</w:t>
      </w:r>
      <w:proofErr w:type="spellEnd"/>
      <w:r w:rsidRPr="00C37DCA">
        <w:rPr>
          <w:sz w:val="24"/>
          <w:szCs w:val="24"/>
        </w:rPr>
        <w:t xml:space="preserve"> Nederland B.V.</w:t>
      </w:r>
    </w:p>
    <w:p w14:paraId="028985FC" w14:textId="6FA03C7F" w:rsidR="00F13670" w:rsidRPr="00C37DCA" w:rsidRDefault="00F13670" w:rsidP="003A0FA1">
      <w:pPr>
        <w:tabs>
          <w:tab w:val="left" w:pos="851"/>
        </w:tabs>
        <w:ind w:left="851"/>
        <w:rPr>
          <w:sz w:val="24"/>
          <w:szCs w:val="24"/>
        </w:rPr>
      </w:pPr>
      <w:r w:rsidRPr="00C37DCA">
        <w:rPr>
          <w:sz w:val="24"/>
          <w:szCs w:val="24"/>
        </w:rPr>
        <w:t xml:space="preserve">Medicon </w:t>
      </w:r>
      <w:proofErr w:type="spellStart"/>
      <w:r w:rsidRPr="00C37DCA">
        <w:rPr>
          <w:sz w:val="24"/>
          <w:szCs w:val="24"/>
        </w:rPr>
        <w:t>Village</w:t>
      </w:r>
      <w:proofErr w:type="spellEnd"/>
    </w:p>
    <w:p w14:paraId="70E5CD57" w14:textId="713DC2CE" w:rsidR="00F13670" w:rsidRPr="00C37DCA" w:rsidRDefault="00F13670" w:rsidP="003A0FA1">
      <w:pPr>
        <w:tabs>
          <w:tab w:val="left" w:pos="851"/>
        </w:tabs>
        <w:ind w:left="851"/>
        <w:rPr>
          <w:sz w:val="24"/>
          <w:szCs w:val="24"/>
        </w:rPr>
      </w:pPr>
      <w:r w:rsidRPr="00C37DCA">
        <w:rPr>
          <w:sz w:val="24"/>
          <w:szCs w:val="24"/>
        </w:rPr>
        <w:t>223 81 Lund</w:t>
      </w:r>
    </w:p>
    <w:p w14:paraId="1BDB6C0C" w14:textId="6967548A" w:rsidR="009260DE" w:rsidRPr="00C37DCA" w:rsidRDefault="00F13670" w:rsidP="003A0FA1">
      <w:pPr>
        <w:tabs>
          <w:tab w:val="left" w:pos="851"/>
        </w:tabs>
        <w:ind w:left="851"/>
        <w:rPr>
          <w:sz w:val="24"/>
          <w:szCs w:val="24"/>
        </w:rPr>
      </w:pPr>
      <w:r w:rsidRPr="00C37DCA">
        <w:rPr>
          <w:sz w:val="24"/>
          <w:szCs w:val="24"/>
        </w:rPr>
        <w:t>Sverige</w:t>
      </w:r>
    </w:p>
    <w:p w14:paraId="4BCCC6ED" w14:textId="77777777" w:rsidR="009260DE" w:rsidRPr="00C37DCA" w:rsidRDefault="009260DE" w:rsidP="003A0FA1">
      <w:pPr>
        <w:tabs>
          <w:tab w:val="left" w:pos="851"/>
        </w:tabs>
        <w:ind w:left="851"/>
        <w:rPr>
          <w:sz w:val="24"/>
          <w:szCs w:val="24"/>
        </w:rPr>
      </w:pPr>
    </w:p>
    <w:p w14:paraId="09F83F47" w14:textId="77777777" w:rsidR="009260DE" w:rsidRPr="00C37DCA" w:rsidRDefault="009260DE" w:rsidP="009260DE">
      <w:pPr>
        <w:tabs>
          <w:tab w:val="left" w:pos="851"/>
        </w:tabs>
        <w:ind w:left="851" w:hanging="851"/>
        <w:rPr>
          <w:b/>
          <w:sz w:val="24"/>
          <w:szCs w:val="24"/>
        </w:rPr>
      </w:pPr>
      <w:r w:rsidRPr="00C37DCA">
        <w:rPr>
          <w:b/>
          <w:sz w:val="24"/>
          <w:szCs w:val="24"/>
        </w:rPr>
        <w:lastRenderedPageBreak/>
        <w:t>8.</w:t>
      </w:r>
      <w:r w:rsidRPr="00C37DCA">
        <w:rPr>
          <w:b/>
          <w:sz w:val="24"/>
          <w:szCs w:val="24"/>
        </w:rPr>
        <w:tab/>
        <w:t>MARKEDSFØRINGSTILLADELSESNUMMER (NUMRE)</w:t>
      </w:r>
    </w:p>
    <w:p w14:paraId="2598A4C1" w14:textId="77777777" w:rsidR="00F13670" w:rsidRPr="00C37DCA" w:rsidRDefault="00F13670" w:rsidP="00F13670">
      <w:pPr>
        <w:tabs>
          <w:tab w:val="left" w:pos="851"/>
        </w:tabs>
        <w:rPr>
          <w:sz w:val="24"/>
          <w:szCs w:val="24"/>
          <w:lang w:val="fr-LU" w:eastAsia="da-DK"/>
        </w:rPr>
      </w:pPr>
      <w:r w:rsidRPr="00C37DCA">
        <w:rPr>
          <w:sz w:val="24"/>
          <w:szCs w:val="24"/>
          <w:lang w:val="fr-LU"/>
        </w:rPr>
        <w:tab/>
        <w:t>14905</w:t>
      </w:r>
    </w:p>
    <w:p w14:paraId="056C74CB" w14:textId="77777777" w:rsidR="009260DE" w:rsidRPr="00C37DCA" w:rsidRDefault="009260DE" w:rsidP="009260DE">
      <w:pPr>
        <w:tabs>
          <w:tab w:val="left" w:pos="851"/>
        </w:tabs>
        <w:ind w:left="851"/>
        <w:jc w:val="both"/>
        <w:rPr>
          <w:sz w:val="24"/>
          <w:szCs w:val="24"/>
        </w:rPr>
      </w:pPr>
    </w:p>
    <w:p w14:paraId="2CC94506" w14:textId="77777777" w:rsidR="009260DE" w:rsidRPr="00C37DCA" w:rsidRDefault="009260DE" w:rsidP="009260DE">
      <w:pPr>
        <w:tabs>
          <w:tab w:val="left" w:pos="851"/>
        </w:tabs>
        <w:ind w:left="851" w:hanging="851"/>
        <w:rPr>
          <w:b/>
          <w:sz w:val="24"/>
          <w:szCs w:val="24"/>
        </w:rPr>
      </w:pPr>
      <w:r w:rsidRPr="00C37DCA">
        <w:rPr>
          <w:b/>
          <w:sz w:val="24"/>
          <w:szCs w:val="24"/>
        </w:rPr>
        <w:t>9.</w:t>
      </w:r>
      <w:r w:rsidRPr="00C37DCA">
        <w:rPr>
          <w:b/>
          <w:sz w:val="24"/>
          <w:szCs w:val="24"/>
        </w:rPr>
        <w:tab/>
        <w:t>DATO FOR FØRSTE MARKEDSFØRINGSTILLADELSE</w:t>
      </w:r>
    </w:p>
    <w:p w14:paraId="4069B046" w14:textId="52B23DE1" w:rsidR="009260DE" w:rsidRPr="00C37DCA" w:rsidRDefault="00F13670" w:rsidP="009260DE">
      <w:pPr>
        <w:tabs>
          <w:tab w:val="left" w:pos="851"/>
        </w:tabs>
        <w:ind w:left="851"/>
        <w:rPr>
          <w:sz w:val="24"/>
          <w:szCs w:val="24"/>
        </w:rPr>
      </w:pPr>
      <w:r w:rsidRPr="00C37DCA">
        <w:rPr>
          <w:sz w:val="24"/>
          <w:szCs w:val="24"/>
        </w:rPr>
        <w:t>18. juni 1993</w:t>
      </w:r>
    </w:p>
    <w:p w14:paraId="319C5701" w14:textId="77777777" w:rsidR="009260DE" w:rsidRPr="00C37DCA" w:rsidRDefault="009260DE" w:rsidP="009260DE">
      <w:pPr>
        <w:tabs>
          <w:tab w:val="left" w:pos="851"/>
        </w:tabs>
        <w:ind w:left="851"/>
        <w:rPr>
          <w:sz w:val="24"/>
          <w:szCs w:val="24"/>
        </w:rPr>
      </w:pPr>
    </w:p>
    <w:p w14:paraId="55C29894" w14:textId="77777777" w:rsidR="009260DE" w:rsidRPr="00C37DCA" w:rsidRDefault="009260DE" w:rsidP="009260DE">
      <w:pPr>
        <w:tabs>
          <w:tab w:val="left" w:pos="851"/>
        </w:tabs>
        <w:ind w:left="851" w:hanging="851"/>
        <w:rPr>
          <w:b/>
          <w:sz w:val="24"/>
          <w:szCs w:val="24"/>
        </w:rPr>
      </w:pPr>
      <w:r w:rsidRPr="00C37DCA">
        <w:rPr>
          <w:b/>
          <w:sz w:val="24"/>
          <w:szCs w:val="24"/>
        </w:rPr>
        <w:t>10.</w:t>
      </w:r>
      <w:r w:rsidRPr="00C37DCA">
        <w:rPr>
          <w:b/>
          <w:sz w:val="24"/>
          <w:szCs w:val="24"/>
        </w:rPr>
        <w:tab/>
        <w:t>DATO FOR ÆNDRING AF TEKSTEN</w:t>
      </w:r>
    </w:p>
    <w:p w14:paraId="25645017" w14:textId="76E0D954" w:rsidR="009260DE" w:rsidRPr="00C37DCA" w:rsidRDefault="00F13670" w:rsidP="009260DE">
      <w:pPr>
        <w:tabs>
          <w:tab w:val="left" w:pos="851"/>
        </w:tabs>
        <w:ind w:left="851"/>
        <w:rPr>
          <w:sz w:val="24"/>
          <w:szCs w:val="24"/>
        </w:rPr>
      </w:pPr>
      <w:r w:rsidRPr="00C37DCA">
        <w:rPr>
          <w:sz w:val="24"/>
          <w:szCs w:val="24"/>
        </w:rPr>
        <w:t>14. september 2020</w:t>
      </w:r>
    </w:p>
    <w:sectPr w:rsidR="009260DE" w:rsidRPr="00C37DC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83640" w14:textId="77777777" w:rsidR="00451396" w:rsidRDefault="00451396">
      <w:r>
        <w:separator/>
      </w:r>
    </w:p>
  </w:endnote>
  <w:endnote w:type="continuationSeparator" w:id="0">
    <w:p w14:paraId="278EDB4C" w14:textId="77777777" w:rsidR="00451396" w:rsidRDefault="0045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1E7C2" w14:textId="77777777" w:rsidR="000259B9" w:rsidRDefault="000259B9">
    <w:pPr>
      <w:pStyle w:val="Sidefod"/>
      <w:pBdr>
        <w:bottom w:val="single" w:sz="6" w:space="1" w:color="auto"/>
      </w:pBdr>
    </w:pPr>
  </w:p>
  <w:p w14:paraId="6D04E28D" w14:textId="77777777" w:rsidR="000259B9" w:rsidRDefault="000259B9" w:rsidP="00C42586">
    <w:pPr>
      <w:pStyle w:val="Sidefod"/>
      <w:tabs>
        <w:tab w:val="clear" w:pos="4819"/>
        <w:tab w:val="left" w:pos="8505"/>
      </w:tabs>
      <w:rPr>
        <w:i/>
        <w:sz w:val="18"/>
        <w:szCs w:val="18"/>
      </w:rPr>
    </w:pPr>
  </w:p>
  <w:p w14:paraId="6F743CB2" w14:textId="79966185"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34E60">
      <w:rPr>
        <w:i/>
        <w:noProof/>
        <w:sz w:val="18"/>
        <w:szCs w:val="18"/>
      </w:rPr>
      <w:t>Monurol, granulat til oral opløsning, enkeltdosisbeholder 3 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6EB18" w14:textId="77777777" w:rsidR="00451396" w:rsidRDefault="00451396">
      <w:r>
        <w:separator/>
      </w:r>
    </w:p>
  </w:footnote>
  <w:footnote w:type="continuationSeparator" w:id="0">
    <w:p w14:paraId="4460F8B9" w14:textId="77777777" w:rsidR="00451396" w:rsidRDefault="00451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D5C4D"/>
    <w:multiLevelType w:val="hybridMultilevel"/>
    <w:tmpl w:val="787E0E4C"/>
    <w:lvl w:ilvl="0" w:tplc="E75EA8E4">
      <w:numFmt w:val="bullet"/>
      <w:lvlText w:val="-"/>
      <w:lvlJc w:val="left"/>
      <w:pPr>
        <w:ind w:left="107" w:hanging="567"/>
      </w:pPr>
      <w:rPr>
        <w:rFonts w:ascii="Verdana" w:eastAsia="Verdana" w:hAnsi="Verdana" w:cs="Verdana" w:hint="default"/>
        <w:spacing w:val="-3"/>
        <w:w w:val="100"/>
        <w:sz w:val="18"/>
        <w:szCs w:val="18"/>
        <w:lang w:eastAsia="en-US" w:bidi="ar-SA"/>
      </w:rPr>
    </w:lvl>
    <w:lvl w:ilvl="1" w:tplc="C446591A">
      <w:numFmt w:val="bullet"/>
      <w:lvlText w:val="•"/>
      <w:lvlJc w:val="left"/>
      <w:pPr>
        <w:ind w:left="1064" w:hanging="567"/>
      </w:pPr>
      <w:rPr>
        <w:lang w:eastAsia="en-US" w:bidi="ar-SA"/>
      </w:rPr>
    </w:lvl>
    <w:lvl w:ilvl="2" w:tplc="94A8911E">
      <w:numFmt w:val="bullet"/>
      <w:lvlText w:val="•"/>
      <w:lvlJc w:val="left"/>
      <w:pPr>
        <w:ind w:left="2029" w:hanging="567"/>
      </w:pPr>
      <w:rPr>
        <w:lang w:eastAsia="en-US" w:bidi="ar-SA"/>
      </w:rPr>
    </w:lvl>
    <w:lvl w:ilvl="3" w:tplc="BC64BFC8">
      <w:numFmt w:val="bullet"/>
      <w:lvlText w:val="•"/>
      <w:lvlJc w:val="left"/>
      <w:pPr>
        <w:ind w:left="2993" w:hanging="567"/>
      </w:pPr>
      <w:rPr>
        <w:lang w:eastAsia="en-US" w:bidi="ar-SA"/>
      </w:rPr>
    </w:lvl>
    <w:lvl w:ilvl="4" w:tplc="0E901860">
      <w:numFmt w:val="bullet"/>
      <w:lvlText w:val="•"/>
      <w:lvlJc w:val="left"/>
      <w:pPr>
        <w:ind w:left="3958" w:hanging="567"/>
      </w:pPr>
      <w:rPr>
        <w:lang w:eastAsia="en-US" w:bidi="ar-SA"/>
      </w:rPr>
    </w:lvl>
    <w:lvl w:ilvl="5" w:tplc="7D6049AC">
      <w:numFmt w:val="bullet"/>
      <w:lvlText w:val="•"/>
      <w:lvlJc w:val="left"/>
      <w:pPr>
        <w:ind w:left="4923" w:hanging="567"/>
      </w:pPr>
      <w:rPr>
        <w:lang w:eastAsia="en-US" w:bidi="ar-SA"/>
      </w:rPr>
    </w:lvl>
    <w:lvl w:ilvl="6" w:tplc="C80E3F92">
      <w:numFmt w:val="bullet"/>
      <w:lvlText w:val="•"/>
      <w:lvlJc w:val="left"/>
      <w:pPr>
        <w:ind w:left="5887" w:hanging="567"/>
      </w:pPr>
      <w:rPr>
        <w:lang w:eastAsia="en-US" w:bidi="ar-SA"/>
      </w:rPr>
    </w:lvl>
    <w:lvl w:ilvl="7" w:tplc="47609620">
      <w:numFmt w:val="bullet"/>
      <w:lvlText w:val="•"/>
      <w:lvlJc w:val="left"/>
      <w:pPr>
        <w:ind w:left="6852" w:hanging="567"/>
      </w:pPr>
      <w:rPr>
        <w:lang w:eastAsia="en-US" w:bidi="ar-SA"/>
      </w:rPr>
    </w:lvl>
    <w:lvl w:ilvl="8" w:tplc="F63E5DCE">
      <w:numFmt w:val="bullet"/>
      <w:lvlText w:val="•"/>
      <w:lvlJc w:val="left"/>
      <w:pPr>
        <w:ind w:left="7817" w:hanging="567"/>
      </w:pPr>
      <w:rPr>
        <w:lang w:eastAsia="en-US" w:bidi="ar-SA"/>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40"/>
    <w:rsid w:val="000259B9"/>
    <w:rsid w:val="00041491"/>
    <w:rsid w:val="00050D16"/>
    <w:rsid w:val="00074F2A"/>
    <w:rsid w:val="000A1CA8"/>
    <w:rsid w:val="000A466B"/>
    <w:rsid w:val="000B058C"/>
    <w:rsid w:val="000E31D2"/>
    <w:rsid w:val="000E4EE6"/>
    <w:rsid w:val="001454E2"/>
    <w:rsid w:val="00206CE8"/>
    <w:rsid w:val="0021526C"/>
    <w:rsid w:val="00283A2B"/>
    <w:rsid w:val="002B30AD"/>
    <w:rsid w:val="002C2C01"/>
    <w:rsid w:val="003A0FA1"/>
    <w:rsid w:val="003A29AE"/>
    <w:rsid w:val="003A32D7"/>
    <w:rsid w:val="003B4074"/>
    <w:rsid w:val="003C769A"/>
    <w:rsid w:val="003C795F"/>
    <w:rsid w:val="003F1838"/>
    <w:rsid w:val="00412F19"/>
    <w:rsid w:val="00451396"/>
    <w:rsid w:val="0045746C"/>
    <w:rsid w:val="0049104B"/>
    <w:rsid w:val="004E3B12"/>
    <w:rsid w:val="00532310"/>
    <w:rsid w:val="00565F0F"/>
    <w:rsid w:val="00594A86"/>
    <w:rsid w:val="00596D86"/>
    <w:rsid w:val="00634E60"/>
    <w:rsid w:val="00637F5A"/>
    <w:rsid w:val="006560B1"/>
    <w:rsid w:val="006756DD"/>
    <w:rsid w:val="00737275"/>
    <w:rsid w:val="00740EEC"/>
    <w:rsid w:val="0078011A"/>
    <w:rsid w:val="00782AF4"/>
    <w:rsid w:val="00790EE7"/>
    <w:rsid w:val="007A0377"/>
    <w:rsid w:val="007B6649"/>
    <w:rsid w:val="0082576E"/>
    <w:rsid w:val="008458B8"/>
    <w:rsid w:val="00907F75"/>
    <w:rsid w:val="00913640"/>
    <w:rsid w:val="009260DE"/>
    <w:rsid w:val="0093258A"/>
    <w:rsid w:val="009C7BA3"/>
    <w:rsid w:val="009D1F5A"/>
    <w:rsid w:val="00A36670"/>
    <w:rsid w:val="00AA04D1"/>
    <w:rsid w:val="00B003BF"/>
    <w:rsid w:val="00B373D7"/>
    <w:rsid w:val="00BC3FA6"/>
    <w:rsid w:val="00C22E63"/>
    <w:rsid w:val="00C36276"/>
    <w:rsid w:val="00C37DCA"/>
    <w:rsid w:val="00C42586"/>
    <w:rsid w:val="00C60CCD"/>
    <w:rsid w:val="00C84483"/>
    <w:rsid w:val="00C95551"/>
    <w:rsid w:val="00CB20D7"/>
    <w:rsid w:val="00D020B0"/>
    <w:rsid w:val="00D11748"/>
    <w:rsid w:val="00D366CF"/>
    <w:rsid w:val="00DD336C"/>
    <w:rsid w:val="00DE22D4"/>
    <w:rsid w:val="00E06489"/>
    <w:rsid w:val="00E108AA"/>
    <w:rsid w:val="00E3749A"/>
    <w:rsid w:val="00E37DA1"/>
    <w:rsid w:val="00E7437F"/>
    <w:rsid w:val="00E865B8"/>
    <w:rsid w:val="00EC0B9B"/>
    <w:rsid w:val="00ED5E9F"/>
    <w:rsid w:val="00F13670"/>
    <w:rsid w:val="00F66D4F"/>
    <w:rsid w:val="00FB3A37"/>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66501"/>
  <w15:chartTrackingRefBased/>
  <w15:docId w15:val="{F2A178E6-2487-4E56-BC62-D1ADA7D9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DE22D4"/>
    <w:pPr>
      <w:widowControl w:val="0"/>
      <w:autoSpaceDE w:val="0"/>
      <w:autoSpaceDN w:val="0"/>
      <w:ind w:left="107"/>
      <w:outlineLvl w:val="1"/>
    </w:pPr>
    <w:rPr>
      <w:rFonts w:ascii="Verdana" w:eastAsia="Verdana" w:hAnsi="Verdana" w:cs="Verdana"/>
      <w:b/>
      <w:bCs/>
      <w:sz w:val="18"/>
      <w:szCs w:val="1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1"/>
    <w:qFormat/>
    <w:rsid w:val="00FB3A37"/>
    <w:pPr>
      <w:widowControl w:val="0"/>
      <w:autoSpaceDE w:val="0"/>
      <w:autoSpaceDN w:val="0"/>
      <w:ind w:left="828" w:hanging="361"/>
    </w:pPr>
    <w:rPr>
      <w:rFonts w:ascii="Verdana" w:eastAsia="Verdana" w:hAnsi="Verdana" w:cs="Verdana"/>
      <w:sz w:val="22"/>
      <w:szCs w:val="22"/>
    </w:rPr>
  </w:style>
  <w:style w:type="paragraph" w:styleId="Brdtekst">
    <w:name w:val="Body Text"/>
    <w:basedOn w:val="Normal"/>
    <w:link w:val="BrdtekstTegn"/>
    <w:uiPriority w:val="99"/>
    <w:semiHidden/>
    <w:unhideWhenUsed/>
    <w:rsid w:val="00FB3A37"/>
    <w:pPr>
      <w:spacing w:after="120"/>
    </w:pPr>
    <w:rPr>
      <w:sz w:val="24"/>
      <w:lang w:eastAsia="da-DK"/>
    </w:rPr>
  </w:style>
  <w:style w:type="character" w:customStyle="1" w:styleId="BrdtekstTegn">
    <w:name w:val="Brødtekst Tegn"/>
    <w:basedOn w:val="Standardskrifttypeiafsnit"/>
    <w:link w:val="Brdtekst"/>
    <w:uiPriority w:val="99"/>
    <w:semiHidden/>
    <w:rsid w:val="00FB3A37"/>
    <w:rPr>
      <w:sz w:val="24"/>
    </w:rPr>
  </w:style>
  <w:style w:type="character" w:styleId="Fremhv">
    <w:name w:val="Emphasis"/>
    <w:basedOn w:val="Standardskrifttypeiafsnit"/>
    <w:uiPriority w:val="20"/>
    <w:qFormat/>
    <w:rsid w:val="00FB3A37"/>
    <w:rPr>
      <w:i/>
      <w:iCs/>
    </w:rPr>
  </w:style>
  <w:style w:type="table" w:styleId="Tabel-Gitter">
    <w:name w:val="Table Grid"/>
    <w:basedOn w:val="Tabel-Normal"/>
    <w:uiPriority w:val="39"/>
    <w:rsid w:val="00C22E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semiHidden/>
    <w:rsid w:val="00DE22D4"/>
    <w:rPr>
      <w:rFonts w:ascii="Verdana" w:eastAsia="Verdana" w:hAnsi="Verdana" w:cs="Verdana"/>
      <w:b/>
      <w:bCs/>
      <w:sz w:val="18"/>
      <w:szCs w:val="18"/>
      <w:lang w:eastAsia="en-US"/>
    </w:rPr>
  </w:style>
  <w:style w:type="paragraph" w:customStyle="1" w:styleId="TableParagraph">
    <w:name w:val="Table Paragraph"/>
    <w:basedOn w:val="Normal"/>
    <w:uiPriority w:val="1"/>
    <w:qFormat/>
    <w:rsid w:val="00DE22D4"/>
    <w:pPr>
      <w:widowControl w:val="0"/>
      <w:autoSpaceDE w:val="0"/>
      <w:autoSpaceDN w:val="0"/>
      <w:spacing w:before="44"/>
      <w:ind w:left="105"/>
    </w:pPr>
    <w:rPr>
      <w:rFonts w:ascii="Verdana" w:eastAsia="Verdana" w:hAnsi="Verdana" w:cs="Verdana"/>
      <w:sz w:val="22"/>
      <w:szCs w:val="22"/>
    </w:rPr>
  </w:style>
  <w:style w:type="character" w:styleId="Hyperlink">
    <w:name w:val="Hyperlink"/>
    <w:basedOn w:val="Standardskrifttypeiafsnit"/>
    <w:uiPriority w:val="99"/>
    <w:unhideWhenUsed/>
    <w:rsid w:val="008458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6818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98994874">
      <w:bodyDiv w:val="1"/>
      <w:marLeft w:val="0"/>
      <w:marRight w:val="0"/>
      <w:marTop w:val="0"/>
      <w:marBottom w:val="0"/>
      <w:divBdr>
        <w:top w:val="none" w:sz="0" w:space="0" w:color="auto"/>
        <w:left w:val="none" w:sz="0" w:space="0" w:color="auto"/>
        <w:bottom w:val="none" w:sz="0" w:space="0" w:color="auto"/>
        <w:right w:val="none" w:sz="0" w:space="0" w:color="auto"/>
      </w:divBdr>
    </w:div>
    <w:div w:id="342165618">
      <w:bodyDiv w:val="1"/>
      <w:marLeft w:val="0"/>
      <w:marRight w:val="0"/>
      <w:marTop w:val="0"/>
      <w:marBottom w:val="0"/>
      <w:divBdr>
        <w:top w:val="none" w:sz="0" w:space="0" w:color="auto"/>
        <w:left w:val="none" w:sz="0" w:space="0" w:color="auto"/>
        <w:bottom w:val="none" w:sz="0" w:space="0" w:color="auto"/>
        <w:right w:val="none" w:sz="0" w:space="0" w:color="auto"/>
      </w:divBdr>
    </w:div>
    <w:div w:id="372578067">
      <w:bodyDiv w:val="1"/>
      <w:marLeft w:val="0"/>
      <w:marRight w:val="0"/>
      <w:marTop w:val="0"/>
      <w:marBottom w:val="0"/>
      <w:divBdr>
        <w:top w:val="none" w:sz="0" w:space="0" w:color="auto"/>
        <w:left w:val="none" w:sz="0" w:space="0" w:color="auto"/>
        <w:bottom w:val="none" w:sz="0" w:space="0" w:color="auto"/>
        <w:right w:val="none" w:sz="0" w:space="0" w:color="auto"/>
      </w:divBdr>
    </w:div>
    <w:div w:id="440876767">
      <w:bodyDiv w:val="1"/>
      <w:marLeft w:val="0"/>
      <w:marRight w:val="0"/>
      <w:marTop w:val="0"/>
      <w:marBottom w:val="0"/>
      <w:divBdr>
        <w:top w:val="none" w:sz="0" w:space="0" w:color="auto"/>
        <w:left w:val="none" w:sz="0" w:space="0" w:color="auto"/>
        <w:bottom w:val="none" w:sz="0" w:space="0" w:color="auto"/>
        <w:right w:val="none" w:sz="0" w:space="0" w:color="auto"/>
      </w:divBdr>
    </w:div>
    <w:div w:id="746151193">
      <w:bodyDiv w:val="1"/>
      <w:marLeft w:val="0"/>
      <w:marRight w:val="0"/>
      <w:marTop w:val="0"/>
      <w:marBottom w:val="0"/>
      <w:divBdr>
        <w:top w:val="none" w:sz="0" w:space="0" w:color="auto"/>
        <w:left w:val="none" w:sz="0" w:space="0" w:color="auto"/>
        <w:bottom w:val="none" w:sz="0" w:space="0" w:color="auto"/>
        <w:right w:val="none" w:sz="0" w:space="0" w:color="auto"/>
      </w:divBdr>
    </w:div>
    <w:div w:id="1006060512">
      <w:bodyDiv w:val="1"/>
      <w:marLeft w:val="0"/>
      <w:marRight w:val="0"/>
      <w:marTop w:val="0"/>
      <w:marBottom w:val="0"/>
      <w:divBdr>
        <w:top w:val="none" w:sz="0" w:space="0" w:color="auto"/>
        <w:left w:val="none" w:sz="0" w:space="0" w:color="auto"/>
        <w:bottom w:val="none" w:sz="0" w:space="0" w:color="auto"/>
        <w:right w:val="none" w:sz="0" w:space="0" w:color="auto"/>
      </w:divBdr>
    </w:div>
    <w:div w:id="1070083852">
      <w:bodyDiv w:val="1"/>
      <w:marLeft w:val="0"/>
      <w:marRight w:val="0"/>
      <w:marTop w:val="0"/>
      <w:marBottom w:val="0"/>
      <w:divBdr>
        <w:top w:val="none" w:sz="0" w:space="0" w:color="auto"/>
        <w:left w:val="none" w:sz="0" w:space="0" w:color="auto"/>
        <w:bottom w:val="none" w:sz="0" w:space="0" w:color="auto"/>
        <w:right w:val="none" w:sz="0" w:space="0" w:color="auto"/>
      </w:divBdr>
    </w:div>
    <w:div w:id="1221599350">
      <w:bodyDiv w:val="1"/>
      <w:marLeft w:val="0"/>
      <w:marRight w:val="0"/>
      <w:marTop w:val="0"/>
      <w:marBottom w:val="0"/>
      <w:divBdr>
        <w:top w:val="none" w:sz="0" w:space="0" w:color="auto"/>
        <w:left w:val="none" w:sz="0" w:space="0" w:color="auto"/>
        <w:bottom w:val="none" w:sz="0" w:space="0" w:color="auto"/>
        <w:right w:val="none" w:sz="0" w:space="0" w:color="auto"/>
      </w:divBdr>
    </w:div>
    <w:div w:id="1242254624">
      <w:bodyDiv w:val="1"/>
      <w:marLeft w:val="0"/>
      <w:marRight w:val="0"/>
      <w:marTop w:val="0"/>
      <w:marBottom w:val="0"/>
      <w:divBdr>
        <w:top w:val="none" w:sz="0" w:space="0" w:color="auto"/>
        <w:left w:val="none" w:sz="0" w:space="0" w:color="auto"/>
        <w:bottom w:val="none" w:sz="0" w:space="0" w:color="auto"/>
        <w:right w:val="none" w:sz="0" w:space="0" w:color="auto"/>
      </w:divBdr>
    </w:div>
    <w:div w:id="1253926566">
      <w:bodyDiv w:val="1"/>
      <w:marLeft w:val="0"/>
      <w:marRight w:val="0"/>
      <w:marTop w:val="0"/>
      <w:marBottom w:val="0"/>
      <w:divBdr>
        <w:top w:val="none" w:sz="0" w:space="0" w:color="auto"/>
        <w:left w:val="none" w:sz="0" w:space="0" w:color="auto"/>
        <w:bottom w:val="none" w:sz="0" w:space="0" w:color="auto"/>
        <w:right w:val="none" w:sz="0" w:space="0" w:color="auto"/>
      </w:divBdr>
    </w:div>
    <w:div w:id="1438402267">
      <w:bodyDiv w:val="1"/>
      <w:marLeft w:val="0"/>
      <w:marRight w:val="0"/>
      <w:marTop w:val="0"/>
      <w:marBottom w:val="0"/>
      <w:divBdr>
        <w:top w:val="none" w:sz="0" w:space="0" w:color="auto"/>
        <w:left w:val="none" w:sz="0" w:space="0" w:color="auto"/>
        <w:bottom w:val="none" w:sz="0" w:space="0" w:color="auto"/>
        <w:right w:val="none" w:sz="0" w:space="0" w:color="auto"/>
      </w:divBdr>
    </w:div>
    <w:div w:id="1606117129">
      <w:bodyDiv w:val="1"/>
      <w:marLeft w:val="0"/>
      <w:marRight w:val="0"/>
      <w:marTop w:val="0"/>
      <w:marBottom w:val="0"/>
      <w:divBdr>
        <w:top w:val="none" w:sz="0" w:space="0" w:color="auto"/>
        <w:left w:val="none" w:sz="0" w:space="0" w:color="auto"/>
        <w:bottom w:val="none" w:sz="0" w:space="0" w:color="auto"/>
        <w:right w:val="none" w:sz="0" w:space="0" w:color="auto"/>
      </w:divBdr>
    </w:div>
    <w:div w:id="1686325719">
      <w:bodyDiv w:val="1"/>
      <w:marLeft w:val="0"/>
      <w:marRight w:val="0"/>
      <w:marTop w:val="0"/>
      <w:marBottom w:val="0"/>
      <w:divBdr>
        <w:top w:val="none" w:sz="0" w:space="0" w:color="auto"/>
        <w:left w:val="none" w:sz="0" w:space="0" w:color="auto"/>
        <w:bottom w:val="none" w:sz="0" w:space="0" w:color="auto"/>
        <w:right w:val="none" w:sz="0" w:space="0" w:color="auto"/>
      </w:divBdr>
    </w:div>
    <w:div w:id="1690258266">
      <w:bodyDiv w:val="1"/>
      <w:marLeft w:val="0"/>
      <w:marRight w:val="0"/>
      <w:marTop w:val="0"/>
      <w:marBottom w:val="0"/>
      <w:divBdr>
        <w:top w:val="none" w:sz="0" w:space="0" w:color="auto"/>
        <w:left w:val="none" w:sz="0" w:space="0" w:color="auto"/>
        <w:bottom w:val="none" w:sz="0" w:space="0" w:color="auto"/>
        <w:right w:val="none" w:sz="0" w:space="0" w:color="auto"/>
      </w:divBdr>
    </w:div>
    <w:div w:id="1722629609">
      <w:bodyDiv w:val="1"/>
      <w:marLeft w:val="0"/>
      <w:marRight w:val="0"/>
      <w:marTop w:val="0"/>
      <w:marBottom w:val="0"/>
      <w:divBdr>
        <w:top w:val="none" w:sz="0" w:space="0" w:color="auto"/>
        <w:left w:val="none" w:sz="0" w:space="0" w:color="auto"/>
        <w:bottom w:val="none" w:sz="0" w:space="0" w:color="auto"/>
        <w:right w:val="none" w:sz="0" w:space="0" w:color="auto"/>
      </w:divBdr>
    </w:div>
    <w:div w:id="1748116463">
      <w:bodyDiv w:val="1"/>
      <w:marLeft w:val="0"/>
      <w:marRight w:val="0"/>
      <w:marTop w:val="0"/>
      <w:marBottom w:val="0"/>
      <w:divBdr>
        <w:top w:val="none" w:sz="0" w:space="0" w:color="auto"/>
        <w:left w:val="none" w:sz="0" w:space="0" w:color="auto"/>
        <w:bottom w:val="none" w:sz="0" w:space="0" w:color="auto"/>
        <w:right w:val="none" w:sz="0" w:space="0" w:color="auto"/>
      </w:divBdr>
    </w:div>
    <w:div w:id="1801414137">
      <w:bodyDiv w:val="1"/>
      <w:marLeft w:val="0"/>
      <w:marRight w:val="0"/>
      <w:marTop w:val="0"/>
      <w:marBottom w:val="0"/>
      <w:divBdr>
        <w:top w:val="none" w:sz="0" w:space="0" w:color="auto"/>
        <w:left w:val="none" w:sz="0" w:space="0" w:color="auto"/>
        <w:bottom w:val="none" w:sz="0" w:space="0" w:color="auto"/>
        <w:right w:val="none" w:sz="0" w:space="0" w:color="auto"/>
      </w:divBdr>
    </w:div>
    <w:div w:id="1907839621">
      <w:bodyDiv w:val="1"/>
      <w:marLeft w:val="0"/>
      <w:marRight w:val="0"/>
      <w:marTop w:val="0"/>
      <w:marBottom w:val="0"/>
      <w:divBdr>
        <w:top w:val="none" w:sz="0" w:space="0" w:color="auto"/>
        <w:left w:val="none" w:sz="0" w:space="0" w:color="auto"/>
        <w:bottom w:val="none" w:sz="0" w:space="0" w:color="auto"/>
        <w:right w:val="none" w:sz="0" w:space="0" w:color="auto"/>
      </w:divBdr>
    </w:div>
    <w:div w:id="2026593701">
      <w:bodyDiv w:val="1"/>
      <w:marLeft w:val="0"/>
      <w:marRight w:val="0"/>
      <w:marTop w:val="0"/>
      <w:marBottom w:val="0"/>
      <w:divBdr>
        <w:top w:val="none" w:sz="0" w:space="0" w:color="auto"/>
        <w:left w:val="none" w:sz="0" w:space="0" w:color="auto"/>
        <w:bottom w:val="none" w:sz="0" w:space="0" w:color="auto"/>
        <w:right w:val="none" w:sz="0" w:space="0" w:color="auto"/>
      </w:divBdr>
    </w:div>
    <w:div w:id="2068526945">
      <w:bodyDiv w:val="1"/>
      <w:marLeft w:val="0"/>
      <w:marRight w:val="0"/>
      <w:marTop w:val="0"/>
      <w:marBottom w:val="0"/>
      <w:divBdr>
        <w:top w:val="none" w:sz="0" w:space="0" w:color="auto"/>
        <w:left w:val="none" w:sz="0" w:space="0" w:color="auto"/>
        <w:bottom w:val="none" w:sz="0" w:space="0" w:color="auto"/>
        <w:right w:val="none" w:sz="0" w:space="0" w:color="auto"/>
      </w:divBdr>
    </w:div>
    <w:div w:id="208051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Template>
  <TotalTime>39</TotalTime>
  <Pages>8</Pages>
  <Words>1711</Words>
  <Characters>11718</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2020062670, kommissionsbeslutning (2020)3966 af 09 Jun 2020 </dc:description>
  <cp:lastModifiedBy>Gitte Jørgensen</cp:lastModifiedBy>
  <cp:revision>5</cp:revision>
  <cp:lastPrinted>2012-08-22T08:53:00Z</cp:lastPrinted>
  <dcterms:created xsi:type="dcterms:W3CDTF">2020-09-14T05:56:00Z</dcterms:created>
  <dcterms:modified xsi:type="dcterms:W3CDTF">2020-09-14T06:42:00Z</dcterms:modified>
</cp:coreProperties>
</file>