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0D4F" w14:textId="77777777" w:rsidR="009260DE" w:rsidRPr="00FA0C3A" w:rsidRDefault="0021526C" w:rsidP="009260DE">
      <w:pPr>
        <w:rPr>
          <w:sz w:val="24"/>
          <w:szCs w:val="24"/>
        </w:rPr>
      </w:pPr>
      <w:r w:rsidRPr="00FA0C3A">
        <w:rPr>
          <w:noProof/>
          <w:sz w:val="24"/>
          <w:szCs w:val="24"/>
          <w:lang w:eastAsia="da-DK"/>
        </w:rPr>
        <w:drawing>
          <wp:anchor distT="0" distB="0" distL="114300" distR="114300" simplePos="0" relativeHeight="251658240" behindDoc="0" locked="0" layoutInCell="1" allowOverlap="1" wp14:anchorId="33740BBE" wp14:editId="05F348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0C3A">
        <w:rPr>
          <w:sz w:val="24"/>
          <w:szCs w:val="24"/>
        </w:rPr>
        <w:br w:type="textWrapping" w:clear="all"/>
      </w:r>
    </w:p>
    <w:p w14:paraId="50468AC5" w14:textId="68240BEA" w:rsidR="009260DE" w:rsidRPr="00FA0C3A" w:rsidRDefault="009260DE" w:rsidP="009260DE">
      <w:pPr>
        <w:pStyle w:val="Titel"/>
        <w:tabs>
          <w:tab w:val="right" w:pos="9356"/>
        </w:tabs>
        <w:jc w:val="left"/>
        <w:rPr>
          <w:b w:val="0"/>
          <w:szCs w:val="24"/>
          <w:lang w:eastAsia="en-US"/>
        </w:rPr>
      </w:pPr>
      <w:r w:rsidRPr="00FA0C3A">
        <w:rPr>
          <w:b w:val="0"/>
          <w:szCs w:val="24"/>
          <w:lang w:eastAsia="en-US"/>
        </w:rPr>
        <w:tab/>
      </w:r>
      <w:r w:rsidR="006E72DB">
        <w:rPr>
          <w:szCs w:val="24"/>
        </w:rPr>
        <w:t>16. januar 2025</w:t>
      </w:r>
    </w:p>
    <w:p w14:paraId="3D468561" w14:textId="77777777" w:rsidR="009260DE" w:rsidRPr="00FA0C3A" w:rsidRDefault="009260DE" w:rsidP="009260DE">
      <w:pPr>
        <w:pStyle w:val="Titel"/>
        <w:tabs>
          <w:tab w:val="left" w:pos="8222"/>
        </w:tabs>
        <w:jc w:val="left"/>
        <w:rPr>
          <w:b w:val="0"/>
          <w:szCs w:val="24"/>
        </w:rPr>
      </w:pPr>
    </w:p>
    <w:p w14:paraId="55779D99" w14:textId="77777777" w:rsidR="009260DE" w:rsidRPr="00FA0C3A" w:rsidRDefault="009260DE" w:rsidP="009260DE">
      <w:pPr>
        <w:pStyle w:val="Titel"/>
        <w:jc w:val="left"/>
        <w:rPr>
          <w:b w:val="0"/>
          <w:szCs w:val="24"/>
        </w:rPr>
      </w:pPr>
    </w:p>
    <w:p w14:paraId="68E5DBBC" w14:textId="77777777" w:rsidR="009260DE" w:rsidRPr="00FA0C3A" w:rsidRDefault="009260DE" w:rsidP="009260DE">
      <w:pPr>
        <w:pStyle w:val="Titel"/>
        <w:jc w:val="left"/>
        <w:rPr>
          <w:b w:val="0"/>
          <w:szCs w:val="24"/>
        </w:rPr>
      </w:pPr>
    </w:p>
    <w:p w14:paraId="552B9D61" w14:textId="77777777" w:rsidR="009260DE" w:rsidRPr="00FA0C3A" w:rsidRDefault="009260DE" w:rsidP="009260DE">
      <w:pPr>
        <w:jc w:val="center"/>
        <w:rPr>
          <w:b/>
          <w:sz w:val="24"/>
          <w:szCs w:val="24"/>
        </w:rPr>
      </w:pPr>
      <w:r w:rsidRPr="00FA0C3A">
        <w:rPr>
          <w:b/>
          <w:sz w:val="24"/>
          <w:szCs w:val="24"/>
        </w:rPr>
        <w:t>PRODUKTRESUMÉ</w:t>
      </w:r>
    </w:p>
    <w:p w14:paraId="0541632A" w14:textId="77777777" w:rsidR="009260DE" w:rsidRPr="00FA0C3A" w:rsidRDefault="009260DE" w:rsidP="009260DE">
      <w:pPr>
        <w:jc w:val="center"/>
        <w:rPr>
          <w:b/>
          <w:sz w:val="24"/>
          <w:szCs w:val="24"/>
        </w:rPr>
      </w:pPr>
    </w:p>
    <w:p w14:paraId="3885FC54" w14:textId="273EFCAF" w:rsidR="009260DE" w:rsidRPr="00FA0C3A" w:rsidRDefault="009F4E9B" w:rsidP="009F4E9B">
      <w:pPr>
        <w:tabs>
          <w:tab w:val="center" w:pos="4819"/>
        </w:tabs>
        <w:rPr>
          <w:b/>
          <w:sz w:val="24"/>
          <w:szCs w:val="24"/>
        </w:rPr>
      </w:pPr>
      <w:r>
        <w:rPr>
          <w:b/>
          <w:sz w:val="24"/>
          <w:szCs w:val="24"/>
        </w:rPr>
        <w:tab/>
      </w:r>
      <w:r w:rsidR="009260DE" w:rsidRPr="00FA0C3A">
        <w:rPr>
          <w:b/>
          <w:sz w:val="24"/>
          <w:szCs w:val="24"/>
        </w:rPr>
        <w:t>for</w:t>
      </w:r>
    </w:p>
    <w:p w14:paraId="072DF398" w14:textId="77777777" w:rsidR="000B058C" w:rsidRPr="00FA0C3A" w:rsidRDefault="000B058C" w:rsidP="009260DE">
      <w:pPr>
        <w:jc w:val="center"/>
        <w:rPr>
          <w:b/>
          <w:sz w:val="24"/>
          <w:szCs w:val="24"/>
        </w:rPr>
      </w:pPr>
    </w:p>
    <w:p w14:paraId="08E6AFDE" w14:textId="3E8EF328" w:rsidR="009260DE" w:rsidRPr="00FA0C3A" w:rsidRDefault="00566A24" w:rsidP="009260DE">
      <w:pPr>
        <w:jc w:val="center"/>
        <w:rPr>
          <w:b/>
          <w:sz w:val="24"/>
          <w:szCs w:val="24"/>
        </w:rPr>
      </w:pPr>
      <w:proofErr w:type="spellStart"/>
      <w:r w:rsidRPr="00FA0C3A">
        <w:rPr>
          <w:b/>
          <w:sz w:val="24"/>
          <w:szCs w:val="24"/>
        </w:rPr>
        <w:t>Mycophenolate</w:t>
      </w:r>
      <w:proofErr w:type="spellEnd"/>
      <w:r w:rsidRPr="00FA0C3A">
        <w:rPr>
          <w:b/>
          <w:sz w:val="24"/>
          <w:szCs w:val="24"/>
        </w:rPr>
        <w:t xml:space="preserve"> </w:t>
      </w:r>
      <w:proofErr w:type="spellStart"/>
      <w:r w:rsidRPr="00FA0C3A">
        <w:rPr>
          <w:b/>
          <w:sz w:val="24"/>
          <w:szCs w:val="24"/>
        </w:rPr>
        <w:t>mofetil</w:t>
      </w:r>
      <w:proofErr w:type="spellEnd"/>
      <w:r w:rsidRPr="00FA0C3A">
        <w:rPr>
          <w:b/>
          <w:sz w:val="24"/>
          <w:szCs w:val="24"/>
        </w:rPr>
        <w:t xml:space="preserve"> "</w:t>
      </w:r>
      <w:proofErr w:type="spellStart"/>
      <w:r w:rsidRPr="00FA0C3A">
        <w:rPr>
          <w:b/>
          <w:sz w:val="24"/>
          <w:szCs w:val="24"/>
        </w:rPr>
        <w:t>Hexal</w:t>
      </w:r>
      <w:proofErr w:type="spellEnd"/>
      <w:r w:rsidRPr="00FA0C3A">
        <w:rPr>
          <w:b/>
          <w:sz w:val="24"/>
          <w:szCs w:val="24"/>
        </w:rPr>
        <w:t>", hårde kapsler</w:t>
      </w:r>
    </w:p>
    <w:p w14:paraId="14F57A1E" w14:textId="77777777" w:rsidR="009260DE" w:rsidRPr="00FA0C3A" w:rsidRDefault="009260DE" w:rsidP="009260DE">
      <w:pPr>
        <w:jc w:val="both"/>
        <w:rPr>
          <w:sz w:val="24"/>
          <w:szCs w:val="24"/>
        </w:rPr>
      </w:pPr>
    </w:p>
    <w:p w14:paraId="285A99A8" w14:textId="77777777" w:rsidR="009260DE" w:rsidRPr="00FA0C3A" w:rsidRDefault="009260DE" w:rsidP="009260DE">
      <w:pPr>
        <w:jc w:val="both"/>
        <w:rPr>
          <w:sz w:val="24"/>
          <w:szCs w:val="24"/>
        </w:rPr>
      </w:pPr>
    </w:p>
    <w:p w14:paraId="36C583D2" w14:textId="77777777" w:rsidR="009260DE" w:rsidRPr="00FA0C3A" w:rsidRDefault="009260DE" w:rsidP="009260DE">
      <w:pPr>
        <w:tabs>
          <w:tab w:val="left" w:pos="851"/>
        </w:tabs>
        <w:ind w:left="851" w:hanging="851"/>
        <w:rPr>
          <w:b/>
          <w:sz w:val="24"/>
          <w:szCs w:val="24"/>
        </w:rPr>
      </w:pPr>
      <w:r w:rsidRPr="00FA0C3A">
        <w:rPr>
          <w:b/>
          <w:sz w:val="24"/>
          <w:szCs w:val="24"/>
        </w:rPr>
        <w:t>0.</w:t>
      </w:r>
      <w:r w:rsidRPr="00FA0C3A">
        <w:rPr>
          <w:b/>
          <w:sz w:val="24"/>
          <w:szCs w:val="24"/>
        </w:rPr>
        <w:tab/>
        <w:t>D.SP.NR.</w:t>
      </w:r>
    </w:p>
    <w:p w14:paraId="525ED532" w14:textId="2C7BBFCA" w:rsidR="009260DE" w:rsidRPr="00FA0C3A" w:rsidRDefault="00566A24" w:rsidP="009260DE">
      <w:pPr>
        <w:tabs>
          <w:tab w:val="left" w:pos="851"/>
        </w:tabs>
        <w:ind w:left="851"/>
        <w:rPr>
          <w:sz w:val="24"/>
          <w:szCs w:val="24"/>
        </w:rPr>
      </w:pPr>
      <w:r w:rsidRPr="00FA0C3A">
        <w:rPr>
          <w:sz w:val="24"/>
          <w:szCs w:val="24"/>
        </w:rPr>
        <w:t>32949</w:t>
      </w:r>
    </w:p>
    <w:p w14:paraId="1B25CB10" w14:textId="77777777" w:rsidR="009260DE" w:rsidRPr="00FA0C3A" w:rsidRDefault="009260DE" w:rsidP="009260DE">
      <w:pPr>
        <w:tabs>
          <w:tab w:val="left" w:pos="851"/>
        </w:tabs>
        <w:ind w:left="851"/>
        <w:rPr>
          <w:sz w:val="24"/>
          <w:szCs w:val="24"/>
        </w:rPr>
      </w:pPr>
    </w:p>
    <w:p w14:paraId="13EBEDDF" w14:textId="77777777" w:rsidR="009260DE" w:rsidRPr="00FA0C3A" w:rsidRDefault="009260DE" w:rsidP="009260DE">
      <w:pPr>
        <w:tabs>
          <w:tab w:val="left" w:pos="851"/>
        </w:tabs>
        <w:ind w:left="851" w:hanging="851"/>
        <w:rPr>
          <w:b/>
          <w:sz w:val="24"/>
          <w:szCs w:val="24"/>
        </w:rPr>
      </w:pPr>
      <w:r w:rsidRPr="00FA0C3A">
        <w:rPr>
          <w:b/>
          <w:sz w:val="24"/>
          <w:szCs w:val="24"/>
        </w:rPr>
        <w:t>1.</w:t>
      </w:r>
      <w:r w:rsidRPr="00FA0C3A">
        <w:rPr>
          <w:b/>
          <w:sz w:val="24"/>
          <w:szCs w:val="24"/>
        </w:rPr>
        <w:tab/>
        <w:t>LÆGEMIDLETS NAVN</w:t>
      </w:r>
    </w:p>
    <w:p w14:paraId="5D113B4F" w14:textId="5B647EB0" w:rsidR="009260DE" w:rsidRPr="00FA0C3A" w:rsidRDefault="00566A24" w:rsidP="009260DE">
      <w:pPr>
        <w:tabs>
          <w:tab w:val="left" w:pos="851"/>
        </w:tabs>
        <w:ind w:left="851"/>
        <w:rPr>
          <w:sz w:val="24"/>
          <w:szCs w:val="24"/>
        </w:rPr>
      </w:pP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proofErr w:type="spellStart"/>
      <w:r w:rsidRPr="00FA0C3A">
        <w:rPr>
          <w:sz w:val="24"/>
          <w:szCs w:val="24"/>
        </w:rPr>
        <w:t>Hexal</w:t>
      </w:r>
      <w:proofErr w:type="spellEnd"/>
      <w:r w:rsidRPr="00FA0C3A">
        <w:rPr>
          <w:sz w:val="24"/>
          <w:szCs w:val="24"/>
        </w:rPr>
        <w:t>"</w:t>
      </w:r>
    </w:p>
    <w:p w14:paraId="791D217C" w14:textId="77777777" w:rsidR="009260DE" w:rsidRPr="00FA0C3A" w:rsidRDefault="009260DE" w:rsidP="009260DE">
      <w:pPr>
        <w:tabs>
          <w:tab w:val="left" w:pos="851"/>
        </w:tabs>
        <w:ind w:left="851"/>
        <w:rPr>
          <w:sz w:val="24"/>
          <w:szCs w:val="24"/>
        </w:rPr>
      </w:pPr>
    </w:p>
    <w:p w14:paraId="6D9A7F71" w14:textId="77777777" w:rsidR="009260DE" w:rsidRPr="00FA0C3A" w:rsidRDefault="009260DE" w:rsidP="009260DE">
      <w:pPr>
        <w:tabs>
          <w:tab w:val="left" w:pos="851"/>
        </w:tabs>
        <w:ind w:left="851" w:hanging="851"/>
        <w:rPr>
          <w:b/>
          <w:sz w:val="24"/>
          <w:szCs w:val="24"/>
        </w:rPr>
      </w:pPr>
      <w:r w:rsidRPr="00FA0C3A">
        <w:rPr>
          <w:b/>
          <w:sz w:val="24"/>
          <w:szCs w:val="24"/>
        </w:rPr>
        <w:t>2.</w:t>
      </w:r>
      <w:r w:rsidRPr="00FA0C3A">
        <w:rPr>
          <w:b/>
          <w:sz w:val="24"/>
          <w:szCs w:val="24"/>
        </w:rPr>
        <w:tab/>
        <w:t>KVALITATIV OG KVANTITATIV SAMMENSÆTNING</w:t>
      </w:r>
    </w:p>
    <w:p w14:paraId="02D0C77A" w14:textId="77777777" w:rsidR="00886F11" w:rsidRPr="00FA0C3A" w:rsidRDefault="00886F11" w:rsidP="00886F11">
      <w:pPr>
        <w:ind w:left="851" w:hanging="851"/>
        <w:rPr>
          <w:sz w:val="24"/>
          <w:szCs w:val="24"/>
        </w:rPr>
      </w:pPr>
      <w:r w:rsidRPr="00FA0C3A">
        <w:rPr>
          <w:sz w:val="24"/>
          <w:szCs w:val="24"/>
        </w:rPr>
        <w:tab/>
        <w:t xml:space="preserve">Hver hård kapsel indeholder 250 mg </w:t>
      </w:r>
      <w:proofErr w:type="spellStart"/>
      <w:r w:rsidRPr="00FA0C3A">
        <w:rPr>
          <w:sz w:val="24"/>
          <w:szCs w:val="24"/>
        </w:rPr>
        <w:t>mycophenolatmofetil</w:t>
      </w:r>
      <w:proofErr w:type="spellEnd"/>
      <w:r w:rsidRPr="00FA0C3A">
        <w:rPr>
          <w:sz w:val="24"/>
          <w:szCs w:val="24"/>
        </w:rPr>
        <w:t>.</w:t>
      </w:r>
    </w:p>
    <w:p w14:paraId="30F1C0B5" w14:textId="77777777" w:rsidR="00670896" w:rsidRPr="00FA0C3A" w:rsidRDefault="00670896" w:rsidP="00886F11">
      <w:pPr>
        <w:ind w:left="851"/>
        <w:rPr>
          <w:sz w:val="24"/>
          <w:szCs w:val="24"/>
        </w:rPr>
      </w:pPr>
    </w:p>
    <w:p w14:paraId="5EAB871F" w14:textId="592D10FE" w:rsidR="00886F11" w:rsidRPr="00FA0C3A" w:rsidRDefault="00886F11" w:rsidP="00886F11">
      <w:pPr>
        <w:ind w:left="851"/>
        <w:rPr>
          <w:sz w:val="24"/>
          <w:szCs w:val="24"/>
        </w:rPr>
      </w:pPr>
      <w:r w:rsidRPr="00FA0C3A">
        <w:rPr>
          <w:sz w:val="24"/>
          <w:szCs w:val="24"/>
        </w:rPr>
        <w:t>Alle hjælpestoffer er anført under pkt. 6.1.</w:t>
      </w:r>
    </w:p>
    <w:p w14:paraId="40E0CEA4" w14:textId="77777777" w:rsidR="009260DE" w:rsidRPr="00FA0C3A" w:rsidRDefault="009260DE" w:rsidP="009260DE">
      <w:pPr>
        <w:tabs>
          <w:tab w:val="left" w:pos="851"/>
        </w:tabs>
        <w:ind w:left="851"/>
        <w:rPr>
          <w:sz w:val="24"/>
          <w:szCs w:val="24"/>
        </w:rPr>
      </w:pPr>
    </w:p>
    <w:p w14:paraId="0B6453D4" w14:textId="77777777" w:rsidR="009260DE" w:rsidRPr="00FA0C3A" w:rsidRDefault="009260DE" w:rsidP="009260DE">
      <w:pPr>
        <w:tabs>
          <w:tab w:val="left" w:pos="851"/>
        </w:tabs>
        <w:ind w:left="851" w:hanging="851"/>
        <w:rPr>
          <w:b/>
          <w:sz w:val="24"/>
          <w:szCs w:val="24"/>
        </w:rPr>
      </w:pPr>
      <w:r w:rsidRPr="00FA0C3A">
        <w:rPr>
          <w:b/>
          <w:sz w:val="24"/>
          <w:szCs w:val="24"/>
        </w:rPr>
        <w:t>3.</w:t>
      </w:r>
      <w:r w:rsidRPr="00FA0C3A">
        <w:rPr>
          <w:b/>
          <w:sz w:val="24"/>
          <w:szCs w:val="24"/>
        </w:rPr>
        <w:tab/>
        <w:t>LÆGEMIDDELFORM</w:t>
      </w:r>
    </w:p>
    <w:p w14:paraId="5FE8271C" w14:textId="77777777" w:rsidR="00886F11" w:rsidRPr="00FA0C3A" w:rsidRDefault="00886F11" w:rsidP="00886F11">
      <w:pPr>
        <w:ind w:left="851"/>
        <w:rPr>
          <w:sz w:val="24"/>
          <w:szCs w:val="24"/>
        </w:rPr>
      </w:pPr>
      <w:r w:rsidRPr="00FA0C3A">
        <w:rPr>
          <w:sz w:val="24"/>
          <w:szCs w:val="24"/>
        </w:rPr>
        <w:t>Hårde kapsler</w:t>
      </w:r>
    </w:p>
    <w:p w14:paraId="68313596" w14:textId="77777777" w:rsidR="00886F11" w:rsidRPr="00FA0C3A" w:rsidRDefault="00886F11" w:rsidP="00886F11">
      <w:pPr>
        <w:ind w:left="851"/>
        <w:rPr>
          <w:sz w:val="24"/>
          <w:szCs w:val="24"/>
        </w:rPr>
      </w:pPr>
    </w:p>
    <w:p w14:paraId="42E1A238" w14:textId="77777777" w:rsidR="00886F11" w:rsidRPr="00FA0C3A" w:rsidRDefault="00886F11" w:rsidP="00886F11">
      <w:pPr>
        <w:ind w:left="851"/>
        <w:rPr>
          <w:sz w:val="24"/>
          <w:szCs w:val="24"/>
        </w:rPr>
      </w:pPr>
      <w:r w:rsidRPr="00FA0C3A">
        <w:rPr>
          <w:sz w:val="24"/>
          <w:szCs w:val="24"/>
        </w:rPr>
        <w:t>Størrelse ”1” hårde gelatinekapsler, med længde på ca. 18,90 mm, bestående af en lyseblå kapseloverdel mærket med ”MMF” med sort blæk og en ferskenfarvet kapselkrop mærket med ”250” med sort blæk.</w:t>
      </w:r>
    </w:p>
    <w:p w14:paraId="076510F2" w14:textId="77777777" w:rsidR="009260DE" w:rsidRPr="00FA0C3A" w:rsidRDefault="009260DE" w:rsidP="009260DE">
      <w:pPr>
        <w:tabs>
          <w:tab w:val="left" w:pos="851"/>
        </w:tabs>
        <w:ind w:left="851"/>
        <w:rPr>
          <w:sz w:val="24"/>
          <w:szCs w:val="24"/>
        </w:rPr>
      </w:pPr>
    </w:p>
    <w:p w14:paraId="4B47C118" w14:textId="77777777" w:rsidR="009260DE" w:rsidRPr="00FA0C3A" w:rsidRDefault="009260DE" w:rsidP="009260DE">
      <w:pPr>
        <w:tabs>
          <w:tab w:val="left" w:pos="851"/>
        </w:tabs>
        <w:ind w:left="851"/>
        <w:rPr>
          <w:sz w:val="24"/>
          <w:szCs w:val="24"/>
        </w:rPr>
      </w:pPr>
    </w:p>
    <w:p w14:paraId="1AC7A3DE" w14:textId="77777777" w:rsidR="009260DE" w:rsidRPr="00FA0C3A" w:rsidRDefault="009260DE" w:rsidP="009260DE">
      <w:pPr>
        <w:tabs>
          <w:tab w:val="left" w:pos="851"/>
        </w:tabs>
        <w:ind w:left="851" w:hanging="851"/>
        <w:rPr>
          <w:b/>
          <w:sz w:val="24"/>
          <w:szCs w:val="24"/>
        </w:rPr>
      </w:pPr>
      <w:r w:rsidRPr="00FA0C3A">
        <w:rPr>
          <w:b/>
          <w:sz w:val="24"/>
          <w:szCs w:val="24"/>
        </w:rPr>
        <w:t>4.</w:t>
      </w:r>
      <w:r w:rsidRPr="00FA0C3A">
        <w:rPr>
          <w:b/>
          <w:sz w:val="24"/>
          <w:szCs w:val="24"/>
        </w:rPr>
        <w:tab/>
        <w:t>KLINISKE OPLYSNINGER</w:t>
      </w:r>
    </w:p>
    <w:p w14:paraId="77E62F92" w14:textId="77777777" w:rsidR="009260DE" w:rsidRPr="00FA0C3A" w:rsidRDefault="009260DE" w:rsidP="009260DE">
      <w:pPr>
        <w:tabs>
          <w:tab w:val="left" w:pos="851"/>
        </w:tabs>
        <w:ind w:left="851"/>
        <w:rPr>
          <w:b/>
          <w:sz w:val="24"/>
          <w:szCs w:val="24"/>
        </w:rPr>
      </w:pPr>
    </w:p>
    <w:p w14:paraId="54BBEF85" w14:textId="77777777" w:rsidR="009260DE" w:rsidRPr="00FA0C3A" w:rsidRDefault="009260DE" w:rsidP="009260DE">
      <w:pPr>
        <w:tabs>
          <w:tab w:val="left" w:pos="851"/>
        </w:tabs>
        <w:ind w:left="851" w:hanging="851"/>
        <w:rPr>
          <w:b/>
          <w:sz w:val="24"/>
          <w:szCs w:val="24"/>
          <w:u w:val="single"/>
        </w:rPr>
      </w:pPr>
      <w:r w:rsidRPr="00FA0C3A">
        <w:rPr>
          <w:b/>
          <w:sz w:val="24"/>
          <w:szCs w:val="24"/>
        </w:rPr>
        <w:t>4.1</w:t>
      </w:r>
      <w:r w:rsidRPr="00FA0C3A">
        <w:rPr>
          <w:b/>
          <w:sz w:val="24"/>
          <w:szCs w:val="24"/>
        </w:rPr>
        <w:tab/>
        <w:t>Terapeutiske indikationer</w:t>
      </w:r>
    </w:p>
    <w:p w14:paraId="6DA70870" w14:textId="273C47A1" w:rsidR="009260DE" w:rsidRPr="00FA0C3A" w:rsidRDefault="00886F11" w:rsidP="006E72DB">
      <w:pPr>
        <w:tabs>
          <w:tab w:val="left" w:pos="851"/>
        </w:tabs>
        <w:ind w:left="851"/>
        <w:rPr>
          <w:sz w:val="24"/>
          <w:szCs w:val="24"/>
        </w:rPr>
      </w:pP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sz w:val="24"/>
          <w:szCs w:val="24"/>
        </w:rPr>
        <w:t xml:space="preserve"> er, i kombination med </w:t>
      </w:r>
      <w:proofErr w:type="spellStart"/>
      <w:r w:rsidRPr="00FA0C3A">
        <w:rPr>
          <w:sz w:val="24"/>
          <w:szCs w:val="24"/>
        </w:rPr>
        <w:t>ciclosporin</w:t>
      </w:r>
      <w:proofErr w:type="spellEnd"/>
      <w:r w:rsidRPr="00FA0C3A">
        <w:rPr>
          <w:sz w:val="24"/>
          <w:szCs w:val="24"/>
        </w:rPr>
        <w:t xml:space="preserve"> og </w:t>
      </w:r>
      <w:proofErr w:type="spellStart"/>
      <w:r w:rsidRPr="00FA0C3A">
        <w:rPr>
          <w:sz w:val="24"/>
          <w:szCs w:val="24"/>
        </w:rPr>
        <w:t>kortikosteroider</w:t>
      </w:r>
      <w:proofErr w:type="spellEnd"/>
      <w:r w:rsidRPr="00FA0C3A">
        <w:rPr>
          <w:sz w:val="24"/>
          <w:szCs w:val="24"/>
        </w:rPr>
        <w:t xml:space="preserve">, indiceret til forebyggelse af akut transplantatafstødning hos patienter, der modtager </w:t>
      </w:r>
      <w:proofErr w:type="spellStart"/>
      <w:r w:rsidRPr="00FA0C3A">
        <w:rPr>
          <w:sz w:val="24"/>
          <w:szCs w:val="24"/>
        </w:rPr>
        <w:t>allogene</w:t>
      </w:r>
      <w:proofErr w:type="spellEnd"/>
      <w:r w:rsidRPr="00FA0C3A">
        <w:rPr>
          <w:sz w:val="24"/>
          <w:szCs w:val="24"/>
        </w:rPr>
        <w:t xml:space="preserve"> nyre-, hjerte- eller levertransplantater.</w:t>
      </w:r>
      <w:r w:rsidRPr="00FA0C3A">
        <w:rPr>
          <w:sz w:val="24"/>
          <w:szCs w:val="24"/>
        </w:rPr>
        <w:br/>
      </w:r>
    </w:p>
    <w:p w14:paraId="3BFBB40A" w14:textId="77777777" w:rsidR="009260DE" w:rsidRPr="00FA0C3A" w:rsidRDefault="009260DE" w:rsidP="009260DE">
      <w:pPr>
        <w:tabs>
          <w:tab w:val="left" w:pos="851"/>
        </w:tabs>
        <w:ind w:left="851" w:hanging="851"/>
        <w:rPr>
          <w:b/>
          <w:sz w:val="24"/>
          <w:szCs w:val="24"/>
        </w:rPr>
      </w:pPr>
      <w:r w:rsidRPr="00FA0C3A">
        <w:rPr>
          <w:b/>
          <w:sz w:val="24"/>
          <w:szCs w:val="24"/>
        </w:rPr>
        <w:t>4.2</w:t>
      </w:r>
      <w:r w:rsidRPr="00FA0C3A">
        <w:rPr>
          <w:b/>
          <w:sz w:val="24"/>
          <w:szCs w:val="24"/>
        </w:rPr>
        <w:tab/>
        <w:t xml:space="preserve">Dosering og </w:t>
      </w:r>
      <w:r w:rsidR="002C1EC0" w:rsidRPr="00FA0C3A">
        <w:rPr>
          <w:b/>
          <w:sz w:val="24"/>
          <w:szCs w:val="24"/>
        </w:rPr>
        <w:t>administration</w:t>
      </w:r>
    </w:p>
    <w:p w14:paraId="7B1562F5" w14:textId="3AB98C54" w:rsidR="00E3546B" w:rsidRPr="006E72DB" w:rsidRDefault="00886F11" w:rsidP="006E72DB">
      <w:pPr>
        <w:ind w:left="851"/>
        <w:rPr>
          <w:sz w:val="24"/>
          <w:szCs w:val="24"/>
        </w:rPr>
      </w:pPr>
      <w:r w:rsidRPr="00FA0C3A">
        <w:rPr>
          <w:sz w:val="24"/>
          <w:szCs w:val="24"/>
        </w:rPr>
        <w:t xml:space="preserve">Behandling med </w:t>
      </w: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sz w:val="24"/>
          <w:szCs w:val="24"/>
        </w:rPr>
        <w:t xml:space="preserve"> bør påbegyndes og fortsættes af specialister med særligt kendskab til transplantationer.</w:t>
      </w:r>
    </w:p>
    <w:p w14:paraId="7CC6FA7A" w14:textId="7B494801" w:rsidR="00886F11" w:rsidRDefault="00886F11" w:rsidP="00670896">
      <w:pPr>
        <w:ind w:left="851"/>
        <w:rPr>
          <w:sz w:val="24"/>
          <w:szCs w:val="24"/>
          <w:u w:val="single"/>
        </w:rPr>
      </w:pPr>
    </w:p>
    <w:p w14:paraId="455C583B" w14:textId="02B1B1AB" w:rsidR="006E72DB" w:rsidRDefault="006E72DB" w:rsidP="00670896">
      <w:pPr>
        <w:ind w:left="851"/>
        <w:rPr>
          <w:sz w:val="24"/>
          <w:szCs w:val="24"/>
          <w:u w:val="single"/>
        </w:rPr>
      </w:pPr>
    </w:p>
    <w:p w14:paraId="75F9A59D" w14:textId="05537698" w:rsidR="006E72DB" w:rsidRDefault="006E72DB" w:rsidP="00670896">
      <w:pPr>
        <w:ind w:left="851"/>
        <w:rPr>
          <w:sz w:val="24"/>
          <w:szCs w:val="24"/>
          <w:u w:val="single"/>
        </w:rPr>
      </w:pPr>
    </w:p>
    <w:p w14:paraId="6DF967AD" w14:textId="140B5C79" w:rsidR="006E72DB" w:rsidRDefault="006E72DB" w:rsidP="00670896">
      <w:pPr>
        <w:ind w:left="851"/>
        <w:rPr>
          <w:sz w:val="24"/>
          <w:szCs w:val="24"/>
          <w:u w:val="single"/>
        </w:rPr>
      </w:pPr>
    </w:p>
    <w:p w14:paraId="12E754EB" w14:textId="4FB16F5F" w:rsidR="006E72DB" w:rsidRDefault="006E72DB" w:rsidP="00670896">
      <w:pPr>
        <w:ind w:left="851"/>
        <w:rPr>
          <w:sz w:val="24"/>
          <w:szCs w:val="24"/>
          <w:u w:val="single"/>
        </w:rPr>
      </w:pPr>
    </w:p>
    <w:p w14:paraId="650A6B99" w14:textId="77777777" w:rsidR="006E72DB" w:rsidRPr="00FA0C3A" w:rsidRDefault="006E72DB" w:rsidP="00670896">
      <w:pPr>
        <w:ind w:left="851"/>
        <w:rPr>
          <w:sz w:val="24"/>
          <w:szCs w:val="24"/>
          <w:u w:val="single"/>
        </w:rPr>
      </w:pPr>
    </w:p>
    <w:p w14:paraId="7E8255C6" w14:textId="77777777" w:rsidR="00886F11" w:rsidRPr="00FA0C3A" w:rsidRDefault="00886F11" w:rsidP="00886F11">
      <w:pPr>
        <w:ind w:firstLine="851"/>
        <w:rPr>
          <w:sz w:val="24"/>
          <w:szCs w:val="24"/>
          <w:u w:val="single"/>
        </w:rPr>
      </w:pPr>
      <w:r w:rsidRPr="00FA0C3A">
        <w:rPr>
          <w:sz w:val="24"/>
          <w:szCs w:val="24"/>
          <w:u w:val="single"/>
        </w:rPr>
        <w:t>Dosering</w:t>
      </w:r>
    </w:p>
    <w:p w14:paraId="69218809" w14:textId="77777777" w:rsidR="00886F11" w:rsidRPr="00FA0C3A" w:rsidRDefault="00886F11" w:rsidP="00886F11">
      <w:pPr>
        <w:ind w:left="851" w:hanging="851"/>
        <w:rPr>
          <w:sz w:val="24"/>
          <w:szCs w:val="24"/>
          <w:u w:val="single"/>
        </w:rPr>
      </w:pPr>
    </w:p>
    <w:p w14:paraId="466CABE4" w14:textId="77777777" w:rsidR="00886F11" w:rsidRPr="00FA0C3A" w:rsidRDefault="00886F11" w:rsidP="00886F11">
      <w:pPr>
        <w:ind w:left="851"/>
        <w:rPr>
          <w:i/>
          <w:sz w:val="24"/>
          <w:szCs w:val="24"/>
        </w:rPr>
      </w:pPr>
      <w:r w:rsidRPr="00FA0C3A">
        <w:rPr>
          <w:i/>
          <w:sz w:val="24"/>
          <w:szCs w:val="24"/>
        </w:rPr>
        <w:t>Anvendelse i forbindelse med nyretransplantation</w:t>
      </w:r>
    </w:p>
    <w:p w14:paraId="520B35E0" w14:textId="77777777" w:rsidR="00886F11" w:rsidRPr="00FA0C3A" w:rsidRDefault="00886F11" w:rsidP="00886F11">
      <w:pPr>
        <w:ind w:left="851"/>
        <w:rPr>
          <w:sz w:val="24"/>
          <w:szCs w:val="24"/>
        </w:rPr>
      </w:pPr>
    </w:p>
    <w:p w14:paraId="131EA95F" w14:textId="77777777" w:rsidR="00886F11" w:rsidRPr="00FA0C3A" w:rsidRDefault="00886F11" w:rsidP="00886F11">
      <w:pPr>
        <w:ind w:left="851"/>
        <w:rPr>
          <w:sz w:val="24"/>
          <w:szCs w:val="24"/>
        </w:rPr>
      </w:pPr>
      <w:r w:rsidRPr="00FA0C3A">
        <w:rPr>
          <w:sz w:val="24"/>
          <w:szCs w:val="24"/>
        </w:rPr>
        <w:t>Voksne</w:t>
      </w:r>
    </w:p>
    <w:p w14:paraId="1A545092" w14:textId="77777777" w:rsidR="00886F11" w:rsidRPr="00FA0C3A" w:rsidRDefault="00886F11" w:rsidP="00886F11">
      <w:pPr>
        <w:ind w:left="851"/>
        <w:rPr>
          <w:sz w:val="24"/>
          <w:szCs w:val="24"/>
        </w:rPr>
      </w:pPr>
      <w:r w:rsidRPr="00FA0C3A">
        <w:rPr>
          <w:sz w:val="24"/>
          <w:szCs w:val="24"/>
        </w:rPr>
        <w:t xml:space="preserve">Oralt </w:t>
      </w:r>
      <w:proofErr w:type="spellStart"/>
      <w:r w:rsidRPr="00FA0C3A">
        <w:rPr>
          <w:sz w:val="24"/>
          <w:szCs w:val="24"/>
        </w:rPr>
        <w:t>mycophenolatmofetil</w:t>
      </w:r>
      <w:proofErr w:type="spellEnd"/>
      <w:r w:rsidRPr="00FA0C3A">
        <w:rPr>
          <w:sz w:val="24"/>
          <w:szCs w:val="24"/>
        </w:rPr>
        <w:t xml:space="preserve"> bør påbegyndes indenfor 72 timer efter transplantationen. Den anbefalede dosis til nyretransplanterede patienter er 1 g administreret to gange daglig (døgndosis: 2 g).</w:t>
      </w:r>
    </w:p>
    <w:p w14:paraId="2FA3A737" w14:textId="77777777" w:rsidR="00886F11" w:rsidRPr="00FA0C3A" w:rsidRDefault="00886F11" w:rsidP="00886F11">
      <w:pPr>
        <w:ind w:left="851"/>
        <w:rPr>
          <w:sz w:val="24"/>
          <w:szCs w:val="24"/>
          <w:u w:val="single"/>
        </w:rPr>
      </w:pPr>
    </w:p>
    <w:p w14:paraId="3452A8F8" w14:textId="77777777" w:rsidR="00886F11" w:rsidRPr="00FA0C3A" w:rsidRDefault="00886F11" w:rsidP="00886F11">
      <w:pPr>
        <w:ind w:left="851"/>
        <w:rPr>
          <w:sz w:val="24"/>
          <w:szCs w:val="24"/>
        </w:rPr>
      </w:pPr>
      <w:r w:rsidRPr="00FA0C3A">
        <w:rPr>
          <w:sz w:val="24"/>
          <w:szCs w:val="24"/>
        </w:rPr>
        <w:t>Pædiatrisk population 2-18 år</w:t>
      </w:r>
    </w:p>
    <w:p w14:paraId="62291094" w14:textId="77777777" w:rsidR="00886F11" w:rsidRPr="00FA0C3A" w:rsidRDefault="00886F11" w:rsidP="00886F11">
      <w:pPr>
        <w:ind w:left="851"/>
        <w:rPr>
          <w:sz w:val="24"/>
          <w:szCs w:val="24"/>
        </w:rPr>
      </w:pPr>
      <w:r w:rsidRPr="00FA0C3A">
        <w:rPr>
          <w:sz w:val="24"/>
          <w:szCs w:val="24"/>
        </w:rPr>
        <w:t xml:space="preserve">Den anbefalede dosis </w:t>
      </w:r>
      <w:proofErr w:type="spellStart"/>
      <w:r w:rsidRPr="00FA0C3A">
        <w:rPr>
          <w:sz w:val="24"/>
          <w:szCs w:val="24"/>
        </w:rPr>
        <w:t>mycophenolatmofetil</w:t>
      </w:r>
      <w:proofErr w:type="spellEnd"/>
      <w:r w:rsidRPr="00FA0C3A">
        <w:rPr>
          <w:sz w:val="24"/>
          <w:szCs w:val="24"/>
        </w:rPr>
        <w:t xml:space="preserve"> er 600 mg/m</w:t>
      </w:r>
      <w:r w:rsidRPr="00FA0C3A">
        <w:rPr>
          <w:sz w:val="24"/>
          <w:szCs w:val="24"/>
          <w:vertAlign w:val="superscript"/>
        </w:rPr>
        <w:t>2</w:t>
      </w:r>
      <w:r w:rsidRPr="00FA0C3A">
        <w:rPr>
          <w:sz w:val="24"/>
          <w:szCs w:val="24"/>
        </w:rPr>
        <w:t xml:space="preserve"> oralt to gange daglig (højst 2 g daglig). </w:t>
      </w:r>
      <w:proofErr w:type="spellStart"/>
      <w:r w:rsidRPr="00FA0C3A">
        <w:rPr>
          <w:sz w:val="24"/>
          <w:szCs w:val="24"/>
        </w:rPr>
        <w:t>Mycophenolatmofetil</w:t>
      </w:r>
      <w:proofErr w:type="spellEnd"/>
      <w:r w:rsidRPr="00FA0C3A">
        <w:rPr>
          <w:sz w:val="24"/>
          <w:szCs w:val="24"/>
        </w:rPr>
        <w:t xml:space="preserve"> kapsler må kun ordineres til patienter med en legemsoverflade på mindst 1,25 m</w:t>
      </w:r>
      <w:r w:rsidRPr="00FA0C3A">
        <w:rPr>
          <w:sz w:val="24"/>
          <w:szCs w:val="24"/>
          <w:vertAlign w:val="superscript"/>
        </w:rPr>
        <w:t>2</w:t>
      </w:r>
      <w:r w:rsidRPr="00FA0C3A">
        <w:rPr>
          <w:sz w:val="24"/>
          <w:szCs w:val="24"/>
        </w:rPr>
        <w:t>. Til patienter med en legemsoverflade på 1,25-1,5 m</w:t>
      </w:r>
      <w:r w:rsidRPr="00FA0C3A">
        <w:rPr>
          <w:sz w:val="24"/>
          <w:szCs w:val="24"/>
          <w:vertAlign w:val="superscript"/>
        </w:rPr>
        <w:t>2</w:t>
      </w:r>
      <w:r w:rsidRPr="00FA0C3A">
        <w:rPr>
          <w:sz w:val="24"/>
          <w:szCs w:val="24"/>
        </w:rPr>
        <w:t xml:space="preserve"> kan der ordineres </w:t>
      </w:r>
      <w:proofErr w:type="spellStart"/>
      <w:r w:rsidRPr="00FA0C3A">
        <w:rPr>
          <w:sz w:val="24"/>
          <w:szCs w:val="24"/>
        </w:rPr>
        <w:t>mycophenolatmofetil</w:t>
      </w:r>
      <w:proofErr w:type="spellEnd"/>
      <w:r w:rsidRPr="00FA0C3A">
        <w:rPr>
          <w:sz w:val="24"/>
          <w:szCs w:val="24"/>
        </w:rPr>
        <w:t>-kapsler i en dosis på 750 mg to gange daglig (daglig dosis: 1,5 g). Til patienter med en legemsoverflade &gt; 1,5 m</w:t>
      </w:r>
      <w:r w:rsidRPr="00FA0C3A">
        <w:rPr>
          <w:sz w:val="24"/>
          <w:szCs w:val="24"/>
          <w:vertAlign w:val="superscript"/>
        </w:rPr>
        <w:t>2</w:t>
      </w:r>
      <w:r w:rsidRPr="00FA0C3A">
        <w:rPr>
          <w:sz w:val="24"/>
          <w:szCs w:val="24"/>
        </w:rPr>
        <w:t xml:space="preserve"> kan der ordineres </w:t>
      </w:r>
      <w:proofErr w:type="spellStart"/>
      <w:r w:rsidRPr="00FA0C3A">
        <w:rPr>
          <w:sz w:val="24"/>
          <w:szCs w:val="24"/>
        </w:rPr>
        <w:t>mycophenolatmofetil</w:t>
      </w:r>
      <w:proofErr w:type="spellEnd"/>
      <w:r w:rsidRPr="00FA0C3A">
        <w:rPr>
          <w:sz w:val="24"/>
          <w:szCs w:val="24"/>
        </w:rPr>
        <w:t>-kapsler i en dosis på 1 g to gange daglig (daglig dosis: 2 g). Da nogle bivirkninger forekommer hyppigere i denne aldersgruppe (se pkt. 4.8) end hos voksne, kan det blive nødvendigt forbigående at nedsætte dosis eller afbryde behandlingen, under behørig hensyntagen til relevante kliniske faktorer, inklusive bivirkningssværhedsgraden.</w:t>
      </w:r>
    </w:p>
    <w:p w14:paraId="5C6DD97A" w14:textId="77777777" w:rsidR="00886F11" w:rsidRPr="00FA0C3A" w:rsidRDefault="00886F11" w:rsidP="00886F11">
      <w:pPr>
        <w:ind w:left="851" w:hanging="851"/>
        <w:rPr>
          <w:sz w:val="24"/>
          <w:szCs w:val="24"/>
        </w:rPr>
      </w:pPr>
    </w:p>
    <w:p w14:paraId="7D3D03BE" w14:textId="77777777" w:rsidR="00886F11" w:rsidRPr="00FA0C3A" w:rsidRDefault="00886F11" w:rsidP="00886F11">
      <w:pPr>
        <w:ind w:left="851"/>
        <w:rPr>
          <w:sz w:val="24"/>
          <w:szCs w:val="24"/>
        </w:rPr>
      </w:pPr>
      <w:r w:rsidRPr="00FA0C3A">
        <w:rPr>
          <w:sz w:val="24"/>
          <w:szCs w:val="24"/>
        </w:rPr>
        <w:t xml:space="preserve">Pædiatrisk population &lt; 2 år </w:t>
      </w:r>
    </w:p>
    <w:p w14:paraId="28C59BD7" w14:textId="77777777" w:rsidR="00886F11" w:rsidRPr="00FA0C3A" w:rsidRDefault="00886F11" w:rsidP="00886F11">
      <w:pPr>
        <w:ind w:left="851"/>
        <w:rPr>
          <w:sz w:val="24"/>
          <w:szCs w:val="24"/>
        </w:rPr>
      </w:pPr>
      <w:r w:rsidRPr="00FA0C3A">
        <w:rPr>
          <w:sz w:val="24"/>
          <w:szCs w:val="24"/>
        </w:rPr>
        <w:t xml:space="preserve">Der foreligger begrænsede data om sikkerheden og effekten hos børn under 2 år. Dataene er ikke tilstrækkelige til at give anbefalinger om dosering, og det anbefales derfor ikke at anvende </w:t>
      </w:r>
      <w:proofErr w:type="spellStart"/>
      <w:r w:rsidRPr="00FA0C3A">
        <w:rPr>
          <w:sz w:val="24"/>
          <w:szCs w:val="24"/>
        </w:rPr>
        <w:t>mycophenolatmofetil</w:t>
      </w:r>
      <w:proofErr w:type="spellEnd"/>
      <w:r w:rsidRPr="00FA0C3A">
        <w:rPr>
          <w:sz w:val="24"/>
          <w:szCs w:val="24"/>
        </w:rPr>
        <w:t xml:space="preserve"> til denne aldersgruppe.</w:t>
      </w:r>
    </w:p>
    <w:p w14:paraId="3FF85ED9" w14:textId="77777777" w:rsidR="00886F11" w:rsidRPr="00FA0C3A" w:rsidRDefault="00886F11" w:rsidP="00886F11">
      <w:pPr>
        <w:ind w:left="851" w:hanging="851"/>
        <w:rPr>
          <w:i/>
          <w:sz w:val="24"/>
          <w:szCs w:val="24"/>
          <w:u w:val="single"/>
        </w:rPr>
      </w:pPr>
    </w:p>
    <w:p w14:paraId="365B7935" w14:textId="77777777" w:rsidR="00886F11" w:rsidRPr="00FA0C3A" w:rsidRDefault="00886F11" w:rsidP="00886F11">
      <w:pPr>
        <w:ind w:left="851"/>
        <w:rPr>
          <w:i/>
          <w:sz w:val="24"/>
          <w:szCs w:val="24"/>
        </w:rPr>
      </w:pPr>
      <w:r w:rsidRPr="00FA0C3A">
        <w:rPr>
          <w:i/>
          <w:sz w:val="24"/>
          <w:szCs w:val="24"/>
        </w:rPr>
        <w:t>Anvendelse i forbindelse med hjertetransplantation</w:t>
      </w:r>
    </w:p>
    <w:p w14:paraId="6E45BFF1" w14:textId="77777777" w:rsidR="00886F11" w:rsidRPr="00FA0C3A" w:rsidRDefault="00886F11" w:rsidP="00886F11">
      <w:pPr>
        <w:ind w:left="851"/>
        <w:rPr>
          <w:sz w:val="24"/>
          <w:szCs w:val="24"/>
          <w:u w:val="single"/>
        </w:rPr>
      </w:pPr>
    </w:p>
    <w:p w14:paraId="04E16AA7" w14:textId="77777777" w:rsidR="00886F11" w:rsidRPr="00FA0C3A" w:rsidRDefault="00886F11" w:rsidP="00886F11">
      <w:pPr>
        <w:ind w:left="851"/>
        <w:rPr>
          <w:sz w:val="24"/>
          <w:szCs w:val="24"/>
        </w:rPr>
      </w:pPr>
      <w:r w:rsidRPr="00FA0C3A">
        <w:rPr>
          <w:sz w:val="24"/>
          <w:szCs w:val="24"/>
        </w:rPr>
        <w:t xml:space="preserve">Voksne </w:t>
      </w:r>
    </w:p>
    <w:p w14:paraId="56C543EF" w14:textId="77777777" w:rsidR="00886F11" w:rsidRPr="00FA0C3A" w:rsidRDefault="00886F11" w:rsidP="00886F11">
      <w:pPr>
        <w:ind w:left="851"/>
        <w:rPr>
          <w:sz w:val="24"/>
          <w:szCs w:val="24"/>
        </w:rPr>
      </w:pPr>
      <w:r w:rsidRPr="00FA0C3A">
        <w:rPr>
          <w:sz w:val="24"/>
          <w:szCs w:val="24"/>
        </w:rPr>
        <w:t xml:space="preserve">Behandling med oral </w:t>
      </w:r>
      <w:proofErr w:type="spellStart"/>
      <w:r w:rsidRPr="00FA0C3A">
        <w:rPr>
          <w:sz w:val="24"/>
          <w:szCs w:val="24"/>
        </w:rPr>
        <w:t>mycophenolatmofetil</w:t>
      </w:r>
      <w:proofErr w:type="spellEnd"/>
      <w:r w:rsidRPr="00FA0C3A">
        <w:rPr>
          <w:sz w:val="24"/>
          <w:szCs w:val="24"/>
        </w:rPr>
        <w:t xml:space="preserve"> bør påbegyndes inden for 5 døgn efter transplantationen. Den anbefalede dosis til hjertetransplanterede patienter er 1,5 g administreret to gange daglig (døgndosis: 3 g).</w:t>
      </w:r>
    </w:p>
    <w:p w14:paraId="68CC1BA9" w14:textId="77777777" w:rsidR="00886F11" w:rsidRPr="00FA0C3A" w:rsidRDefault="00886F11" w:rsidP="00886F11">
      <w:pPr>
        <w:ind w:left="851"/>
        <w:rPr>
          <w:sz w:val="24"/>
          <w:szCs w:val="24"/>
          <w:u w:val="single"/>
        </w:rPr>
      </w:pPr>
    </w:p>
    <w:p w14:paraId="794E1B8D" w14:textId="77777777" w:rsidR="00886F11" w:rsidRPr="00FA0C3A" w:rsidRDefault="00886F11" w:rsidP="00886F11">
      <w:pPr>
        <w:ind w:left="851"/>
        <w:rPr>
          <w:sz w:val="24"/>
          <w:szCs w:val="24"/>
        </w:rPr>
      </w:pPr>
      <w:r w:rsidRPr="00FA0C3A">
        <w:rPr>
          <w:sz w:val="24"/>
          <w:szCs w:val="24"/>
        </w:rPr>
        <w:t xml:space="preserve">Pædiatrisk population </w:t>
      </w:r>
    </w:p>
    <w:p w14:paraId="4483E569" w14:textId="77777777" w:rsidR="00886F11" w:rsidRPr="00FA0C3A" w:rsidRDefault="00886F11" w:rsidP="00886F11">
      <w:pPr>
        <w:ind w:left="851"/>
        <w:rPr>
          <w:sz w:val="24"/>
          <w:szCs w:val="24"/>
        </w:rPr>
      </w:pPr>
      <w:r w:rsidRPr="00FA0C3A">
        <w:rPr>
          <w:sz w:val="24"/>
          <w:szCs w:val="24"/>
        </w:rPr>
        <w:t>Der foreligger ingen data vedrørende hjertetransplantationer hos pædiatriske patienter.</w:t>
      </w:r>
    </w:p>
    <w:p w14:paraId="1304CA49" w14:textId="77777777" w:rsidR="00886F11" w:rsidRPr="00FA0C3A" w:rsidRDefault="00886F11" w:rsidP="00886F11">
      <w:pPr>
        <w:ind w:left="851" w:hanging="851"/>
        <w:rPr>
          <w:sz w:val="24"/>
          <w:szCs w:val="24"/>
        </w:rPr>
      </w:pPr>
    </w:p>
    <w:p w14:paraId="39D0FD87" w14:textId="77777777" w:rsidR="00886F11" w:rsidRPr="00FA0C3A" w:rsidRDefault="00886F11" w:rsidP="00886F11">
      <w:pPr>
        <w:ind w:left="851"/>
        <w:rPr>
          <w:i/>
          <w:sz w:val="24"/>
          <w:szCs w:val="24"/>
        </w:rPr>
      </w:pPr>
      <w:r w:rsidRPr="00FA0C3A">
        <w:rPr>
          <w:i/>
          <w:sz w:val="24"/>
          <w:szCs w:val="24"/>
        </w:rPr>
        <w:t>Anvendelse i forbindelse med levertransplantation</w:t>
      </w:r>
    </w:p>
    <w:p w14:paraId="219B07ED" w14:textId="77777777" w:rsidR="00886F11" w:rsidRPr="00FA0C3A" w:rsidRDefault="00886F11" w:rsidP="00886F11">
      <w:pPr>
        <w:ind w:left="851"/>
        <w:rPr>
          <w:sz w:val="24"/>
          <w:szCs w:val="24"/>
          <w:u w:val="single"/>
        </w:rPr>
      </w:pPr>
    </w:p>
    <w:p w14:paraId="538BC771" w14:textId="77777777" w:rsidR="00886F11" w:rsidRPr="00FA0C3A" w:rsidRDefault="00886F11" w:rsidP="00886F11">
      <w:pPr>
        <w:ind w:left="851"/>
        <w:rPr>
          <w:sz w:val="24"/>
          <w:szCs w:val="24"/>
        </w:rPr>
      </w:pPr>
      <w:r w:rsidRPr="00FA0C3A">
        <w:rPr>
          <w:sz w:val="24"/>
          <w:szCs w:val="24"/>
        </w:rPr>
        <w:t xml:space="preserve">Voksne </w:t>
      </w:r>
    </w:p>
    <w:p w14:paraId="346F2AAB"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skal gives intravenøst (</w:t>
      </w:r>
      <w:proofErr w:type="spellStart"/>
      <w:r w:rsidRPr="00FA0C3A">
        <w:rPr>
          <w:sz w:val="24"/>
          <w:szCs w:val="24"/>
        </w:rPr>
        <w:t>i.v</w:t>
      </w:r>
      <w:proofErr w:type="spellEnd"/>
      <w:r w:rsidRPr="00FA0C3A">
        <w:rPr>
          <w:sz w:val="24"/>
          <w:szCs w:val="24"/>
        </w:rPr>
        <w:t>.) i de første 4 dage efter en lever</w:t>
      </w:r>
      <w:r w:rsidRPr="00FA0C3A">
        <w:rPr>
          <w:sz w:val="24"/>
          <w:szCs w:val="24"/>
        </w:rPr>
        <w:softHyphen/>
        <w:t xml:space="preserve">transplantation og herefter skal oral administration med </w:t>
      </w:r>
      <w:proofErr w:type="spellStart"/>
      <w:r w:rsidRPr="00FA0C3A">
        <w:rPr>
          <w:sz w:val="24"/>
          <w:szCs w:val="24"/>
        </w:rPr>
        <w:t>mycophenolat</w:t>
      </w:r>
      <w:r w:rsidRPr="00FA0C3A">
        <w:rPr>
          <w:sz w:val="24"/>
          <w:szCs w:val="24"/>
        </w:rPr>
        <w:softHyphen/>
        <w:t>mofetil</w:t>
      </w:r>
      <w:proofErr w:type="spellEnd"/>
      <w:r w:rsidRPr="00FA0C3A">
        <w:rPr>
          <w:sz w:val="24"/>
          <w:szCs w:val="24"/>
        </w:rPr>
        <w:t xml:space="preserve"> påbegyndes så snart det tåles. Den anbefalede orale dosis til levertransplanterede patienter er 1,5 g to gange daglig (døgndosis: 3 g).</w:t>
      </w:r>
    </w:p>
    <w:p w14:paraId="27C4BC30" w14:textId="77777777" w:rsidR="00886F11" w:rsidRPr="00FA0C3A" w:rsidRDefault="00886F11" w:rsidP="00886F11">
      <w:pPr>
        <w:ind w:left="851"/>
        <w:rPr>
          <w:sz w:val="24"/>
          <w:szCs w:val="24"/>
          <w:u w:val="single"/>
        </w:rPr>
      </w:pPr>
    </w:p>
    <w:p w14:paraId="41743DA7" w14:textId="77777777" w:rsidR="00886F11" w:rsidRPr="00FA0C3A" w:rsidRDefault="00886F11" w:rsidP="00886F11">
      <w:pPr>
        <w:ind w:left="851"/>
        <w:rPr>
          <w:sz w:val="24"/>
          <w:szCs w:val="24"/>
        </w:rPr>
      </w:pPr>
      <w:r w:rsidRPr="00FA0C3A">
        <w:rPr>
          <w:sz w:val="24"/>
          <w:szCs w:val="24"/>
        </w:rPr>
        <w:t>Pædiatrisk population</w:t>
      </w:r>
    </w:p>
    <w:p w14:paraId="4D840803" w14:textId="61CF0070" w:rsidR="00E3546B" w:rsidRDefault="00886F11" w:rsidP="006E72DB">
      <w:pPr>
        <w:ind w:left="851"/>
        <w:rPr>
          <w:sz w:val="24"/>
          <w:szCs w:val="24"/>
        </w:rPr>
      </w:pPr>
      <w:r w:rsidRPr="00FA0C3A">
        <w:rPr>
          <w:sz w:val="24"/>
          <w:szCs w:val="24"/>
        </w:rPr>
        <w:t>Der foreligger ingen data vedrørende levertransplantationer hos pædiatriske patienter.</w:t>
      </w:r>
    </w:p>
    <w:p w14:paraId="5D50C43E" w14:textId="7E856C84" w:rsidR="006E72DB" w:rsidRDefault="006E72DB" w:rsidP="006E72DB">
      <w:pPr>
        <w:ind w:left="851"/>
        <w:rPr>
          <w:sz w:val="24"/>
          <w:szCs w:val="24"/>
        </w:rPr>
      </w:pPr>
    </w:p>
    <w:p w14:paraId="5FA0F6AB" w14:textId="3D23DB8F" w:rsidR="006E72DB" w:rsidRDefault="006E72DB" w:rsidP="006E72DB">
      <w:pPr>
        <w:ind w:left="851"/>
        <w:rPr>
          <w:sz w:val="24"/>
          <w:szCs w:val="24"/>
        </w:rPr>
      </w:pPr>
    </w:p>
    <w:p w14:paraId="23AAC3D5" w14:textId="692795C6" w:rsidR="006E72DB" w:rsidRDefault="006E72DB" w:rsidP="006E72DB">
      <w:pPr>
        <w:ind w:left="851"/>
        <w:rPr>
          <w:sz w:val="24"/>
          <w:szCs w:val="24"/>
        </w:rPr>
      </w:pPr>
    </w:p>
    <w:p w14:paraId="2EA9AD24" w14:textId="3E63FA3F" w:rsidR="006E72DB" w:rsidRDefault="006E72DB" w:rsidP="006E72DB">
      <w:pPr>
        <w:ind w:left="851"/>
        <w:rPr>
          <w:sz w:val="24"/>
          <w:szCs w:val="24"/>
        </w:rPr>
      </w:pPr>
    </w:p>
    <w:p w14:paraId="1C841742" w14:textId="77777777" w:rsidR="006E72DB" w:rsidRPr="006E72DB" w:rsidRDefault="006E72DB" w:rsidP="006E72DB">
      <w:pPr>
        <w:ind w:left="851"/>
        <w:rPr>
          <w:sz w:val="24"/>
          <w:szCs w:val="24"/>
        </w:rPr>
      </w:pPr>
    </w:p>
    <w:p w14:paraId="7E64DF26" w14:textId="77777777" w:rsidR="00886F11" w:rsidRPr="00FA0C3A" w:rsidRDefault="00886F11" w:rsidP="00886F11">
      <w:pPr>
        <w:ind w:left="851"/>
        <w:rPr>
          <w:sz w:val="24"/>
          <w:szCs w:val="24"/>
          <w:u w:val="single"/>
        </w:rPr>
      </w:pPr>
    </w:p>
    <w:p w14:paraId="5D3442A4" w14:textId="77777777" w:rsidR="00886F11" w:rsidRPr="00FA0C3A" w:rsidRDefault="00886F11" w:rsidP="00886F11">
      <w:pPr>
        <w:ind w:left="851"/>
        <w:rPr>
          <w:i/>
          <w:sz w:val="24"/>
          <w:szCs w:val="24"/>
        </w:rPr>
      </w:pPr>
      <w:r w:rsidRPr="00FA0C3A">
        <w:rPr>
          <w:i/>
          <w:sz w:val="24"/>
          <w:szCs w:val="24"/>
        </w:rPr>
        <w:t>Anvendelse i særlige populationer</w:t>
      </w:r>
    </w:p>
    <w:p w14:paraId="38ED6878" w14:textId="77777777" w:rsidR="00886F11" w:rsidRPr="00FA0C3A" w:rsidRDefault="00886F11" w:rsidP="00886F11">
      <w:pPr>
        <w:ind w:left="851"/>
        <w:rPr>
          <w:i/>
          <w:sz w:val="24"/>
          <w:szCs w:val="24"/>
          <w:u w:val="single"/>
        </w:rPr>
      </w:pPr>
    </w:p>
    <w:p w14:paraId="06CD83BC" w14:textId="77777777" w:rsidR="00886F11" w:rsidRPr="00FA0C3A" w:rsidRDefault="00886F11" w:rsidP="00886F11">
      <w:pPr>
        <w:ind w:left="851"/>
        <w:rPr>
          <w:sz w:val="24"/>
          <w:szCs w:val="24"/>
        </w:rPr>
      </w:pPr>
      <w:r w:rsidRPr="00FA0C3A">
        <w:rPr>
          <w:sz w:val="24"/>
          <w:szCs w:val="24"/>
        </w:rPr>
        <w:t>Ældre</w:t>
      </w:r>
    </w:p>
    <w:p w14:paraId="1543895C" w14:textId="77777777" w:rsidR="00886F11" w:rsidRPr="00FA0C3A" w:rsidRDefault="00886F11" w:rsidP="00886F11">
      <w:pPr>
        <w:ind w:left="851"/>
        <w:rPr>
          <w:sz w:val="24"/>
          <w:szCs w:val="24"/>
        </w:rPr>
      </w:pPr>
      <w:r w:rsidRPr="00FA0C3A">
        <w:rPr>
          <w:sz w:val="24"/>
          <w:szCs w:val="24"/>
        </w:rPr>
        <w:t>Den anbefalede dosis på 1 g administreret to gange daglig til nyretransplanterede patienter og 1,5 g administreret to gange daglig til hjerte- eller levertransplanterede patienter er passende til ældre.</w:t>
      </w:r>
    </w:p>
    <w:p w14:paraId="5AF93B87" w14:textId="77777777" w:rsidR="00886F11" w:rsidRPr="00FA0C3A" w:rsidRDefault="00886F11" w:rsidP="00886F11">
      <w:pPr>
        <w:ind w:left="851" w:hanging="851"/>
        <w:rPr>
          <w:sz w:val="24"/>
          <w:szCs w:val="24"/>
          <w:u w:val="single"/>
        </w:rPr>
      </w:pPr>
    </w:p>
    <w:p w14:paraId="266D9139" w14:textId="77777777" w:rsidR="00886F11" w:rsidRPr="00FA0C3A" w:rsidRDefault="00886F11" w:rsidP="00886F11">
      <w:pPr>
        <w:ind w:left="851"/>
        <w:rPr>
          <w:i/>
          <w:sz w:val="24"/>
          <w:szCs w:val="24"/>
        </w:rPr>
      </w:pPr>
      <w:r w:rsidRPr="00FA0C3A">
        <w:rPr>
          <w:i/>
          <w:sz w:val="24"/>
          <w:szCs w:val="24"/>
        </w:rPr>
        <w:t>Nedsat nyrefunktion</w:t>
      </w:r>
    </w:p>
    <w:p w14:paraId="5468EFC1" w14:textId="77777777" w:rsidR="00886F11" w:rsidRPr="00FA0C3A" w:rsidRDefault="00886F11" w:rsidP="00886F11">
      <w:pPr>
        <w:ind w:left="851"/>
        <w:rPr>
          <w:sz w:val="24"/>
          <w:szCs w:val="24"/>
        </w:rPr>
      </w:pPr>
      <w:r w:rsidRPr="00FA0C3A">
        <w:rPr>
          <w:sz w:val="24"/>
          <w:szCs w:val="24"/>
        </w:rPr>
        <w:t>Hos nyretransplanterede patienter med svær, kronisk nedsat nyrefunktion (</w:t>
      </w:r>
      <w:proofErr w:type="spellStart"/>
      <w:r w:rsidRPr="00FA0C3A">
        <w:rPr>
          <w:sz w:val="24"/>
          <w:szCs w:val="24"/>
        </w:rPr>
        <w:t>glomerulær</w:t>
      </w:r>
      <w:proofErr w:type="spellEnd"/>
      <w:r w:rsidRPr="00FA0C3A">
        <w:rPr>
          <w:sz w:val="24"/>
          <w:szCs w:val="24"/>
        </w:rPr>
        <w:t xml:space="preserve"> filtrationsrate &lt; 25 ml/min/1,73 m</w:t>
      </w:r>
      <w:r w:rsidRPr="00FA0C3A">
        <w:rPr>
          <w:sz w:val="24"/>
          <w:szCs w:val="24"/>
          <w:vertAlign w:val="superscript"/>
        </w:rPr>
        <w:t>2</w:t>
      </w:r>
      <w:r w:rsidRPr="00FA0C3A">
        <w:rPr>
          <w:sz w:val="24"/>
          <w:szCs w:val="24"/>
        </w:rPr>
        <w:t xml:space="preserve">), bortset fra perioden umiddelbart efter transplantationen, skal doser på mere end 1 g administreret to gange daglig undgås. Desuden skal disse patienter observeres omhyggeligt. Dosisregulering er ikke nødvendig hos patienter, der oplever forsinket nyretransplantatfunktion post-operativt (se pkt. 5.2). Der findes ingen tilgængelige data for hjerte- eller levertransplanterede patienter med svær, kronisk nedsat nyrefunktion.  </w:t>
      </w:r>
    </w:p>
    <w:p w14:paraId="58C293DB" w14:textId="77777777" w:rsidR="00886F11" w:rsidRPr="00FA0C3A" w:rsidRDefault="00886F11" w:rsidP="00886F11">
      <w:pPr>
        <w:ind w:left="851" w:hanging="851"/>
        <w:rPr>
          <w:sz w:val="24"/>
          <w:szCs w:val="24"/>
        </w:rPr>
      </w:pPr>
    </w:p>
    <w:p w14:paraId="3BAF231B" w14:textId="77777777" w:rsidR="00886F11" w:rsidRPr="00FA0C3A" w:rsidRDefault="00886F11" w:rsidP="00886F11">
      <w:pPr>
        <w:ind w:left="851"/>
        <w:rPr>
          <w:i/>
          <w:sz w:val="24"/>
          <w:szCs w:val="24"/>
        </w:rPr>
      </w:pPr>
      <w:r w:rsidRPr="00FA0C3A">
        <w:rPr>
          <w:i/>
          <w:sz w:val="24"/>
          <w:szCs w:val="24"/>
        </w:rPr>
        <w:t xml:space="preserve">Svært nedsat leverfunktion </w:t>
      </w:r>
    </w:p>
    <w:p w14:paraId="48E2A7E3" w14:textId="77777777" w:rsidR="00886F11" w:rsidRPr="00FA0C3A" w:rsidRDefault="00886F11" w:rsidP="00886F11">
      <w:pPr>
        <w:ind w:left="851"/>
        <w:rPr>
          <w:sz w:val="24"/>
          <w:szCs w:val="24"/>
        </w:rPr>
      </w:pPr>
      <w:r w:rsidRPr="00FA0C3A">
        <w:rPr>
          <w:sz w:val="24"/>
          <w:szCs w:val="24"/>
        </w:rPr>
        <w:t xml:space="preserve">Dosisjustering er ikke nødvendig hos nyretransplanterede patienter med svær </w:t>
      </w:r>
      <w:proofErr w:type="spellStart"/>
      <w:r w:rsidRPr="00FA0C3A">
        <w:rPr>
          <w:sz w:val="24"/>
          <w:szCs w:val="24"/>
        </w:rPr>
        <w:t>leverparenkymlidelse</w:t>
      </w:r>
      <w:proofErr w:type="spellEnd"/>
      <w:r w:rsidRPr="00FA0C3A">
        <w:rPr>
          <w:sz w:val="24"/>
          <w:szCs w:val="24"/>
        </w:rPr>
        <w:t xml:space="preserve">. Der findes ingen tilgængelige data for hjertetransplanterede patienter med svær </w:t>
      </w:r>
      <w:proofErr w:type="spellStart"/>
      <w:r w:rsidRPr="00FA0C3A">
        <w:rPr>
          <w:sz w:val="24"/>
          <w:szCs w:val="24"/>
        </w:rPr>
        <w:t>leverparenkymlidelse</w:t>
      </w:r>
      <w:proofErr w:type="spellEnd"/>
      <w:r w:rsidRPr="00FA0C3A">
        <w:rPr>
          <w:sz w:val="24"/>
          <w:szCs w:val="24"/>
        </w:rPr>
        <w:t>.</w:t>
      </w:r>
    </w:p>
    <w:p w14:paraId="3A4F8A94" w14:textId="77777777" w:rsidR="00886F11" w:rsidRPr="00FA0C3A" w:rsidRDefault="00886F11" w:rsidP="00886F11">
      <w:pPr>
        <w:ind w:left="851" w:hanging="851"/>
        <w:rPr>
          <w:sz w:val="24"/>
          <w:szCs w:val="24"/>
          <w:u w:val="single"/>
        </w:rPr>
      </w:pPr>
    </w:p>
    <w:p w14:paraId="188424D0" w14:textId="77777777" w:rsidR="00886F11" w:rsidRPr="00FA0C3A" w:rsidRDefault="00886F11" w:rsidP="00886F11">
      <w:pPr>
        <w:ind w:left="851"/>
        <w:rPr>
          <w:i/>
          <w:sz w:val="24"/>
          <w:szCs w:val="24"/>
        </w:rPr>
      </w:pPr>
      <w:r w:rsidRPr="00FA0C3A">
        <w:rPr>
          <w:i/>
          <w:sz w:val="24"/>
          <w:szCs w:val="24"/>
        </w:rPr>
        <w:t xml:space="preserve">Behandling under afstødningsepisoder </w:t>
      </w:r>
    </w:p>
    <w:p w14:paraId="2084F942" w14:textId="7C722FA8" w:rsidR="00886F11" w:rsidRPr="00FA0C3A" w:rsidRDefault="00886F11" w:rsidP="00886F11">
      <w:pPr>
        <w:ind w:left="851"/>
        <w:rPr>
          <w:sz w:val="24"/>
          <w:szCs w:val="24"/>
        </w:rPr>
      </w:pPr>
      <w:proofErr w:type="spellStart"/>
      <w:r w:rsidRPr="00FA0C3A">
        <w:rPr>
          <w:sz w:val="24"/>
          <w:szCs w:val="24"/>
        </w:rPr>
        <w:t>Mycophenolsyre</w:t>
      </w:r>
      <w:proofErr w:type="spellEnd"/>
      <w:r w:rsidRPr="00FA0C3A">
        <w:rPr>
          <w:sz w:val="24"/>
          <w:szCs w:val="24"/>
        </w:rPr>
        <w:t xml:space="preserve"> (MPA) er den aktive metabolit af </w:t>
      </w:r>
      <w:proofErr w:type="spellStart"/>
      <w:r w:rsidRPr="00FA0C3A">
        <w:rPr>
          <w:sz w:val="24"/>
          <w:szCs w:val="24"/>
        </w:rPr>
        <w:t>mycophenolatmofetil</w:t>
      </w:r>
      <w:proofErr w:type="spellEnd"/>
      <w:r w:rsidRPr="00FA0C3A">
        <w:rPr>
          <w:sz w:val="24"/>
          <w:szCs w:val="24"/>
        </w:rPr>
        <w:t xml:space="preserve">. Afstødning af nyretransplantat medfører ingen ændringer af </w:t>
      </w:r>
      <w:proofErr w:type="spellStart"/>
      <w:r w:rsidRPr="00FA0C3A">
        <w:rPr>
          <w:sz w:val="24"/>
          <w:szCs w:val="24"/>
        </w:rPr>
        <w:t>MPAs</w:t>
      </w:r>
      <w:proofErr w:type="spellEnd"/>
      <w:r w:rsidRPr="00FA0C3A">
        <w:rPr>
          <w:sz w:val="24"/>
          <w:szCs w:val="24"/>
        </w:rPr>
        <w:t xml:space="preserve"> farmakokinetik; dosisreduktion eller afbrydelse af </w:t>
      </w: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sz w:val="24"/>
          <w:szCs w:val="24"/>
        </w:rPr>
        <w:t xml:space="preserve"> er ikke nødvendig. Der er ikke grundlag for justering af </w:t>
      </w: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sz w:val="24"/>
          <w:szCs w:val="24"/>
        </w:rPr>
        <w:t xml:space="preserve"> dosis efter afstødning af hjertetransplantat. Der findes ingen </w:t>
      </w:r>
      <w:proofErr w:type="spellStart"/>
      <w:r w:rsidRPr="00FA0C3A">
        <w:rPr>
          <w:sz w:val="24"/>
          <w:szCs w:val="24"/>
        </w:rPr>
        <w:t>farmakokinetiske</w:t>
      </w:r>
      <w:proofErr w:type="spellEnd"/>
      <w:r w:rsidRPr="00FA0C3A">
        <w:rPr>
          <w:sz w:val="24"/>
          <w:szCs w:val="24"/>
        </w:rPr>
        <w:t xml:space="preserve"> data for afstødning af levertransplantat.</w:t>
      </w:r>
      <w:r w:rsidRPr="00FA0C3A">
        <w:rPr>
          <w:sz w:val="24"/>
          <w:szCs w:val="24"/>
        </w:rPr>
        <w:br/>
      </w:r>
      <w:r w:rsidRPr="00FA0C3A">
        <w:rPr>
          <w:sz w:val="24"/>
          <w:szCs w:val="24"/>
        </w:rPr>
        <w:br/>
        <w:t>Pædiatrisk population</w:t>
      </w:r>
    </w:p>
    <w:p w14:paraId="285B2D93" w14:textId="77777777" w:rsidR="00886F11" w:rsidRPr="00FA0C3A" w:rsidRDefault="00886F11" w:rsidP="00886F11">
      <w:pPr>
        <w:ind w:left="851"/>
        <w:rPr>
          <w:sz w:val="24"/>
          <w:szCs w:val="24"/>
        </w:rPr>
      </w:pPr>
      <w:r w:rsidRPr="00FA0C3A">
        <w:rPr>
          <w:sz w:val="24"/>
          <w:szCs w:val="24"/>
        </w:rPr>
        <w:t>Der er ingen data vedrørende behandling af førstegangs- eller recidiverende afstødning hos pædiatriske transplanterede patienter.</w:t>
      </w:r>
    </w:p>
    <w:p w14:paraId="4CF016A6" w14:textId="77777777" w:rsidR="00886F11" w:rsidRPr="00FA0C3A" w:rsidRDefault="00886F11" w:rsidP="00886F11">
      <w:pPr>
        <w:ind w:left="851"/>
        <w:rPr>
          <w:sz w:val="24"/>
          <w:szCs w:val="24"/>
        </w:rPr>
      </w:pPr>
    </w:p>
    <w:p w14:paraId="31A1CBA0" w14:textId="77777777" w:rsidR="00886F11" w:rsidRPr="00FA0C3A" w:rsidRDefault="00886F11" w:rsidP="00886F11">
      <w:pPr>
        <w:ind w:left="851"/>
        <w:rPr>
          <w:sz w:val="24"/>
          <w:szCs w:val="24"/>
          <w:u w:val="single"/>
        </w:rPr>
      </w:pPr>
      <w:r w:rsidRPr="00FA0C3A">
        <w:rPr>
          <w:sz w:val="24"/>
          <w:szCs w:val="24"/>
          <w:u w:val="single"/>
        </w:rPr>
        <w:t>Administration</w:t>
      </w:r>
    </w:p>
    <w:p w14:paraId="270D937E" w14:textId="77777777" w:rsidR="00886F11" w:rsidRPr="00FA0C3A" w:rsidRDefault="00886F11" w:rsidP="00886F11">
      <w:pPr>
        <w:ind w:left="851"/>
        <w:rPr>
          <w:sz w:val="24"/>
          <w:szCs w:val="24"/>
        </w:rPr>
      </w:pPr>
    </w:p>
    <w:p w14:paraId="4EDFFE7F" w14:textId="77777777" w:rsidR="00886F11" w:rsidRPr="00FA0C3A" w:rsidRDefault="00886F11" w:rsidP="00886F11">
      <w:pPr>
        <w:ind w:left="851"/>
        <w:rPr>
          <w:sz w:val="24"/>
          <w:szCs w:val="24"/>
        </w:rPr>
      </w:pPr>
      <w:r w:rsidRPr="00FA0C3A">
        <w:rPr>
          <w:sz w:val="24"/>
          <w:szCs w:val="24"/>
        </w:rPr>
        <w:t>Oral administration.</w:t>
      </w:r>
    </w:p>
    <w:p w14:paraId="0233310C" w14:textId="77777777" w:rsidR="00886F11" w:rsidRPr="00FA0C3A" w:rsidRDefault="00886F11" w:rsidP="00886F11">
      <w:pPr>
        <w:ind w:left="851"/>
        <w:rPr>
          <w:sz w:val="24"/>
          <w:szCs w:val="24"/>
        </w:rPr>
      </w:pPr>
    </w:p>
    <w:p w14:paraId="00ED43D9" w14:textId="77777777" w:rsidR="00886F11" w:rsidRPr="00FA0C3A" w:rsidRDefault="00886F11" w:rsidP="00886F11">
      <w:pPr>
        <w:ind w:left="851"/>
        <w:rPr>
          <w:i/>
          <w:sz w:val="24"/>
          <w:szCs w:val="24"/>
        </w:rPr>
      </w:pPr>
      <w:r w:rsidRPr="00FA0C3A">
        <w:rPr>
          <w:i/>
          <w:sz w:val="24"/>
          <w:szCs w:val="24"/>
        </w:rPr>
        <w:t>Sikkerhedsforanstaltninger, der skal tages før håndtering og administration af lægemidlet</w:t>
      </w:r>
    </w:p>
    <w:p w14:paraId="29508EF0" w14:textId="3355AE11" w:rsidR="00886F11" w:rsidRPr="00FA0C3A" w:rsidRDefault="00886F11" w:rsidP="00886F11">
      <w:pPr>
        <w:ind w:left="851"/>
        <w:rPr>
          <w:sz w:val="24"/>
          <w:szCs w:val="24"/>
        </w:rPr>
      </w:pPr>
      <w:r w:rsidRPr="00FA0C3A">
        <w:rPr>
          <w:sz w:val="24"/>
          <w:szCs w:val="24"/>
        </w:rPr>
        <w:t xml:space="preserve">Da </w:t>
      </w:r>
      <w:proofErr w:type="spellStart"/>
      <w:r w:rsidRPr="00FA0C3A">
        <w:rPr>
          <w:sz w:val="24"/>
          <w:szCs w:val="24"/>
        </w:rPr>
        <w:t>mycophenolatmofetil</w:t>
      </w:r>
      <w:proofErr w:type="spellEnd"/>
      <w:r w:rsidRPr="00FA0C3A">
        <w:rPr>
          <w:sz w:val="24"/>
          <w:szCs w:val="24"/>
        </w:rPr>
        <w:t xml:space="preserve"> har udvist fosterbeskadigende virkning hos rotter og kaniner, må </w:t>
      </w:r>
      <w:proofErr w:type="spellStart"/>
      <w:r w:rsidRPr="00FA0C3A">
        <w:rPr>
          <w:sz w:val="24"/>
          <w:szCs w:val="24"/>
        </w:rPr>
        <w:t>Mycophenolate</w:t>
      </w:r>
      <w:proofErr w:type="spellEnd"/>
      <w:r w:rsidRPr="00FA0C3A">
        <w:rPr>
          <w:sz w:val="24"/>
          <w:szCs w:val="24"/>
        </w:rPr>
        <w:t xml:space="preserve"> </w:t>
      </w:r>
      <w:proofErr w:type="spellStart"/>
      <w:r w:rsidRPr="00FA0C3A">
        <w:rPr>
          <w:sz w:val="24"/>
          <w:szCs w:val="24"/>
        </w:rPr>
        <w:t>mofetil</w:t>
      </w:r>
      <w:proofErr w:type="spellEnd"/>
      <w:r w:rsidRPr="00FA0C3A">
        <w:rPr>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sz w:val="24"/>
          <w:szCs w:val="24"/>
        </w:rPr>
        <w:t xml:space="preserve"> kapslerne ikke åbnes eller knuses. Undgå inhalation og undgå at hud og slimhinder kommer i direkte kontakt med pulveret i kapslerne. Vask omhyggeligt med sæbe og vand, hvis en sådan kontakt forekommer; skyl øjnene med rent vand.</w:t>
      </w:r>
    </w:p>
    <w:p w14:paraId="45B7032B" w14:textId="77777777" w:rsidR="009260DE" w:rsidRPr="00FA0C3A" w:rsidRDefault="009260DE" w:rsidP="009260DE">
      <w:pPr>
        <w:tabs>
          <w:tab w:val="left" w:pos="851"/>
        </w:tabs>
        <w:ind w:left="851"/>
        <w:rPr>
          <w:sz w:val="24"/>
          <w:szCs w:val="24"/>
        </w:rPr>
      </w:pPr>
    </w:p>
    <w:p w14:paraId="19016276" w14:textId="77777777" w:rsidR="009260DE" w:rsidRPr="00FA0C3A" w:rsidRDefault="009260DE" w:rsidP="009260DE">
      <w:pPr>
        <w:tabs>
          <w:tab w:val="left" w:pos="851"/>
        </w:tabs>
        <w:ind w:left="851" w:hanging="851"/>
        <w:rPr>
          <w:b/>
          <w:sz w:val="24"/>
          <w:szCs w:val="24"/>
        </w:rPr>
      </w:pPr>
      <w:r w:rsidRPr="00FA0C3A">
        <w:rPr>
          <w:b/>
          <w:sz w:val="24"/>
          <w:szCs w:val="24"/>
        </w:rPr>
        <w:t>4.3</w:t>
      </w:r>
      <w:r w:rsidRPr="00FA0C3A">
        <w:rPr>
          <w:b/>
          <w:sz w:val="24"/>
          <w:szCs w:val="24"/>
        </w:rPr>
        <w:tab/>
        <w:t>Kontraindikationer</w:t>
      </w:r>
    </w:p>
    <w:p w14:paraId="2E036B11" w14:textId="77777777" w:rsidR="00886F11" w:rsidRPr="00FA0C3A" w:rsidRDefault="00886F11" w:rsidP="0067745D">
      <w:pPr>
        <w:numPr>
          <w:ilvl w:val="0"/>
          <w:numId w:val="6"/>
        </w:numPr>
        <w:ind w:left="1276" w:hanging="425"/>
        <w:rPr>
          <w:sz w:val="24"/>
          <w:szCs w:val="24"/>
        </w:rPr>
      </w:pPr>
      <w:proofErr w:type="spellStart"/>
      <w:r w:rsidRPr="00FA0C3A">
        <w:rPr>
          <w:sz w:val="24"/>
          <w:szCs w:val="24"/>
        </w:rPr>
        <w:t>Mycophenolatmofetil</w:t>
      </w:r>
      <w:proofErr w:type="spellEnd"/>
      <w:r w:rsidRPr="00FA0C3A">
        <w:rPr>
          <w:sz w:val="24"/>
          <w:szCs w:val="24"/>
        </w:rPr>
        <w:t xml:space="preserve"> må ikke anvendes til patienter med overfølsomhed over for </w:t>
      </w:r>
      <w:proofErr w:type="spellStart"/>
      <w:r w:rsidRPr="00FA0C3A">
        <w:rPr>
          <w:sz w:val="24"/>
          <w:szCs w:val="24"/>
        </w:rPr>
        <w:t>mycophenolatmofetil</w:t>
      </w:r>
      <w:proofErr w:type="spellEnd"/>
      <w:r w:rsidRPr="00FA0C3A">
        <w:rPr>
          <w:sz w:val="24"/>
          <w:szCs w:val="24"/>
        </w:rPr>
        <w:t xml:space="preserve">, </w:t>
      </w:r>
      <w:proofErr w:type="spellStart"/>
      <w:r w:rsidRPr="00FA0C3A">
        <w:rPr>
          <w:sz w:val="24"/>
          <w:szCs w:val="24"/>
        </w:rPr>
        <w:t>mycophenolsyre</w:t>
      </w:r>
      <w:proofErr w:type="spellEnd"/>
      <w:r w:rsidRPr="00FA0C3A">
        <w:rPr>
          <w:sz w:val="24"/>
          <w:szCs w:val="24"/>
        </w:rPr>
        <w:t xml:space="preserve"> eller over for et eller flere af hjælpestofferne anført i pkt. 6.1. Der er observeret overfølsomhedsreaktioner over for </w:t>
      </w:r>
      <w:proofErr w:type="spellStart"/>
      <w:r w:rsidRPr="00FA0C3A">
        <w:rPr>
          <w:sz w:val="24"/>
          <w:szCs w:val="24"/>
        </w:rPr>
        <w:t>mycophenolatmofetil</w:t>
      </w:r>
      <w:proofErr w:type="spellEnd"/>
      <w:r w:rsidRPr="00FA0C3A">
        <w:rPr>
          <w:sz w:val="24"/>
          <w:szCs w:val="24"/>
        </w:rPr>
        <w:t xml:space="preserve"> (se pkt. 4.8). </w:t>
      </w:r>
    </w:p>
    <w:p w14:paraId="542F26F8" w14:textId="77777777" w:rsidR="00886F11" w:rsidRPr="00FA0C3A" w:rsidRDefault="00886F11" w:rsidP="0067745D">
      <w:pPr>
        <w:numPr>
          <w:ilvl w:val="0"/>
          <w:numId w:val="6"/>
        </w:numPr>
        <w:ind w:left="1276" w:hanging="425"/>
        <w:rPr>
          <w:sz w:val="24"/>
          <w:szCs w:val="24"/>
        </w:rPr>
      </w:pPr>
      <w:proofErr w:type="spellStart"/>
      <w:r w:rsidRPr="00FA0C3A">
        <w:rPr>
          <w:sz w:val="24"/>
          <w:szCs w:val="24"/>
        </w:rPr>
        <w:t>Mycophenolatmofetil</w:t>
      </w:r>
      <w:proofErr w:type="spellEnd"/>
      <w:r w:rsidRPr="00FA0C3A">
        <w:rPr>
          <w:sz w:val="24"/>
          <w:szCs w:val="24"/>
        </w:rPr>
        <w:t xml:space="preserve"> må ikke anvendes hos fertile kvinder, som ikke anvender højeffektiv prævention (se pkt. 4.6). </w:t>
      </w:r>
    </w:p>
    <w:p w14:paraId="2FF6CFFC" w14:textId="77777777" w:rsidR="00886F11" w:rsidRPr="00FA0C3A" w:rsidRDefault="00886F11" w:rsidP="0067745D">
      <w:pPr>
        <w:numPr>
          <w:ilvl w:val="0"/>
          <w:numId w:val="6"/>
        </w:numPr>
        <w:ind w:left="1276" w:hanging="425"/>
        <w:rPr>
          <w:sz w:val="24"/>
          <w:szCs w:val="24"/>
        </w:rPr>
      </w:pPr>
      <w:r w:rsidRPr="00FA0C3A">
        <w:rPr>
          <w:sz w:val="24"/>
          <w:szCs w:val="24"/>
        </w:rPr>
        <w:t xml:space="preserve">Behandling med </w:t>
      </w:r>
      <w:proofErr w:type="spellStart"/>
      <w:r w:rsidRPr="00FA0C3A">
        <w:rPr>
          <w:sz w:val="24"/>
          <w:szCs w:val="24"/>
        </w:rPr>
        <w:t>mycophenolatmofetil</w:t>
      </w:r>
      <w:proofErr w:type="spellEnd"/>
      <w:r w:rsidRPr="00FA0C3A">
        <w:rPr>
          <w:sz w:val="24"/>
          <w:szCs w:val="24"/>
        </w:rPr>
        <w:t xml:space="preserve"> må ikke initieres hos fertile kvinder uden at en negativ graviditetstest foreligger, for at udelukke en uønsket anvendelse under graviditet (se pkt. 4.6).</w:t>
      </w:r>
    </w:p>
    <w:p w14:paraId="6EFB8FD1" w14:textId="77777777" w:rsidR="0067745D" w:rsidRPr="00FA0C3A" w:rsidRDefault="00886F11" w:rsidP="0067745D">
      <w:pPr>
        <w:numPr>
          <w:ilvl w:val="0"/>
          <w:numId w:val="6"/>
        </w:numPr>
        <w:ind w:left="1276" w:hanging="425"/>
        <w:rPr>
          <w:sz w:val="24"/>
          <w:szCs w:val="24"/>
        </w:rPr>
      </w:pPr>
      <w:proofErr w:type="spellStart"/>
      <w:r w:rsidRPr="00FA0C3A">
        <w:rPr>
          <w:sz w:val="24"/>
          <w:szCs w:val="24"/>
        </w:rPr>
        <w:t>Mycophenolatmofetil</w:t>
      </w:r>
      <w:proofErr w:type="spellEnd"/>
      <w:r w:rsidRPr="00FA0C3A">
        <w:rPr>
          <w:sz w:val="24"/>
          <w:szCs w:val="24"/>
        </w:rPr>
        <w:t xml:space="preserve"> må ikke anvendes under graviditet, medmindre der ikke findes en hensigtsmæssig alternativ behandling til at forhindre afstødning af transplantatet (se pkt. 4.6).</w:t>
      </w:r>
    </w:p>
    <w:p w14:paraId="41A5F986" w14:textId="48E4075E" w:rsidR="009260DE" w:rsidRPr="00FA0C3A" w:rsidRDefault="00886F11" w:rsidP="0067745D">
      <w:pPr>
        <w:numPr>
          <w:ilvl w:val="0"/>
          <w:numId w:val="6"/>
        </w:numPr>
        <w:ind w:left="1276" w:hanging="425"/>
        <w:rPr>
          <w:sz w:val="24"/>
          <w:szCs w:val="24"/>
        </w:rPr>
      </w:pPr>
      <w:proofErr w:type="spellStart"/>
      <w:r w:rsidRPr="00FA0C3A">
        <w:rPr>
          <w:sz w:val="24"/>
          <w:szCs w:val="24"/>
        </w:rPr>
        <w:t>Mycophenolatmofetil</w:t>
      </w:r>
      <w:proofErr w:type="spellEnd"/>
      <w:r w:rsidRPr="00FA0C3A">
        <w:rPr>
          <w:sz w:val="24"/>
          <w:szCs w:val="24"/>
        </w:rPr>
        <w:t xml:space="preserve"> må ikke gives til ammende kvinder (se pkt. 4.6).</w:t>
      </w:r>
      <w:r w:rsidRPr="00FA0C3A">
        <w:rPr>
          <w:sz w:val="24"/>
          <w:szCs w:val="24"/>
        </w:rPr>
        <w:br/>
      </w:r>
    </w:p>
    <w:p w14:paraId="176257E8" w14:textId="77777777" w:rsidR="009260DE" w:rsidRPr="00FA0C3A" w:rsidRDefault="009260DE" w:rsidP="009260DE">
      <w:pPr>
        <w:tabs>
          <w:tab w:val="left" w:pos="851"/>
        </w:tabs>
        <w:ind w:left="851" w:hanging="851"/>
        <w:rPr>
          <w:b/>
          <w:sz w:val="24"/>
          <w:szCs w:val="24"/>
        </w:rPr>
      </w:pPr>
      <w:r w:rsidRPr="00FA0C3A">
        <w:rPr>
          <w:b/>
          <w:sz w:val="24"/>
          <w:szCs w:val="24"/>
        </w:rPr>
        <w:t>4.4</w:t>
      </w:r>
      <w:r w:rsidRPr="00FA0C3A">
        <w:rPr>
          <w:b/>
          <w:sz w:val="24"/>
          <w:szCs w:val="24"/>
        </w:rPr>
        <w:tab/>
        <w:t>Særlige advarsler og forsigtighedsregler vedrørende brugen</w:t>
      </w:r>
    </w:p>
    <w:p w14:paraId="4008E79F" w14:textId="77777777" w:rsidR="0067745D" w:rsidRPr="00FA0C3A" w:rsidRDefault="0067745D" w:rsidP="00886F11">
      <w:pPr>
        <w:ind w:firstLine="851"/>
        <w:rPr>
          <w:sz w:val="24"/>
          <w:szCs w:val="24"/>
          <w:u w:val="single"/>
        </w:rPr>
      </w:pPr>
    </w:p>
    <w:p w14:paraId="2798B799" w14:textId="0CA8BA8A" w:rsidR="00886F11" w:rsidRPr="00FA0C3A" w:rsidRDefault="00886F11" w:rsidP="00886F11">
      <w:pPr>
        <w:ind w:firstLine="851"/>
        <w:rPr>
          <w:sz w:val="24"/>
          <w:szCs w:val="24"/>
        </w:rPr>
      </w:pPr>
      <w:r w:rsidRPr="00FA0C3A">
        <w:rPr>
          <w:sz w:val="24"/>
          <w:szCs w:val="24"/>
          <w:u w:val="single"/>
        </w:rPr>
        <w:t>Neoplasmer</w:t>
      </w:r>
    </w:p>
    <w:p w14:paraId="28C83948" w14:textId="77777777" w:rsidR="00886F11" w:rsidRPr="00FA0C3A" w:rsidRDefault="00886F11" w:rsidP="00886F11">
      <w:pPr>
        <w:ind w:left="851"/>
        <w:rPr>
          <w:sz w:val="24"/>
          <w:szCs w:val="24"/>
        </w:rPr>
      </w:pPr>
      <w:r w:rsidRPr="00FA0C3A">
        <w:rPr>
          <w:sz w:val="24"/>
          <w:szCs w:val="24"/>
        </w:rPr>
        <w:t xml:space="preserve">Patienter, der får </w:t>
      </w:r>
      <w:proofErr w:type="spellStart"/>
      <w:r w:rsidRPr="00FA0C3A">
        <w:rPr>
          <w:sz w:val="24"/>
          <w:szCs w:val="24"/>
        </w:rPr>
        <w:t>immunosuppressiv</w:t>
      </w:r>
      <w:proofErr w:type="spellEnd"/>
      <w:r w:rsidRPr="00FA0C3A">
        <w:rPr>
          <w:sz w:val="24"/>
          <w:szCs w:val="24"/>
        </w:rPr>
        <w:t xml:space="preserve"> behandling med kombinationer af lægemidler, som inkluderer </w:t>
      </w:r>
      <w:proofErr w:type="spellStart"/>
      <w:r w:rsidRPr="00FA0C3A">
        <w:rPr>
          <w:sz w:val="24"/>
          <w:szCs w:val="24"/>
        </w:rPr>
        <w:t>mycophenolatmofetil</w:t>
      </w:r>
      <w:proofErr w:type="spellEnd"/>
      <w:r w:rsidRPr="00FA0C3A">
        <w:rPr>
          <w:sz w:val="24"/>
          <w:szCs w:val="24"/>
        </w:rPr>
        <w:t xml:space="preserve">, har en øget risiko for at udvikle </w:t>
      </w:r>
      <w:proofErr w:type="spellStart"/>
      <w:r w:rsidRPr="00FA0C3A">
        <w:rPr>
          <w:sz w:val="24"/>
          <w:szCs w:val="24"/>
        </w:rPr>
        <w:t>lymfomer</w:t>
      </w:r>
      <w:proofErr w:type="spellEnd"/>
      <w:r w:rsidRPr="00FA0C3A">
        <w:rPr>
          <w:sz w:val="24"/>
          <w:szCs w:val="24"/>
        </w:rPr>
        <w:t xml:space="preserve"> og andre maligne lidelser, især i huden (se pkt. 4.8). Risikoen synes snarere at være relateret til intensiteten og varigheden af </w:t>
      </w:r>
      <w:proofErr w:type="spellStart"/>
      <w:r w:rsidRPr="00FA0C3A">
        <w:rPr>
          <w:sz w:val="24"/>
          <w:szCs w:val="24"/>
        </w:rPr>
        <w:t>immunosuppression</w:t>
      </w:r>
      <w:proofErr w:type="spellEnd"/>
      <w:r w:rsidRPr="00FA0C3A">
        <w:rPr>
          <w:sz w:val="24"/>
          <w:szCs w:val="24"/>
        </w:rPr>
        <w:t xml:space="preserve"> end til brugen af et bestemt middel. For at minimere risikoen for hudkræft må det generelt tilrådes, at udsættelse for sollys og UV-lys begrænses ved, at der bæres beskyttende beklædning, og ved at der anvendes en solblokker med høj beskyttelsesfaktor.</w:t>
      </w:r>
    </w:p>
    <w:p w14:paraId="244A4AB0" w14:textId="77777777" w:rsidR="00886F11" w:rsidRPr="00FA0C3A" w:rsidRDefault="00886F11" w:rsidP="00886F11">
      <w:pPr>
        <w:ind w:left="851" w:hanging="851"/>
        <w:rPr>
          <w:sz w:val="24"/>
          <w:szCs w:val="24"/>
        </w:rPr>
      </w:pPr>
    </w:p>
    <w:p w14:paraId="511FF902" w14:textId="77777777" w:rsidR="00886F11" w:rsidRPr="00FA0C3A" w:rsidRDefault="00886F11" w:rsidP="00886F11">
      <w:pPr>
        <w:ind w:left="851"/>
        <w:rPr>
          <w:sz w:val="24"/>
          <w:szCs w:val="24"/>
          <w:u w:val="single"/>
        </w:rPr>
      </w:pPr>
      <w:r w:rsidRPr="00FA0C3A">
        <w:rPr>
          <w:sz w:val="24"/>
          <w:szCs w:val="24"/>
          <w:u w:val="single"/>
        </w:rPr>
        <w:t>Infektioner</w:t>
      </w:r>
    </w:p>
    <w:p w14:paraId="52A0AEF9" w14:textId="77777777" w:rsidR="00886F11" w:rsidRPr="00FA0C3A" w:rsidRDefault="00886F11" w:rsidP="00886F11">
      <w:pPr>
        <w:ind w:left="851"/>
        <w:rPr>
          <w:sz w:val="24"/>
          <w:szCs w:val="24"/>
        </w:rPr>
      </w:pPr>
      <w:r w:rsidRPr="00FA0C3A">
        <w:rPr>
          <w:sz w:val="24"/>
          <w:szCs w:val="24"/>
        </w:rPr>
        <w:t xml:space="preserve">Patienter, som bliver behandlet med </w:t>
      </w:r>
      <w:proofErr w:type="spellStart"/>
      <w:r w:rsidRPr="00FA0C3A">
        <w:rPr>
          <w:sz w:val="24"/>
          <w:szCs w:val="24"/>
        </w:rPr>
        <w:t>immunosuppressiva</w:t>
      </w:r>
      <w:proofErr w:type="spellEnd"/>
      <w:r w:rsidRPr="00FA0C3A">
        <w:rPr>
          <w:sz w:val="24"/>
          <w:szCs w:val="24"/>
        </w:rPr>
        <w:t xml:space="preserve">, herunder </w:t>
      </w:r>
      <w:proofErr w:type="spellStart"/>
      <w:r w:rsidRPr="00FA0C3A">
        <w:rPr>
          <w:sz w:val="24"/>
          <w:szCs w:val="24"/>
        </w:rPr>
        <w:t>mycophenolatmofetil</w:t>
      </w:r>
      <w:proofErr w:type="spellEnd"/>
      <w:r w:rsidRPr="00FA0C3A">
        <w:rPr>
          <w:sz w:val="24"/>
          <w:szCs w:val="24"/>
        </w:rPr>
        <w:t xml:space="preserve">, har en øget risiko for opportunistiske infektioner (bakteriel, svampe, viral og </w:t>
      </w:r>
      <w:proofErr w:type="spellStart"/>
      <w:r w:rsidRPr="00FA0C3A">
        <w:rPr>
          <w:sz w:val="24"/>
          <w:szCs w:val="24"/>
        </w:rPr>
        <w:t>protozoel</w:t>
      </w:r>
      <w:proofErr w:type="spellEnd"/>
      <w:r w:rsidRPr="00FA0C3A">
        <w:rPr>
          <w:sz w:val="24"/>
          <w:szCs w:val="24"/>
        </w:rPr>
        <w:t xml:space="preserve">), dødelige infektioner og sepsis (se pkt. 4.8). Sådanne infektioner inkluderer latent viral reaktivering, såsom hepatitis B eller hepatitis C og infektioner forårsaget af </w:t>
      </w:r>
      <w:proofErr w:type="spellStart"/>
      <w:r w:rsidRPr="00FA0C3A">
        <w:rPr>
          <w:sz w:val="24"/>
          <w:szCs w:val="24"/>
        </w:rPr>
        <w:t>polyomavira</w:t>
      </w:r>
      <w:proofErr w:type="spellEnd"/>
      <w:r w:rsidRPr="00FA0C3A">
        <w:rPr>
          <w:sz w:val="24"/>
          <w:szCs w:val="24"/>
        </w:rPr>
        <w:t xml:space="preserve"> (BK-virus associeret med </w:t>
      </w:r>
      <w:proofErr w:type="spellStart"/>
      <w:r w:rsidRPr="00FA0C3A">
        <w:rPr>
          <w:sz w:val="24"/>
          <w:szCs w:val="24"/>
        </w:rPr>
        <w:t>nefropati</w:t>
      </w:r>
      <w:proofErr w:type="spellEnd"/>
      <w:r w:rsidRPr="00FA0C3A">
        <w:rPr>
          <w:sz w:val="24"/>
          <w:szCs w:val="24"/>
        </w:rPr>
        <w:t xml:space="preserve">, JC-virus associeret med progressiv multifokal </w:t>
      </w:r>
      <w:proofErr w:type="spellStart"/>
      <w:r w:rsidRPr="00FA0C3A">
        <w:rPr>
          <w:sz w:val="24"/>
          <w:szCs w:val="24"/>
        </w:rPr>
        <w:t>leukoencefalopati</w:t>
      </w:r>
      <w:proofErr w:type="spellEnd"/>
      <w:r w:rsidRPr="00FA0C3A">
        <w:rPr>
          <w:sz w:val="24"/>
          <w:szCs w:val="24"/>
        </w:rPr>
        <w:t xml:space="preserve"> (PML)). Tilfælde af hepatitis, som skyldes reaktivering af hepatitis B eller hepatitis C, er rapporteret hos smittebærere behandlet med </w:t>
      </w:r>
      <w:proofErr w:type="spellStart"/>
      <w:r w:rsidRPr="00FA0C3A">
        <w:rPr>
          <w:sz w:val="24"/>
          <w:szCs w:val="24"/>
        </w:rPr>
        <w:t>immunosuppressiva</w:t>
      </w:r>
      <w:proofErr w:type="spellEnd"/>
      <w:r w:rsidRPr="00FA0C3A">
        <w:rPr>
          <w:sz w:val="24"/>
          <w:szCs w:val="24"/>
        </w:rPr>
        <w:t xml:space="preserve">. Disse infektioner er ofte forbundet med en høj samlet </w:t>
      </w:r>
      <w:proofErr w:type="spellStart"/>
      <w:r w:rsidRPr="00FA0C3A">
        <w:rPr>
          <w:sz w:val="24"/>
          <w:szCs w:val="24"/>
        </w:rPr>
        <w:t>immunosuppressiv</w:t>
      </w:r>
      <w:proofErr w:type="spellEnd"/>
      <w:r w:rsidRPr="00FA0C3A">
        <w:rPr>
          <w:sz w:val="24"/>
          <w:szCs w:val="24"/>
        </w:rPr>
        <w:t xml:space="preserve"> belastning og kan forårsage alvorlige eller dødelige tilstande. Lægen skal overveje dette som differentialdiagnose hos immunsupprimerede patienter med svækket nyrefunktion eller neurologiske symptomer. </w:t>
      </w:r>
      <w:proofErr w:type="spellStart"/>
      <w:r w:rsidRPr="00FA0C3A">
        <w:rPr>
          <w:sz w:val="24"/>
          <w:szCs w:val="24"/>
        </w:rPr>
        <w:t>Mycophenolsyre</w:t>
      </w:r>
      <w:proofErr w:type="spellEnd"/>
      <w:r w:rsidRPr="00FA0C3A">
        <w:rPr>
          <w:sz w:val="24"/>
          <w:szCs w:val="24"/>
        </w:rPr>
        <w:t xml:space="preserve"> har en </w:t>
      </w:r>
      <w:proofErr w:type="spellStart"/>
      <w:r w:rsidRPr="00FA0C3A">
        <w:rPr>
          <w:sz w:val="24"/>
          <w:szCs w:val="24"/>
        </w:rPr>
        <w:t>cytostatisk</w:t>
      </w:r>
      <w:proofErr w:type="spellEnd"/>
      <w:r w:rsidRPr="00FA0C3A">
        <w:rPr>
          <w:sz w:val="24"/>
          <w:szCs w:val="24"/>
        </w:rPr>
        <w:t xml:space="preserve"> virkning på B- og T-lymfocytter, og derfor kan en øget sværhedsgrad af COVID-19 forekomme, og passende kliniske tiltag skal overvejes.</w:t>
      </w:r>
    </w:p>
    <w:p w14:paraId="796559D9" w14:textId="77777777" w:rsidR="00886F11" w:rsidRPr="00FA0C3A" w:rsidRDefault="00886F11" w:rsidP="00886F11">
      <w:pPr>
        <w:ind w:left="851"/>
        <w:rPr>
          <w:sz w:val="24"/>
          <w:szCs w:val="24"/>
        </w:rPr>
      </w:pPr>
    </w:p>
    <w:p w14:paraId="4034E067" w14:textId="632191D5" w:rsidR="00886F11" w:rsidRPr="00FA0C3A" w:rsidRDefault="00886F11" w:rsidP="00886F11">
      <w:pPr>
        <w:ind w:left="851"/>
        <w:rPr>
          <w:sz w:val="24"/>
          <w:szCs w:val="24"/>
        </w:rPr>
      </w:pPr>
      <w:r w:rsidRPr="00FA0C3A">
        <w:rPr>
          <w:sz w:val="24"/>
          <w:szCs w:val="24"/>
        </w:rPr>
        <w:t xml:space="preserve">Der er rapporteret om </w:t>
      </w:r>
      <w:proofErr w:type="spellStart"/>
      <w:r w:rsidRPr="00FA0C3A">
        <w:rPr>
          <w:sz w:val="24"/>
          <w:szCs w:val="24"/>
        </w:rPr>
        <w:t>hypogammaglobulinæmi</w:t>
      </w:r>
      <w:proofErr w:type="spellEnd"/>
      <w:r w:rsidRPr="00FA0C3A">
        <w:rPr>
          <w:sz w:val="24"/>
          <w:szCs w:val="24"/>
        </w:rPr>
        <w:t xml:space="preserve"> i forbindelse med tilbagevendende infektioner hos patienter, der har fået </w:t>
      </w:r>
      <w:proofErr w:type="spellStart"/>
      <w:r w:rsidRPr="00FA0C3A">
        <w:rPr>
          <w:sz w:val="24"/>
          <w:szCs w:val="24"/>
        </w:rPr>
        <w:t>mycophenolatmofetil</w:t>
      </w:r>
      <w:proofErr w:type="spellEnd"/>
      <w:r w:rsidRPr="00FA0C3A">
        <w:rPr>
          <w:sz w:val="24"/>
          <w:szCs w:val="24"/>
        </w:rPr>
        <w:t xml:space="preserve"> i kombination med andre </w:t>
      </w:r>
      <w:proofErr w:type="spellStart"/>
      <w:r w:rsidRPr="00FA0C3A">
        <w:rPr>
          <w:sz w:val="24"/>
          <w:szCs w:val="24"/>
        </w:rPr>
        <w:t>immunosuppressiva</w:t>
      </w:r>
      <w:proofErr w:type="spellEnd"/>
      <w:r w:rsidRPr="00FA0C3A">
        <w:rPr>
          <w:sz w:val="24"/>
          <w:szCs w:val="24"/>
        </w:rPr>
        <w:t>. I nogle af disse tilfælde blev serum-</w:t>
      </w:r>
      <w:proofErr w:type="spellStart"/>
      <w:r w:rsidRPr="00FA0C3A">
        <w:rPr>
          <w:sz w:val="24"/>
          <w:szCs w:val="24"/>
        </w:rPr>
        <w:t>IgG</w:t>
      </w:r>
      <w:proofErr w:type="spellEnd"/>
      <w:r w:rsidRPr="00FA0C3A">
        <w:rPr>
          <w:sz w:val="24"/>
          <w:szCs w:val="24"/>
        </w:rPr>
        <w:t xml:space="preserve"> normaliseret, når </w:t>
      </w:r>
      <w:proofErr w:type="spellStart"/>
      <w:r w:rsidRPr="00FA0C3A">
        <w:rPr>
          <w:sz w:val="24"/>
          <w:szCs w:val="24"/>
        </w:rPr>
        <w:t>mycophenolatmofetil</w:t>
      </w:r>
      <w:proofErr w:type="spellEnd"/>
      <w:r w:rsidRPr="00FA0C3A">
        <w:rPr>
          <w:sz w:val="24"/>
          <w:szCs w:val="24"/>
        </w:rPr>
        <w:t xml:space="preserve"> blev erstattet af alternative </w:t>
      </w:r>
      <w:proofErr w:type="spellStart"/>
      <w:r w:rsidRPr="00FA0C3A">
        <w:rPr>
          <w:sz w:val="24"/>
          <w:szCs w:val="24"/>
        </w:rPr>
        <w:t>immunsuppressiva</w:t>
      </w:r>
      <w:proofErr w:type="spellEnd"/>
      <w:r w:rsidRPr="00FA0C3A">
        <w:rPr>
          <w:sz w:val="24"/>
          <w:szCs w:val="24"/>
        </w:rPr>
        <w:t xml:space="preserve">. Patienter i behandling med </w:t>
      </w:r>
      <w:proofErr w:type="spellStart"/>
      <w:r w:rsidRPr="00FA0C3A">
        <w:rPr>
          <w:sz w:val="24"/>
          <w:szCs w:val="24"/>
        </w:rPr>
        <w:t>mycophenolatmofetil</w:t>
      </w:r>
      <w:proofErr w:type="spellEnd"/>
      <w:r w:rsidRPr="00FA0C3A">
        <w:rPr>
          <w:sz w:val="24"/>
          <w:szCs w:val="24"/>
        </w:rPr>
        <w:t>, der får tilbagevendende infektioner, skal have målt serum-</w:t>
      </w:r>
      <w:proofErr w:type="spellStart"/>
      <w:r w:rsidRPr="00FA0C3A">
        <w:rPr>
          <w:sz w:val="24"/>
          <w:szCs w:val="24"/>
        </w:rPr>
        <w:t>immunoglobuliner</w:t>
      </w:r>
      <w:proofErr w:type="spellEnd"/>
      <w:r w:rsidRPr="00FA0C3A">
        <w:rPr>
          <w:sz w:val="24"/>
          <w:szCs w:val="24"/>
        </w:rPr>
        <w:t xml:space="preserve">. I tilfælde af vedvarende, klinisk relevant </w:t>
      </w:r>
      <w:proofErr w:type="spellStart"/>
      <w:r w:rsidRPr="00FA0C3A">
        <w:rPr>
          <w:sz w:val="24"/>
          <w:szCs w:val="24"/>
        </w:rPr>
        <w:t>hypogammaglobulinæmi</w:t>
      </w:r>
      <w:proofErr w:type="spellEnd"/>
      <w:r w:rsidRPr="00FA0C3A">
        <w:rPr>
          <w:sz w:val="24"/>
          <w:szCs w:val="24"/>
        </w:rPr>
        <w:t xml:space="preserve"> skal passende kliniske tiltag overvejes under hensyntagen til den potente </w:t>
      </w:r>
      <w:proofErr w:type="spellStart"/>
      <w:r w:rsidRPr="00FA0C3A">
        <w:rPr>
          <w:sz w:val="24"/>
          <w:szCs w:val="24"/>
        </w:rPr>
        <w:t>cytostatiske</w:t>
      </w:r>
      <w:proofErr w:type="spellEnd"/>
      <w:r w:rsidRPr="00FA0C3A">
        <w:rPr>
          <w:sz w:val="24"/>
          <w:szCs w:val="24"/>
        </w:rPr>
        <w:t xml:space="preserve"> virkning, </w:t>
      </w:r>
      <w:proofErr w:type="spellStart"/>
      <w:r w:rsidRPr="00FA0C3A">
        <w:rPr>
          <w:sz w:val="24"/>
          <w:szCs w:val="24"/>
        </w:rPr>
        <w:t>mycophenolsyre</w:t>
      </w:r>
      <w:proofErr w:type="spellEnd"/>
      <w:r w:rsidRPr="00FA0C3A">
        <w:rPr>
          <w:sz w:val="24"/>
          <w:szCs w:val="24"/>
        </w:rPr>
        <w:t xml:space="preserve"> har på T-</w:t>
      </w:r>
      <w:r w:rsidR="00FA0C3A">
        <w:rPr>
          <w:sz w:val="24"/>
          <w:szCs w:val="24"/>
        </w:rPr>
        <w:t xml:space="preserve"> </w:t>
      </w:r>
      <w:r w:rsidRPr="00FA0C3A">
        <w:rPr>
          <w:sz w:val="24"/>
          <w:szCs w:val="24"/>
        </w:rPr>
        <w:t>og B-lymfocytter.</w:t>
      </w:r>
    </w:p>
    <w:p w14:paraId="4791B1F3" w14:textId="77777777" w:rsidR="00886F11" w:rsidRPr="00FA0C3A" w:rsidRDefault="00886F11" w:rsidP="00886F11">
      <w:pPr>
        <w:ind w:left="851"/>
        <w:rPr>
          <w:sz w:val="24"/>
          <w:szCs w:val="24"/>
        </w:rPr>
      </w:pPr>
    </w:p>
    <w:p w14:paraId="3B648BA6" w14:textId="77777777" w:rsidR="00886F11" w:rsidRPr="00FA0C3A" w:rsidRDefault="00886F11" w:rsidP="00886F11">
      <w:pPr>
        <w:ind w:left="851"/>
        <w:rPr>
          <w:sz w:val="24"/>
          <w:szCs w:val="24"/>
        </w:rPr>
      </w:pPr>
      <w:r w:rsidRPr="00FA0C3A">
        <w:rPr>
          <w:sz w:val="24"/>
          <w:szCs w:val="24"/>
        </w:rPr>
        <w:t xml:space="preserve">Der er publicerede tilfælde af </w:t>
      </w:r>
      <w:proofErr w:type="spellStart"/>
      <w:r w:rsidRPr="00FA0C3A">
        <w:rPr>
          <w:sz w:val="24"/>
          <w:szCs w:val="24"/>
        </w:rPr>
        <w:t>bronkiektasi</w:t>
      </w:r>
      <w:proofErr w:type="spellEnd"/>
      <w:r w:rsidRPr="00FA0C3A">
        <w:rPr>
          <w:sz w:val="24"/>
          <w:szCs w:val="24"/>
        </w:rPr>
        <w:t xml:space="preserve"> hos voksne og børn, der har fået </w:t>
      </w:r>
      <w:proofErr w:type="spellStart"/>
      <w:r w:rsidRPr="00FA0C3A">
        <w:rPr>
          <w:sz w:val="24"/>
          <w:szCs w:val="24"/>
        </w:rPr>
        <w:t>mycophenolatmofetil</w:t>
      </w:r>
      <w:proofErr w:type="spellEnd"/>
      <w:r w:rsidRPr="00FA0C3A">
        <w:rPr>
          <w:sz w:val="24"/>
          <w:szCs w:val="24"/>
        </w:rPr>
        <w:t xml:space="preserve"> i kombination med andre </w:t>
      </w:r>
      <w:proofErr w:type="spellStart"/>
      <w:r w:rsidRPr="00FA0C3A">
        <w:rPr>
          <w:sz w:val="24"/>
          <w:szCs w:val="24"/>
        </w:rPr>
        <w:t>immunosuppressiva</w:t>
      </w:r>
      <w:proofErr w:type="spellEnd"/>
      <w:r w:rsidRPr="00FA0C3A">
        <w:rPr>
          <w:sz w:val="24"/>
          <w:szCs w:val="24"/>
        </w:rPr>
        <w:t xml:space="preserve">. I nogle af disse tilfælde sås forbedringer i de respiratoriske symptomer, når </w:t>
      </w:r>
      <w:proofErr w:type="spellStart"/>
      <w:r w:rsidRPr="00FA0C3A">
        <w:rPr>
          <w:sz w:val="24"/>
          <w:szCs w:val="24"/>
        </w:rPr>
        <w:t>mycophenolatmofetil</w:t>
      </w:r>
      <w:proofErr w:type="spellEnd"/>
      <w:r w:rsidRPr="00FA0C3A">
        <w:rPr>
          <w:sz w:val="24"/>
          <w:szCs w:val="24"/>
        </w:rPr>
        <w:t xml:space="preserve"> blev erstattet af alternative </w:t>
      </w:r>
      <w:proofErr w:type="spellStart"/>
      <w:r w:rsidRPr="00FA0C3A">
        <w:rPr>
          <w:sz w:val="24"/>
          <w:szCs w:val="24"/>
        </w:rPr>
        <w:t>immunsuppresiva</w:t>
      </w:r>
      <w:proofErr w:type="spellEnd"/>
      <w:r w:rsidRPr="00FA0C3A">
        <w:rPr>
          <w:sz w:val="24"/>
          <w:szCs w:val="24"/>
        </w:rPr>
        <w:t xml:space="preserve">. Risikoen for </w:t>
      </w:r>
      <w:proofErr w:type="spellStart"/>
      <w:r w:rsidRPr="00FA0C3A">
        <w:rPr>
          <w:sz w:val="24"/>
          <w:szCs w:val="24"/>
        </w:rPr>
        <w:t>bronkiektasi</w:t>
      </w:r>
      <w:proofErr w:type="spellEnd"/>
      <w:r w:rsidRPr="00FA0C3A">
        <w:rPr>
          <w:sz w:val="24"/>
          <w:szCs w:val="24"/>
        </w:rPr>
        <w:t xml:space="preserve"> kan være knyttet til </w:t>
      </w:r>
      <w:proofErr w:type="spellStart"/>
      <w:r w:rsidRPr="00FA0C3A">
        <w:rPr>
          <w:sz w:val="24"/>
          <w:szCs w:val="24"/>
        </w:rPr>
        <w:t>hypogammaglobulinæmi</w:t>
      </w:r>
      <w:proofErr w:type="spellEnd"/>
      <w:r w:rsidRPr="00FA0C3A">
        <w:rPr>
          <w:sz w:val="24"/>
          <w:szCs w:val="24"/>
        </w:rPr>
        <w:t xml:space="preserve"> eller til direkte påvirkning af lungerne. Der er også rapporteret enkelte tilfælde af </w:t>
      </w:r>
      <w:proofErr w:type="spellStart"/>
      <w:r w:rsidRPr="00FA0C3A">
        <w:rPr>
          <w:sz w:val="24"/>
          <w:szCs w:val="24"/>
        </w:rPr>
        <w:t>interstitiel</w:t>
      </w:r>
      <w:proofErr w:type="spellEnd"/>
      <w:r w:rsidRPr="00FA0C3A">
        <w:rPr>
          <w:sz w:val="24"/>
          <w:szCs w:val="24"/>
        </w:rPr>
        <w:t xml:space="preserve"> lungesygdom og lungefibrose, som i nogle tilfælde var dødelige (se pkt. 4.8). Det anbefales at undersøge patienter, som udvikler vedvarende </w:t>
      </w:r>
      <w:proofErr w:type="spellStart"/>
      <w:r w:rsidRPr="00FA0C3A">
        <w:rPr>
          <w:sz w:val="24"/>
          <w:szCs w:val="24"/>
        </w:rPr>
        <w:t>pulmonale</w:t>
      </w:r>
      <w:proofErr w:type="spellEnd"/>
      <w:r w:rsidRPr="00FA0C3A">
        <w:rPr>
          <w:sz w:val="24"/>
          <w:szCs w:val="24"/>
        </w:rPr>
        <w:t xml:space="preserve"> symptomer, såsom hoste og dyspnø.</w:t>
      </w:r>
    </w:p>
    <w:p w14:paraId="1B4E2703" w14:textId="77777777" w:rsidR="00886F11" w:rsidRPr="00FA0C3A" w:rsidRDefault="00886F11" w:rsidP="00886F11">
      <w:pPr>
        <w:ind w:left="851"/>
        <w:rPr>
          <w:sz w:val="24"/>
          <w:szCs w:val="24"/>
        </w:rPr>
      </w:pPr>
    </w:p>
    <w:p w14:paraId="203B716A" w14:textId="77777777" w:rsidR="00886F11" w:rsidRPr="00FA0C3A" w:rsidRDefault="00886F11" w:rsidP="00886F11">
      <w:pPr>
        <w:ind w:left="851"/>
        <w:rPr>
          <w:sz w:val="24"/>
          <w:szCs w:val="24"/>
          <w:u w:val="single"/>
        </w:rPr>
      </w:pPr>
      <w:r w:rsidRPr="00FA0C3A">
        <w:rPr>
          <w:sz w:val="24"/>
          <w:szCs w:val="24"/>
          <w:u w:val="single"/>
        </w:rPr>
        <w:t>Blod og immunsystem</w:t>
      </w:r>
    </w:p>
    <w:p w14:paraId="237AA263" w14:textId="77777777" w:rsidR="00886F11" w:rsidRPr="00FA0C3A" w:rsidRDefault="00886F11" w:rsidP="00886F11">
      <w:pPr>
        <w:ind w:left="851"/>
        <w:rPr>
          <w:sz w:val="24"/>
          <w:szCs w:val="24"/>
        </w:rPr>
      </w:pPr>
      <w:r w:rsidRPr="00FA0C3A">
        <w:rPr>
          <w:sz w:val="24"/>
          <w:szCs w:val="24"/>
        </w:rPr>
        <w:t xml:space="preserve">Patienter, der får </w:t>
      </w:r>
      <w:proofErr w:type="spellStart"/>
      <w:r w:rsidRPr="00FA0C3A">
        <w:rPr>
          <w:sz w:val="24"/>
          <w:szCs w:val="24"/>
        </w:rPr>
        <w:t>mycophenolatmofetil</w:t>
      </w:r>
      <w:proofErr w:type="spellEnd"/>
      <w:r w:rsidRPr="00FA0C3A">
        <w:rPr>
          <w:sz w:val="24"/>
          <w:szCs w:val="24"/>
        </w:rPr>
        <w:t xml:space="preserve">, bør monitoreres for </w:t>
      </w:r>
      <w:proofErr w:type="spellStart"/>
      <w:r w:rsidRPr="00FA0C3A">
        <w:rPr>
          <w:sz w:val="24"/>
          <w:szCs w:val="24"/>
        </w:rPr>
        <w:t>neutropeni</w:t>
      </w:r>
      <w:proofErr w:type="spellEnd"/>
      <w:r w:rsidRPr="00FA0C3A">
        <w:rPr>
          <w:sz w:val="24"/>
          <w:szCs w:val="24"/>
        </w:rPr>
        <w:t xml:space="preserve">, som kan være relateret til </w:t>
      </w:r>
      <w:proofErr w:type="spellStart"/>
      <w:r w:rsidRPr="00FA0C3A">
        <w:rPr>
          <w:sz w:val="24"/>
          <w:szCs w:val="24"/>
        </w:rPr>
        <w:t>mycophenolatmofetil</w:t>
      </w:r>
      <w:proofErr w:type="spellEnd"/>
      <w:r w:rsidRPr="00FA0C3A">
        <w:rPr>
          <w:sz w:val="24"/>
          <w:szCs w:val="24"/>
        </w:rPr>
        <w:t xml:space="preserve">, samtidig medicin, virusinfektioner eller en kombination af disse årsager. Patienter, som får </w:t>
      </w:r>
      <w:proofErr w:type="spellStart"/>
      <w:r w:rsidRPr="00FA0C3A">
        <w:rPr>
          <w:sz w:val="24"/>
          <w:szCs w:val="24"/>
        </w:rPr>
        <w:t>mycophenolatmofetil</w:t>
      </w:r>
      <w:proofErr w:type="spellEnd"/>
      <w:r w:rsidRPr="00FA0C3A">
        <w:rPr>
          <w:sz w:val="24"/>
          <w:szCs w:val="24"/>
        </w:rPr>
        <w:t xml:space="preserve">, bør have foretaget fuldstændig blodtælling hver uge i den første måned, to gange om måneden den anden og tredje behandlingsmåned og derefter en gang om måneden igennem det første år. Hvis der optræder </w:t>
      </w:r>
      <w:proofErr w:type="spellStart"/>
      <w:r w:rsidRPr="00FA0C3A">
        <w:rPr>
          <w:sz w:val="24"/>
          <w:szCs w:val="24"/>
        </w:rPr>
        <w:t>neutropeni</w:t>
      </w:r>
      <w:proofErr w:type="spellEnd"/>
      <w:r w:rsidRPr="00FA0C3A">
        <w:rPr>
          <w:sz w:val="24"/>
          <w:szCs w:val="24"/>
        </w:rPr>
        <w:t xml:space="preserve"> (det absolutte </w:t>
      </w:r>
      <w:proofErr w:type="spellStart"/>
      <w:r w:rsidRPr="00FA0C3A">
        <w:rPr>
          <w:sz w:val="24"/>
          <w:szCs w:val="24"/>
        </w:rPr>
        <w:t>neutrofilocyttal</w:t>
      </w:r>
      <w:proofErr w:type="spellEnd"/>
      <w:r w:rsidRPr="00FA0C3A">
        <w:rPr>
          <w:sz w:val="24"/>
          <w:szCs w:val="24"/>
        </w:rPr>
        <w:t xml:space="preserve"> på &lt; 1,3 x 10</w:t>
      </w:r>
      <w:r w:rsidRPr="00FA0C3A">
        <w:rPr>
          <w:sz w:val="24"/>
          <w:szCs w:val="24"/>
          <w:vertAlign w:val="superscript"/>
        </w:rPr>
        <w:t>3</w:t>
      </w:r>
      <w:r w:rsidRPr="00FA0C3A">
        <w:rPr>
          <w:sz w:val="24"/>
          <w:szCs w:val="24"/>
        </w:rPr>
        <w:t xml:space="preserve">/µl), skal behandlingen med </w:t>
      </w:r>
      <w:proofErr w:type="spellStart"/>
      <w:r w:rsidRPr="00FA0C3A">
        <w:rPr>
          <w:sz w:val="24"/>
          <w:szCs w:val="24"/>
        </w:rPr>
        <w:t>mycophenolatmofetil</w:t>
      </w:r>
      <w:proofErr w:type="spellEnd"/>
      <w:r w:rsidRPr="00FA0C3A">
        <w:rPr>
          <w:sz w:val="24"/>
          <w:szCs w:val="24"/>
        </w:rPr>
        <w:t xml:space="preserve"> måske afbrydes eller stoppes.</w:t>
      </w:r>
    </w:p>
    <w:p w14:paraId="32B47041" w14:textId="77777777" w:rsidR="00886F11" w:rsidRPr="00FA0C3A" w:rsidRDefault="00886F11" w:rsidP="00886F11">
      <w:pPr>
        <w:ind w:left="851"/>
        <w:rPr>
          <w:sz w:val="24"/>
          <w:szCs w:val="24"/>
        </w:rPr>
      </w:pPr>
    </w:p>
    <w:p w14:paraId="4F43419B" w14:textId="28AA3B66" w:rsidR="00886F11" w:rsidRPr="00FA0C3A" w:rsidRDefault="00886F11" w:rsidP="00886F11">
      <w:pPr>
        <w:pStyle w:val="Default"/>
        <w:ind w:left="851"/>
        <w:rPr>
          <w:color w:val="auto"/>
          <w:lang w:eastAsia="en-US"/>
        </w:rPr>
      </w:pPr>
      <w:r w:rsidRPr="00FA0C3A">
        <w:rPr>
          <w:color w:val="auto"/>
          <w:lang w:eastAsia="en-US"/>
        </w:rPr>
        <w:t xml:space="preserve">Tilfælde af </w:t>
      </w:r>
      <w:r w:rsidRPr="00FA0C3A">
        <w:rPr>
          <w:i/>
          <w:color w:val="auto"/>
          <w:lang w:eastAsia="en-US"/>
        </w:rPr>
        <w:t xml:space="preserve">pure red </w:t>
      </w:r>
      <w:proofErr w:type="spellStart"/>
      <w:r w:rsidRPr="00FA0C3A">
        <w:rPr>
          <w:i/>
          <w:color w:val="auto"/>
          <w:lang w:eastAsia="en-US"/>
        </w:rPr>
        <w:t>cell</w:t>
      </w:r>
      <w:proofErr w:type="spellEnd"/>
      <w:r w:rsidRPr="00FA0C3A">
        <w:rPr>
          <w:i/>
          <w:color w:val="auto"/>
          <w:lang w:eastAsia="en-US"/>
        </w:rPr>
        <w:t xml:space="preserve"> </w:t>
      </w:r>
      <w:proofErr w:type="spellStart"/>
      <w:r w:rsidRPr="00FA0C3A">
        <w:rPr>
          <w:i/>
          <w:color w:val="auto"/>
          <w:lang w:eastAsia="en-US"/>
        </w:rPr>
        <w:t>aplasia</w:t>
      </w:r>
      <w:proofErr w:type="spellEnd"/>
      <w:r w:rsidRPr="00FA0C3A">
        <w:rPr>
          <w:color w:val="auto"/>
          <w:lang w:eastAsia="en-US"/>
        </w:rPr>
        <w:t xml:space="preserve"> (PRCA) er blevet rapporteret hos patienter i behandling med </w:t>
      </w:r>
      <w:proofErr w:type="spellStart"/>
      <w:r w:rsidRPr="00FA0C3A">
        <w:rPr>
          <w:color w:val="auto"/>
          <w:lang w:eastAsia="en-US"/>
        </w:rPr>
        <w:t>mycophenolatmofetil</w:t>
      </w:r>
      <w:proofErr w:type="spellEnd"/>
      <w:r w:rsidRPr="00FA0C3A">
        <w:rPr>
          <w:color w:val="auto"/>
          <w:lang w:eastAsia="en-US"/>
        </w:rPr>
        <w:t xml:space="preserve"> i kombination med andre </w:t>
      </w:r>
      <w:proofErr w:type="spellStart"/>
      <w:r w:rsidRPr="00FA0C3A">
        <w:rPr>
          <w:color w:val="auto"/>
          <w:lang w:eastAsia="en-US"/>
        </w:rPr>
        <w:t>immunsuppressiva</w:t>
      </w:r>
      <w:proofErr w:type="spellEnd"/>
      <w:r w:rsidRPr="00FA0C3A">
        <w:rPr>
          <w:color w:val="auto"/>
          <w:lang w:eastAsia="en-US"/>
        </w:rPr>
        <w:t xml:space="preserve">. Mekanismen for </w:t>
      </w:r>
      <w:proofErr w:type="spellStart"/>
      <w:r w:rsidRPr="00FA0C3A">
        <w:rPr>
          <w:color w:val="auto"/>
          <w:lang w:eastAsia="en-US"/>
        </w:rPr>
        <w:t>mycophenolatmofetil</w:t>
      </w:r>
      <w:proofErr w:type="spellEnd"/>
      <w:r w:rsidRPr="00FA0C3A">
        <w:rPr>
          <w:color w:val="auto"/>
          <w:lang w:eastAsia="en-US"/>
        </w:rPr>
        <w:t xml:space="preserve">-induceret PRCA er ukendt. PRCA kan forsvinde ved reduktion af dosis eller ved ophør af </w:t>
      </w:r>
      <w:proofErr w:type="spellStart"/>
      <w:r w:rsidRPr="00FA0C3A">
        <w:rPr>
          <w:color w:val="auto"/>
          <w:lang w:eastAsia="en-US"/>
        </w:rPr>
        <w:t>mycophenolatmofetil</w:t>
      </w:r>
      <w:proofErr w:type="spellEnd"/>
      <w:r w:rsidRPr="00FA0C3A">
        <w:rPr>
          <w:color w:val="auto"/>
          <w:lang w:eastAsia="en-US"/>
        </w:rPr>
        <w:t xml:space="preserve">-behandling. Ændringer i behandlingen med </w:t>
      </w:r>
      <w:proofErr w:type="spellStart"/>
      <w:r w:rsidRPr="00FA0C3A">
        <w:rPr>
          <w:color w:val="auto"/>
          <w:lang w:eastAsia="en-US"/>
        </w:rPr>
        <w:t>mycophenolatmofetil</w:t>
      </w:r>
      <w:proofErr w:type="spellEnd"/>
      <w:r w:rsidRPr="00FA0C3A">
        <w:rPr>
          <w:color w:val="auto"/>
          <w:lang w:eastAsia="en-US"/>
        </w:rPr>
        <w:t xml:space="preserve"> må kun foretages under tilstrækkelig overvågning af den transplanterede patient, så risikoen for afstødning af transplantatet minimeres (se pkt</w:t>
      </w:r>
      <w:r w:rsidR="008D3E9F" w:rsidRPr="00FA0C3A">
        <w:rPr>
          <w:color w:val="auto"/>
          <w:lang w:eastAsia="en-US"/>
        </w:rPr>
        <w:t>.</w:t>
      </w:r>
      <w:r w:rsidRPr="00FA0C3A">
        <w:rPr>
          <w:color w:val="auto"/>
          <w:lang w:eastAsia="en-US"/>
        </w:rPr>
        <w:t xml:space="preserve"> 4.8). </w:t>
      </w:r>
    </w:p>
    <w:p w14:paraId="6238C8E6" w14:textId="77777777" w:rsidR="00886F11" w:rsidRPr="00FA0C3A" w:rsidRDefault="00886F11" w:rsidP="00886F11">
      <w:pPr>
        <w:pStyle w:val="Default"/>
        <w:ind w:left="851"/>
        <w:rPr>
          <w:color w:val="auto"/>
          <w:lang w:eastAsia="en-US"/>
        </w:rPr>
      </w:pPr>
    </w:p>
    <w:p w14:paraId="3780077B" w14:textId="77777777" w:rsidR="00886F11" w:rsidRPr="00FA0C3A" w:rsidRDefault="00886F11" w:rsidP="00886F11">
      <w:pPr>
        <w:pStyle w:val="Default"/>
        <w:ind w:left="851"/>
        <w:rPr>
          <w:color w:val="auto"/>
          <w:lang w:eastAsia="en-US"/>
        </w:rPr>
      </w:pPr>
      <w:r w:rsidRPr="00FA0C3A">
        <w:rPr>
          <w:color w:val="auto"/>
          <w:lang w:eastAsia="en-US"/>
        </w:rPr>
        <w:t xml:space="preserve">Patienter, som får </w:t>
      </w:r>
      <w:proofErr w:type="spellStart"/>
      <w:r w:rsidRPr="00FA0C3A">
        <w:rPr>
          <w:color w:val="auto"/>
          <w:lang w:eastAsia="en-US"/>
        </w:rPr>
        <w:t>mycophenolatmofetil</w:t>
      </w:r>
      <w:proofErr w:type="spellEnd"/>
      <w:r w:rsidRPr="00FA0C3A">
        <w:rPr>
          <w:color w:val="auto"/>
          <w:lang w:eastAsia="en-US"/>
        </w:rPr>
        <w:t xml:space="preserve">, skal informeres om straks at indberette alle tegn på infektion, uventede blodudtrædninger, blødning eller andre manifestationer på knoglemarvssvigt. </w:t>
      </w:r>
    </w:p>
    <w:p w14:paraId="45ABD10D" w14:textId="77777777" w:rsidR="00886F11" w:rsidRPr="00FA0C3A" w:rsidRDefault="00886F11" w:rsidP="00886F11">
      <w:pPr>
        <w:ind w:left="851"/>
        <w:rPr>
          <w:sz w:val="24"/>
          <w:szCs w:val="24"/>
        </w:rPr>
      </w:pPr>
    </w:p>
    <w:p w14:paraId="6B7FB19E" w14:textId="3E0D3982" w:rsidR="00886F11" w:rsidRPr="00FA0C3A" w:rsidRDefault="00886F11" w:rsidP="00886F11">
      <w:pPr>
        <w:ind w:left="851"/>
        <w:rPr>
          <w:sz w:val="24"/>
          <w:szCs w:val="24"/>
        </w:rPr>
      </w:pPr>
      <w:r w:rsidRPr="00FA0C3A">
        <w:rPr>
          <w:sz w:val="24"/>
          <w:szCs w:val="24"/>
        </w:rPr>
        <w:t xml:space="preserve">Patienterne skal underrettes om, at under behandling med </w:t>
      </w:r>
      <w:proofErr w:type="spellStart"/>
      <w:r w:rsidRPr="00FA0C3A">
        <w:rPr>
          <w:sz w:val="24"/>
          <w:szCs w:val="24"/>
        </w:rPr>
        <w:t>mycophenolatmofetil</w:t>
      </w:r>
      <w:proofErr w:type="spellEnd"/>
      <w:r w:rsidRPr="00FA0C3A">
        <w:rPr>
          <w:sz w:val="24"/>
          <w:szCs w:val="24"/>
        </w:rPr>
        <w:t xml:space="preserve"> kan vaccinationer være mindre effektive, og levende svækkede vacciner bør undgås (se pkt. 4.5). Vaccination mod influenza kan være af værdi. Receptudstedere bør henvise til nationale retningslin</w:t>
      </w:r>
      <w:r w:rsidR="008D3E9F" w:rsidRPr="00FA0C3A">
        <w:rPr>
          <w:sz w:val="24"/>
          <w:szCs w:val="24"/>
        </w:rPr>
        <w:t>j</w:t>
      </w:r>
      <w:r w:rsidRPr="00FA0C3A">
        <w:rPr>
          <w:sz w:val="24"/>
          <w:szCs w:val="24"/>
        </w:rPr>
        <w:t>er for influenzavaccination.</w:t>
      </w:r>
    </w:p>
    <w:p w14:paraId="1CCDE8B2" w14:textId="77777777" w:rsidR="00886F11" w:rsidRPr="00FA0C3A" w:rsidRDefault="00886F11" w:rsidP="00886F11">
      <w:pPr>
        <w:ind w:left="851" w:hanging="851"/>
        <w:rPr>
          <w:sz w:val="24"/>
          <w:szCs w:val="24"/>
        </w:rPr>
      </w:pPr>
    </w:p>
    <w:p w14:paraId="2264B687" w14:textId="77777777" w:rsidR="00886F11" w:rsidRPr="00FA0C3A" w:rsidRDefault="00886F11" w:rsidP="00886F11">
      <w:pPr>
        <w:ind w:left="851"/>
        <w:rPr>
          <w:sz w:val="24"/>
          <w:szCs w:val="24"/>
          <w:u w:val="single"/>
        </w:rPr>
      </w:pPr>
      <w:r w:rsidRPr="00FA0C3A">
        <w:rPr>
          <w:sz w:val="24"/>
          <w:szCs w:val="24"/>
          <w:u w:val="single"/>
        </w:rPr>
        <w:t>Mave-tarm-kanalen</w:t>
      </w:r>
    </w:p>
    <w:p w14:paraId="0CBB25EC"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er blevet sat i forbindelse med en øget </w:t>
      </w:r>
      <w:proofErr w:type="spellStart"/>
      <w:r w:rsidRPr="00FA0C3A">
        <w:rPr>
          <w:sz w:val="24"/>
          <w:szCs w:val="24"/>
        </w:rPr>
        <w:t>incidens</w:t>
      </w:r>
      <w:proofErr w:type="spellEnd"/>
      <w:r w:rsidRPr="00FA0C3A">
        <w:rPr>
          <w:sz w:val="24"/>
          <w:szCs w:val="24"/>
        </w:rPr>
        <w:t xml:space="preserve"> af bivirkninger i fordøjelsessystemet inklusiv sjældne tilfælde af </w:t>
      </w:r>
      <w:proofErr w:type="spellStart"/>
      <w:r w:rsidRPr="00FA0C3A">
        <w:rPr>
          <w:sz w:val="24"/>
          <w:szCs w:val="24"/>
        </w:rPr>
        <w:t>ulceration</w:t>
      </w:r>
      <w:proofErr w:type="spellEnd"/>
      <w:r w:rsidRPr="00FA0C3A">
        <w:rPr>
          <w:sz w:val="24"/>
          <w:szCs w:val="24"/>
        </w:rPr>
        <w:t xml:space="preserve">, blødning og perforation. </w:t>
      </w:r>
      <w:proofErr w:type="spellStart"/>
      <w:r w:rsidRPr="00FA0C3A">
        <w:rPr>
          <w:sz w:val="24"/>
          <w:szCs w:val="24"/>
        </w:rPr>
        <w:t>Mycophenolatmofetil</w:t>
      </w:r>
      <w:proofErr w:type="spellEnd"/>
      <w:r w:rsidRPr="00FA0C3A">
        <w:rPr>
          <w:sz w:val="24"/>
          <w:szCs w:val="24"/>
        </w:rPr>
        <w:t xml:space="preserve"> bør administreres med forsigtighed til patienter med aktiv alvorlig sygdom i fordøjelsessystemet.</w:t>
      </w:r>
    </w:p>
    <w:p w14:paraId="02AA9027" w14:textId="77777777" w:rsidR="00886F11" w:rsidRPr="00FA0C3A" w:rsidRDefault="00886F11" w:rsidP="00886F11">
      <w:pPr>
        <w:ind w:left="851" w:hanging="851"/>
        <w:rPr>
          <w:sz w:val="24"/>
          <w:szCs w:val="24"/>
        </w:rPr>
      </w:pPr>
    </w:p>
    <w:p w14:paraId="6468CB3C"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er en IMPDH-hæmmer (</w:t>
      </w:r>
      <w:proofErr w:type="spellStart"/>
      <w:r w:rsidRPr="00FA0C3A">
        <w:rPr>
          <w:sz w:val="24"/>
          <w:szCs w:val="24"/>
        </w:rPr>
        <w:t>inosinmonophosphatdehydrogenase</w:t>
      </w:r>
      <w:proofErr w:type="spellEnd"/>
      <w:r w:rsidRPr="00FA0C3A">
        <w:rPr>
          <w:sz w:val="24"/>
          <w:szCs w:val="24"/>
        </w:rPr>
        <w:t xml:space="preserve">-hæmmer). Det bør derfor undgås til patienter med sjælden arvelig mangel på </w:t>
      </w:r>
      <w:proofErr w:type="spellStart"/>
      <w:r w:rsidRPr="00FA0C3A">
        <w:rPr>
          <w:sz w:val="24"/>
          <w:szCs w:val="24"/>
        </w:rPr>
        <w:t>hypoxanthin</w:t>
      </w:r>
      <w:proofErr w:type="spellEnd"/>
      <w:r w:rsidRPr="00FA0C3A">
        <w:rPr>
          <w:sz w:val="24"/>
          <w:szCs w:val="24"/>
        </w:rPr>
        <w:t>-guanin-</w:t>
      </w:r>
      <w:proofErr w:type="spellStart"/>
      <w:r w:rsidRPr="00FA0C3A">
        <w:rPr>
          <w:sz w:val="24"/>
          <w:szCs w:val="24"/>
        </w:rPr>
        <w:t>phosphoribosyl</w:t>
      </w:r>
      <w:proofErr w:type="spellEnd"/>
      <w:r w:rsidRPr="00FA0C3A">
        <w:rPr>
          <w:sz w:val="24"/>
          <w:szCs w:val="24"/>
        </w:rPr>
        <w:t xml:space="preserve">-transferase (HGPRT), såsom </w:t>
      </w:r>
      <w:proofErr w:type="spellStart"/>
      <w:r w:rsidRPr="00FA0C3A">
        <w:rPr>
          <w:sz w:val="24"/>
          <w:szCs w:val="24"/>
        </w:rPr>
        <w:t>Lesch-Nyhans</w:t>
      </w:r>
      <w:proofErr w:type="spellEnd"/>
      <w:r w:rsidRPr="00FA0C3A">
        <w:rPr>
          <w:sz w:val="24"/>
          <w:szCs w:val="24"/>
        </w:rPr>
        <w:t xml:space="preserve"> syndrom og </w:t>
      </w:r>
      <w:proofErr w:type="spellStart"/>
      <w:r w:rsidRPr="00FA0C3A">
        <w:rPr>
          <w:sz w:val="24"/>
          <w:szCs w:val="24"/>
        </w:rPr>
        <w:t>Kelley-Seegmillers</w:t>
      </w:r>
      <w:proofErr w:type="spellEnd"/>
      <w:r w:rsidRPr="00FA0C3A">
        <w:rPr>
          <w:sz w:val="24"/>
          <w:szCs w:val="24"/>
        </w:rPr>
        <w:t xml:space="preserve"> syndrom.</w:t>
      </w:r>
    </w:p>
    <w:p w14:paraId="234996F1" w14:textId="77777777" w:rsidR="00886F11" w:rsidRPr="00FA0C3A" w:rsidRDefault="00886F11" w:rsidP="00886F11">
      <w:pPr>
        <w:ind w:left="851" w:hanging="851"/>
        <w:rPr>
          <w:sz w:val="24"/>
          <w:szCs w:val="24"/>
        </w:rPr>
      </w:pPr>
    </w:p>
    <w:p w14:paraId="5930535F" w14:textId="77777777" w:rsidR="00886F11" w:rsidRPr="00FA0C3A" w:rsidRDefault="00886F11" w:rsidP="00886F11">
      <w:pPr>
        <w:ind w:left="851"/>
        <w:rPr>
          <w:sz w:val="24"/>
          <w:szCs w:val="24"/>
          <w:u w:val="single"/>
        </w:rPr>
      </w:pPr>
      <w:r w:rsidRPr="00FA0C3A">
        <w:rPr>
          <w:sz w:val="24"/>
          <w:szCs w:val="24"/>
          <w:u w:val="single"/>
        </w:rPr>
        <w:t>Interaktioner</w:t>
      </w:r>
    </w:p>
    <w:p w14:paraId="2DFB49B7" w14:textId="1C63F9E2" w:rsidR="00886F11" w:rsidRPr="00FA0C3A" w:rsidRDefault="00886F11" w:rsidP="00886F11">
      <w:pPr>
        <w:ind w:left="851"/>
        <w:rPr>
          <w:sz w:val="24"/>
          <w:szCs w:val="24"/>
        </w:rPr>
      </w:pPr>
      <w:r w:rsidRPr="00FA0C3A">
        <w:rPr>
          <w:sz w:val="24"/>
          <w:szCs w:val="24"/>
        </w:rPr>
        <w:t xml:space="preserve">Der skal udvises forsigtighed ved skift fra kombinationsbehandling indeholdende </w:t>
      </w:r>
      <w:proofErr w:type="spellStart"/>
      <w:r w:rsidRPr="00FA0C3A">
        <w:rPr>
          <w:sz w:val="24"/>
          <w:szCs w:val="24"/>
        </w:rPr>
        <w:t>immunosuppressiva</w:t>
      </w:r>
      <w:proofErr w:type="spellEnd"/>
      <w:r w:rsidRPr="00FA0C3A">
        <w:rPr>
          <w:sz w:val="24"/>
          <w:szCs w:val="24"/>
        </w:rPr>
        <w:t xml:space="preserve">, som interfererer med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enterohepatiske</w:t>
      </w:r>
      <w:proofErr w:type="spellEnd"/>
      <w:r w:rsidRPr="00FA0C3A">
        <w:rPr>
          <w:sz w:val="24"/>
          <w:szCs w:val="24"/>
        </w:rPr>
        <w:t xml:space="preserve"> kredsløb, f.eks. </w:t>
      </w:r>
      <w:proofErr w:type="spellStart"/>
      <w:r w:rsidRPr="00FA0C3A">
        <w:rPr>
          <w:sz w:val="24"/>
          <w:szCs w:val="24"/>
        </w:rPr>
        <w:t>ciclosporin</w:t>
      </w:r>
      <w:proofErr w:type="spellEnd"/>
      <w:r w:rsidRPr="00FA0C3A">
        <w:rPr>
          <w:sz w:val="24"/>
          <w:szCs w:val="24"/>
        </w:rPr>
        <w:t xml:space="preserve">, til andre som ikke interfererer, f.eks. </w:t>
      </w:r>
      <w:proofErr w:type="spellStart"/>
      <w:r w:rsidRPr="00FA0C3A">
        <w:rPr>
          <w:sz w:val="24"/>
          <w:szCs w:val="24"/>
        </w:rPr>
        <w:t>tacrolimus</w:t>
      </w:r>
      <w:proofErr w:type="spellEnd"/>
      <w:r w:rsidRPr="00FA0C3A">
        <w:rPr>
          <w:sz w:val="24"/>
          <w:szCs w:val="24"/>
        </w:rPr>
        <w:t xml:space="preserve">, </w:t>
      </w:r>
      <w:proofErr w:type="spellStart"/>
      <w:r w:rsidRPr="00FA0C3A">
        <w:rPr>
          <w:sz w:val="24"/>
          <w:szCs w:val="24"/>
        </w:rPr>
        <w:t>sirolimus</w:t>
      </w:r>
      <w:proofErr w:type="spellEnd"/>
      <w:r w:rsidRPr="00FA0C3A">
        <w:rPr>
          <w:sz w:val="24"/>
          <w:szCs w:val="24"/>
        </w:rPr>
        <w:t xml:space="preserve">, </w:t>
      </w:r>
      <w:proofErr w:type="spellStart"/>
      <w:r w:rsidRPr="00FA0C3A">
        <w:rPr>
          <w:sz w:val="24"/>
          <w:szCs w:val="24"/>
        </w:rPr>
        <w:t>belatacept</w:t>
      </w:r>
      <w:proofErr w:type="spellEnd"/>
      <w:r w:rsidRPr="00FA0C3A">
        <w:rPr>
          <w:sz w:val="24"/>
          <w:szCs w:val="24"/>
        </w:rPr>
        <w:t xml:space="preserve">, eller omvendt, da dette kan ændre eksponeringen af MPA. Lægemidler som påvirker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enterohepatiske</w:t>
      </w:r>
      <w:proofErr w:type="spellEnd"/>
      <w:r w:rsidRPr="00FA0C3A">
        <w:rPr>
          <w:sz w:val="24"/>
          <w:szCs w:val="24"/>
        </w:rPr>
        <w:t xml:space="preserve"> kredsløb (f.eks. </w:t>
      </w:r>
      <w:proofErr w:type="spellStart"/>
      <w:r w:rsidRPr="00FA0C3A">
        <w:rPr>
          <w:sz w:val="24"/>
          <w:szCs w:val="24"/>
        </w:rPr>
        <w:t>colestyramin</w:t>
      </w:r>
      <w:proofErr w:type="spellEnd"/>
      <w:r w:rsidRPr="00FA0C3A">
        <w:rPr>
          <w:sz w:val="24"/>
          <w:szCs w:val="24"/>
        </w:rPr>
        <w:t xml:space="preserve">, antibiotika) bør anvendes med forsigtighed, da de potentielt kan reducere plasmaniveauet og virkningen af </w:t>
      </w:r>
      <w:proofErr w:type="spellStart"/>
      <w:r w:rsidRPr="00FA0C3A">
        <w:rPr>
          <w:sz w:val="24"/>
          <w:szCs w:val="24"/>
        </w:rPr>
        <w:t>mycophenolatmofetil</w:t>
      </w:r>
      <w:proofErr w:type="spellEnd"/>
      <w:r w:rsidRPr="00FA0C3A">
        <w:rPr>
          <w:sz w:val="24"/>
          <w:szCs w:val="24"/>
        </w:rPr>
        <w:t xml:space="preserve"> (se også pkt. 4.5). Terapeutisk lægemiddelovervågning af MPA kan være hensigtsmæssigt ved skift i kombinationsbehandling (f.eks. fra </w:t>
      </w:r>
      <w:proofErr w:type="spellStart"/>
      <w:r w:rsidRPr="00FA0C3A">
        <w:rPr>
          <w:sz w:val="24"/>
          <w:szCs w:val="24"/>
        </w:rPr>
        <w:t>ciclosporin</w:t>
      </w:r>
      <w:proofErr w:type="spellEnd"/>
      <w:r w:rsidRPr="00FA0C3A">
        <w:rPr>
          <w:sz w:val="24"/>
          <w:szCs w:val="24"/>
        </w:rPr>
        <w:t xml:space="preserve"> til </w:t>
      </w:r>
      <w:proofErr w:type="spellStart"/>
      <w:r w:rsidRPr="00FA0C3A">
        <w:rPr>
          <w:sz w:val="24"/>
          <w:szCs w:val="24"/>
        </w:rPr>
        <w:t>tacrolimus</w:t>
      </w:r>
      <w:proofErr w:type="spellEnd"/>
      <w:r w:rsidRPr="00FA0C3A">
        <w:rPr>
          <w:sz w:val="24"/>
          <w:szCs w:val="24"/>
        </w:rPr>
        <w:t xml:space="preserve"> eller omvendt) eller for at sikre tilstrækkelig </w:t>
      </w:r>
      <w:proofErr w:type="spellStart"/>
      <w:r w:rsidRPr="00FA0C3A">
        <w:rPr>
          <w:sz w:val="24"/>
          <w:szCs w:val="24"/>
        </w:rPr>
        <w:t>immunosuppression</w:t>
      </w:r>
      <w:proofErr w:type="spellEnd"/>
      <w:r w:rsidRPr="00FA0C3A">
        <w:rPr>
          <w:sz w:val="24"/>
          <w:szCs w:val="24"/>
        </w:rPr>
        <w:t xml:space="preserve"> hos patienter med høj immunologisk risiko (f.eks</w:t>
      </w:r>
      <w:r w:rsidR="008D3E9F" w:rsidRPr="00FA0C3A">
        <w:rPr>
          <w:sz w:val="24"/>
          <w:szCs w:val="24"/>
        </w:rPr>
        <w:t>.</w:t>
      </w:r>
      <w:r w:rsidRPr="00FA0C3A">
        <w:rPr>
          <w:sz w:val="24"/>
          <w:szCs w:val="24"/>
        </w:rPr>
        <w:t xml:space="preserve"> risiko for afstødning, behandling med antibiotika, tilføjelse eller </w:t>
      </w:r>
      <w:proofErr w:type="spellStart"/>
      <w:r w:rsidRPr="00FA0C3A">
        <w:rPr>
          <w:sz w:val="24"/>
          <w:szCs w:val="24"/>
        </w:rPr>
        <w:t>seponering</w:t>
      </w:r>
      <w:proofErr w:type="spellEnd"/>
      <w:r w:rsidRPr="00FA0C3A">
        <w:rPr>
          <w:sz w:val="24"/>
          <w:szCs w:val="24"/>
        </w:rPr>
        <w:t xml:space="preserve"> af interagerende lægemidler).</w:t>
      </w:r>
    </w:p>
    <w:p w14:paraId="1C47C208" w14:textId="77777777" w:rsidR="00886F11" w:rsidRPr="00FA0C3A" w:rsidRDefault="00886F11" w:rsidP="00886F11">
      <w:pPr>
        <w:ind w:left="851"/>
        <w:rPr>
          <w:sz w:val="24"/>
          <w:szCs w:val="24"/>
          <w:u w:val="single"/>
        </w:rPr>
      </w:pPr>
    </w:p>
    <w:p w14:paraId="07EB6A80"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bør ikke administreres sammen med </w:t>
      </w:r>
      <w:proofErr w:type="spellStart"/>
      <w:r w:rsidRPr="00FA0C3A">
        <w:rPr>
          <w:sz w:val="24"/>
          <w:szCs w:val="24"/>
        </w:rPr>
        <w:t>azathioprin</w:t>
      </w:r>
      <w:proofErr w:type="spellEnd"/>
      <w:r w:rsidRPr="00FA0C3A">
        <w:rPr>
          <w:sz w:val="24"/>
          <w:szCs w:val="24"/>
        </w:rPr>
        <w:t>, da denne kombination ikke er blevet undersøgt.</w:t>
      </w:r>
    </w:p>
    <w:p w14:paraId="6D616FD0" w14:textId="77777777" w:rsidR="00886F11" w:rsidRPr="00FA0C3A" w:rsidRDefault="00886F11" w:rsidP="00886F11">
      <w:pPr>
        <w:ind w:left="851" w:hanging="851"/>
        <w:rPr>
          <w:sz w:val="24"/>
          <w:szCs w:val="24"/>
        </w:rPr>
      </w:pPr>
    </w:p>
    <w:p w14:paraId="4E0B6B0F" w14:textId="77777777" w:rsidR="00886F11" w:rsidRPr="00FA0C3A" w:rsidRDefault="00886F11" w:rsidP="00886F11">
      <w:pPr>
        <w:ind w:left="851"/>
        <w:rPr>
          <w:sz w:val="24"/>
          <w:szCs w:val="24"/>
        </w:rPr>
      </w:pPr>
      <w:r w:rsidRPr="00FA0C3A">
        <w:rPr>
          <w:sz w:val="24"/>
          <w:szCs w:val="24"/>
        </w:rPr>
        <w:t>Benefit/</w:t>
      </w:r>
      <w:proofErr w:type="spellStart"/>
      <w:r w:rsidRPr="00FA0C3A">
        <w:rPr>
          <w:sz w:val="24"/>
          <w:szCs w:val="24"/>
        </w:rPr>
        <w:t>risk</w:t>
      </w:r>
      <w:proofErr w:type="spellEnd"/>
      <w:r w:rsidRPr="00FA0C3A">
        <w:rPr>
          <w:sz w:val="24"/>
          <w:szCs w:val="24"/>
        </w:rPr>
        <w:t xml:space="preserve">-forholdet ved anvendelse af </w:t>
      </w:r>
      <w:proofErr w:type="spellStart"/>
      <w:r w:rsidRPr="00FA0C3A">
        <w:rPr>
          <w:sz w:val="24"/>
          <w:szCs w:val="24"/>
        </w:rPr>
        <w:t>mycophenolatmofetil</w:t>
      </w:r>
      <w:proofErr w:type="spellEnd"/>
      <w:r w:rsidRPr="00FA0C3A">
        <w:rPr>
          <w:sz w:val="24"/>
          <w:szCs w:val="24"/>
        </w:rPr>
        <w:t xml:space="preserve"> i kombination med </w:t>
      </w:r>
      <w:proofErr w:type="spellStart"/>
      <w:r w:rsidRPr="00FA0C3A">
        <w:rPr>
          <w:sz w:val="24"/>
          <w:szCs w:val="24"/>
        </w:rPr>
        <w:t>sirolimus</w:t>
      </w:r>
      <w:proofErr w:type="spellEnd"/>
      <w:r w:rsidRPr="00FA0C3A">
        <w:rPr>
          <w:sz w:val="24"/>
          <w:szCs w:val="24"/>
        </w:rPr>
        <w:t xml:space="preserve"> er ikke klarlagt (se også pkt. 4.5).</w:t>
      </w:r>
    </w:p>
    <w:p w14:paraId="2716F8E4" w14:textId="77777777" w:rsidR="00886F11" w:rsidRPr="00FA0C3A" w:rsidRDefault="00886F11" w:rsidP="00886F11">
      <w:pPr>
        <w:ind w:left="851"/>
        <w:rPr>
          <w:sz w:val="24"/>
          <w:szCs w:val="24"/>
        </w:rPr>
      </w:pPr>
    </w:p>
    <w:p w14:paraId="3756FF85" w14:textId="77777777" w:rsidR="00886F11" w:rsidRPr="00FA0C3A" w:rsidRDefault="00886F11" w:rsidP="00886F11">
      <w:pPr>
        <w:ind w:firstLine="851"/>
        <w:rPr>
          <w:sz w:val="24"/>
          <w:szCs w:val="24"/>
          <w:u w:val="single"/>
        </w:rPr>
      </w:pPr>
      <w:r w:rsidRPr="00FA0C3A">
        <w:rPr>
          <w:sz w:val="24"/>
          <w:szCs w:val="24"/>
          <w:u w:val="single"/>
        </w:rPr>
        <w:t>Særlige populationer</w:t>
      </w:r>
    </w:p>
    <w:p w14:paraId="1F95701A" w14:textId="77777777" w:rsidR="00886F11" w:rsidRPr="00FA0C3A" w:rsidRDefault="00886F11" w:rsidP="00886F11">
      <w:pPr>
        <w:ind w:left="851"/>
        <w:rPr>
          <w:sz w:val="24"/>
          <w:szCs w:val="24"/>
        </w:rPr>
      </w:pPr>
      <w:r w:rsidRPr="00FA0C3A">
        <w:rPr>
          <w:sz w:val="24"/>
          <w:szCs w:val="24"/>
        </w:rPr>
        <w:t xml:space="preserve">Ældre patienter kan have en større risiko for bivirkninger såsom visse infektioner (inklusiv vævsinvasiv sygdom forårsaget af </w:t>
      </w:r>
      <w:proofErr w:type="spellStart"/>
      <w:r w:rsidRPr="00FA0C3A">
        <w:rPr>
          <w:sz w:val="24"/>
          <w:szCs w:val="24"/>
        </w:rPr>
        <w:t>cytomegalovirus</w:t>
      </w:r>
      <w:proofErr w:type="spellEnd"/>
      <w:r w:rsidRPr="00FA0C3A">
        <w:rPr>
          <w:sz w:val="24"/>
          <w:szCs w:val="24"/>
        </w:rPr>
        <w:t xml:space="preserve">) og muligvis </w:t>
      </w:r>
      <w:proofErr w:type="spellStart"/>
      <w:r w:rsidRPr="00FA0C3A">
        <w:rPr>
          <w:sz w:val="24"/>
          <w:szCs w:val="24"/>
        </w:rPr>
        <w:t>gastrointestinal</w:t>
      </w:r>
      <w:proofErr w:type="spellEnd"/>
      <w:r w:rsidRPr="00FA0C3A">
        <w:rPr>
          <w:sz w:val="24"/>
          <w:szCs w:val="24"/>
        </w:rPr>
        <w:t xml:space="preserve"> blødning og lungeødem, sammenlignet med yngre personer (se pkt. 4.8).</w:t>
      </w:r>
    </w:p>
    <w:p w14:paraId="42FA66AB" w14:textId="77777777" w:rsidR="00886F11" w:rsidRPr="00FA0C3A" w:rsidRDefault="00886F11" w:rsidP="00886F11">
      <w:pPr>
        <w:ind w:left="851"/>
        <w:rPr>
          <w:sz w:val="24"/>
          <w:szCs w:val="24"/>
          <w:u w:val="single"/>
        </w:rPr>
      </w:pPr>
    </w:p>
    <w:p w14:paraId="1B418411" w14:textId="77777777" w:rsidR="00886F11" w:rsidRPr="00FA0C3A" w:rsidRDefault="00886F11" w:rsidP="00886F11">
      <w:pPr>
        <w:ind w:left="851"/>
        <w:rPr>
          <w:sz w:val="24"/>
          <w:szCs w:val="24"/>
          <w:u w:val="single"/>
        </w:rPr>
      </w:pPr>
      <w:proofErr w:type="spellStart"/>
      <w:r w:rsidRPr="00FA0C3A">
        <w:rPr>
          <w:sz w:val="24"/>
          <w:szCs w:val="24"/>
          <w:u w:val="single"/>
        </w:rPr>
        <w:t>Teratogene</w:t>
      </w:r>
      <w:proofErr w:type="spellEnd"/>
      <w:r w:rsidRPr="00FA0C3A">
        <w:rPr>
          <w:sz w:val="24"/>
          <w:szCs w:val="24"/>
          <w:u w:val="single"/>
        </w:rPr>
        <w:t xml:space="preserve"> virkninger</w:t>
      </w:r>
    </w:p>
    <w:p w14:paraId="3B7440C4" w14:textId="77777777" w:rsidR="00886F11" w:rsidRPr="00FA0C3A" w:rsidRDefault="00886F11" w:rsidP="00886F11">
      <w:pPr>
        <w:ind w:left="851"/>
        <w:rPr>
          <w:sz w:val="24"/>
          <w:szCs w:val="24"/>
        </w:rPr>
      </w:pPr>
      <w:proofErr w:type="spellStart"/>
      <w:r w:rsidRPr="00FA0C3A">
        <w:rPr>
          <w:sz w:val="24"/>
          <w:szCs w:val="24"/>
        </w:rPr>
        <w:t>Mycophenolat</w:t>
      </w:r>
      <w:proofErr w:type="spellEnd"/>
      <w:r w:rsidRPr="00FA0C3A">
        <w:rPr>
          <w:sz w:val="24"/>
          <w:szCs w:val="24"/>
        </w:rPr>
        <w:t xml:space="preserve"> har en potent </w:t>
      </w:r>
      <w:proofErr w:type="spellStart"/>
      <w:r w:rsidRPr="00FA0C3A">
        <w:rPr>
          <w:sz w:val="24"/>
          <w:szCs w:val="24"/>
        </w:rPr>
        <w:t>teratogen</w:t>
      </w:r>
      <w:proofErr w:type="spellEnd"/>
      <w:r w:rsidRPr="00FA0C3A">
        <w:rPr>
          <w:sz w:val="24"/>
          <w:szCs w:val="24"/>
        </w:rPr>
        <w:t xml:space="preserve"> virkning hos mennesker. Spontane aborter (frekvens på 45 % til 49 %) og medfødte misdannelser (estimeret frekvens på 23 % til 27 %) er blevet rapporteret efter </w:t>
      </w:r>
      <w:proofErr w:type="spellStart"/>
      <w:r w:rsidRPr="00FA0C3A">
        <w:rPr>
          <w:sz w:val="24"/>
          <w:szCs w:val="24"/>
        </w:rPr>
        <w:t>mycophenolatmofetil</w:t>
      </w:r>
      <w:proofErr w:type="spellEnd"/>
      <w:r w:rsidRPr="00FA0C3A">
        <w:rPr>
          <w:sz w:val="24"/>
          <w:szCs w:val="24"/>
        </w:rPr>
        <w:t xml:space="preserve"> eksponering under graviditet. Derfor er </w:t>
      </w:r>
      <w:proofErr w:type="spellStart"/>
      <w:r w:rsidRPr="00FA0C3A">
        <w:rPr>
          <w:sz w:val="24"/>
          <w:szCs w:val="24"/>
        </w:rPr>
        <w:t>mycophenolatmofetil</w:t>
      </w:r>
      <w:proofErr w:type="spellEnd"/>
      <w:r w:rsidRPr="00FA0C3A">
        <w:rPr>
          <w:sz w:val="24"/>
          <w:szCs w:val="24"/>
        </w:rPr>
        <w:t xml:space="preserve"> kontraindiceret under graviditet, medmindre der ikke findes en hensigtsmæssig alternativ behandling til at forhindre afstødning af transplantatet. Kvinder i den fødedygtige alder skal informeres om risici og følge anbefalingerne angivet under pkt. 4.6 (f.eks. prævention, graviditetstests) før, under og efter behandling med </w:t>
      </w:r>
      <w:proofErr w:type="spellStart"/>
      <w:r w:rsidRPr="00FA0C3A">
        <w:rPr>
          <w:sz w:val="24"/>
          <w:szCs w:val="24"/>
        </w:rPr>
        <w:t>mycophenolatmofetil</w:t>
      </w:r>
      <w:proofErr w:type="spellEnd"/>
      <w:r w:rsidRPr="00FA0C3A">
        <w:rPr>
          <w:sz w:val="24"/>
          <w:szCs w:val="24"/>
        </w:rPr>
        <w:t xml:space="preserve">. Lægen skal sikre, at kvinder, som tager </w:t>
      </w:r>
      <w:proofErr w:type="spellStart"/>
      <w:r w:rsidRPr="00FA0C3A">
        <w:rPr>
          <w:sz w:val="24"/>
          <w:szCs w:val="24"/>
        </w:rPr>
        <w:t>mycophenolat</w:t>
      </w:r>
      <w:proofErr w:type="spellEnd"/>
      <w:r w:rsidRPr="00FA0C3A">
        <w:rPr>
          <w:sz w:val="24"/>
          <w:szCs w:val="24"/>
        </w:rPr>
        <w:t>, forstår risikoen for skader hos barnet, nødvendigheden af sikker prævention og nødvendigheden af at kontakte lægen straks, hvis der er risiko for graviditet.</w:t>
      </w:r>
    </w:p>
    <w:p w14:paraId="75E568B4" w14:textId="77777777" w:rsidR="00886F11" w:rsidRPr="00FA0C3A" w:rsidRDefault="00886F11" w:rsidP="00886F11">
      <w:pPr>
        <w:ind w:left="851"/>
        <w:rPr>
          <w:sz w:val="24"/>
          <w:szCs w:val="24"/>
        </w:rPr>
      </w:pPr>
    </w:p>
    <w:p w14:paraId="7CEEC8DC" w14:textId="77777777" w:rsidR="00886F11" w:rsidRPr="00FA0C3A" w:rsidRDefault="00886F11" w:rsidP="00886F11">
      <w:pPr>
        <w:ind w:left="851"/>
        <w:rPr>
          <w:sz w:val="24"/>
          <w:szCs w:val="24"/>
          <w:u w:val="single"/>
        </w:rPr>
      </w:pPr>
      <w:r w:rsidRPr="00FA0C3A">
        <w:rPr>
          <w:sz w:val="24"/>
          <w:szCs w:val="24"/>
          <w:u w:val="single"/>
        </w:rPr>
        <w:t>Antikonception (se pkt. 4.6)</w:t>
      </w:r>
    </w:p>
    <w:p w14:paraId="6F9C8958" w14:textId="77777777" w:rsidR="00886F11" w:rsidRPr="00FA0C3A" w:rsidRDefault="00886F11" w:rsidP="00886F11">
      <w:pPr>
        <w:ind w:left="851"/>
        <w:rPr>
          <w:b/>
          <w:bCs/>
          <w:color w:val="000000"/>
          <w:sz w:val="24"/>
          <w:szCs w:val="24"/>
        </w:rPr>
      </w:pPr>
      <w:r w:rsidRPr="00FA0C3A">
        <w:rPr>
          <w:sz w:val="24"/>
          <w:szCs w:val="24"/>
        </w:rPr>
        <w:t xml:space="preserve">På grund af </w:t>
      </w:r>
      <w:r w:rsidRPr="00FA0C3A">
        <w:rPr>
          <w:bCs/>
          <w:sz w:val="24"/>
          <w:szCs w:val="24"/>
        </w:rPr>
        <w:t xml:space="preserve">robust klinisk evidens, der viser en høj risiko for abort og medfødte misdannelser, når </w:t>
      </w:r>
      <w:proofErr w:type="spellStart"/>
      <w:r w:rsidRPr="00FA0C3A">
        <w:rPr>
          <w:bCs/>
          <w:sz w:val="24"/>
          <w:szCs w:val="24"/>
        </w:rPr>
        <w:t>mycophenolatmofetil</w:t>
      </w:r>
      <w:proofErr w:type="spellEnd"/>
      <w:r w:rsidRPr="00FA0C3A">
        <w:rPr>
          <w:bCs/>
          <w:sz w:val="24"/>
          <w:szCs w:val="24"/>
        </w:rPr>
        <w:t xml:space="preserve"> anvendes under graviditet, skal graviditet under behandlingen undgås. Derfor</w:t>
      </w:r>
      <w:r w:rsidRPr="00FA0C3A">
        <w:rPr>
          <w:sz w:val="24"/>
          <w:szCs w:val="24"/>
        </w:rPr>
        <w:t xml:space="preserve"> skal fertile kvinder anvende mindst én pålidelig form for antikonception (se pkt. 4.3), inden behandlingen med </w:t>
      </w:r>
      <w:proofErr w:type="spellStart"/>
      <w:r w:rsidRPr="00FA0C3A">
        <w:rPr>
          <w:sz w:val="24"/>
          <w:szCs w:val="24"/>
        </w:rPr>
        <w:t>mycophenolatmofetil</w:t>
      </w:r>
      <w:proofErr w:type="spellEnd"/>
      <w:r w:rsidRPr="00FA0C3A">
        <w:rPr>
          <w:sz w:val="24"/>
          <w:szCs w:val="24"/>
        </w:rPr>
        <w:t xml:space="preserve"> påbegyndes, under behandlingen og i 6 uger efter behandlingens ophør, medmindre seksuel afholdenhed er den valgte form for prævention.</w:t>
      </w:r>
      <w:r w:rsidRPr="00FA0C3A">
        <w:rPr>
          <w:b/>
          <w:bCs/>
          <w:color w:val="000000"/>
          <w:sz w:val="24"/>
          <w:szCs w:val="24"/>
        </w:rPr>
        <w:t xml:space="preserve"> </w:t>
      </w:r>
    </w:p>
    <w:p w14:paraId="634DE4AF" w14:textId="77777777" w:rsidR="00886F11" w:rsidRPr="00FA0C3A" w:rsidRDefault="00886F11" w:rsidP="00886F11">
      <w:pPr>
        <w:ind w:left="851"/>
        <w:rPr>
          <w:sz w:val="24"/>
          <w:szCs w:val="24"/>
        </w:rPr>
      </w:pPr>
      <w:r w:rsidRPr="00FA0C3A">
        <w:rPr>
          <w:bCs/>
          <w:sz w:val="24"/>
          <w:szCs w:val="24"/>
        </w:rPr>
        <w:t>Samtidig brug af to komplementære former for antikonception foretrækkes for at minimere risikoen for svigt i prævention og utilsigtet graviditet.</w:t>
      </w:r>
    </w:p>
    <w:p w14:paraId="3E4B072F" w14:textId="77777777" w:rsidR="00886F11" w:rsidRPr="00FA0C3A" w:rsidRDefault="00886F11" w:rsidP="00886F11">
      <w:pPr>
        <w:ind w:left="851"/>
        <w:rPr>
          <w:bCs/>
          <w:sz w:val="24"/>
          <w:szCs w:val="24"/>
        </w:rPr>
      </w:pPr>
    </w:p>
    <w:p w14:paraId="5F5F6858" w14:textId="77777777" w:rsidR="00886F11" w:rsidRPr="00FA0C3A" w:rsidRDefault="00886F11" w:rsidP="00886F11">
      <w:pPr>
        <w:ind w:left="851"/>
        <w:rPr>
          <w:sz w:val="24"/>
          <w:szCs w:val="24"/>
        </w:rPr>
      </w:pPr>
      <w:r w:rsidRPr="00FA0C3A">
        <w:rPr>
          <w:bCs/>
          <w:sz w:val="24"/>
          <w:szCs w:val="24"/>
        </w:rPr>
        <w:t>For antikonceptionelle råd til mænd, se pkt. 4.6.</w:t>
      </w:r>
    </w:p>
    <w:p w14:paraId="6A32E2BD" w14:textId="77777777" w:rsidR="00886F11" w:rsidRPr="00FA0C3A" w:rsidRDefault="00886F11" w:rsidP="00886F11">
      <w:pPr>
        <w:ind w:left="851"/>
        <w:rPr>
          <w:sz w:val="24"/>
          <w:szCs w:val="24"/>
        </w:rPr>
      </w:pPr>
    </w:p>
    <w:p w14:paraId="3D3166A5" w14:textId="77777777" w:rsidR="00886F11" w:rsidRPr="00FA0C3A" w:rsidRDefault="00886F11" w:rsidP="00886F11">
      <w:pPr>
        <w:ind w:left="851"/>
        <w:rPr>
          <w:sz w:val="24"/>
          <w:szCs w:val="24"/>
          <w:u w:val="single"/>
        </w:rPr>
      </w:pPr>
      <w:r w:rsidRPr="00FA0C3A">
        <w:rPr>
          <w:sz w:val="24"/>
          <w:szCs w:val="24"/>
          <w:u w:val="single"/>
        </w:rPr>
        <w:t>Uddannelsesmateriale</w:t>
      </w:r>
    </w:p>
    <w:p w14:paraId="2B3B96B1" w14:textId="49284C6B" w:rsidR="00886F11" w:rsidRPr="00FA0C3A" w:rsidRDefault="00886F11" w:rsidP="00886F11">
      <w:pPr>
        <w:ind w:left="851"/>
        <w:rPr>
          <w:bCs/>
          <w:sz w:val="24"/>
          <w:szCs w:val="24"/>
        </w:rPr>
      </w:pPr>
      <w:r w:rsidRPr="00FA0C3A">
        <w:rPr>
          <w:bCs/>
          <w:sz w:val="24"/>
          <w:szCs w:val="24"/>
        </w:rPr>
        <w:t>Indehaveren af markedsføringstilladelsen vil sikre uddannelsesmateriale til sundheds</w:t>
      </w:r>
      <w:r w:rsidR="00725D71" w:rsidRPr="00FA0C3A">
        <w:rPr>
          <w:bCs/>
          <w:sz w:val="24"/>
          <w:szCs w:val="24"/>
        </w:rPr>
        <w:softHyphen/>
      </w:r>
      <w:r w:rsidRPr="00FA0C3A">
        <w:rPr>
          <w:bCs/>
          <w:sz w:val="24"/>
          <w:szCs w:val="24"/>
        </w:rPr>
        <w:t xml:space="preserve">personale, for at hjælpe patienter med at undgå </w:t>
      </w:r>
      <w:proofErr w:type="spellStart"/>
      <w:r w:rsidRPr="00FA0C3A">
        <w:rPr>
          <w:bCs/>
          <w:sz w:val="24"/>
          <w:szCs w:val="24"/>
        </w:rPr>
        <w:t>føtal</w:t>
      </w:r>
      <w:proofErr w:type="spellEnd"/>
      <w:r w:rsidRPr="00FA0C3A">
        <w:rPr>
          <w:bCs/>
          <w:sz w:val="24"/>
          <w:szCs w:val="24"/>
        </w:rPr>
        <w:t xml:space="preserve"> eksponering af </w:t>
      </w:r>
      <w:proofErr w:type="spellStart"/>
      <w:r w:rsidRPr="00FA0C3A">
        <w:rPr>
          <w:bCs/>
          <w:sz w:val="24"/>
          <w:szCs w:val="24"/>
        </w:rPr>
        <w:t>mycophenolat</w:t>
      </w:r>
      <w:proofErr w:type="spellEnd"/>
      <w:r w:rsidRPr="00FA0C3A">
        <w:rPr>
          <w:bCs/>
          <w:sz w:val="24"/>
          <w:szCs w:val="24"/>
        </w:rPr>
        <w:t xml:space="preserve"> og for at fremskaffe yderligere vigtig sikkerhedsinformation. Uddannelsesmaterialet vil fremhæve advarsler vedrørende </w:t>
      </w:r>
      <w:proofErr w:type="spellStart"/>
      <w:r w:rsidRPr="00FA0C3A">
        <w:rPr>
          <w:bCs/>
          <w:sz w:val="24"/>
          <w:szCs w:val="24"/>
        </w:rPr>
        <w:t>mycophenolats</w:t>
      </w:r>
      <w:proofErr w:type="spellEnd"/>
      <w:r w:rsidRPr="00FA0C3A">
        <w:rPr>
          <w:bCs/>
          <w:sz w:val="24"/>
          <w:szCs w:val="24"/>
        </w:rPr>
        <w:t xml:space="preserve"> </w:t>
      </w:r>
      <w:proofErr w:type="spellStart"/>
      <w:r w:rsidRPr="00FA0C3A">
        <w:rPr>
          <w:bCs/>
          <w:sz w:val="24"/>
          <w:szCs w:val="24"/>
        </w:rPr>
        <w:t>teratogenicitet</w:t>
      </w:r>
      <w:proofErr w:type="spellEnd"/>
      <w:r w:rsidRPr="00FA0C3A">
        <w:rPr>
          <w:bCs/>
          <w:sz w:val="24"/>
          <w:szCs w:val="24"/>
        </w:rPr>
        <w:t xml:space="preserve">, give vejledning om antikonception inden behandling initieres og vejledning omkring nødvendigheden af graviditetstests. Lægen skal give fertile kvinder og mænd udførlig information om de </w:t>
      </w:r>
      <w:proofErr w:type="spellStart"/>
      <w:r w:rsidRPr="00FA0C3A">
        <w:rPr>
          <w:bCs/>
          <w:sz w:val="24"/>
          <w:szCs w:val="24"/>
        </w:rPr>
        <w:t>teratogene</w:t>
      </w:r>
      <w:proofErr w:type="spellEnd"/>
      <w:r w:rsidRPr="00FA0C3A">
        <w:rPr>
          <w:bCs/>
          <w:sz w:val="24"/>
          <w:szCs w:val="24"/>
        </w:rPr>
        <w:t xml:space="preserve"> risici og forholdsregler til at forebygge graviditet.</w:t>
      </w:r>
    </w:p>
    <w:p w14:paraId="2810DA78" w14:textId="77777777" w:rsidR="00886F11" w:rsidRPr="00FA0C3A" w:rsidRDefault="00886F11" w:rsidP="00886F11">
      <w:pPr>
        <w:ind w:left="851"/>
        <w:rPr>
          <w:sz w:val="24"/>
          <w:szCs w:val="24"/>
          <w:u w:val="single"/>
        </w:rPr>
      </w:pPr>
    </w:p>
    <w:p w14:paraId="299A0317" w14:textId="77777777" w:rsidR="00886F11" w:rsidRPr="00FA0C3A" w:rsidRDefault="00886F11" w:rsidP="00886F11">
      <w:pPr>
        <w:ind w:left="851"/>
        <w:rPr>
          <w:sz w:val="24"/>
          <w:szCs w:val="24"/>
          <w:u w:val="single"/>
        </w:rPr>
      </w:pPr>
      <w:r w:rsidRPr="00FA0C3A">
        <w:rPr>
          <w:sz w:val="24"/>
          <w:szCs w:val="24"/>
          <w:u w:val="single"/>
        </w:rPr>
        <w:t>Yderligere forsigtighedsregler</w:t>
      </w:r>
    </w:p>
    <w:p w14:paraId="14754680" w14:textId="77777777" w:rsidR="00886F11" w:rsidRPr="00FA0C3A" w:rsidRDefault="00886F11" w:rsidP="00886F11">
      <w:pPr>
        <w:ind w:left="851"/>
        <w:rPr>
          <w:sz w:val="24"/>
          <w:szCs w:val="24"/>
        </w:rPr>
      </w:pPr>
      <w:r w:rsidRPr="00FA0C3A">
        <w:rPr>
          <w:sz w:val="24"/>
          <w:szCs w:val="24"/>
        </w:rPr>
        <w:t xml:space="preserve">Patienter må ikke donere blod under behandlingen og i mindst 6 uger efter </w:t>
      </w:r>
      <w:proofErr w:type="spellStart"/>
      <w:r w:rsidRPr="00FA0C3A">
        <w:rPr>
          <w:sz w:val="24"/>
          <w:szCs w:val="24"/>
        </w:rPr>
        <w:t>seponering</w:t>
      </w:r>
      <w:proofErr w:type="spellEnd"/>
      <w:r w:rsidRPr="00FA0C3A">
        <w:rPr>
          <w:sz w:val="24"/>
          <w:szCs w:val="24"/>
        </w:rPr>
        <w:t xml:space="preserve"> af </w:t>
      </w:r>
      <w:proofErr w:type="spellStart"/>
      <w:r w:rsidRPr="00FA0C3A">
        <w:rPr>
          <w:sz w:val="24"/>
          <w:szCs w:val="24"/>
        </w:rPr>
        <w:t>mycophenolat</w:t>
      </w:r>
      <w:proofErr w:type="spellEnd"/>
      <w:r w:rsidRPr="00FA0C3A">
        <w:rPr>
          <w:sz w:val="24"/>
          <w:szCs w:val="24"/>
        </w:rPr>
        <w:t xml:space="preserve">. Mænd må ikke donere sæd under behandlingen og i mindst 90 dage efter </w:t>
      </w:r>
      <w:proofErr w:type="spellStart"/>
      <w:r w:rsidRPr="00FA0C3A">
        <w:rPr>
          <w:sz w:val="24"/>
          <w:szCs w:val="24"/>
        </w:rPr>
        <w:t>seponering</w:t>
      </w:r>
      <w:proofErr w:type="spellEnd"/>
      <w:r w:rsidRPr="00FA0C3A">
        <w:rPr>
          <w:sz w:val="24"/>
          <w:szCs w:val="24"/>
        </w:rPr>
        <w:t xml:space="preserve"> af </w:t>
      </w:r>
      <w:proofErr w:type="spellStart"/>
      <w:r w:rsidRPr="00FA0C3A">
        <w:rPr>
          <w:sz w:val="24"/>
          <w:szCs w:val="24"/>
        </w:rPr>
        <w:t>mycophenolat</w:t>
      </w:r>
      <w:proofErr w:type="spellEnd"/>
      <w:r w:rsidRPr="00FA0C3A">
        <w:rPr>
          <w:sz w:val="24"/>
          <w:szCs w:val="24"/>
        </w:rPr>
        <w:t>.</w:t>
      </w:r>
    </w:p>
    <w:p w14:paraId="721E585D" w14:textId="42761BC8" w:rsidR="008D3E9F" w:rsidRPr="00FA0C3A" w:rsidRDefault="008D3E9F">
      <w:pPr>
        <w:rPr>
          <w:sz w:val="24"/>
          <w:szCs w:val="24"/>
        </w:rPr>
      </w:pPr>
      <w:r w:rsidRPr="00FA0C3A">
        <w:rPr>
          <w:sz w:val="24"/>
          <w:szCs w:val="24"/>
        </w:rPr>
        <w:br w:type="page"/>
      </w:r>
    </w:p>
    <w:p w14:paraId="4814A8D7" w14:textId="77777777" w:rsidR="00886F11" w:rsidRPr="00FA0C3A" w:rsidRDefault="00886F11" w:rsidP="00886F11">
      <w:pPr>
        <w:ind w:left="851"/>
        <w:rPr>
          <w:sz w:val="24"/>
          <w:szCs w:val="24"/>
        </w:rPr>
      </w:pPr>
    </w:p>
    <w:p w14:paraId="1130ED03" w14:textId="77777777" w:rsidR="00886F11" w:rsidRPr="00FA0C3A" w:rsidRDefault="00886F11" w:rsidP="00886F11">
      <w:pPr>
        <w:ind w:left="851"/>
        <w:rPr>
          <w:sz w:val="24"/>
          <w:szCs w:val="24"/>
          <w:u w:val="single"/>
        </w:rPr>
      </w:pPr>
      <w:r w:rsidRPr="00FA0C3A">
        <w:rPr>
          <w:sz w:val="24"/>
          <w:szCs w:val="24"/>
          <w:u w:val="single"/>
        </w:rPr>
        <w:t>Dette lægemiddel indeholder natrium</w:t>
      </w:r>
    </w:p>
    <w:p w14:paraId="1D013E12" w14:textId="77777777" w:rsidR="00886F11" w:rsidRPr="00FA0C3A" w:rsidRDefault="00886F11" w:rsidP="00886F11">
      <w:pPr>
        <w:ind w:left="851"/>
        <w:rPr>
          <w:sz w:val="24"/>
          <w:szCs w:val="24"/>
        </w:rPr>
      </w:pPr>
      <w:r w:rsidRPr="00FA0C3A">
        <w:rPr>
          <w:sz w:val="24"/>
          <w:szCs w:val="24"/>
        </w:rPr>
        <w:t>Dette lægemiddel indeholder mindre end 1 mmol (23 mg) natrium pr. kapsel, dvs. det er i det væsentlige natriumfrit.</w:t>
      </w:r>
    </w:p>
    <w:p w14:paraId="6A26C43F" w14:textId="77777777" w:rsidR="009260DE" w:rsidRPr="00FA0C3A" w:rsidRDefault="009260DE" w:rsidP="009260DE">
      <w:pPr>
        <w:tabs>
          <w:tab w:val="left" w:pos="851"/>
        </w:tabs>
        <w:ind w:left="851"/>
        <w:rPr>
          <w:sz w:val="24"/>
          <w:szCs w:val="24"/>
        </w:rPr>
      </w:pPr>
    </w:p>
    <w:p w14:paraId="6C4385C4" w14:textId="77777777" w:rsidR="009260DE" w:rsidRPr="00FA0C3A" w:rsidRDefault="009260DE" w:rsidP="009260DE">
      <w:pPr>
        <w:tabs>
          <w:tab w:val="left" w:pos="851"/>
        </w:tabs>
        <w:ind w:left="851" w:hanging="851"/>
        <w:rPr>
          <w:b/>
          <w:sz w:val="24"/>
          <w:szCs w:val="24"/>
        </w:rPr>
      </w:pPr>
      <w:r w:rsidRPr="00FA0C3A">
        <w:rPr>
          <w:b/>
          <w:sz w:val="24"/>
          <w:szCs w:val="24"/>
        </w:rPr>
        <w:t>4.5</w:t>
      </w:r>
      <w:r w:rsidRPr="00FA0C3A">
        <w:rPr>
          <w:b/>
          <w:sz w:val="24"/>
          <w:szCs w:val="24"/>
        </w:rPr>
        <w:tab/>
        <w:t>Interaktion med andre lægemidler og andre former for interaktion</w:t>
      </w:r>
    </w:p>
    <w:p w14:paraId="220BE823" w14:textId="77777777" w:rsidR="00725D71" w:rsidRPr="00FA0C3A" w:rsidRDefault="00725D71" w:rsidP="00886F11">
      <w:pPr>
        <w:autoSpaceDE w:val="0"/>
        <w:autoSpaceDN w:val="0"/>
        <w:adjustRightInd w:val="0"/>
        <w:ind w:left="851"/>
        <w:rPr>
          <w:sz w:val="24"/>
          <w:szCs w:val="24"/>
          <w:u w:val="single"/>
        </w:rPr>
      </w:pPr>
    </w:p>
    <w:p w14:paraId="2AE65A28" w14:textId="2A0878B8"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Aciclovir</w:t>
      </w:r>
      <w:proofErr w:type="spellEnd"/>
      <w:r w:rsidRPr="00FA0C3A">
        <w:rPr>
          <w:sz w:val="24"/>
          <w:szCs w:val="24"/>
        </w:rPr>
        <w:t xml:space="preserve"> </w:t>
      </w:r>
    </w:p>
    <w:p w14:paraId="621D7517" w14:textId="19E49656" w:rsidR="00886F11" w:rsidRPr="00FA0C3A" w:rsidRDefault="00886F11" w:rsidP="00886F11">
      <w:pPr>
        <w:autoSpaceDE w:val="0"/>
        <w:autoSpaceDN w:val="0"/>
        <w:adjustRightInd w:val="0"/>
        <w:ind w:left="851"/>
        <w:rPr>
          <w:sz w:val="24"/>
          <w:szCs w:val="24"/>
        </w:rPr>
      </w:pPr>
      <w:r w:rsidRPr="00FA0C3A">
        <w:rPr>
          <w:sz w:val="24"/>
          <w:szCs w:val="24"/>
        </w:rPr>
        <w:t xml:space="preserve">Der blev observeret højere </w:t>
      </w:r>
      <w:proofErr w:type="spellStart"/>
      <w:r w:rsidRPr="00FA0C3A">
        <w:rPr>
          <w:sz w:val="24"/>
          <w:szCs w:val="24"/>
        </w:rPr>
        <w:t>aciclovir</w:t>
      </w:r>
      <w:proofErr w:type="spellEnd"/>
      <w:r w:rsidRPr="00FA0C3A">
        <w:rPr>
          <w:sz w:val="24"/>
          <w:szCs w:val="24"/>
        </w:rPr>
        <w:t xml:space="preserve"> plasmakoncentrationer, når </w:t>
      </w:r>
      <w:proofErr w:type="spellStart"/>
      <w:r w:rsidRPr="00FA0C3A">
        <w:rPr>
          <w:sz w:val="24"/>
          <w:szCs w:val="24"/>
        </w:rPr>
        <w:t>mycophenolatmofetil</w:t>
      </w:r>
      <w:proofErr w:type="spellEnd"/>
      <w:r w:rsidRPr="00FA0C3A">
        <w:rPr>
          <w:sz w:val="24"/>
          <w:szCs w:val="24"/>
        </w:rPr>
        <w:t xml:space="preserve"> blev administreret sammen med </w:t>
      </w:r>
      <w:proofErr w:type="spellStart"/>
      <w:r w:rsidRPr="00FA0C3A">
        <w:rPr>
          <w:sz w:val="24"/>
          <w:szCs w:val="24"/>
        </w:rPr>
        <w:t>aciclovir</w:t>
      </w:r>
      <w:proofErr w:type="spellEnd"/>
      <w:r w:rsidRPr="00FA0C3A">
        <w:rPr>
          <w:sz w:val="24"/>
          <w:szCs w:val="24"/>
        </w:rPr>
        <w:t xml:space="preserve"> sammenlignet med administration af </w:t>
      </w:r>
      <w:proofErr w:type="spellStart"/>
      <w:r w:rsidRPr="00FA0C3A">
        <w:rPr>
          <w:sz w:val="24"/>
          <w:szCs w:val="24"/>
        </w:rPr>
        <w:t>aciclovir</w:t>
      </w:r>
      <w:proofErr w:type="spellEnd"/>
      <w:r w:rsidRPr="00FA0C3A">
        <w:rPr>
          <w:sz w:val="24"/>
          <w:szCs w:val="24"/>
        </w:rPr>
        <w:t xml:space="preserve"> alene. Ændringerne i </w:t>
      </w:r>
      <w:proofErr w:type="spellStart"/>
      <w:r w:rsidRPr="00FA0C3A">
        <w:rPr>
          <w:sz w:val="24"/>
          <w:szCs w:val="24"/>
        </w:rPr>
        <w:t>MPAGs</w:t>
      </w:r>
      <w:proofErr w:type="spellEnd"/>
      <w:r w:rsidRPr="00FA0C3A">
        <w:rPr>
          <w:sz w:val="24"/>
          <w:szCs w:val="24"/>
        </w:rPr>
        <w:t xml:space="preserve">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fenoliske</w:t>
      </w:r>
      <w:proofErr w:type="spellEnd"/>
      <w:r w:rsidRPr="00FA0C3A">
        <w:rPr>
          <w:sz w:val="24"/>
          <w:szCs w:val="24"/>
        </w:rPr>
        <w:t xml:space="preserve"> </w:t>
      </w:r>
      <w:proofErr w:type="spellStart"/>
      <w:r w:rsidRPr="00FA0C3A">
        <w:rPr>
          <w:sz w:val="24"/>
          <w:szCs w:val="24"/>
        </w:rPr>
        <w:t>glukuronid</w:t>
      </w:r>
      <w:proofErr w:type="spellEnd"/>
      <w:r w:rsidRPr="00FA0C3A">
        <w:rPr>
          <w:sz w:val="24"/>
          <w:szCs w:val="24"/>
        </w:rPr>
        <w:t>) farmakokinetik (MPAG steg med 8</w:t>
      </w:r>
      <w:r w:rsidR="008D3E9F" w:rsidRPr="00FA0C3A">
        <w:rPr>
          <w:sz w:val="24"/>
          <w:szCs w:val="24"/>
        </w:rPr>
        <w:t> </w:t>
      </w:r>
      <w:r w:rsidRPr="00FA0C3A">
        <w:rPr>
          <w:sz w:val="24"/>
          <w:szCs w:val="24"/>
        </w:rPr>
        <w:t>%) var minimale og anses ikke for klinisk signifikante. Da MPAG plasma</w:t>
      </w:r>
      <w:r w:rsidR="00FA0C3A">
        <w:rPr>
          <w:sz w:val="24"/>
          <w:szCs w:val="24"/>
        </w:rPr>
        <w:softHyphen/>
      </w:r>
      <w:r w:rsidRPr="00FA0C3A">
        <w:rPr>
          <w:sz w:val="24"/>
          <w:szCs w:val="24"/>
        </w:rPr>
        <w:t xml:space="preserve">koncentrationer forhøjes ved nedsat nyrefunktion, ligesom </w:t>
      </w:r>
      <w:proofErr w:type="spellStart"/>
      <w:r w:rsidRPr="00FA0C3A">
        <w:rPr>
          <w:sz w:val="24"/>
          <w:szCs w:val="24"/>
        </w:rPr>
        <w:t>aciclovir</w:t>
      </w:r>
      <w:proofErr w:type="spellEnd"/>
      <w:r w:rsidRPr="00FA0C3A">
        <w:rPr>
          <w:sz w:val="24"/>
          <w:szCs w:val="24"/>
        </w:rPr>
        <w:t xml:space="preserve">-koncentrationerne bliver det, er der en mulighed for, at </w:t>
      </w:r>
      <w:proofErr w:type="spellStart"/>
      <w:r w:rsidRPr="00FA0C3A">
        <w:rPr>
          <w:sz w:val="24"/>
          <w:szCs w:val="24"/>
        </w:rPr>
        <w:t>mycophenolatmofetil</w:t>
      </w:r>
      <w:proofErr w:type="spellEnd"/>
      <w:r w:rsidRPr="00FA0C3A">
        <w:rPr>
          <w:sz w:val="24"/>
          <w:szCs w:val="24"/>
        </w:rPr>
        <w:t xml:space="preserve"> og </w:t>
      </w:r>
      <w:proofErr w:type="spellStart"/>
      <w:r w:rsidRPr="00FA0C3A">
        <w:rPr>
          <w:sz w:val="24"/>
          <w:szCs w:val="24"/>
        </w:rPr>
        <w:t>aciclovir</w:t>
      </w:r>
      <w:proofErr w:type="spellEnd"/>
      <w:r w:rsidRPr="00FA0C3A">
        <w:rPr>
          <w:sz w:val="24"/>
          <w:szCs w:val="24"/>
        </w:rPr>
        <w:t xml:space="preserve">, eller dets prodrugs, f.eks. </w:t>
      </w:r>
      <w:proofErr w:type="spellStart"/>
      <w:r w:rsidRPr="00FA0C3A">
        <w:rPr>
          <w:sz w:val="24"/>
          <w:szCs w:val="24"/>
        </w:rPr>
        <w:t>valaciclovir</w:t>
      </w:r>
      <w:proofErr w:type="spellEnd"/>
      <w:r w:rsidRPr="00FA0C3A">
        <w:rPr>
          <w:sz w:val="24"/>
          <w:szCs w:val="24"/>
        </w:rPr>
        <w:t xml:space="preserve">, vil konkurrere om den </w:t>
      </w:r>
      <w:proofErr w:type="spellStart"/>
      <w:r w:rsidRPr="00FA0C3A">
        <w:rPr>
          <w:sz w:val="24"/>
          <w:szCs w:val="24"/>
        </w:rPr>
        <w:t>tubulære</w:t>
      </w:r>
      <w:proofErr w:type="spellEnd"/>
      <w:r w:rsidRPr="00FA0C3A">
        <w:rPr>
          <w:sz w:val="24"/>
          <w:szCs w:val="24"/>
        </w:rPr>
        <w:t xml:space="preserve"> sekretion, og at der kan ske yderligere forhøjelser af koncentrationerne af begge stoffer.</w:t>
      </w:r>
    </w:p>
    <w:p w14:paraId="1F21D4EA" w14:textId="77777777" w:rsidR="00886F11" w:rsidRPr="00FA0C3A" w:rsidRDefault="00886F11" w:rsidP="00886F11">
      <w:pPr>
        <w:autoSpaceDE w:val="0"/>
        <w:autoSpaceDN w:val="0"/>
        <w:adjustRightInd w:val="0"/>
        <w:ind w:left="851"/>
        <w:rPr>
          <w:sz w:val="24"/>
          <w:szCs w:val="24"/>
          <w:u w:val="single"/>
        </w:rPr>
      </w:pPr>
      <w:bookmarkStart w:id="0" w:name="_Hlk106282748"/>
    </w:p>
    <w:p w14:paraId="6FF1DB83"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Antacida</w:t>
      </w:r>
      <w:proofErr w:type="spellEnd"/>
      <w:r w:rsidRPr="00FA0C3A">
        <w:rPr>
          <w:sz w:val="24"/>
          <w:szCs w:val="24"/>
          <w:u w:val="single"/>
        </w:rPr>
        <w:t xml:space="preserve"> og </w:t>
      </w:r>
      <w:proofErr w:type="spellStart"/>
      <w:r w:rsidRPr="00FA0C3A">
        <w:rPr>
          <w:sz w:val="24"/>
          <w:szCs w:val="24"/>
          <w:u w:val="single"/>
        </w:rPr>
        <w:t>protonpumpehæmmere</w:t>
      </w:r>
      <w:proofErr w:type="spellEnd"/>
    </w:p>
    <w:p w14:paraId="2C7F2DDF" w14:textId="77777777" w:rsidR="00886F11" w:rsidRPr="00FA0C3A" w:rsidRDefault="00886F11" w:rsidP="00886F11">
      <w:pPr>
        <w:autoSpaceDE w:val="0"/>
        <w:autoSpaceDN w:val="0"/>
        <w:adjustRightInd w:val="0"/>
        <w:ind w:left="851"/>
        <w:rPr>
          <w:sz w:val="24"/>
          <w:szCs w:val="24"/>
        </w:rPr>
      </w:pPr>
      <w:r w:rsidRPr="00FA0C3A">
        <w:rPr>
          <w:sz w:val="24"/>
          <w:szCs w:val="24"/>
        </w:rPr>
        <w:t xml:space="preserve">Der er observeret nedsat eksponering af MPA, når </w:t>
      </w:r>
      <w:proofErr w:type="spellStart"/>
      <w:r w:rsidRPr="00FA0C3A">
        <w:rPr>
          <w:sz w:val="24"/>
          <w:szCs w:val="24"/>
        </w:rPr>
        <w:t>antacida</w:t>
      </w:r>
      <w:proofErr w:type="spellEnd"/>
      <w:r w:rsidRPr="00FA0C3A">
        <w:rPr>
          <w:sz w:val="24"/>
          <w:szCs w:val="24"/>
        </w:rPr>
        <w:t xml:space="preserve">, såsom magnesium- og aluminiumhydroxider, og </w:t>
      </w:r>
      <w:proofErr w:type="spellStart"/>
      <w:r w:rsidRPr="00FA0C3A">
        <w:rPr>
          <w:sz w:val="24"/>
          <w:szCs w:val="24"/>
        </w:rPr>
        <w:t>protonpumpehæmmere</w:t>
      </w:r>
      <w:proofErr w:type="spellEnd"/>
      <w:r w:rsidRPr="00FA0C3A">
        <w:rPr>
          <w:sz w:val="24"/>
          <w:szCs w:val="24"/>
        </w:rPr>
        <w:t xml:space="preserve">, inklusive </w:t>
      </w:r>
      <w:proofErr w:type="spellStart"/>
      <w:r w:rsidRPr="00FA0C3A">
        <w:rPr>
          <w:sz w:val="24"/>
          <w:szCs w:val="24"/>
        </w:rPr>
        <w:t>lansoprazol</w:t>
      </w:r>
      <w:proofErr w:type="spellEnd"/>
      <w:r w:rsidRPr="00FA0C3A">
        <w:rPr>
          <w:sz w:val="24"/>
          <w:szCs w:val="24"/>
        </w:rPr>
        <w:t xml:space="preserve"> og </w:t>
      </w:r>
      <w:proofErr w:type="spellStart"/>
      <w:r w:rsidRPr="00FA0C3A">
        <w:rPr>
          <w:sz w:val="24"/>
          <w:szCs w:val="24"/>
        </w:rPr>
        <w:t>pantoprazol</w:t>
      </w:r>
      <w:proofErr w:type="spellEnd"/>
      <w:r w:rsidRPr="00FA0C3A">
        <w:rPr>
          <w:sz w:val="24"/>
          <w:szCs w:val="24"/>
        </w:rPr>
        <w:t xml:space="preserve">, bliver administreret sammen med </w:t>
      </w:r>
      <w:proofErr w:type="spellStart"/>
      <w:r w:rsidRPr="00FA0C3A">
        <w:rPr>
          <w:sz w:val="24"/>
          <w:szCs w:val="24"/>
        </w:rPr>
        <w:t>mycophenolatmofetil</w:t>
      </w:r>
      <w:proofErr w:type="spellEnd"/>
      <w:r w:rsidRPr="00FA0C3A">
        <w:rPr>
          <w:sz w:val="24"/>
          <w:szCs w:val="24"/>
        </w:rPr>
        <w:t xml:space="preserve">. Der blev ikke set signifikante forskelle i hyppigheden af afstødning eller tab af transplantat hos </w:t>
      </w:r>
      <w:proofErr w:type="spellStart"/>
      <w:r w:rsidRPr="00FA0C3A">
        <w:rPr>
          <w:sz w:val="24"/>
          <w:szCs w:val="24"/>
        </w:rPr>
        <w:t>mycophenolatmofetil</w:t>
      </w:r>
      <w:proofErr w:type="spellEnd"/>
      <w:r w:rsidRPr="00FA0C3A">
        <w:rPr>
          <w:sz w:val="24"/>
          <w:szCs w:val="24"/>
        </w:rPr>
        <w:t xml:space="preserve">-patienter, som tog </w:t>
      </w:r>
      <w:proofErr w:type="spellStart"/>
      <w:r w:rsidRPr="00FA0C3A">
        <w:rPr>
          <w:sz w:val="24"/>
          <w:szCs w:val="24"/>
        </w:rPr>
        <w:t>protonpumpehæmmere</w:t>
      </w:r>
      <w:proofErr w:type="spellEnd"/>
      <w:r w:rsidRPr="00FA0C3A">
        <w:rPr>
          <w:sz w:val="24"/>
          <w:szCs w:val="24"/>
        </w:rPr>
        <w:t xml:space="preserve"> versus </w:t>
      </w:r>
      <w:proofErr w:type="spellStart"/>
      <w:r w:rsidRPr="00FA0C3A">
        <w:rPr>
          <w:sz w:val="24"/>
          <w:szCs w:val="24"/>
        </w:rPr>
        <w:t>mycophenolatmofetil</w:t>
      </w:r>
      <w:proofErr w:type="spellEnd"/>
      <w:r w:rsidRPr="00FA0C3A">
        <w:rPr>
          <w:sz w:val="24"/>
          <w:szCs w:val="24"/>
        </w:rPr>
        <w:t xml:space="preserve">-patienter, som ikke tog </w:t>
      </w:r>
      <w:proofErr w:type="spellStart"/>
      <w:r w:rsidRPr="00FA0C3A">
        <w:rPr>
          <w:sz w:val="24"/>
          <w:szCs w:val="24"/>
        </w:rPr>
        <w:t>protonpumpehæmmere</w:t>
      </w:r>
      <w:proofErr w:type="spellEnd"/>
      <w:r w:rsidRPr="00FA0C3A">
        <w:rPr>
          <w:sz w:val="24"/>
          <w:szCs w:val="24"/>
        </w:rPr>
        <w:t xml:space="preserve">. Disse data supporterer ekstrapolering af dette fund til alle </w:t>
      </w:r>
      <w:proofErr w:type="spellStart"/>
      <w:r w:rsidRPr="00FA0C3A">
        <w:rPr>
          <w:sz w:val="24"/>
          <w:szCs w:val="24"/>
        </w:rPr>
        <w:t>antacida</w:t>
      </w:r>
      <w:proofErr w:type="spellEnd"/>
      <w:r w:rsidRPr="00FA0C3A">
        <w:rPr>
          <w:sz w:val="24"/>
          <w:szCs w:val="24"/>
        </w:rPr>
        <w:t xml:space="preserve">, fordi reduktionen i eksponering er betydelig mindre, når </w:t>
      </w:r>
      <w:proofErr w:type="spellStart"/>
      <w:r w:rsidRPr="00FA0C3A">
        <w:rPr>
          <w:sz w:val="24"/>
          <w:szCs w:val="24"/>
        </w:rPr>
        <w:t>mycophenolatmofetil</w:t>
      </w:r>
      <w:proofErr w:type="spellEnd"/>
      <w:r w:rsidRPr="00FA0C3A">
        <w:rPr>
          <w:sz w:val="24"/>
          <w:szCs w:val="24"/>
        </w:rPr>
        <w:t xml:space="preserve"> gives samtidig med magnesium-og </w:t>
      </w:r>
      <w:proofErr w:type="spellStart"/>
      <w:r w:rsidRPr="00FA0C3A">
        <w:rPr>
          <w:sz w:val="24"/>
          <w:szCs w:val="24"/>
        </w:rPr>
        <w:t>aluminumhydroxider</w:t>
      </w:r>
      <w:proofErr w:type="spellEnd"/>
      <w:r w:rsidRPr="00FA0C3A">
        <w:rPr>
          <w:sz w:val="24"/>
          <w:szCs w:val="24"/>
        </w:rPr>
        <w:t xml:space="preserve">, end når </w:t>
      </w:r>
      <w:proofErr w:type="spellStart"/>
      <w:r w:rsidRPr="00FA0C3A">
        <w:rPr>
          <w:sz w:val="24"/>
          <w:szCs w:val="24"/>
        </w:rPr>
        <w:t>mycophenolatmofetil</w:t>
      </w:r>
      <w:proofErr w:type="spellEnd"/>
      <w:r w:rsidRPr="00FA0C3A">
        <w:rPr>
          <w:sz w:val="24"/>
          <w:szCs w:val="24"/>
        </w:rPr>
        <w:t xml:space="preserve"> gives samtidig med </w:t>
      </w:r>
      <w:proofErr w:type="spellStart"/>
      <w:r w:rsidRPr="00FA0C3A">
        <w:rPr>
          <w:sz w:val="24"/>
          <w:szCs w:val="24"/>
        </w:rPr>
        <w:t>protonpumpehæmmere</w:t>
      </w:r>
      <w:proofErr w:type="spellEnd"/>
      <w:r w:rsidRPr="00FA0C3A">
        <w:rPr>
          <w:sz w:val="24"/>
          <w:szCs w:val="24"/>
        </w:rPr>
        <w:t xml:space="preserve">. </w:t>
      </w:r>
    </w:p>
    <w:p w14:paraId="260F9277" w14:textId="77777777" w:rsidR="00886F11" w:rsidRPr="00FA0C3A" w:rsidRDefault="00886F11" w:rsidP="00886F11">
      <w:pPr>
        <w:autoSpaceDE w:val="0"/>
        <w:autoSpaceDN w:val="0"/>
        <w:adjustRightInd w:val="0"/>
        <w:ind w:left="851"/>
        <w:rPr>
          <w:sz w:val="24"/>
          <w:szCs w:val="24"/>
        </w:rPr>
      </w:pPr>
    </w:p>
    <w:p w14:paraId="3E729986"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 xml:space="preserve">Lægemidler som interfererer med den </w:t>
      </w:r>
      <w:proofErr w:type="spellStart"/>
      <w:r w:rsidRPr="00FA0C3A">
        <w:rPr>
          <w:sz w:val="24"/>
          <w:szCs w:val="24"/>
          <w:u w:val="single"/>
        </w:rPr>
        <w:t>enterohepatiske</w:t>
      </w:r>
      <w:proofErr w:type="spellEnd"/>
      <w:r w:rsidRPr="00FA0C3A">
        <w:rPr>
          <w:sz w:val="24"/>
          <w:szCs w:val="24"/>
          <w:u w:val="single"/>
        </w:rPr>
        <w:t xml:space="preserve"> recirkulation (f.eks. </w:t>
      </w:r>
      <w:proofErr w:type="spellStart"/>
      <w:r w:rsidRPr="00FA0C3A">
        <w:rPr>
          <w:sz w:val="24"/>
          <w:szCs w:val="24"/>
          <w:u w:val="single"/>
        </w:rPr>
        <w:t>colestyramin</w:t>
      </w:r>
      <w:proofErr w:type="spellEnd"/>
      <w:r w:rsidRPr="00FA0C3A">
        <w:rPr>
          <w:sz w:val="24"/>
          <w:szCs w:val="24"/>
          <w:u w:val="single"/>
        </w:rPr>
        <w:t xml:space="preserve">, </w:t>
      </w:r>
      <w:proofErr w:type="spellStart"/>
      <w:r w:rsidRPr="00FA0C3A">
        <w:rPr>
          <w:sz w:val="24"/>
          <w:szCs w:val="24"/>
          <w:u w:val="single"/>
        </w:rPr>
        <w:t>ciclosporin</w:t>
      </w:r>
      <w:proofErr w:type="spellEnd"/>
      <w:r w:rsidRPr="00FA0C3A">
        <w:rPr>
          <w:sz w:val="24"/>
          <w:szCs w:val="24"/>
          <w:u w:val="single"/>
        </w:rPr>
        <w:t xml:space="preserve"> A, antibiotika)</w:t>
      </w:r>
    </w:p>
    <w:p w14:paraId="4D788FA8" w14:textId="77777777" w:rsidR="00886F11" w:rsidRPr="00FA0C3A" w:rsidRDefault="00886F11" w:rsidP="00886F11">
      <w:pPr>
        <w:autoSpaceDE w:val="0"/>
        <w:autoSpaceDN w:val="0"/>
        <w:adjustRightInd w:val="0"/>
        <w:ind w:left="851"/>
        <w:rPr>
          <w:sz w:val="24"/>
          <w:szCs w:val="24"/>
        </w:rPr>
      </w:pPr>
      <w:r w:rsidRPr="00FA0C3A">
        <w:rPr>
          <w:sz w:val="24"/>
          <w:szCs w:val="24"/>
        </w:rPr>
        <w:t xml:space="preserve">Der skal udvises forsigtighed med lægemidler, som interfererer med den </w:t>
      </w:r>
      <w:proofErr w:type="spellStart"/>
      <w:r w:rsidRPr="00FA0C3A">
        <w:rPr>
          <w:sz w:val="24"/>
          <w:szCs w:val="24"/>
        </w:rPr>
        <w:t>enterohepatiske</w:t>
      </w:r>
      <w:proofErr w:type="spellEnd"/>
      <w:r w:rsidRPr="00FA0C3A">
        <w:rPr>
          <w:sz w:val="24"/>
          <w:szCs w:val="24"/>
        </w:rPr>
        <w:t xml:space="preserve"> recirkulation pga. risikoen for nedsat effekt af </w:t>
      </w:r>
      <w:proofErr w:type="spellStart"/>
      <w:r w:rsidRPr="00FA0C3A">
        <w:rPr>
          <w:sz w:val="24"/>
          <w:szCs w:val="24"/>
        </w:rPr>
        <w:t>mycophenolatmofetil</w:t>
      </w:r>
      <w:proofErr w:type="spellEnd"/>
      <w:r w:rsidRPr="00FA0C3A">
        <w:rPr>
          <w:sz w:val="24"/>
          <w:szCs w:val="24"/>
        </w:rPr>
        <w:t>.</w:t>
      </w:r>
    </w:p>
    <w:bookmarkEnd w:id="0"/>
    <w:p w14:paraId="252C020A" w14:textId="77777777" w:rsidR="00886F11" w:rsidRPr="00FA0C3A" w:rsidRDefault="00886F11" w:rsidP="00886F11">
      <w:pPr>
        <w:autoSpaceDE w:val="0"/>
        <w:autoSpaceDN w:val="0"/>
        <w:adjustRightInd w:val="0"/>
        <w:ind w:left="851"/>
        <w:rPr>
          <w:sz w:val="24"/>
          <w:szCs w:val="24"/>
          <w:u w:val="single"/>
        </w:rPr>
      </w:pPr>
    </w:p>
    <w:p w14:paraId="24570397"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Colestyramin</w:t>
      </w:r>
      <w:proofErr w:type="spellEnd"/>
    </w:p>
    <w:p w14:paraId="3931760C" w14:textId="716821AE" w:rsidR="00886F11" w:rsidRPr="00FA0C3A" w:rsidRDefault="00886F11" w:rsidP="00886F11">
      <w:pPr>
        <w:autoSpaceDE w:val="0"/>
        <w:autoSpaceDN w:val="0"/>
        <w:adjustRightInd w:val="0"/>
        <w:ind w:left="851"/>
        <w:rPr>
          <w:sz w:val="24"/>
          <w:szCs w:val="24"/>
        </w:rPr>
      </w:pPr>
      <w:r w:rsidRPr="00FA0C3A">
        <w:rPr>
          <w:sz w:val="24"/>
          <w:szCs w:val="24"/>
        </w:rPr>
        <w:t xml:space="preserve">Efter administration af en enkelt dosis </w:t>
      </w:r>
      <w:proofErr w:type="spellStart"/>
      <w:r w:rsidRPr="00FA0C3A">
        <w:rPr>
          <w:sz w:val="24"/>
          <w:szCs w:val="24"/>
        </w:rPr>
        <w:t>mycophenolatmofetil</w:t>
      </w:r>
      <w:proofErr w:type="spellEnd"/>
      <w:r w:rsidRPr="00FA0C3A">
        <w:rPr>
          <w:sz w:val="24"/>
          <w:szCs w:val="24"/>
        </w:rPr>
        <w:t xml:space="preserve"> på 1,5 g til normale raske personer, forbehandlet med 4 g </w:t>
      </w:r>
      <w:proofErr w:type="spellStart"/>
      <w:r w:rsidRPr="00FA0C3A">
        <w:rPr>
          <w:sz w:val="24"/>
          <w:szCs w:val="24"/>
        </w:rPr>
        <w:t>colestyramin</w:t>
      </w:r>
      <w:proofErr w:type="spellEnd"/>
      <w:r w:rsidRPr="00FA0C3A">
        <w:rPr>
          <w:sz w:val="24"/>
          <w:szCs w:val="24"/>
        </w:rPr>
        <w:t xml:space="preserve"> tre gange daglig i fire dage, var der en reduktion på 40 % i </w:t>
      </w:r>
      <w:proofErr w:type="spellStart"/>
      <w:r w:rsidRPr="00FA0C3A">
        <w:rPr>
          <w:sz w:val="24"/>
          <w:szCs w:val="24"/>
        </w:rPr>
        <w:t>MPA’s</w:t>
      </w:r>
      <w:proofErr w:type="spellEnd"/>
      <w:r w:rsidRPr="00FA0C3A">
        <w:rPr>
          <w:sz w:val="24"/>
          <w:szCs w:val="24"/>
        </w:rPr>
        <w:t xml:space="preserve"> AUC (se pkt. 4.4 og pkt. 5.2). Der skal udvises forsigtighed ved samtidig administration på grund af risikoen for nedsat effekt af </w:t>
      </w:r>
      <w:proofErr w:type="spellStart"/>
      <w:r w:rsidRPr="00FA0C3A">
        <w:rPr>
          <w:sz w:val="24"/>
          <w:szCs w:val="24"/>
        </w:rPr>
        <w:t>mycophenolatmofetil</w:t>
      </w:r>
      <w:proofErr w:type="spellEnd"/>
      <w:r w:rsidRPr="00FA0C3A">
        <w:rPr>
          <w:sz w:val="24"/>
          <w:szCs w:val="24"/>
        </w:rPr>
        <w:t>.</w:t>
      </w:r>
    </w:p>
    <w:p w14:paraId="398A7B0F" w14:textId="77777777" w:rsidR="00886F11" w:rsidRPr="00FA0C3A" w:rsidRDefault="00886F11" w:rsidP="00886F11">
      <w:pPr>
        <w:autoSpaceDE w:val="0"/>
        <w:autoSpaceDN w:val="0"/>
        <w:adjustRightInd w:val="0"/>
        <w:ind w:left="851" w:hanging="851"/>
        <w:rPr>
          <w:sz w:val="24"/>
          <w:szCs w:val="24"/>
        </w:rPr>
      </w:pPr>
    </w:p>
    <w:p w14:paraId="109FB9FB"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Ciclosporin</w:t>
      </w:r>
      <w:proofErr w:type="spellEnd"/>
      <w:r w:rsidRPr="00FA0C3A">
        <w:rPr>
          <w:sz w:val="24"/>
          <w:szCs w:val="24"/>
          <w:u w:val="single"/>
        </w:rPr>
        <w:t xml:space="preserve"> A</w:t>
      </w:r>
      <w:r w:rsidRPr="00FA0C3A">
        <w:rPr>
          <w:sz w:val="24"/>
          <w:szCs w:val="24"/>
        </w:rPr>
        <w:t xml:space="preserve"> </w:t>
      </w:r>
    </w:p>
    <w:p w14:paraId="5AAE8941"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rPr>
        <w:t>Ciclosporin</w:t>
      </w:r>
      <w:proofErr w:type="spellEnd"/>
      <w:r w:rsidRPr="00FA0C3A">
        <w:rPr>
          <w:sz w:val="24"/>
          <w:szCs w:val="24"/>
        </w:rPr>
        <w:t xml:space="preserve"> A’s (</w:t>
      </w:r>
      <w:proofErr w:type="spellStart"/>
      <w:r w:rsidRPr="00FA0C3A">
        <w:rPr>
          <w:sz w:val="24"/>
          <w:szCs w:val="24"/>
        </w:rPr>
        <w:t>CsA</w:t>
      </w:r>
      <w:proofErr w:type="spellEnd"/>
      <w:r w:rsidRPr="00FA0C3A">
        <w:rPr>
          <w:sz w:val="24"/>
          <w:szCs w:val="24"/>
        </w:rPr>
        <w:t xml:space="preserve">) farmakokinetik påvirkes ikke af </w:t>
      </w:r>
      <w:proofErr w:type="spellStart"/>
      <w:r w:rsidRPr="00FA0C3A">
        <w:rPr>
          <w:sz w:val="24"/>
          <w:szCs w:val="24"/>
        </w:rPr>
        <w:t>mycophenolatmofetil</w:t>
      </w:r>
      <w:proofErr w:type="spellEnd"/>
      <w:r w:rsidRPr="00FA0C3A">
        <w:rPr>
          <w:sz w:val="24"/>
          <w:szCs w:val="24"/>
        </w:rPr>
        <w:t xml:space="preserve">. Derimod må en stigning i </w:t>
      </w:r>
      <w:proofErr w:type="spellStart"/>
      <w:r w:rsidRPr="00FA0C3A">
        <w:rPr>
          <w:sz w:val="24"/>
          <w:szCs w:val="24"/>
        </w:rPr>
        <w:t>MPAs</w:t>
      </w:r>
      <w:proofErr w:type="spellEnd"/>
      <w:r w:rsidRPr="00FA0C3A">
        <w:rPr>
          <w:sz w:val="24"/>
          <w:szCs w:val="24"/>
        </w:rPr>
        <w:t xml:space="preserve"> AUC på ca. 30 % forventes, hvis samtidig </w:t>
      </w:r>
      <w:proofErr w:type="spellStart"/>
      <w:r w:rsidRPr="00FA0C3A">
        <w:rPr>
          <w:sz w:val="24"/>
          <w:szCs w:val="24"/>
        </w:rPr>
        <w:t>CsA</w:t>
      </w:r>
      <w:proofErr w:type="spellEnd"/>
      <w:r w:rsidRPr="00FA0C3A">
        <w:rPr>
          <w:sz w:val="24"/>
          <w:szCs w:val="24"/>
        </w:rPr>
        <w:t xml:space="preserve">-behandling seponeres. </w:t>
      </w:r>
      <w:proofErr w:type="spellStart"/>
      <w:r w:rsidRPr="00FA0C3A">
        <w:rPr>
          <w:sz w:val="24"/>
          <w:szCs w:val="24"/>
        </w:rPr>
        <w:t>CsA</w:t>
      </w:r>
      <w:proofErr w:type="spellEnd"/>
      <w:r w:rsidRPr="00FA0C3A">
        <w:rPr>
          <w:sz w:val="24"/>
          <w:szCs w:val="24"/>
        </w:rPr>
        <w:t xml:space="preserve"> interfererer med det </w:t>
      </w:r>
      <w:proofErr w:type="spellStart"/>
      <w:r w:rsidRPr="00FA0C3A">
        <w:rPr>
          <w:sz w:val="24"/>
          <w:szCs w:val="24"/>
        </w:rPr>
        <w:t>enterohepatiske</w:t>
      </w:r>
      <w:proofErr w:type="spellEnd"/>
      <w:r w:rsidRPr="00FA0C3A">
        <w:rPr>
          <w:sz w:val="24"/>
          <w:szCs w:val="24"/>
        </w:rPr>
        <w:t xml:space="preserve"> kredsløb af MPA, resulterende i en reduceret eksponering af MPA på 30-50 % hos nyretransplanterede patienter behandlet med </w:t>
      </w:r>
      <w:proofErr w:type="spellStart"/>
      <w:r w:rsidRPr="00FA0C3A">
        <w:rPr>
          <w:sz w:val="24"/>
          <w:szCs w:val="24"/>
        </w:rPr>
        <w:t>CellCept</w:t>
      </w:r>
      <w:proofErr w:type="spellEnd"/>
      <w:r w:rsidRPr="00FA0C3A">
        <w:rPr>
          <w:sz w:val="24"/>
          <w:szCs w:val="24"/>
        </w:rPr>
        <w:t xml:space="preserve"> og </w:t>
      </w:r>
      <w:proofErr w:type="spellStart"/>
      <w:r w:rsidRPr="00FA0C3A">
        <w:rPr>
          <w:sz w:val="24"/>
          <w:szCs w:val="24"/>
        </w:rPr>
        <w:t>CsA</w:t>
      </w:r>
      <w:proofErr w:type="spellEnd"/>
      <w:r w:rsidRPr="00FA0C3A">
        <w:rPr>
          <w:sz w:val="24"/>
          <w:szCs w:val="24"/>
        </w:rPr>
        <w:t xml:space="preserve">, sammenlignet med patienter behandlet med </w:t>
      </w:r>
      <w:proofErr w:type="spellStart"/>
      <w:r w:rsidRPr="00FA0C3A">
        <w:rPr>
          <w:sz w:val="24"/>
          <w:szCs w:val="24"/>
        </w:rPr>
        <w:t>sirolimus</w:t>
      </w:r>
      <w:proofErr w:type="spellEnd"/>
      <w:r w:rsidRPr="00FA0C3A">
        <w:rPr>
          <w:sz w:val="24"/>
          <w:szCs w:val="24"/>
        </w:rPr>
        <w:t xml:space="preserve"> eller </w:t>
      </w:r>
      <w:proofErr w:type="spellStart"/>
      <w:r w:rsidRPr="00FA0C3A">
        <w:rPr>
          <w:sz w:val="24"/>
          <w:szCs w:val="24"/>
        </w:rPr>
        <w:t>belatacept</w:t>
      </w:r>
      <w:proofErr w:type="spellEnd"/>
      <w:r w:rsidRPr="00FA0C3A">
        <w:rPr>
          <w:sz w:val="24"/>
          <w:szCs w:val="24"/>
        </w:rPr>
        <w:t xml:space="preserve"> og sammenlignelige doser </w:t>
      </w:r>
      <w:proofErr w:type="spellStart"/>
      <w:r w:rsidRPr="00FA0C3A">
        <w:rPr>
          <w:sz w:val="24"/>
          <w:szCs w:val="24"/>
        </w:rPr>
        <w:t>mycophenolatmofetil</w:t>
      </w:r>
      <w:proofErr w:type="spellEnd"/>
      <w:r w:rsidRPr="00FA0C3A">
        <w:rPr>
          <w:sz w:val="24"/>
          <w:szCs w:val="24"/>
        </w:rPr>
        <w:t xml:space="preserve"> (se også pkt. 4.4). Ligeledes bør der forventes ændringer i eksponeringen af MPA hos patienter, som skifter fra </w:t>
      </w:r>
      <w:proofErr w:type="spellStart"/>
      <w:r w:rsidRPr="00FA0C3A">
        <w:rPr>
          <w:sz w:val="24"/>
          <w:szCs w:val="24"/>
        </w:rPr>
        <w:t>CsA</w:t>
      </w:r>
      <w:proofErr w:type="spellEnd"/>
      <w:r w:rsidRPr="00FA0C3A">
        <w:rPr>
          <w:sz w:val="24"/>
          <w:szCs w:val="24"/>
        </w:rPr>
        <w:t xml:space="preserve"> til et af de </w:t>
      </w:r>
      <w:proofErr w:type="spellStart"/>
      <w:r w:rsidRPr="00FA0C3A">
        <w:rPr>
          <w:sz w:val="24"/>
          <w:szCs w:val="24"/>
        </w:rPr>
        <w:t>immunsuppressiva</w:t>
      </w:r>
      <w:proofErr w:type="spellEnd"/>
      <w:r w:rsidRPr="00FA0C3A">
        <w:rPr>
          <w:sz w:val="24"/>
          <w:szCs w:val="24"/>
        </w:rPr>
        <w:t xml:space="preserve">, som ikke interfererer med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enterohepatiske</w:t>
      </w:r>
      <w:proofErr w:type="spellEnd"/>
      <w:r w:rsidRPr="00FA0C3A">
        <w:rPr>
          <w:sz w:val="24"/>
          <w:szCs w:val="24"/>
        </w:rPr>
        <w:t xml:space="preserve"> kredsløb. </w:t>
      </w:r>
    </w:p>
    <w:p w14:paraId="74D46FDB" w14:textId="77777777" w:rsidR="00886F11" w:rsidRPr="00FA0C3A" w:rsidRDefault="00886F11" w:rsidP="00886F11">
      <w:pPr>
        <w:autoSpaceDE w:val="0"/>
        <w:autoSpaceDN w:val="0"/>
        <w:adjustRightInd w:val="0"/>
        <w:ind w:left="851"/>
        <w:rPr>
          <w:sz w:val="24"/>
          <w:szCs w:val="24"/>
        </w:rPr>
      </w:pPr>
    </w:p>
    <w:p w14:paraId="14D41E52" w14:textId="77777777" w:rsidR="00886F11" w:rsidRPr="00FA0C3A" w:rsidRDefault="00886F11" w:rsidP="00886F11">
      <w:pPr>
        <w:autoSpaceDE w:val="0"/>
        <w:autoSpaceDN w:val="0"/>
        <w:adjustRightInd w:val="0"/>
        <w:ind w:left="851"/>
        <w:rPr>
          <w:sz w:val="24"/>
          <w:szCs w:val="24"/>
        </w:rPr>
      </w:pPr>
      <w:r w:rsidRPr="00FA0C3A">
        <w:rPr>
          <w:sz w:val="24"/>
          <w:szCs w:val="24"/>
        </w:rPr>
        <w:t>Antibiotika, der eliminerer β-</w:t>
      </w:r>
      <w:proofErr w:type="spellStart"/>
      <w:r w:rsidRPr="00FA0C3A">
        <w:rPr>
          <w:sz w:val="24"/>
          <w:szCs w:val="24"/>
        </w:rPr>
        <w:t>glukuronidaseproducerende</w:t>
      </w:r>
      <w:proofErr w:type="spellEnd"/>
      <w:r w:rsidRPr="00FA0C3A">
        <w:rPr>
          <w:sz w:val="24"/>
          <w:szCs w:val="24"/>
        </w:rPr>
        <w:t xml:space="preserve"> bakterier i tarmen (f.eks. </w:t>
      </w:r>
      <w:proofErr w:type="spellStart"/>
      <w:r w:rsidRPr="00FA0C3A">
        <w:rPr>
          <w:sz w:val="24"/>
          <w:szCs w:val="24"/>
        </w:rPr>
        <w:t>aminoglycosid</w:t>
      </w:r>
      <w:proofErr w:type="spellEnd"/>
      <w:r w:rsidRPr="00FA0C3A">
        <w:rPr>
          <w:sz w:val="24"/>
          <w:szCs w:val="24"/>
        </w:rPr>
        <w:t xml:space="preserve">, </w:t>
      </w:r>
      <w:proofErr w:type="spellStart"/>
      <w:r w:rsidRPr="00FA0C3A">
        <w:rPr>
          <w:sz w:val="24"/>
          <w:szCs w:val="24"/>
        </w:rPr>
        <w:t>cephalosporin</w:t>
      </w:r>
      <w:proofErr w:type="spellEnd"/>
      <w:r w:rsidRPr="00FA0C3A">
        <w:rPr>
          <w:sz w:val="24"/>
          <w:szCs w:val="24"/>
        </w:rPr>
        <w:t xml:space="preserve">, </w:t>
      </w:r>
      <w:proofErr w:type="spellStart"/>
      <w:r w:rsidRPr="00FA0C3A">
        <w:rPr>
          <w:sz w:val="24"/>
          <w:szCs w:val="24"/>
        </w:rPr>
        <w:t>fluorquinolon</w:t>
      </w:r>
      <w:proofErr w:type="spellEnd"/>
      <w:r w:rsidRPr="00FA0C3A">
        <w:rPr>
          <w:sz w:val="24"/>
          <w:szCs w:val="24"/>
        </w:rPr>
        <w:t xml:space="preserve"> og penicillinklasser af antibiotika) kan interferere med MPAG/MPA </w:t>
      </w:r>
      <w:proofErr w:type="spellStart"/>
      <w:r w:rsidRPr="00FA0C3A">
        <w:rPr>
          <w:sz w:val="24"/>
          <w:szCs w:val="24"/>
        </w:rPr>
        <w:t>enterohepatisk</w:t>
      </w:r>
      <w:proofErr w:type="spellEnd"/>
      <w:r w:rsidRPr="00FA0C3A">
        <w:rPr>
          <w:sz w:val="24"/>
          <w:szCs w:val="24"/>
        </w:rPr>
        <w:t xml:space="preserve"> recirkulation, hvilket fører til reduceret systemisk MPA-eksponering. Oplysninger om følgende antibiotika er tilgængelige:</w:t>
      </w:r>
    </w:p>
    <w:p w14:paraId="289BE9B6" w14:textId="77777777" w:rsidR="00886F11" w:rsidRPr="00FA0C3A" w:rsidRDefault="00886F11" w:rsidP="00725D71">
      <w:pPr>
        <w:autoSpaceDE w:val="0"/>
        <w:autoSpaceDN w:val="0"/>
        <w:adjustRightInd w:val="0"/>
        <w:ind w:leftChars="370" w:left="851"/>
        <w:rPr>
          <w:sz w:val="24"/>
          <w:szCs w:val="24"/>
        </w:rPr>
      </w:pPr>
    </w:p>
    <w:p w14:paraId="0061AE42" w14:textId="77777777" w:rsidR="00886F11" w:rsidRPr="00FA0C3A" w:rsidRDefault="00886F11" w:rsidP="00886F11">
      <w:pPr>
        <w:autoSpaceDE w:val="0"/>
        <w:autoSpaceDN w:val="0"/>
        <w:adjustRightInd w:val="0"/>
        <w:ind w:left="851"/>
        <w:rPr>
          <w:sz w:val="24"/>
          <w:szCs w:val="24"/>
          <w:u w:val="single"/>
        </w:rPr>
      </w:pPr>
      <w:proofErr w:type="spellStart"/>
      <w:r w:rsidRPr="00FA0C3A">
        <w:rPr>
          <w:sz w:val="24"/>
          <w:szCs w:val="24"/>
          <w:u w:val="single"/>
        </w:rPr>
        <w:t>Ciprofloxacin</w:t>
      </w:r>
      <w:proofErr w:type="spellEnd"/>
      <w:r w:rsidRPr="00FA0C3A">
        <w:rPr>
          <w:sz w:val="24"/>
          <w:szCs w:val="24"/>
          <w:u w:val="single"/>
        </w:rPr>
        <w:t xml:space="preserve"> eller </w:t>
      </w:r>
      <w:proofErr w:type="spellStart"/>
      <w:r w:rsidRPr="00FA0C3A">
        <w:rPr>
          <w:sz w:val="24"/>
          <w:szCs w:val="24"/>
          <w:u w:val="single"/>
        </w:rPr>
        <w:t>amoxicillin</w:t>
      </w:r>
      <w:proofErr w:type="spellEnd"/>
      <w:r w:rsidRPr="00FA0C3A">
        <w:rPr>
          <w:sz w:val="24"/>
          <w:szCs w:val="24"/>
          <w:u w:val="single"/>
        </w:rPr>
        <w:t xml:space="preserve"> plus </w:t>
      </w:r>
      <w:proofErr w:type="spellStart"/>
      <w:r w:rsidRPr="00FA0C3A">
        <w:rPr>
          <w:sz w:val="24"/>
          <w:szCs w:val="24"/>
          <w:u w:val="single"/>
        </w:rPr>
        <w:t>clavulansyre</w:t>
      </w:r>
      <w:proofErr w:type="spellEnd"/>
    </w:p>
    <w:p w14:paraId="3E66C3DD" w14:textId="77777777" w:rsidR="00886F11" w:rsidRPr="00FA0C3A" w:rsidRDefault="00886F11" w:rsidP="00886F11">
      <w:pPr>
        <w:autoSpaceDE w:val="0"/>
        <w:autoSpaceDN w:val="0"/>
        <w:adjustRightInd w:val="0"/>
        <w:ind w:left="851"/>
        <w:rPr>
          <w:sz w:val="24"/>
          <w:szCs w:val="24"/>
        </w:rPr>
      </w:pPr>
      <w:r w:rsidRPr="00FA0C3A">
        <w:rPr>
          <w:sz w:val="24"/>
          <w:szCs w:val="24"/>
        </w:rPr>
        <w:t xml:space="preserve">Hos nyretransplanterede patienter er der i dagene umiddelbart efter start af behandling med oral </w:t>
      </w:r>
      <w:proofErr w:type="spellStart"/>
      <w:r w:rsidRPr="00FA0C3A">
        <w:rPr>
          <w:sz w:val="24"/>
          <w:szCs w:val="24"/>
        </w:rPr>
        <w:t>ciprofloxacin</w:t>
      </w:r>
      <w:proofErr w:type="spellEnd"/>
      <w:r w:rsidRPr="00FA0C3A">
        <w:rPr>
          <w:sz w:val="24"/>
          <w:szCs w:val="24"/>
        </w:rPr>
        <w:t xml:space="preserve"> eller </w:t>
      </w:r>
      <w:proofErr w:type="spellStart"/>
      <w:r w:rsidRPr="00FA0C3A">
        <w:rPr>
          <w:sz w:val="24"/>
          <w:szCs w:val="24"/>
        </w:rPr>
        <w:t>amoxicillin</w:t>
      </w:r>
      <w:proofErr w:type="spellEnd"/>
      <w:r w:rsidRPr="00FA0C3A">
        <w:rPr>
          <w:sz w:val="24"/>
          <w:szCs w:val="24"/>
        </w:rPr>
        <w:t xml:space="preserve"> plus </w:t>
      </w:r>
      <w:proofErr w:type="spellStart"/>
      <w:r w:rsidRPr="00FA0C3A">
        <w:rPr>
          <w:sz w:val="24"/>
          <w:szCs w:val="24"/>
        </w:rPr>
        <w:t>clavulansyre</w:t>
      </w:r>
      <w:proofErr w:type="spellEnd"/>
      <w:r w:rsidRPr="00FA0C3A">
        <w:rPr>
          <w:sz w:val="24"/>
          <w:szCs w:val="24"/>
        </w:rPr>
        <w:t xml:space="preserve"> rapporteret en reduktion i præ-dosis MPA (</w:t>
      </w:r>
      <w:proofErr w:type="spellStart"/>
      <w:r w:rsidRPr="00FA0C3A">
        <w:rPr>
          <w:sz w:val="24"/>
          <w:szCs w:val="24"/>
        </w:rPr>
        <w:t>trough</w:t>
      </w:r>
      <w:proofErr w:type="spellEnd"/>
      <w:r w:rsidRPr="00FA0C3A">
        <w:rPr>
          <w:sz w:val="24"/>
          <w:szCs w:val="24"/>
        </w:rPr>
        <w:t xml:space="preserve">) koncentrationerne på ca. 50 %. Denne effekt havde tendens til at blive mindre ved fortsat brug af antibiotika og ophøre inden for få dage efter </w:t>
      </w:r>
      <w:proofErr w:type="spellStart"/>
      <w:r w:rsidRPr="00FA0C3A">
        <w:rPr>
          <w:sz w:val="24"/>
          <w:szCs w:val="24"/>
        </w:rPr>
        <w:t>seponering</w:t>
      </w:r>
      <w:proofErr w:type="spellEnd"/>
      <w:r w:rsidRPr="00FA0C3A">
        <w:rPr>
          <w:sz w:val="24"/>
          <w:szCs w:val="24"/>
        </w:rPr>
        <w:t xml:space="preserve"> af antibiotika. Ændringen i præ-dosisniveauet viser ikke nødvendigvis et præcist billede af ændringerne i den samlede MPA-eksponering. Derfor er det normalt ikke nødvendigt at ændre dosis af </w:t>
      </w:r>
      <w:proofErr w:type="spellStart"/>
      <w:r w:rsidRPr="00FA0C3A">
        <w:rPr>
          <w:sz w:val="24"/>
          <w:szCs w:val="24"/>
        </w:rPr>
        <w:t>mycophenolatmofetil</w:t>
      </w:r>
      <w:proofErr w:type="spellEnd"/>
      <w:r w:rsidRPr="00FA0C3A">
        <w:rPr>
          <w:sz w:val="24"/>
          <w:szCs w:val="24"/>
        </w:rPr>
        <w:t>, hvis der ikke er klinisk evidens for dysfunktion af transplantatet. Derimod skal der foretages en nøje klinisk monitorering under behandlingskombinationen samt kort tid efter den antibiotiske behandling.</w:t>
      </w:r>
    </w:p>
    <w:p w14:paraId="0774BD5F" w14:textId="77777777" w:rsidR="00886F11" w:rsidRPr="00FA0C3A" w:rsidRDefault="00886F11" w:rsidP="00886F11">
      <w:pPr>
        <w:autoSpaceDE w:val="0"/>
        <w:autoSpaceDN w:val="0"/>
        <w:adjustRightInd w:val="0"/>
        <w:ind w:left="851"/>
        <w:rPr>
          <w:sz w:val="24"/>
          <w:szCs w:val="24"/>
        </w:rPr>
      </w:pPr>
    </w:p>
    <w:p w14:paraId="24919D56" w14:textId="77777777" w:rsidR="00886F11" w:rsidRPr="00FA0C3A" w:rsidRDefault="00886F11" w:rsidP="00886F11">
      <w:pPr>
        <w:autoSpaceDE w:val="0"/>
        <w:autoSpaceDN w:val="0"/>
        <w:adjustRightInd w:val="0"/>
        <w:ind w:left="851"/>
        <w:rPr>
          <w:sz w:val="24"/>
          <w:szCs w:val="24"/>
          <w:u w:val="single"/>
        </w:rPr>
      </w:pPr>
      <w:proofErr w:type="spellStart"/>
      <w:r w:rsidRPr="00FA0C3A">
        <w:rPr>
          <w:sz w:val="24"/>
          <w:szCs w:val="24"/>
          <w:u w:val="single"/>
        </w:rPr>
        <w:t>Norfloxacin</w:t>
      </w:r>
      <w:proofErr w:type="spellEnd"/>
      <w:r w:rsidRPr="00FA0C3A">
        <w:rPr>
          <w:sz w:val="24"/>
          <w:szCs w:val="24"/>
          <w:u w:val="single"/>
        </w:rPr>
        <w:t xml:space="preserve"> og </w:t>
      </w:r>
      <w:proofErr w:type="spellStart"/>
      <w:r w:rsidRPr="00FA0C3A">
        <w:rPr>
          <w:sz w:val="24"/>
          <w:szCs w:val="24"/>
          <w:u w:val="single"/>
        </w:rPr>
        <w:t>metronidazol</w:t>
      </w:r>
      <w:proofErr w:type="spellEnd"/>
    </w:p>
    <w:p w14:paraId="014DAC16" w14:textId="77777777" w:rsidR="00886F11" w:rsidRPr="00FA0C3A" w:rsidRDefault="00886F11" w:rsidP="00886F11">
      <w:pPr>
        <w:autoSpaceDE w:val="0"/>
        <w:autoSpaceDN w:val="0"/>
        <w:adjustRightInd w:val="0"/>
        <w:ind w:left="851"/>
        <w:rPr>
          <w:sz w:val="24"/>
          <w:szCs w:val="24"/>
        </w:rPr>
      </w:pPr>
      <w:r w:rsidRPr="00FA0C3A">
        <w:rPr>
          <w:sz w:val="24"/>
          <w:szCs w:val="24"/>
        </w:rPr>
        <w:t xml:space="preserve">Der blev ikke observeret nogen signifikant interaktion hos raske frivillige, når </w:t>
      </w:r>
      <w:proofErr w:type="spellStart"/>
      <w:r w:rsidRPr="00FA0C3A">
        <w:rPr>
          <w:sz w:val="24"/>
          <w:szCs w:val="24"/>
        </w:rPr>
        <w:t>mycophenolatmofetil</w:t>
      </w:r>
      <w:proofErr w:type="spellEnd"/>
      <w:r w:rsidRPr="00FA0C3A">
        <w:rPr>
          <w:sz w:val="24"/>
          <w:szCs w:val="24"/>
        </w:rPr>
        <w:t xml:space="preserve"> blev administreret samtidigt med </w:t>
      </w:r>
      <w:proofErr w:type="spellStart"/>
      <w:r w:rsidRPr="00FA0C3A">
        <w:rPr>
          <w:sz w:val="24"/>
          <w:szCs w:val="24"/>
        </w:rPr>
        <w:t>norfloxacin</w:t>
      </w:r>
      <w:proofErr w:type="spellEnd"/>
      <w:r w:rsidRPr="00FA0C3A">
        <w:rPr>
          <w:sz w:val="24"/>
          <w:szCs w:val="24"/>
        </w:rPr>
        <w:t xml:space="preserve"> eller </w:t>
      </w:r>
      <w:proofErr w:type="spellStart"/>
      <w:r w:rsidRPr="00FA0C3A">
        <w:rPr>
          <w:sz w:val="24"/>
          <w:szCs w:val="24"/>
        </w:rPr>
        <w:t>metronidazol</w:t>
      </w:r>
      <w:proofErr w:type="spellEnd"/>
      <w:r w:rsidRPr="00FA0C3A">
        <w:rPr>
          <w:sz w:val="24"/>
          <w:szCs w:val="24"/>
        </w:rPr>
        <w:t xml:space="preserve"> hver for sig. Kombinationen af </w:t>
      </w:r>
      <w:proofErr w:type="spellStart"/>
      <w:r w:rsidRPr="00FA0C3A">
        <w:rPr>
          <w:sz w:val="24"/>
          <w:szCs w:val="24"/>
        </w:rPr>
        <w:t>norfloxacin</w:t>
      </w:r>
      <w:proofErr w:type="spellEnd"/>
      <w:r w:rsidRPr="00FA0C3A">
        <w:rPr>
          <w:sz w:val="24"/>
          <w:szCs w:val="24"/>
        </w:rPr>
        <w:t xml:space="preserve"> og </w:t>
      </w:r>
      <w:proofErr w:type="spellStart"/>
      <w:r w:rsidRPr="00FA0C3A">
        <w:rPr>
          <w:sz w:val="24"/>
          <w:szCs w:val="24"/>
        </w:rPr>
        <w:t>metronidazol</w:t>
      </w:r>
      <w:proofErr w:type="spellEnd"/>
      <w:r w:rsidRPr="00FA0C3A">
        <w:rPr>
          <w:sz w:val="24"/>
          <w:szCs w:val="24"/>
        </w:rPr>
        <w:t xml:space="preserve"> reducerede imidlertid MPA-eksponeringen med ca. 30 % efter én </w:t>
      </w:r>
      <w:proofErr w:type="spellStart"/>
      <w:r w:rsidRPr="00FA0C3A">
        <w:rPr>
          <w:sz w:val="24"/>
          <w:szCs w:val="24"/>
        </w:rPr>
        <w:t>mycophenolatmofetil</w:t>
      </w:r>
      <w:proofErr w:type="spellEnd"/>
      <w:r w:rsidRPr="00FA0C3A">
        <w:rPr>
          <w:sz w:val="24"/>
          <w:szCs w:val="24"/>
        </w:rPr>
        <w:t>-dosis.</w:t>
      </w:r>
    </w:p>
    <w:p w14:paraId="1BCF722E" w14:textId="77777777" w:rsidR="00886F11" w:rsidRPr="00FA0C3A" w:rsidRDefault="00886F11" w:rsidP="00886F11">
      <w:pPr>
        <w:autoSpaceDE w:val="0"/>
        <w:autoSpaceDN w:val="0"/>
        <w:adjustRightInd w:val="0"/>
        <w:ind w:left="851"/>
        <w:rPr>
          <w:sz w:val="24"/>
          <w:szCs w:val="24"/>
        </w:rPr>
      </w:pPr>
    </w:p>
    <w:p w14:paraId="005C0C4F" w14:textId="77777777" w:rsidR="00886F11" w:rsidRPr="00FA0C3A" w:rsidRDefault="00886F11" w:rsidP="00886F11">
      <w:pPr>
        <w:autoSpaceDE w:val="0"/>
        <w:autoSpaceDN w:val="0"/>
        <w:adjustRightInd w:val="0"/>
        <w:ind w:left="851"/>
        <w:rPr>
          <w:sz w:val="24"/>
          <w:szCs w:val="24"/>
          <w:u w:val="single"/>
        </w:rPr>
      </w:pPr>
      <w:proofErr w:type="spellStart"/>
      <w:r w:rsidRPr="00FA0C3A">
        <w:rPr>
          <w:sz w:val="24"/>
          <w:szCs w:val="24"/>
          <w:u w:val="single"/>
        </w:rPr>
        <w:t>Trimethoprim</w:t>
      </w:r>
      <w:proofErr w:type="spellEnd"/>
      <w:r w:rsidRPr="00FA0C3A">
        <w:rPr>
          <w:sz w:val="24"/>
          <w:szCs w:val="24"/>
          <w:u w:val="single"/>
        </w:rPr>
        <w:t>/</w:t>
      </w:r>
      <w:proofErr w:type="spellStart"/>
      <w:r w:rsidRPr="00FA0C3A">
        <w:rPr>
          <w:sz w:val="24"/>
          <w:szCs w:val="24"/>
          <w:u w:val="single"/>
        </w:rPr>
        <w:t>sulfamethoxazol</w:t>
      </w:r>
      <w:proofErr w:type="spellEnd"/>
    </w:p>
    <w:p w14:paraId="6650D726" w14:textId="77777777" w:rsidR="00886F11" w:rsidRPr="00FA0C3A" w:rsidRDefault="00886F11" w:rsidP="00886F11">
      <w:pPr>
        <w:autoSpaceDE w:val="0"/>
        <w:autoSpaceDN w:val="0"/>
        <w:adjustRightInd w:val="0"/>
        <w:ind w:left="851"/>
        <w:rPr>
          <w:sz w:val="24"/>
          <w:szCs w:val="24"/>
        </w:rPr>
      </w:pPr>
      <w:r w:rsidRPr="00FA0C3A">
        <w:rPr>
          <w:sz w:val="24"/>
          <w:szCs w:val="24"/>
        </w:rPr>
        <w:t xml:space="preserve">Der blev ikke observeret nogen virkning på </w:t>
      </w:r>
      <w:proofErr w:type="spellStart"/>
      <w:r w:rsidRPr="00FA0C3A">
        <w:rPr>
          <w:sz w:val="24"/>
          <w:szCs w:val="24"/>
        </w:rPr>
        <w:t>MPAs</w:t>
      </w:r>
      <w:proofErr w:type="spellEnd"/>
      <w:r w:rsidRPr="00FA0C3A">
        <w:rPr>
          <w:sz w:val="24"/>
          <w:szCs w:val="24"/>
        </w:rPr>
        <w:t xml:space="preserve"> biotilgængelighed.</w:t>
      </w:r>
    </w:p>
    <w:p w14:paraId="465AC7F3" w14:textId="77777777" w:rsidR="00886F11" w:rsidRPr="00FA0C3A" w:rsidRDefault="00886F11" w:rsidP="00725D71">
      <w:pPr>
        <w:ind w:left="851"/>
        <w:rPr>
          <w:sz w:val="24"/>
          <w:szCs w:val="24"/>
        </w:rPr>
      </w:pPr>
    </w:p>
    <w:p w14:paraId="23B59E7B" w14:textId="77777777" w:rsidR="00886F11" w:rsidRPr="00FA0C3A" w:rsidRDefault="00886F11" w:rsidP="00725D71">
      <w:pPr>
        <w:ind w:left="851"/>
        <w:rPr>
          <w:sz w:val="24"/>
          <w:szCs w:val="24"/>
        </w:rPr>
      </w:pPr>
      <w:r w:rsidRPr="00FA0C3A">
        <w:rPr>
          <w:sz w:val="24"/>
          <w:szCs w:val="24"/>
        </w:rPr>
        <w:t xml:space="preserve">Lægemidler, der påvirker </w:t>
      </w:r>
      <w:proofErr w:type="spellStart"/>
      <w:r w:rsidRPr="00FA0C3A">
        <w:rPr>
          <w:sz w:val="24"/>
          <w:szCs w:val="24"/>
        </w:rPr>
        <w:t>glukuronidering</w:t>
      </w:r>
      <w:proofErr w:type="spellEnd"/>
      <w:r w:rsidRPr="00FA0C3A">
        <w:rPr>
          <w:sz w:val="24"/>
          <w:szCs w:val="24"/>
        </w:rPr>
        <w:t xml:space="preserve"> (f.eks. </w:t>
      </w:r>
      <w:proofErr w:type="spellStart"/>
      <w:r w:rsidRPr="00FA0C3A">
        <w:rPr>
          <w:sz w:val="24"/>
          <w:szCs w:val="24"/>
        </w:rPr>
        <w:t>isavuconazol</w:t>
      </w:r>
      <w:proofErr w:type="spellEnd"/>
      <w:r w:rsidRPr="00FA0C3A">
        <w:rPr>
          <w:sz w:val="24"/>
          <w:szCs w:val="24"/>
        </w:rPr>
        <w:t xml:space="preserve">, </w:t>
      </w:r>
      <w:proofErr w:type="spellStart"/>
      <w:r w:rsidRPr="00FA0C3A">
        <w:rPr>
          <w:sz w:val="24"/>
          <w:szCs w:val="24"/>
        </w:rPr>
        <w:t>telmisartan</w:t>
      </w:r>
      <w:proofErr w:type="spellEnd"/>
      <w:r w:rsidRPr="00FA0C3A">
        <w:rPr>
          <w:sz w:val="24"/>
          <w:szCs w:val="24"/>
        </w:rPr>
        <w:t>)</w:t>
      </w:r>
    </w:p>
    <w:p w14:paraId="098D8910" w14:textId="77777777" w:rsidR="00886F11" w:rsidRPr="00FA0C3A" w:rsidRDefault="00886F11" w:rsidP="00725D71">
      <w:pPr>
        <w:ind w:left="851"/>
        <w:rPr>
          <w:sz w:val="24"/>
          <w:szCs w:val="24"/>
        </w:rPr>
      </w:pPr>
      <w:r w:rsidRPr="00FA0C3A">
        <w:rPr>
          <w:sz w:val="24"/>
          <w:szCs w:val="24"/>
        </w:rPr>
        <w:t xml:space="preserve">Samtidig administration af lægemidler, der påvirker </w:t>
      </w:r>
      <w:proofErr w:type="spellStart"/>
      <w:r w:rsidRPr="00FA0C3A">
        <w:rPr>
          <w:sz w:val="24"/>
          <w:szCs w:val="24"/>
        </w:rPr>
        <w:t>glukuronidering</w:t>
      </w:r>
      <w:proofErr w:type="spellEnd"/>
      <w:r w:rsidRPr="00FA0C3A">
        <w:rPr>
          <w:sz w:val="24"/>
          <w:szCs w:val="24"/>
        </w:rPr>
        <w:t xml:space="preserve"> af MPA, kan ændre MPA eksponeringen. Forsigtighed anbefales derfor, når disse lægemidler administreres samtidigt med </w:t>
      </w:r>
      <w:proofErr w:type="spellStart"/>
      <w:r w:rsidRPr="00FA0C3A">
        <w:rPr>
          <w:sz w:val="24"/>
          <w:szCs w:val="24"/>
        </w:rPr>
        <w:t>mycophanolatmofetil</w:t>
      </w:r>
      <w:proofErr w:type="spellEnd"/>
      <w:r w:rsidRPr="00FA0C3A">
        <w:rPr>
          <w:sz w:val="24"/>
          <w:szCs w:val="24"/>
        </w:rPr>
        <w:t>.</w:t>
      </w:r>
    </w:p>
    <w:p w14:paraId="15CFDD04" w14:textId="77777777" w:rsidR="00886F11" w:rsidRPr="00FA0C3A" w:rsidRDefault="00886F11" w:rsidP="00725D71">
      <w:pPr>
        <w:ind w:left="851"/>
        <w:rPr>
          <w:i/>
          <w:iCs/>
          <w:sz w:val="24"/>
          <w:szCs w:val="24"/>
        </w:rPr>
      </w:pPr>
    </w:p>
    <w:p w14:paraId="625EB0C0" w14:textId="77777777" w:rsidR="00886F11" w:rsidRPr="00FA0C3A" w:rsidRDefault="00886F11" w:rsidP="00725D71">
      <w:pPr>
        <w:ind w:left="851"/>
        <w:rPr>
          <w:i/>
          <w:iCs/>
          <w:sz w:val="24"/>
          <w:szCs w:val="24"/>
        </w:rPr>
      </w:pPr>
      <w:proofErr w:type="spellStart"/>
      <w:r w:rsidRPr="00FA0C3A">
        <w:rPr>
          <w:i/>
          <w:iCs/>
          <w:sz w:val="24"/>
          <w:szCs w:val="24"/>
        </w:rPr>
        <w:t>Isavuconazol</w:t>
      </w:r>
      <w:proofErr w:type="spellEnd"/>
    </w:p>
    <w:p w14:paraId="65AFAED5" w14:textId="2718B28B" w:rsidR="00886F11" w:rsidRPr="00FA0C3A" w:rsidRDefault="00886F11" w:rsidP="00725D71">
      <w:pPr>
        <w:ind w:left="851"/>
        <w:rPr>
          <w:sz w:val="24"/>
          <w:szCs w:val="24"/>
        </w:rPr>
      </w:pPr>
      <w:r w:rsidRPr="00FA0C3A">
        <w:rPr>
          <w:sz w:val="24"/>
          <w:szCs w:val="24"/>
        </w:rPr>
        <w:t xml:space="preserve">Ved samtidig administration af </w:t>
      </w:r>
      <w:proofErr w:type="spellStart"/>
      <w:r w:rsidRPr="00FA0C3A">
        <w:rPr>
          <w:sz w:val="24"/>
          <w:szCs w:val="24"/>
        </w:rPr>
        <w:t>isavuconazol</w:t>
      </w:r>
      <w:proofErr w:type="spellEnd"/>
      <w:r w:rsidRPr="00FA0C3A">
        <w:rPr>
          <w:sz w:val="24"/>
          <w:szCs w:val="24"/>
        </w:rPr>
        <w:t xml:space="preserve"> blev der observeret en stigning i</w:t>
      </w:r>
      <w:r w:rsidR="008D3E9F" w:rsidRPr="00FA0C3A">
        <w:rPr>
          <w:sz w:val="24"/>
          <w:szCs w:val="24"/>
        </w:rPr>
        <w:t> </w:t>
      </w:r>
      <w:r w:rsidRPr="00FA0C3A">
        <w:rPr>
          <w:sz w:val="24"/>
          <w:szCs w:val="24"/>
        </w:rPr>
        <w:t>MPA</w:t>
      </w:r>
      <w:r w:rsidR="00725D71" w:rsidRPr="00FA0C3A">
        <w:rPr>
          <w:sz w:val="24"/>
          <w:szCs w:val="24"/>
        </w:rPr>
        <w:t> </w:t>
      </w:r>
      <w:r w:rsidRPr="00FA0C3A">
        <w:rPr>
          <w:sz w:val="24"/>
          <w:szCs w:val="24"/>
        </w:rPr>
        <w:t>AUC</w:t>
      </w:r>
      <w:r w:rsidRPr="00FA0C3A">
        <w:rPr>
          <w:sz w:val="24"/>
          <w:szCs w:val="24"/>
          <w:vertAlign w:val="subscript"/>
        </w:rPr>
        <w:t>0-∞</w:t>
      </w:r>
      <w:r w:rsidRPr="00FA0C3A">
        <w:rPr>
          <w:sz w:val="24"/>
          <w:szCs w:val="24"/>
        </w:rPr>
        <w:t xml:space="preserve"> med 35%.</w:t>
      </w:r>
    </w:p>
    <w:p w14:paraId="1FD30F9A" w14:textId="77777777" w:rsidR="00886F11" w:rsidRPr="00FA0C3A" w:rsidRDefault="00886F11" w:rsidP="00725D71">
      <w:pPr>
        <w:ind w:left="851"/>
        <w:rPr>
          <w:sz w:val="24"/>
          <w:szCs w:val="24"/>
        </w:rPr>
      </w:pPr>
    </w:p>
    <w:p w14:paraId="7F0A41D6" w14:textId="77777777" w:rsidR="00886F11" w:rsidRPr="00FA0C3A" w:rsidRDefault="00886F11" w:rsidP="00725D71">
      <w:pPr>
        <w:ind w:left="851"/>
        <w:rPr>
          <w:i/>
          <w:sz w:val="24"/>
          <w:szCs w:val="24"/>
        </w:rPr>
      </w:pPr>
      <w:proofErr w:type="spellStart"/>
      <w:r w:rsidRPr="00FA0C3A">
        <w:rPr>
          <w:i/>
          <w:sz w:val="24"/>
          <w:szCs w:val="24"/>
        </w:rPr>
        <w:t>Telmisartan</w:t>
      </w:r>
      <w:proofErr w:type="spellEnd"/>
    </w:p>
    <w:p w14:paraId="478CA61A" w14:textId="77777777" w:rsidR="00886F11" w:rsidRPr="00FA0C3A" w:rsidRDefault="00886F11" w:rsidP="00725D71">
      <w:pPr>
        <w:ind w:left="851"/>
        <w:rPr>
          <w:sz w:val="24"/>
          <w:szCs w:val="24"/>
        </w:rPr>
      </w:pPr>
      <w:r w:rsidRPr="00FA0C3A">
        <w:rPr>
          <w:sz w:val="24"/>
          <w:szCs w:val="24"/>
        </w:rPr>
        <w:t xml:space="preserve">Samtidig administration af </w:t>
      </w:r>
      <w:proofErr w:type="spellStart"/>
      <w:r w:rsidRPr="00FA0C3A">
        <w:rPr>
          <w:sz w:val="24"/>
          <w:szCs w:val="24"/>
        </w:rPr>
        <w:t>telmisartan</w:t>
      </w:r>
      <w:proofErr w:type="spellEnd"/>
      <w:r w:rsidRPr="00FA0C3A">
        <w:rPr>
          <w:sz w:val="24"/>
          <w:szCs w:val="24"/>
        </w:rPr>
        <w:t xml:space="preserve"> og </w:t>
      </w:r>
      <w:proofErr w:type="spellStart"/>
      <w:r w:rsidRPr="00FA0C3A">
        <w:rPr>
          <w:sz w:val="24"/>
          <w:szCs w:val="24"/>
        </w:rPr>
        <w:t>mycophenolatmofetil</w:t>
      </w:r>
      <w:proofErr w:type="spellEnd"/>
      <w:r w:rsidRPr="00FA0C3A">
        <w:rPr>
          <w:sz w:val="24"/>
          <w:szCs w:val="24"/>
        </w:rPr>
        <w:t xml:space="preserve"> resulterede i et fald i MPA-koncentrationerne på ca. 30 %. </w:t>
      </w:r>
      <w:proofErr w:type="spellStart"/>
      <w:r w:rsidRPr="00FA0C3A">
        <w:rPr>
          <w:sz w:val="24"/>
          <w:szCs w:val="24"/>
        </w:rPr>
        <w:t>Telmisartan</w:t>
      </w:r>
      <w:proofErr w:type="spellEnd"/>
      <w:r w:rsidRPr="00FA0C3A">
        <w:rPr>
          <w:sz w:val="24"/>
          <w:szCs w:val="24"/>
        </w:rPr>
        <w:t xml:space="preserve"> ændrer eliminationen af MPA ved at øge ekspressionen af PPAR-gamma (</w:t>
      </w:r>
      <w:proofErr w:type="spellStart"/>
      <w:r w:rsidRPr="00FA0C3A">
        <w:rPr>
          <w:sz w:val="24"/>
          <w:szCs w:val="24"/>
        </w:rPr>
        <w:t>peroxisom</w:t>
      </w:r>
      <w:proofErr w:type="spellEnd"/>
      <w:r w:rsidRPr="00FA0C3A">
        <w:rPr>
          <w:sz w:val="24"/>
          <w:szCs w:val="24"/>
        </w:rPr>
        <w:t>-</w:t>
      </w:r>
      <w:proofErr w:type="spellStart"/>
      <w:r w:rsidRPr="00FA0C3A">
        <w:rPr>
          <w:sz w:val="24"/>
          <w:szCs w:val="24"/>
        </w:rPr>
        <w:t>proliferator</w:t>
      </w:r>
      <w:proofErr w:type="spellEnd"/>
      <w:r w:rsidRPr="00FA0C3A">
        <w:rPr>
          <w:sz w:val="24"/>
          <w:szCs w:val="24"/>
        </w:rPr>
        <w:t xml:space="preserve">-aktiveret receptorgamma), hvilket resulterer i en øget </w:t>
      </w:r>
      <w:proofErr w:type="spellStart"/>
      <w:r w:rsidRPr="00FA0C3A">
        <w:rPr>
          <w:sz w:val="24"/>
          <w:szCs w:val="24"/>
        </w:rPr>
        <w:t>uridin-diphosphatglucuronosyltransferase</w:t>
      </w:r>
      <w:proofErr w:type="spellEnd"/>
      <w:r w:rsidRPr="00FA0C3A">
        <w:rPr>
          <w:sz w:val="24"/>
          <w:szCs w:val="24"/>
        </w:rPr>
        <w:t xml:space="preserve"> </w:t>
      </w:r>
      <w:proofErr w:type="spellStart"/>
      <w:r w:rsidRPr="00FA0C3A">
        <w:rPr>
          <w:sz w:val="24"/>
          <w:szCs w:val="24"/>
        </w:rPr>
        <w:t>isoform</w:t>
      </w:r>
      <w:proofErr w:type="spellEnd"/>
      <w:r w:rsidRPr="00FA0C3A">
        <w:rPr>
          <w:sz w:val="24"/>
          <w:szCs w:val="24"/>
        </w:rPr>
        <w:t xml:space="preserve"> 1A9 (UGT1A</w:t>
      </w:r>
      <w:proofErr w:type="gramStart"/>
      <w:r w:rsidRPr="00FA0C3A">
        <w:rPr>
          <w:sz w:val="24"/>
          <w:szCs w:val="24"/>
        </w:rPr>
        <w:t>9)-</w:t>
      </w:r>
      <w:proofErr w:type="gramEnd"/>
      <w:r w:rsidRPr="00FA0C3A">
        <w:rPr>
          <w:sz w:val="24"/>
          <w:szCs w:val="24"/>
        </w:rPr>
        <w:t xml:space="preserve">ekspression og -aktivitet. Der blev ikke set kliniske konsekvenser af de </w:t>
      </w:r>
      <w:proofErr w:type="spellStart"/>
      <w:r w:rsidRPr="00FA0C3A">
        <w:rPr>
          <w:sz w:val="24"/>
          <w:szCs w:val="24"/>
        </w:rPr>
        <w:t>farmakokinetiske</w:t>
      </w:r>
      <w:proofErr w:type="spellEnd"/>
      <w:r w:rsidRPr="00FA0C3A">
        <w:rPr>
          <w:sz w:val="24"/>
          <w:szCs w:val="24"/>
        </w:rPr>
        <w:t xml:space="preserve"> lægemiddelinteraktioner ved sammenligning af hyppigheden af afstødning af transplantat eller tab af transplantat eller bivirkningsprofilen mellem </w:t>
      </w:r>
      <w:proofErr w:type="spellStart"/>
      <w:r w:rsidRPr="00FA0C3A">
        <w:rPr>
          <w:sz w:val="24"/>
          <w:szCs w:val="24"/>
        </w:rPr>
        <w:t>mycophenolatmofetil</w:t>
      </w:r>
      <w:proofErr w:type="spellEnd"/>
      <w:r w:rsidRPr="00FA0C3A">
        <w:rPr>
          <w:sz w:val="24"/>
          <w:szCs w:val="24"/>
        </w:rPr>
        <w:t xml:space="preserve">-patienter med og uden samtidig </w:t>
      </w:r>
      <w:proofErr w:type="spellStart"/>
      <w:r w:rsidRPr="00FA0C3A">
        <w:rPr>
          <w:sz w:val="24"/>
          <w:szCs w:val="24"/>
        </w:rPr>
        <w:t>telmisartan</w:t>
      </w:r>
      <w:proofErr w:type="spellEnd"/>
      <w:r w:rsidRPr="00FA0C3A">
        <w:rPr>
          <w:sz w:val="24"/>
          <w:szCs w:val="24"/>
        </w:rPr>
        <w:t>-medicinering.</w:t>
      </w:r>
    </w:p>
    <w:p w14:paraId="79CD1AEB" w14:textId="77777777" w:rsidR="00886F11" w:rsidRPr="00FA0C3A" w:rsidRDefault="00886F11" w:rsidP="00886F11">
      <w:pPr>
        <w:autoSpaceDE w:val="0"/>
        <w:autoSpaceDN w:val="0"/>
        <w:adjustRightInd w:val="0"/>
        <w:ind w:left="851"/>
        <w:rPr>
          <w:sz w:val="24"/>
          <w:szCs w:val="24"/>
          <w:u w:val="single"/>
        </w:rPr>
      </w:pPr>
    </w:p>
    <w:p w14:paraId="4C8EA3A7"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Ganciclovir</w:t>
      </w:r>
      <w:proofErr w:type="spellEnd"/>
      <w:r w:rsidRPr="00FA0C3A">
        <w:rPr>
          <w:sz w:val="24"/>
          <w:szCs w:val="24"/>
        </w:rPr>
        <w:t xml:space="preserve"> </w:t>
      </w:r>
    </w:p>
    <w:p w14:paraId="1729284B" w14:textId="77777777" w:rsidR="00886F11" w:rsidRPr="00FA0C3A" w:rsidRDefault="00886F11" w:rsidP="00886F11">
      <w:pPr>
        <w:autoSpaceDE w:val="0"/>
        <w:autoSpaceDN w:val="0"/>
        <w:adjustRightInd w:val="0"/>
        <w:ind w:left="851"/>
        <w:rPr>
          <w:sz w:val="24"/>
          <w:szCs w:val="24"/>
        </w:rPr>
      </w:pPr>
      <w:r w:rsidRPr="00FA0C3A">
        <w:rPr>
          <w:sz w:val="24"/>
          <w:szCs w:val="24"/>
        </w:rPr>
        <w:t xml:space="preserve">Baseret på resultaterne fra et studie med enkeltdosisindgift af anbefalede doser af oral </w:t>
      </w:r>
      <w:proofErr w:type="spellStart"/>
      <w:r w:rsidRPr="00FA0C3A">
        <w:rPr>
          <w:sz w:val="24"/>
          <w:szCs w:val="24"/>
        </w:rPr>
        <w:t>mycophenolatmofetil</w:t>
      </w:r>
      <w:proofErr w:type="spellEnd"/>
      <w:r w:rsidRPr="00FA0C3A">
        <w:rPr>
          <w:sz w:val="24"/>
          <w:szCs w:val="24"/>
        </w:rPr>
        <w:t xml:space="preserve"> og </w:t>
      </w:r>
      <w:proofErr w:type="spellStart"/>
      <w:r w:rsidRPr="00FA0C3A">
        <w:rPr>
          <w:sz w:val="24"/>
          <w:szCs w:val="24"/>
        </w:rPr>
        <w:t>i.v</w:t>
      </w:r>
      <w:proofErr w:type="spellEnd"/>
      <w:r w:rsidRPr="00FA0C3A">
        <w:rPr>
          <w:sz w:val="24"/>
          <w:szCs w:val="24"/>
        </w:rPr>
        <w:t xml:space="preserve">. </w:t>
      </w:r>
      <w:proofErr w:type="spellStart"/>
      <w:r w:rsidRPr="00FA0C3A">
        <w:rPr>
          <w:sz w:val="24"/>
          <w:szCs w:val="24"/>
        </w:rPr>
        <w:t>ganciclovir</w:t>
      </w:r>
      <w:proofErr w:type="spellEnd"/>
      <w:r w:rsidRPr="00FA0C3A">
        <w:rPr>
          <w:sz w:val="24"/>
          <w:szCs w:val="24"/>
        </w:rPr>
        <w:t xml:space="preserve"> og de kendte virkninger af nedsat nyrefunktion på </w:t>
      </w:r>
      <w:proofErr w:type="spellStart"/>
      <w:r w:rsidRPr="00FA0C3A">
        <w:rPr>
          <w:sz w:val="24"/>
          <w:szCs w:val="24"/>
        </w:rPr>
        <w:t>mycophenolatmofetils</w:t>
      </w:r>
      <w:proofErr w:type="spellEnd"/>
      <w:r w:rsidRPr="00FA0C3A">
        <w:rPr>
          <w:sz w:val="24"/>
          <w:szCs w:val="24"/>
        </w:rPr>
        <w:t xml:space="preserve"> og </w:t>
      </w:r>
      <w:proofErr w:type="spellStart"/>
      <w:r w:rsidRPr="00FA0C3A">
        <w:rPr>
          <w:sz w:val="24"/>
          <w:szCs w:val="24"/>
        </w:rPr>
        <w:t>ganciclovirs</w:t>
      </w:r>
      <w:proofErr w:type="spellEnd"/>
      <w:r w:rsidRPr="00FA0C3A">
        <w:rPr>
          <w:sz w:val="24"/>
          <w:szCs w:val="24"/>
        </w:rPr>
        <w:t xml:space="preserve"> farmakokinetik (se pkt. 4.2), forudses det at samtidig administration af disse lægemidler (som konkurrerer om den </w:t>
      </w:r>
      <w:proofErr w:type="spellStart"/>
      <w:r w:rsidRPr="00FA0C3A">
        <w:rPr>
          <w:sz w:val="24"/>
          <w:szCs w:val="24"/>
        </w:rPr>
        <w:t>renale</w:t>
      </w:r>
      <w:proofErr w:type="spellEnd"/>
      <w:r w:rsidRPr="00FA0C3A">
        <w:rPr>
          <w:sz w:val="24"/>
          <w:szCs w:val="24"/>
        </w:rPr>
        <w:t xml:space="preserve"> </w:t>
      </w:r>
      <w:proofErr w:type="spellStart"/>
      <w:r w:rsidRPr="00FA0C3A">
        <w:rPr>
          <w:sz w:val="24"/>
          <w:szCs w:val="24"/>
        </w:rPr>
        <w:t>tubulære</w:t>
      </w:r>
      <w:proofErr w:type="spellEnd"/>
      <w:r w:rsidRPr="00FA0C3A">
        <w:rPr>
          <w:sz w:val="24"/>
          <w:szCs w:val="24"/>
        </w:rPr>
        <w:t xml:space="preserve"> </w:t>
      </w:r>
      <w:proofErr w:type="spellStart"/>
      <w:r w:rsidRPr="00FA0C3A">
        <w:rPr>
          <w:sz w:val="24"/>
          <w:szCs w:val="24"/>
        </w:rPr>
        <w:t>ekskretionsmekanisme</w:t>
      </w:r>
      <w:proofErr w:type="spellEnd"/>
      <w:r w:rsidRPr="00FA0C3A">
        <w:rPr>
          <w:sz w:val="24"/>
          <w:szCs w:val="24"/>
        </w:rPr>
        <w:t xml:space="preserve">) vil medføre forhøjelser af MPAG- og </w:t>
      </w:r>
      <w:proofErr w:type="spellStart"/>
      <w:r w:rsidRPr="00FA0C3A">
        <w:rPr>
          <w:sz w:val="24"/>
          <w:szCs w:val="24"/>
        </w:rPr>
        <w:t>ganciclovir</w:t>
      </w:r>
      <w:proofErr w:type="spellEnd"/>
      <w:r w:rsidRPr="00FA0C3A">
        <w:rPr>
          <w:sz w:val="24"/>
          <w:szCs w:val="24"/>
        </w:rPr>
        <w:t xml:space="preserve">-koncentrationerne. Der forudses ingen væsentlig ændring af </w:t>
      </w:r>
      <w:proofErr w:type="spellStart"/>
      <w:r w:rsidRPr="00FA0C3A">
        <w:rPr>
          <w:sz w:val="24"/>
          <w:szCs w:val="24"/>
        </w:rPr>
        <w:t>MPAs</w:t>
      </w:r>
      <w:proofErr w:type="spellEnd"/>
      <w:r w:rsidRPr="00FA0C3A">
        <w:rPr>
          <w:sz w:val="24"/>
          <w:szCs w:val="24"/>
        </w:rPr>
        <w:t xml:space="preserve"> farmakokinetik og dosisjustering af </w:t>
      </w:r>
      <w:proofErr w:type="spellStart"/>
      <w:r w:rsidRPr="00FA0C3A">
        <w:rPr>
          <w:sz w:val="24"/>
          <w:szCs w:val="24"/>
        </w:rPr>
        <w:t>mycophenolatmofetil</w:t>
      </w:r>
      <w:proofErr w:type="spellEnd"/>
      <w:r w:rsidRPr="00FA0C3A">
        <w:rPr>
          <w:sz w:val="24"/>
          <w:szCs w:val="24"/>
        </w:rPr>
        <w:t xml:space="preserve"> er ikke nødvendig. Hos patienter med nedsat nyrefunktion, som får </w:t>
      </w:r>
      <w:proofErr w:type="spellStart"/>
      <w:r w:rsidRPr="00FA0C3A">
        <w:rPr>
          <w:sz w:val="24"/>
          <w:szCs w:val="24"/>
        </w:rPr>
        <w:t>mycophenolatmofetil</w:t>
      </w:r>
      <w:proofErr w:type="spellEnd"/>
      <w:r w:rsidRPr="00FA0C3A">
        <w:rPr>
          <w:sz w:val="24"/>
          <w:szCs w:val="24"/>
        </w:rPr>
        <w:t xml:space="preserve"> og </w:t>
      </w:r>
      <w:proofErr w:type="spellStart"/>
      <w:r w:rsidRPr="00FA0C3A">
        <w:rPr>
          <w:sz w:val="24"/>
          <w:szCs w:val="24"/>
        </w:rPr>
        <w:t>ganciclovir</w:t>
      </w:r>
      <w:proofErr w:type="spellEnd"/>
      <w:r w:rsidRPr="00FA0C3A">
        <w:rPr>
          <w:sz w:val="24"/>
          <w:szCs w:val="24"/>
        </w:rPr>
        <w:t xml:space="preserve">, eller dets prodrugs, f.eks. </w:t>
      </w:r>
      <w:proofErr w:type="spellStart"/>
      <w:r w:rsidRPr="00FA0C3A">
        <w:rPr>
          <w:sz w:val="24"/>
          <w:szCs w:val="24"/>
        </w:rPr>
        <w:t>valganciclovir</w:t>
      </w:r>
      <w:proofErr w:type="spellEnd"/>
      <w:r w:rsidRPr="00FA0C3A">
        <w:rPr>
          <w:sz w:val="24"/>
          <w:szCs w:val="24"/>
        </w:rPr>
        <w:t xml:space="preserve">, samtidig bør dosisanbefalingerne for </w:t>
      </w:r>
      <w:proofErr w:type="spellStart"/>
      <w:r w:rsidRPr="00FA0C3A">
        <w:rPr>
          <w:sz w:val="24"/>
          <w:szCs w:val="24"/>
        </w:rPr>
        <w:t>ganciclovir</w:t>
      </w:r>
      <w:proofErr w:type="spellEnd"/>
      <w:r w:rsidRPr="00FA0C3A">
        <w:rPr>
          <w:sz w:val="24"/>
          <w:szCs w:val="24"/>
        </w:rPr>
        <w:t xml:space="preserve"> følges og patienterne bør monitoreres omhyggeligt.</w:t>
      </w:r>
    </w:p>
    <w:p w14:paraId="5EDD94B8" w14:textId="77777777" w:rsidR="00725D71" w:rsidRPr="00FA0C3A" w:rsidRDefault="00725D71" w:rsidP="00886F11">
      <w:pPr>
        <w:autoSpaceDE w:val="0"/>
        <w:autoSpaceDN w:val="0"/>
        <w:adjustRightInd w:val="0"/>
        <w:ind w:left="851"/>
        <w:rPr>
          <w:sz w:val="24"/>
          <w:szCs w:val="24"/>
          <w:u w:val="single"/>
        </w:rPr>
      </w:pPr>
    </w:p>
    <w:p w14:paraId="20FB8AEE" w14:textId="6257D6F0" w:rsidR="00886F11" w:rsidRPr="00FA0C3A" w:rsidRDefault="00886F11" w:rsidP="00886F11">
      <w:pPr>
        <w:autoSpaceDE w:val="0"/>
        <w:autoSpaceDN w:val="0"/>
        <w:adjustRightInd w:val="0"/>
        <w:ind w:left="851"/>
        <w:rPr>
          <w:sz w:val="24"/>
          <w:szCs w:val="24"/>
        </w:rPr>
      </w:pPr>
      <w:r w:rsidRPr="00FA0C3A">
        <w:rPr>
          <w:sz w:val="24"/>
          <w:szCs w:val="24"/>
          <w:u w:val="single"/>
        </w:rPr>
        <w:t xml:space="preserve">Orale </w:t>
      </w:r>
      <w:proofErr w:type="spellStart"/>
      <w:r w:rsidRPr="00FA0C3A">
        <w:rPr>
          <w:sz w:val="24"/>
          <w:szCs w:val="24"/>
          <w:u w:val="single"/>
        </w:rPr>
        <w:t>kontraceptiva</w:t>
      </w:r>
      <w:proofErr w:type="spellEnd"/>
      <w:r w:rsidRPr="00FA0C3A">
        <w:rPr>
          <w:sz w:val="24"/>
          <w:szCs w:val="24"/>
        </w:rPr>
        <w:t xml:space="preserve"> </w:t>
      </w:r>
    </w:p>
    <w:p w14:paraId="6D0DA373"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rPr>
        <w:t>Farmakodynamikken</w:t>
      </w:r>
      <w:proofErr w:type="spellEnd"/>
      <w:r w:rsidRPr="00FA0C3A">
        <w:rPr>
          <w:sz w:val="24"/>
          <w:szCs w:val="24"/>
        </w:rPr>
        <w:t xml:space="preserve"> og farmakokinetikken af orale </w:t>
      </w:r>
      <w:proofErr w:type="spellStart"/>
      <w:r w:rsidRPr="00FA0C3A">
        <w:rPr>
          <w:sz w:val="24"/>
          <w:szCs w:val="24"/>
        </w:rPr>
        <w:t>kontraceptiva</w:t>
      </w:r>
      <w:proofErr w:type="spellEnd"/>
      <w:r w:rsidRPr="00FA0C3A">
        <w:rPr>
          <w:sz w:val="24"/>
          <w:szCs w:val="24"/>
        </w:rPr>
        <w:t xml:space="preserve"> blev ikke påvirket i klinisk relevant grad ved samtidig administration af </w:t>
      </w:r>
      <w:proofErr w:type="spellStart"/>
      <w:r w:rsidRPr="00FA0C3A">
        <w:rPr>
          <w:sz w:val="24"/>
          <w:szCs w:val="24"/>
        </w:rPr>
        <w:t>mycophenolatmofetil</w:t>
      </w:r>
      <w:proofErr w:type="spellEnd"/>
      <w:r w:rsidRPr="00FA0C3A">
        <w:rPr>
          <w:sz w:val="24"/>
          <w:szCs w:val="24"/>
        </w:rPr>
        <w:t xml:space="preserve"> (se også pkt. 5.2).</w:t>
      </w:r>
    </w:p>
    <w:p w14:paraId="3F446E8F" w14:textId="77777777" w:rsidR="00886F11" w:rsidRPr="00FA0C3A" w:rsidRDefault="00886F11" w:rsidP="00886F11">
      <w:pPr>
        <w:autoSpaceDE w:val="0"/>
        <w:autoSpaceDN w:val="0"/>
        <w:adjustRightInd w:val="0"/>
        <w:ind w:left="851" w:hanging="851"/>
        <w:rPr>
          <w:sz w:val="24"/>
          <w:szCs w:val="24"/>
        </w:rPr>
      </w:pPr>
    </w:p>
    <w:p w14:paraId="3F52407C"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Rifampicin</w:t>
      </w:r>
      <w:proofErr w:type="spellEnd"/>
      <w:r w:rsidRPr="00FA0C3A">
        <w:rPr>
          <w:sz w:val="24"/>
          <w:szCs w:val="24"/>
        </w:rPr>
        <w:t xml:space="preserve"> </w:t>
      </w:r>
    </w:p>
    <w:p w14:paraId="5180BB66" w14:textId="77777777" w:rsidR="00886F11" w:rsidRPr="00FA0C3A" w:rsidRDefault="00886F11" w:rsidP="00886F11">
      <w:pPr>
        <w:autoSpaceDE w:val="0"/>
        <w:autoSpaceDN w:val="0"/>
        <w:adjustRightInd w:val="0"/>
        <w:ind w:left="851"/>
        <w:rPr>
          <w:sz w:val="24"/>
          <w:szCs w:val="24"/>
        </w:rPr>
      </w:pPr>
      <w:r w:rsidRPr="00FA0C3A">
        <w:rPr>
          <w:sz w:val="24"/>
          <w:szCs w:val="24"/>
        </w:rPr>
        <w:t xml:space="preserve">Hos patienter, som ikke fik </w:t>
      </w:r>
      <w:proofErr w:type="spellStart"/>
      <w:r w:rsidRPr="00FA0C3A">
        <w:rPr>
          <w:sz w:val="24"/>
          <w:szCs w:val="24"/>
        </w:rPr>
        <w:t>ciclosporin</w:t>
      </w:r>
      <w:proofErr w:type="spellEnd"/>
      <w:r w:rsidRPr="00FA0C3A">
        <w:rPr>
          <w:sz w:val="24"/>
          <w:szCs w:val="24"/>
        </w:rPr>
        <w:t xml:space="preserve">, sås ved samtidig administration af </w:t>
      </w:r>
      <w:proofErr w:type="spellStart"/>
      <w:r w:rsidRPr="00FA0C3A">
        <w:rPr>
          <w:sz w:val="24"/>
          <w:szCs w:val="24"/>
        </w:rPr>
        <w:t>mycophenolatmofetil</w:t>
      </w:r>
      <w:proofErr w:type="spellEnd"/>
      <w:r w:rsidRPr="00FA0C3A">
        <w:rPr>
          <w:sz w:val="24"/>
          <w:szCs w:val="24"/>
        </w:rPr>
        <w:t xml:space="preserve"> og </w:t>
      </w:r>
      <w:proofErr w:type="spellStart"/>
      <w:r w:rsidRPr="00FA0C3A">
        <w:rPr>
          <w:sz w:val="24"/>
          <w:szCs w:val="24"/>
        </w:rPr>
        <w:t>rifampicin</w:t>
      </w:r>
      <w:proofErr w:type="spellEnd"/>
      <w:r w:rsidRPr="00FA0C3A">
        <w:rPr>
          <w:sz w:val="24"/>
          <w:szCs w:val="24"/>
        </w:rPr>
        <w:t xml:space="preserve"> et fald på 18-70 % i MPA-eksponeringen (AUC0-12 timer). For at opretholde den kliniske effekt bør MPA-eksponeringen overvåges, og </w:t>
      </w:r>
      <w:proofErr w:type="spellStart"/>
      <w:r w:rsidRPr="00FA0C3A">
        <w:rPr>
          <w:sz w:val="24"/>
          <w:szCs w:val="24"/>
        </w:rPr>
        <w:t>mycophenolatmofetil</w:t>
      </w:r>
      <w:proofErr w:type="spellEnd"/>
      <w:r w:rsidRPr="00FA0C3A">
        <w:rPr>
          <w:sz w:val="24"/>
          <w:szCs w:val="24"/>
        </w:rPr>
        <w:t xml:space="preserve">-doserne justeres i forhold til dette, når </w:t>
      </w:r>
      <w:proofErr w:type="spellStart"/>
      <w:r w:rsidRPr="00FA0C3A">
        <w:rPr>
          <w:sz w:val="24"/>
          <w:szCs w:val="24"/>
        </w:rPr>
        <w:t>rifampicin</w:t>
      </w:r>
      <w:proofErr w:type="spellEnd"/>
      <w:r w:rsidRPr="00FA0C3A">
        <w:rPr>
          <w:sz w:val="24"/>
          <w:szCs w:val="24"/>
        </w:rPr>
        <w:t xml:space="preserve"> administreres samtidigt.</w:t>
      </w:r>
    </w:p>
    <w:p w14:paraId="52A2168A" w14:textId="77777777" w:rsidR="00886F11" w:rsidRPr="00FA0C3A" w:rsidRDefault="00886F11" w:rsidP="00886F11">
      <w:pPr>
        <w:autoSpaceDE w:val="0"/>
        <w:autoSpaceDN w:val="0"/>
        <w:adjustRightInd w:val="0"/>
        <w:ind w:left="851"/>
        <w:rPr>
          <w:sz w:val="24"/>
          <w:szCs w:val="24"/>
        </w:rPr>
      </w:pPr>
    </w:p>
    <w:p w14:paraId="2F4787D9"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u w:val="single"/>
        </w:rPr>
        <w:t>Sevelamer</w:t>
      </w:r>
      <w:proofErr w:type="spellEnd"/>
      <w:r w:rsidRPr="00FA0C3A">
        <w:rPr>
          <w:sz w:val="24"/>
          <w:szCs w:val="24"/>
        </w:rPr>
        <w:t xml:space="preserve"> </w:t>
      </w:r>
    </w:p>
    <w:p w14:paraId="66334FE5" w14:textId="77777777" w:rsidR="00886F11" w:rsidRPr="00FA0C3A" w:rsidRDefault="00886F11" w:rsidP="00886F11">
      <w:pPr>
        <w:autoSpaceDE w:val="0"/>
        <w:autoSpaceDN w:val="0"/>
        <w:adjustRightInd w:val="0"/>
        <w:ind w:left="851"/>
        <w:rPr>
          <w:sz w:val="24"/>
          <w:szCs w:val="24"/>
        </w:rPr>
      </w:pPr>
      <w:r w:rsidRPr="00FA0C3A">
        <w:rPr>
          <w:sz w:val="24"/>
          <w:szCs w:val="24"/>
        </w:rPr>
        <w:t xml:space="preserve">Når </w:t>
      </w:r>
      <w:proofErr w:type="spellStart"/>
      <w:r w:rsidRPr="00FA0C3A">
        <w:rPr>
          <w:sz w:val="24"/>
          <w:szCs w:val="24"/>
        </w:rPr>
        <w:t>mycophenolatmofetil</w:t>
      </w:r>
      <w:proofErr w:type="spellEnd"/>
      <w:r w:rsidRPr="00FA0C3A">
        <w:rPr>
          <w:sz w:val="24"/>
          <w:szCs w:val="24"/>
        </w:rPr>
        <w:t xml:space="preserve"> blev administreret samtidig med </w:t>
      </w:r>
      <w:proofErr w:type="spellStart"/>
      <w:r w:rsidRPr="00FA0C3A">
        <w:rPr>
          <w:sz w:val="24"/>
          <w:szCs w:val="24"/>
        </w:rPr>
        <w:t>sevelamer</w:t>
      </w:r>
      <w:proofErr w:type="spellEnd"/>
      <w:r w:rsidRPr="00FA0C3A">
        <w:rPr>
          <w:sz w:val="24"/>
          <w:szCs w:val="24"/>
        </w:rPr>
        <w:t xml:space="preserve">, faldt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C</w:t>
      </w:r>
      <w:r w:rsidRPr="00FA0C3A">
        <w:rPr>
          <w:sz w:val="24"/>
          <w:szCs w:val="24"/>
          <w:vertAlign w:val="subscript"/>
        </w:rPr>
        <w:t>max</w:t>
      </w:r>
      <w:proofErr w:type="spellEnd"/>
      <w:r w:rsidRPr="00FA0C3A">
        <w:rPr>
          <w:sz w:val="24"/>
          <w:szCs w:val="24"/>
        </w:rPr>
        <w:t xml:space="preserve"> og AUC</w:t>
      </w:r>
      <w:r w:rsidRPr="00FA0C3A">
        <w:rPr>
          <w:sz w:val="24"/>
          <w:szCs w:val="24"/>
          <w:vertAlign w:val="subscript"/>
        </w:rPr>
        <w:t xml:space="preserve">0-12 timer </w:t>
      </w:r>
      <w:r w:rsidRPr="00FA0C3A">
        <w:rPr>
          <w:sz w:val="24"/>
          <w:szCs w:val="24"/>
        </w:rPr>
        <w:t xml:space="preserve">med henholdsvis 30 % og 25 %, dog uden at dette havde kliniske konsekvenser (f.eks. i form af transplantatafstødning). </w:t>
      </w:r>
      <w:proofErr w:type="spellStart"/>
      <w:r w:rsidRPr="00FA0C3A">
        <w:rPr>
          <w:sz w:val="24"/>
          <w:szCs w:val="24"/>
        </w:rPr>
        <w:t>Mycophenolatmpofetil</w:t>
      </w:r>
      <w:proofErr w:type="spellEnd"/>
      <w:r w:rsidRPr="00FA0C3A">
        <w:rPr>
          <w:sz w:val="24"/>
          <w:szCs w:val="24"/>
        </w:rPr>
        <w:t xml:space="preserve"> bør imidlertid administreres mindst én time før eller tre timer efter indtagelsen af </w:t>
      </w:r>
      <w:proofErr w:type="spellStart"/>
      <w:r w:rsidRPr="00FA0C3A">
        <w:rPr>
          <w:sz w:val="24"/>
          <w:szCs w:val="24"/>
        </w:rPr>
        <w:t>sevelamer</w:t>
      </w:r>
      <w:proofErr w:type="spellEnd"/>
      <w:r w:rsidRPr="00FA0C3A">
        <w:rPr>
          <w:sz w:val="24"/>
          <w:szCs w:val="24"/>
        </w:rPr>
        <w:t xml:space="preserve"> for at minimere dets indvirkning på MPA-absorptionen. Der er ingen data for administrationen af </w:t>
      </w:r>
      <w:proofErr w:type="spellStart"/>
      <w:r w:rsidRPr="00FA0C3A">
        <w:rPr>
          <w:sz w:val="24"/>
          <w:szCs w:val="24"/>
        </w:rPr>
        <w:t>mycophenolatmofetil</w:t>
      </w:r>
      <w:proofErr w:type="spellEnd"/>
      <w:r w:rsidRPr="00FA0C3A">
        <w:rPr>
          <w:sz w:val="24"/>
          <w:szCs w:val="24"/>
        </w:rPr>
        <w:t xml:space="preserve"> med andre </w:t>
      </w:r>
      <w:proofErr w:type="spellStart"/>
      <w:r w:rsidRPr="00FA0C3A">
        <w:rPr>
          <w:sz w:val="24"/>
          <w:szCs w:val="24"/>
        </w:rPr>
        <w:t>phosphatbindere</w:t>
      </w:r>
      <w:proofErr w:type="spellEnd"/>
      <w:r w:rsidRPr="00FA0C3A">
        <w:rPr>
          <w:sz w:val="24"/>
          <w:szCs w:val="24"/>
        </w:rPr>
        <w:t xml:space="preserve"> end </w:t>
      </w:r>
      <w:proofErr w:type="spellStart"/>
      <w:r w:rsidRPr="00FA0C3A">
        <w:rPr>
          <w:sz w:val="24"/>
          <w:szCs w:val="24"/>
        </w:rPr>
        <w:t>sevelamer</w:t>
      </w:r>
      <w:proofErr w:type="spellEnd"/>
      <w:r w:rsidRPr="00FA0C3A">
        <w:rPr>
          <w:sz w:val="24"/>
          <w:szCs w:val="24"/>
        </w:rPr>
        <w:t>.</w:t>
      </w:r>
    </w:p>
    <w:p w14:paraId="598CE9A5" w14:textId="77777777" w:rsidR="00886F11" w:rsidRPr="00FA0C3A" w:rsidRDefault="00886F11" w:rsidP="00886F11">
      <w:pPr>
        <w:autoSpaceDE w:val="0"/>
        <w:autoSpaceDN w:val="0"/>
        <w:adjustRightInd w:val="0"/>
        <w:ind w:left="851"/>
        <w:rPr>
          <w:sz w:val="24"/>
          <w:szCs w:val="24"/>
          <w:u w:val="single"/>
        </w:rPr>
      </w:pPr>
    </w:p>
    <w:p w14:paraId="0DEC3689" w14:textId="77777777" w:rsidR="00886F11" w:rsidRPr="00FA0C3A" w:rsidRDefault="00886F11" w:rsidP="00886F11">
      <w:pPr>
        <w:autoSpaceDE w:val="0"/>
        <w:autoSpaceDN w:val="0"/>
        <w:adjustRightInd w:val="0"/>
        <w:ind w:left="851"/>
        <w:rPr>
          <w:sz w:val="24"/>
          <w:szCs w:val="24"/>
          <w:u w:val="single"/>
        </w:rPr>
      </w:pPr>
      <w:proofErr w:type="spellStart"/>
      <w:r w:rsidRPr="00FA0C3A">
        <w:rPr>
          <w:sz w:val="24"/>
          <w:szCs w:val="24"/>
          <w:u w:val="single"/>
        </w:rPr>
        <w:t>Tacrolimus</w:t>
      </w:r>
      <w:proofErr w:type="spellEnd"/>
      <w:r w:rsidRPr="00FA0C3A">
        <w:rPr>
          <w:sz w:val="24"/>
          <w:szCs w:val="24"/>
          <w:u w:val="single"/>
        </w:rPr>
        <w:t xml:space="preserve"> </w:t>
      </w:r>
    </w:p>
    <w:p w14:paraId="39F4E635" w14:textId="4AB63880" w:rsidR="00886F11" w:rsidRPr="00FA0C3A" w:rsidRDefault="00886F11" w:rsidP="00886F11">
      <w:pPr>
        <w:autoSpaceDE w:val="0"/>
        <w:autoSpaceDN w:val="0"/>
        <w:adjustRightInd w:val="0"/>
        <w:ind w:left="851"/>
        <w:rPr>
          <w:sz w:val="24"/>
          <w:szCs w:val="24"/>
        </w:rPr>
      </w:pPr>
      <w:r w:rsidRPr="00FA0C3A">
        <w:rPr>
          <w:sz w:val="24"/>
          <w:szCs w:val="24"/>
        </w:rPr>
        <w:t xml:space="preserve">Hos levertransplanterede patienter, der indledningsvis blev behandlet med </w:t>
      </w:r>
      <w:proofErr w:type="spellStart"/>
      <w:r w:rsidRPr="00FA0C3A">
        <w:rPr>
          <w:sz w:val="24"/>
          <w:szCs w:val="24"/>
        </w:rPr>
        <w:t>mycophenolat</w:t>
      </w:r>
      <w:r w:rsidR="00FA0C3A">
        <w:rPr>
          <w:sz w:val="24"/>
          <w:szCs w:val="24"/>
        </w:rPr>
        <w:softHyphen/>
      </w:r>
      <w:r w:rsidRPr="00FA0C3A">
        <w:rPr>
          <w:sz w:val="24"/>
          <w:szCs w:val="24"/>
        </w:rPr>
        <w:t>mofetil</w:t>
      </w:r>
      <w:proofErr w:type="spellEnd"/>
      <w:r w:rsidRPr="00FA0C3A">
        <w:rPr>
          <w:sz w:val="24"/>
          <w:szCs w:val="24"/>
        </w:rPr>
        <w:t xml:space="preserve"> og </w:t>
      </w:r>
      <w:proofErr w:type="spellStart"/>
      <w:r w:rsidRPr="00FA0C3A">
        <w:rPr>
          <w:sz w:val="24"/>
          <w:szCs w:val="24"/>
        </w:rPr>
        <w:t>tacrolimus</w:t>
      </w:r>
      <w:proofErr w:type="spellEnd"/>
      <w:r w:rsidRPr="00FA0C3A">
        <w:rPr>
          <w:sz w:val="24"/>
          <w:szCs w:val="24"/>
        </w:rPr>
        <w:t xml:space="preserve"> samtidigt, blev </w:t>
      </w:r>
      <w:proofErr w:type="spellStart"/>
      <w:r w:rsidRPr="00FA0C3A">
        <w:rPr>
          <w:sz w:val="24"/>
          <w:szCs w:val="24"/>
        </w:rPr>
        <w:t>MPAs</w:t>
      </w:r>
      <w:proofErr w:type="spellEnd"/>
      <w:r w:rsidRPr="00FA0C3A">
        <w:rPr>
          <w:sz w:val="24"/>
          <w:szCs w:val="24"/>
        </w:rPr>
        <w:t xml:space="preserve"> </w:t>
      </w:r>
      <w:proofErr w:type="spellStart"/>
      <w:r w:rsidRPr="00FA0C3A">
        <w:rPr>
          <w:sz w:val="24"/>
          <w:szCs w:val="24"/>
        </w:rPr>
        <w:t>C</w:t>
      </w:r>
      <w:r w:rsidRPr="00FA0C3A">
        <w:rPr>
          <w:sz w:val="24"/>
          <w:szCs w:val="24"/>
          <w:vertAlign w:val="subscript"/>
        </w:rPr>
        <w:t>max</w:t>
      </w:r>
      <w:proofErr w:type="spellEnd"/>
      <w:r w:rsidRPr="00FA0C3A">
        <w:rPr>
          <w:sz w:val="24"/>
          <w:szCs w:val="24"/>
          <w:vertAlign w:val="subscript"/>
        </w:rPr>
        <w:t xml:space="preserve"> </w:t>
      </w:r>
      <w:r w:rsidRPr="00FA0C3A">
        <w:rPr>
          <w:sz w:val="24"/>
          <w:szCs w:val="24"/>
        </w:rPr>
        <w:t xml:space="preserve">og AUC som er den aktive metabolit af </w:t>
      </w:r>
      <w:proofErr w:type="spellStart"/>
      <w:r w:rsidRPr="00FA0C3A">
        <w:rPr>
          <w:sz w:val="24"/>
          <w:szCs w:val="24"/>
        </w:rPr>
        <w:t>mycophenolatmofetil</w:t>
      </w:r>
      <w:proofErr w:type="spellEnd"/>
      <w:r w:rsidRPr="00FA0C3A">
        <w:rPr>
          <w:sz w:val="24"/>
          <w:szCs w:val="24"/>
        </w:rPr>
        <w:t xml:space="preserve">, ikke signifikant påvirket af den samtidige administration af </w:t>
      </w:r>
      <w:proofErr w:type="spellStart"/>
      <w:r w:rsidRPr="00FA0C3A">
        <w:rPr>
          <w:sz w:val="24"/>
          <w:szCs w:val="24"/>
        </w:rPr>
        <w:t>tacrolimus</w:t>
      </w:r>
      <w:proofErr w:type="spellEnd"/>
      <w:r w:rsidRPr="00FA0C3A">
        <w:rPr>
          <w:sz w:val="24"/>
          <w:szCs w:val="24"/>
        </w:rPr>
        <w:t xml:space="preserve">. modsætning hertil blev AUC for </w:t>
      </w:r>
      <w:proofErr w:type="spellStart"/>
      <w:r w:rsidRPr="00FA0C3A">
        <w:rPr>
          <w:sz w:val="24"/>
          <w:szCs w:val="24"/>
        </w:rPr>
        <w:t>tacrolimus</w:t>
      </w:r>
      <w:proofErr w:type="spellEnd"/>
      <w:r w:rsidRPr="00FA0C3A">
        <w:rPr>
          <w:sz w:val="24"/>
          <w:szCs w:val="24"/>
        </w:rPr>
        <w:t xml:space="preserve"> øget med ca. 20</w:t>
      </w:r>
      <w:r w:rsidR="008D3E9F" w:rsidRPr="00FA0C3A">
        <w:rPr>
          <w:sz w:val="24"/>
          <w:szCs w:val="24"/>
        </w:rPr>
        <w:t> </w:t>
      </w:r>
      <w:r w:rsidRPr="00FA0C3A">
        <w:rPr>
          <w:sz w:val="24"/>
          <w:szCs w:val="24"/>
        </w:rPr>
        <w:t xml:space="preserve">%, når flere </w:t>
      </w:r>
      <w:proofErr w:type="spellStart"/>
      <w:r w:rsidRPr="00FA0C3A">
        <w:rPr>
          <w:sz w:val="24"/>
          <w:szCs w:val="24"/>
        </w:rPr>
        <w:t>mycophenolatmofetil</w:t>
      </w:r>
      <w:proofErr w:type="spellEnd"/>
      <w:r w:rsidRPr="00FA0C3A">
        <w:rPr>
          <w:sz w:val="24"/>
          <w:szCs w:val="24"/>
        </w:rPr>
        <w:t xml:space="preserve">-doser (1,5 g to gange daglig) blev givet til levertransplanterede patienter, som fik </w:t>
      </w:r>
      <w:proofErr w:type="spellStart"/>
      <w:r w:rsidRPr="00FA0C3A">
        <w:rPr>
          <w:sz w:val="24"/>
          <w:szCs w:val="24"/>
        </w:rPr>
        <w:t>tacrolimus</w:t>
      </w:r>
      <w:proofErr w:type="spellEnd"/>
      <w:r w:rsidRPr="00FA0C3A">
        <w:rPr>
          <w:sz w:val="24"/>
          <w:szCs w:val="24"/>
        </w:rPr>
        <w:t xml:space="preserve">. Hos nyretransplanterede patienter blev </w:t>
      </w:r>
      <w:proofErr w:type="spellStart"/>
      <w:r w:rsidRPr="00FA0C3A">
        <w:rPr>
          <w:sz w:val="24"/>
          <w:szCs w:val="24"/>
        </w:rPr>
        <w:t>tacrolimus</w:t>
      </w:r>
      <w:r w:rsidR="00FA0C3A">
        <w:rPr>
          <w:sz w:val="24"/>
          <w:szCs w:val="24"/>
        </w:rPr>
        <w:softHyphen/>
      </w:r>
      <w:r w:rsidRPr="00FA0C3A">
        <w:rPr>
          <w:sz w:val="24"/>
          <w:szCs w:val="24"/>
        </w:rPr>
        <w:t>koncentrationen</w:t>
      </w:r>
      <w:proofErr w:type="spellEnd"/>
      <w:r w:rsidRPr="00FA0C3A">
        <w:rPr>
          <w:sz w:val="24"/>
          <w:szCs w:val="24"/>
        </w:rPr>
        <w:t xml:space="preserve"> imidlertid tilsyneladende ikke påvirket af </w:t>
      </w:r>
      <w:proofErr w:type="spellStart"/>
      <w:r w:rsidRPr="00FA0C3A">
        <w:rPr>
          <w:sz w:val="24"/>
          <w:szCs w:val="24"/>
        </w:rPr>
        <w:t>mycophenolatmofetil</w:t>
      </w:r>
      <w:proofErr w:type="spellEnd"/>
      <w:r w:rsidRPr="00FA0C3A">
        <w:rPr>
          <w:sz w:val="24"/>
          <w:szCs w:val="24"/>
        </w:rPr>
        <w:t xml:space="preserve"> (se også pkt. 4.4).</w:t>
      </w:r>
    </w:p>
    <w:p w14:paraId="03306130" w14:textId="77777777" w:rsidR="00886F11" w:rsidRPr="00FA0C3A" w:rsidRDefault="00886F11" w:rsidP="00886F11">
      <w:pPr>
        <w:autoSpaceDE w:val="0"/>
        <w:autoSpaceDN w:val="0"/>
        <w:adjustRightInd w:val="0"/>
        <w:ind w:left="851"/>
        <w:rPr>
          <w:sz w:val="24"/>
          <w:szCs w:val="24"/>
          <w:u w:val="single"/>
        </w:rPr>
      </w:pPr>
    </w:p>
    <w:p w14:paraId="720D316C"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Levende vacciner</w:t>
      </w:r>
    </w:p>
    <w:p w14:paraId="7F2DE4E8" w14:textId="77777777" w:rsidR="00886F11" w:rsidRPr="00FA0C3A" w:rsidRDefault="00886F11" w:rsidP="00886F11">
      <w:pPr>
        <w:autoSpaceDE w:val="0"/>
        <w:autoSpaceDN w:val="0"/>
        <w:adjustRightInd w:val="0"/>
        <w:ind w:left="851"/>
        <w:rPr>
          <w:sz w:val="24"/>
          <w:szCs w:val="24"/>
        </w:rPr>
      </w:pPr>
      <w:r w:rsidRPr="00FA0C3A">
        <w:rPr>
          <w:sz w:val="24"/>
          <w:szCs w:val="24"/>
        </w:rPr>
        <w:t xml:space="preserve">Levende vacciner må ikke gives til patienter med nedsat immunforsvar. Antistofresponset overfor andre vacciner kan nedsættes (se også pkt. 4.4). </w:t>
      </w:r>
    </w:p>
    <w:p w14:paraId="1EB3A5F9" w14:textId="77777777" w:rsidR="00886F11" w:rsidRPr="00FA0C3A" w:rsidRDefault="00886F11" w:rsidP="00886F11">
      <w:pPr>
        <w:autoSpaceDE w:val="0"/>
        <w:autoSpaceDN w:val="0"/>
        <w:adjustRightInd w:val="0"/>
        <w:ind w:left="851"/>
        <w:rPr>
          <w:sz w:val="24"/>
          <w:szCs w:val="24"/>
        </w:rPr>
      </w:pPr>
    </w:p>
    <w:p w14:paraId="6CF30783"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Pædiatrisk population</w:t>
      </w:r>
    </w:p>
    <w:p w14:paraId="4274266C" w14:textId="77777777" w:rsidR="00886F11" w:rsidRPr="00FA0C3A" w:rsidRDefault="00886F11" w:rsidP="00886F11">
      <w:pPr>
        <w:autoSpaceDE w:val="0"/>
        <w:autoSpaceDN w:val="0"/>
        <w:adjustRightInd w:val="0"/>
        <w:ind w:left="851"/>
        <w:rPr>
          <w:sz w:val="24"/>
          <w:szCs w:val="24"/>
        </w:rPr>
      </w:pPr>
      <w:r w:rsidRPr="00FA0C3A">
        <w:rPr>
          <w:sz w:val="24"/>
          <w:szCs w:val="24"/>
        </w:rPr>
        <w:t>Interaktionsstudier er kun udført hos voksne.</w:t>
      </w:r>
    </w:p>
    <w:p w14:paraId="7CF2E48F" w14:textId="77777777" w:rsidR="00886F11" w:rsidRPr="00FA0C3A" w:rsidRDefault="00886F11" w:rsidP="00886F11">
      <w:pPr>
        <w:autoSpaceDE w:val="0"/>
        <w:autoSpaceDN w:val="0"/>
        <w:adjustRightInd w:val="0"/>
        <w:ind w:left="851"/>
        <w:rPr>
          <w:sz w:val="24"/>
          <w:szCs w:val="24"/>
        </w:rPr>
      </w:pPr>
    </w:p>
    <w:p w14:paraId="0D372E4D"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Potentielle interaktioner</w:t>
      </w:r>
    </w:p>
    <w:p w14:paraId="18F7E644" w14:textId="77777777" w:rsidR="00886F11" w:rsidRPr="00FA0C3A" w:rsidRDefault="00886F11" w:rsidP="00886F11">
      <w:pPr>
        <w:tabs>
          <w:tab w:val="left" w:pos="851"/>
        </w:tabs>
        <w:ind w:left="851" w:hanging="851"/>
        <w:rPr>
          <w:sz w:val="24"/>
          <w:szCs w:val="24"/>
        </w:rPr>
      </w:pPr>
      <w:r w:rsidRPr="00FA0C3A">
        <w:rPr>
          <w:sz w:val="24"/>
          <w:szCs w:val="24"/>
        </w:rPr>
        <w:tab/>
        <w:t xml:space="preserve">Samtidig administration af </w:t>
      </w:r>
      <w:proofErr w:type="spellStart"/>
      <w:r w:rsidRPr="00FA0C3A">
        <w:rPr>
          <w:sz w:val="24"/>
          <w:szCs w:val="24"/>
        </w:rPr>
        <w:t>probenecid</w:t>
      </w:r>
      <w:proofErr w:type="spellEnd"/>
      <w:r w:rsidRPr="00FA0C3A">
        <w:rPr>
          <w:sz w:val="24"/>
          <w:szCs w:val="24"/>
        </w:rPr>
        <w:t xml:space="preserve"> og </w:t>
      </w:r>
      <w:proofErr w:type="spellStart"/>
      <w:r w:rsidRPr="00FA0C3A">
        <w:rPr>
          <w:sz w:val="24"/>
          <w:szCs w:val="24"/>
        </w:rPr>
        <w:t>mycophenolatmofetil</w:t>
      </w:r>
      <w:proofErr w:type="spellEnd"/>
      <w:r w:rsidRPr="00FA0C3A">
        <w:rPr>
          <w:sz w:val="24"/>
          <w:szCs w:val="24"/>
        </w:rPr>
        <w:t xml:space="preserve"> forhøjer </w:t>
      </w:r>
      <w:proofErr w:type="spellStart"/>
      <w:r w:rsidRPr="00FA0C3A">
        <w:rPr>
          <w:sz w:val="24"/>
          <w:szCs w:val="24"/>
        </w:rPr>
        <w:t>MPAGs</w:t>
      </w:r>
      <w:proofErr w:type="spellEnd"/>
      <w:r w:rsidRPr="00FA0C3A">
        <w:rPr>
          <w:sz w:val="24"/>
          <w:szCs w:val="24"/>
        </w:rPr>
        <w:t xml:space="preserve"> plasma-AUC 3 gange hos aber. Derfor kan andre stoffer, der vides at udskilles ved </w:t>
      </w:r>
      <w:proofErr w:type="spellStart"/>
      <w:r w:rsidRPr="00FA0C3A">
        <w:rPr>
          <w:sz w:val="24"/>
          <w:szCs w:val="24"/>
        </w:rPr>
        <w:t>renal</w:t>
      </w:r>
      <w:proofErr w:type="spellEnd"/>
      <w:r w:rsidRPr="00FA0C3A">
        <w:rPr>
          <w:sz w:val="24"/>
          <w:szCs w:val="24"/>
        </w:rPr>
        <w:t xml:space="preserve"> </w:t>
      </w:r>
      <w:proofErr w:type="spellStart"/>
      <w:r w:rsidRPr="00FA0C3A">
        <w:rPr>
          <w:sz w:val="24"/>
          <w:szCs w:val="24"/>
        </w:rPr>
        <w:t>tubulær</w:t>
      </w:r>
      <w:proofErr w:type="spellEnd"/>
      <w:r w:rsidRPr="00FA0C3A">
        <w:rPr>
          <w:sz w:val="24"/>
          <w:szCs w:val="24"/>
        </w:rPr>
        <w:t xml:space="preserve"> sekretion, konkurrere med MPAG og derved forhøje plasmakoncentrationerne af MPAG eller andre stoffer, der udskilles ved </w:t>
      </w:r>
      <w:proofErr w:type="spellStart"/>
      <w:r w:rsidRPr="00FA0C3A">
        <w:rPr>
          <w:sz w:val="24"/>
          <w:szCs w:val="24"/>
        </w:rPr>
        <w:t>tubulær</w:t>
      </w:r>
      <w:proofErr w:type="spellEnd"/>
      <w:r w:rsidRPr="00FA0C3A">
        <w:rPr>
          <w:sz w:val="24"/>
          <w:szCs w:val="24"/>
        </w:rPr>
        <w:t xml:space="preserve"> sekretion.</w:t>
      </w:r>
    </w:p>
    <w:p w14:paraId="580340A2" w14:textId="77777777" w:rsidR="009260DE" w:rsidRPr="00FA0C3A" w:rsidRDefault="009260DE" w:rsidP="009260DE">
      <w:pPr>
        <w:tabs>
          <w:tab w:val="left" w:pos="851"/>
        </w:tabs>
        <w:ind w:left="851"/>
        <w:rPr>
          <w:sz w:val="24"/>
          <w:szCs w:val="24"/>
        </w:rPr>
      </w:pPr>
    </w:p>
    <w:p w14:paraId="0FD3785F" w14:textId="77777777" w:rsidR="009260DE" w:rsidRPr="00FA0C3A" w:rsidRDefault="009260DE" w:rsidP="009260DE">
      <w:pPr>
        <w:tabs>
          <w:tab w:val="left" w:pos="851"/>
        </w:tabs>
        <w:ind w:left="851" w:hanging="851"/>
        <w:rPr>
          <w:b/>
          <w:sz w:val="24"/>
          <w:szCs w:val="24"/>
        </w:rPr>
      </w:pPr>
      <w:r w:rsidRPr="00FA0C3A">
        <w:rPr>
          <w:b/>
          <w:sz w:val="24"/>
          <w:szCs w:val="24"/>
        </w:rPr>
        <w:t>4.6</w:t>
      </w:r>
      <w:r w:rsidRPr="00FA0C3A">
        <w:rPr>
          <w:b/>
          <w:sz w:val="24"/>
          <w:szCs w:val="24"/>
        </w:rPr>
        <w:tab/>
      </w:r>
      <w:r w:rsidR="0071241E" w:rsidRPr="00FA0C3A">
        <w:rPr>
          <w:b/>
          <w:sz w:val="24"/>
          <w:szCs w:val="24"/>
        </w:rPr>
        <w:t>Fertilitet, g</w:t>
      </w:r>
      <w:r w:rsidRPr="00FA0C3A">
        <w:rPr>
          <w:b/>
          <w:sz w:val="24"/>
          <w:szCs w:val="24"/>
        </w:rPr>
        <w:t>raviditet og amning</w:t>
      </w:r>
    </w:p>
    <w:p w14:paraId="7A82740F" w14:textId="77777777" w:rsidR="00725D71" w:rsidRPr="00FA0C3A" w:rsidRDefault="00725D71" w:rsidP="00886F11">
      <w:pPr>
        <w:autoSpaceDE w:val="0"/>
        <w:autoSpaceDN w:val="0"/>
        <w:adjustRightInd w:val="0"/>
        <w:ind w:left="851"/>
        <w:rPr>
          <w:bCs/>
          <w:sz w:val="24"/>
          <w:szCs w:val="24"/>
          <w:u w:val="single"/>
        </w:rPr>
      </w:pPr>
    </w:p>
    <w:p w14:paraId="4D0F9A94" w14:textId="759F4762" w:rsidR="00886F11" w:rsidRPr="00FA0C3A" w:rsidRDefault="00886F11" w:rsidP="00886F11">
      <w:pPr>
        <w:autoSpaceDE w:val="0"/>
        <w:autoSpaceDN w:val="0"/>
        <w:adjustRightInd w:val="0"/>
        <w:ind w:left="851"/>
        <w:rPr>
          <w:sz w:val="24"/>
          <w:szCs w:val="24"/>
          <w:u w:val="single"/>
        </w:rPr>
      </w:pPr>
      <w:r w:rsidRPr="00FA0C3A">
        <w:rPr>
          <w:bCs/>
          <w:sz w:val="24"/>
          <w:szCs w:val="24"/>
          <w:u w:val="single"/>
        </w:rPr>
        <w:t xml:space="preserve">Kvinder i den fødedygtige alder </w:t>
      </w:r>
    </w:p>
    <w:p w14:paraId="6AA9F808" w14:textId="17C4D6D0" w:rsidR="00886F11" w:rsidRPr="00FA0C3A" w:rsidRDefault="00886F11" w:rsidP="00886F11">
      <w:pPr>
        <w:ind w:left="851"/>
        <w:rPr>
          <w:sz w:val="24"/>
          <w:szCs w:val="24"/>
          <w:u w:val="single"/>
        </w:rPr>
      </w:pPr>
      <w:r w:rsidRPr="00FA0C3A">
        <w:rPr>
          <w:bCs/>
          <w:sz w:val="24"/>
          <w:szCs w:val="24"/>
        </w:rPr>
        <w:t xml:space="preserve">Indtagelse af </w:t>
      </w:r>
      <w:proofErr w:type="spellStart"/>
      <w:r w:rsidRPr="00FA0C3A">
        <w:rPr>
          <w:bCs/>
          <w:sz w:val="24"/>
          <w:szCs w:val="24"/>
        </w:rPr>
        <w:t>mycophenolat</w:t>
      </w:r>
      <w:proofErr w:type="spellEnd"/>
      <w:r w:rsidRPr="00FA0C3A">
        <w:rPr>
          <w:bCs/>
          <w:sz w:val="24"/>
          <w:szCs w:val="24"/>
        </w:rPr>
        <w:t xml:space="preserve"> under graviditet skal undgås. Derfor skal kvinder i den fødedygtige alder anvende mindst én form for pålidelig antikonception (se pkt. 4.3), inden behandling med </w:t>
      </w:r>
      <w:proofErr w:type="spellStart"/>
      <w:r w:rsidRPr="00FA0C3A">
        <w:rPr>
          <w:bCs/>
          <w:sz w:val="24"/>
          <w:szCs w:val="24"/>
        </w:rPr>
        <w:t>Mycophenolate</w:t>
      </w:r>
      <w:proofErr w:type="spellEnd"/>
      <w:r w:rsidRPr="00FA0C3A">
        <w:rPr>
          <w:bCs/>
          <w:sz w:val="24"/>
          <w:szCs w:val="24"/>
        </w:rPr>
        <w:t xml:space="preserve"> </w:t>
      </w:r>
      <w:proofErr w:type="spellStart"/>
      <w:r w:rsidRPr="00FA0C3A">
        <w:rPr>
          <w:bCs/>
          <w:sz w:val="24"/>
          <w:szCs w:val="24"/>
        </w:rPr>
        <w:t>mofetil</w:t>
      </w:r>
      <w:proofErr w:type="spellEnd"/>
      <w:r w:rsidRPr="00FA0C3A">
        <w:rPr>
          <w:bCs/>
          <w:sz w:val="24"/>
          <w:szCs w:val="24"/>
        </w:rPr>
        <w:t xml:space="preserve"> </w:t>
      </w:r>
      <w:r w:rsidR="00FA22AA" w:rsidRPr="00FA0C3A">
        <w:rPr>
          <w:sz w:val="24"/>
          <w:szCs w:val="24"/>
        </w:rPr>
        <w:t>"</w:t>
      </w:r>
      <w:proofErr w:type="spellStart"/>
      <w:r w:rsidR="00FA22AA" w:rsidRPr="00FA0C3A">
        <w:rPr>
          <w:sz w:val="24"/>
          <w:szCs w:val="24"/>
        </w:rPr>
        <w:t>Hexal</w:t>
      </w:r>
      <w:proofErr w:type="spellEnd"/>
      <w:r w:rsidR="00FA22AA" w:rsidRPr="00FA0C3A">
        <w:rPr>
          <w:sz w:val="24"/>
          <w:szCs w:val="24"/>
        </w:rPr>
        <w:t>"</w:t>
      </w:r>
      <w:r w:rsidRPr="00FA0C3A">
        <w:rPr>
          <w:bCs/>
          <w:sz w:val="24"/>
          <w:szCs w:val="24"/>
        </w:rPr>
        <w:t xml:space="preserve"> påbegyndes, under behandlingen og i seks uger efter behandlingsophør, medmindre seksuel afholdenhed er den valgte form for prævention. Samtidig brug af to komplementære former for prævention er foretrukket. </w:t>
      </w:r>
    </w:p>
    <w:p w14:paraId="159D2F2A" w14:textId="77777777" w:rsidR="00886F11" w:rsidRPr="00FA0C3A" w:rsidRDefault="00886F11" w:rsidP="00886F11">
      <w:pPr>
        <w:ind w:left="851"/>
        <w:rPr>
          <w:sz w:val="24"/>
          <w:szCs w:val="24"/>
          <w:u w:val="single"/>
        </w:rPr>
      </w:pPr>
    </w:p>
    <w:p w14:paraId="4A271315" w14:textId="77777777" w:rsidR="00886F11" w:rsidRPr="00FA0C3A" w:rsidRDefault="00886F11" w:rsidP="00886F11">
      <w:pPr>
        <w:ind w:left="851"/>
        <w:rPr>
          <w:sz w:val="24"/>
          <w:szCs w:val="24"/>
        </w:rPr>
      </w:pPr>
      <w:r w:rsidRPr="00FA0C3A">
        <w:rPr>
          <w:sz w:val="24"/>
          <w:szCs w:val="24"/>
          <w:u w:val="single"/>
        </w:rPr>
        <w:t>Graviditet</w:t>
      </w:r>
    </w:p>
    <w:p w14:paraId="5813E8A4"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er kontraindiceret under graviditet, medmindre der ikke findes nogen velegnet alternativ behandling til forebyggelse af afstødning af et transplanteret organ. Behandlingen må ikke påbegyndes, før der foreligger en negativ graviditetstest for at udelukke utilsigtet brug under graviditet (se pkt. 4.3).</w:t>
      </w:r>
    </w:p>
    <w:p w14:paraId="0ED0B785" w14:textId="77777777" w:rsidR="00886F11" w:rsidRPr="00FA0C3A" w:rsidRDefault="00886F11" w:rsidP="00886F11">
      <w:pPr>
        <w:ind w:left="851"/>
        <w:rPr>
          <w:sz w:val="24"/>
          <w:szCs w:val="24"/>
        </w:rPr>
      </w:pPr>
    </w:p>
    <w:p w14:paraId="781D17EB" w14:textId="77777777" w:rsidR="00886F11" w:rsidRPr="00FA0C3A" w:rsidRDefault="00886F11" w:rsidP="00886F11">
      <w:pPr>
        <w:ind w:left="851"/>
        <w:rPr>
          <w:sz w:val="24"/>
          <w:szCs w:val="24"/>
        </w:rPr>
      </w:pPr>
      <w:r w:rsidRPr="00FA0C3A">
        <w:rPr>
          <w:sz w:val="24"/>
          <w:szCs w:val="24"/>
        </w:rPr>
        <w:t>Kvindelige patienter i den reproduktive alder skal gøres opmærksom på den øgede risiko for spontan abort og medfødte misdannelser i begyndelsen af behandlingen og skal rådgives om graviditetsforebyggelse og planlægning.</w:t>
      </w:r>
    </w:p>
    <w:p w14:paraId="0F2B91D4" w14:textId="77777777" w:rsidR="00886F11" w:rsidRPr="00FA0C3A" w:rsidRDefault="00886F11" w:rsidP="00886F11">
      <w:pPr>
        <w:ind w:left="851"/>
        <w:rPr>
          <w:sz w:val="24"/>
          <w:szCs w:val="24"/>
        </w:rPr>
      </w:pPr>
    </w:p>
    <w:p w14:paraId="15862472" w14:textId="77777777" w:rsidR="00886F11" w:rsidRPr="00FA0C3A" w:rsidRDefault="00886F11" w:rsidP="00886F11">
      <w:pPr>
        <w:ind w:left="851"/>
        <w:rPr>
          <w:sz w:val="24"/>
          <w:szCs w:val="24"/>
        </w:rPr>
      </w:pPr>
      <w:r w:rsidRPr="00FA0C3A">
        <w:rPr>
          <w:sz w:val="24"/>
          <w:szCs w:val="24"/>
        </w:rPr>
        <w:t xml:space="preserve">Inden behandlingen med </w:t>
      </w:r>
      <w:proofErr w:type="spellStart"/>
      <w:r w:rsidRPr="00FA0C3A">
        <w:rPr>
          <w:sz w:val="24"/>
          <w:szCs w:val="24"/>
        </w:rPr>
        <w:t>mycophenolatmofetil</w:t>
      </w:r>
      <w:proofErr w:type="spellEnd"/>
      <w:r w:rsidRPr="00FA0C3A">
        <w:rPr>
          <w:sz w:val="24"/>
          <w:szCs w:val="24"/>
        </w:rPr>
        <w:t xml:space="preserve"> påbegyndes, skal kvinder i den fødedygtige alder have foretaget to negative graviditetstest</w:t>
      </w:r>
      <w:r w:rsidRPr="00FA0C3A">
        <w:rPr>
          <w:b/>
          <w:bCs/>
          <w:color w:val="000000"/>
          <w:sz w:val="24"/>
          <w:szCs w:val="24"/>
        </w:rPr>
        <w:t xml:space="preserve"> </w:t>
      </w:r>
      <w:r w:rsidRPr="00FA0C3A">
        <w:rPr>
          <w:bCs/>
          <w:sz w:val="24"/>
          <w:szCs w:val="24"/>
        </w:rPr>
        <w:t xml:space="preserve">(serum eller urin) med en sensitivitet på mindst 25 </w:t>
      </w:r>
      <w:proofErr w:type="spellStart"/>
      <w:r w:rsidRPr="00FA0C3A">
        <w:rPr>
          <w:bCs/>
          <w:sz w:val="24"/>
          <w:szCs w:val="24"/>
        </w:rPr>
        <w:t>mIE</w:t>
      </w:r>
      <w:proofErr w:type="spellEnd"/>
      <w:r w:rsidRPr="00FA0C3A">
        <w:rPr>
          <w:bCs/>
          <w:sz w:val="24"/>
          <w:szCs w:val="24"/>
        </w:rPr>
        <w:t>/ml</w:t>
      </w:r>
      <w:r w:rsidRPr="00FA0C3A">
        <w:rPr>
          <w:sz w:val="24"/>
          <w:szCs w:val="24"/>
        </w:rPr>
        <w:t xml:space="preserve"> for at udelukke utilsigtet eksponering af embryoet for </w:t>
      </w:r>
      <w:proofErr w:type="spellStart"/>
      <w:r w:rsidRPr="00FA0C3A">
        <w:rPr>
          <w:sz w:val="24"/>
          <w:szCs w:val="24"/>
        </w:rPr>
        <w:t>mycophenolat</w:t>
      </w:r>
      <w:proofErr w:type="spellEnd"/>
      <w:r w:rsidRPr="00FA0C3A">
        <w:rPr>
          <w:sz w:val="24"/>
          <w:szCs w:val="24"/>
        </w:rPr>
        <w:t xml:space="preserve">. Det anbefales, at test nummer 2 skal udføres 8-10 dage efter den første test. </w:t>
      </w:r>
      <w:r w:rsidRPr="00FA0C3A">
        <w:rPr>
          <w:bCs/>
          <w:sz w:val="24"/>
          <w:szCs w:val="24"/>
        </w:rPr>
        <w:t>Ved modtagelse af transplantater fra afdøde donorer kan det på grund af tidspunktet for tilgængeligheden af transplantationsorganet ikke altid være muligt at udføre to tests 8-10 dage efter hinanden, inden behandlingen initieres. Hvis det er tilfældet, skal en graviditetstest udføres, umiddelbart før behandlingen initieres, og en yderligere test udføres 8-10 dage senere.</w:t>
      </w:r>
      <w:r w:rsidRPr="00FA0C3A">
        <w:rPr>
          <w:b/>
          <w:bCs/>
          <w:sz w:val="24"/>
          <w:szCs w:val="24"/>
        </w:rPr>
        <w:t xml:space="preserve"> </w:t>
      </w:r>
      <w:r w:rsidRPr="00FA0C3A">
        <w:rPr>
          <w:sz w:val="24"/>
          <w:szCs w:val="24"/>
        </w:rPr>
        <w:t>Graviditetstest skal gentages som klinisk indiceret (f.eks. efter enhver rapportering af manglende antikonception). Resultaterne af alle graviditetstest skal drøftes med patienten. Patienterne skal instrueres i omgående at kontakte deres læge, hvis graviditet opstår.</w:t>
      </w:r>
    </w:p>
    <w:p w14:paraId="5630E641" w14:textId="77777777" w:rsidR="00886F11" w:rsidRPr="00FA0C3A" w:rsidRDefault="00886F11" w:rsidP="00886F11">
      <w:pPr>
        <w:ind w:left="1134"/>
        <w:rPr>
          <w:iCs/>
          <w:sz w:val="24"/>
          <w:szCs w:val="24"/>
        </w:rPr>
      </w:pPr>
    </w:p>
    <w:p w14:paraId="2CFE3856" w14:textId="77777777" w:rsidR="00886F11" w:rsidRPr="00FA0C3A" w:rsidRDefault="00886F11" w:rsidP="00886F11">
      <w:pPr>
        <w:ind w:left="851"/>
        <w:rPr>
          <w:iCs/>
          <w:sz w:val="24"/>
          <w:szCs w:val="24"/>
        </w:rPr>
      </w:pPr>
      <w:proofErr w:type="spellStart"/>
      <w:r w:rsidRPr="00FA0C3A">
        <w:rPr>
          <w:sz w:val="24"/>
          <w:szCs w:val="24"/>
        </w:rPr>
        <w:t>Mycophenolat</w:t>
      </w:r>
      <w:proofErr w:type="spellEnd"/>
      <w:r w:rsidRPr="00FA0C3A">
        <w:rPr>
          <w:sz w:val="24"/>
          <w:szCs w:val="24"/>
        </w:rPr>
        <w:t xml:space="preserve"> er et potent </w:t>
      </w:r>
      <w:proofErr w:type="spellStart"/>
      <w:r w:rsidRPr="00FA0C3A">
        <w:rPr>
          <w:sz w:val="24"/>
          <w:szCs w:val="24"/>
        </w:rPr>
        <w:t>teratogent</w:t>
      </w:r>
      <w:proofErr w:type="spellEnd"/>
      <w:r w:rsidRPr="00FA0C3A">
        <w:rPr>
          <w:sz w:val="24"/>
          <w:szCs w:val="24"/>
        </w:rPr>
        <w:t xml:space="preserve"> stof hos mennesker med en øget risiko for spontane aborter og medfødte misdannelser i tilfælde af eksponering under graviditet.</w:t>
      </w:r>
    </w:p>
    <w:p w14:paraId="2FC40439" w14:textId="77777777" w:rsidR="00886F11" w:rsidRPr="00FA0C3A" w:rsidRDefault="00886F11" w:rsidP="00886F11">
      <w:pPr>
        <w:pStyle w:val="Listeafsnit"/>
        <w:numPr>
          <w:ilvl w:val="0"/>
          <w:numId w:val="7"/>
        </w:numPr>
        <w:ind w:left="1134" w:hanging="283"/>
        <w:rPr>
          <w:iCs/>
          <w:sz w:val="24"/>
          <w:szCs w:val="24"/>
        </w:rPr>
      </w:pPr>
      <w:r w:rsidRPr="00FA0C3A">
        <w:rPr>
          <w:sz w:val="24"/>
          <w:szCs w:val="24"/>
        </w:rPr>
        <w:t xml:space="preserve">Der er rapporteret om spontane aborter hos 45-49 % af gravide kvinder, som var eksponeret for </w:t>
      </w:r>
      <w:proofErr w:type="spellStart"/>
      <w:r w:rsidRPr="00FA0C3A">
        <w:rPr>
          <w:sz w:val="24"/>
          <w:szCs w:val="24"/>
        </w:rPr>
        <w:t>mycophenolatmofetil</w:t>
      </w:r>
      <w:proofErr w:type="spellEnd"/>
      <w:r w:rsidRPr="00FA0C3A">
        <w:rPr>
          <w:sz w:val="24"/>
          <w:szCs w:val="24"/>
        </w:rPr>
        <w:t xml:space="preserve">, sammenlignet med en rapporteret hyppighed på mellem 12 og 33 % hos organtransplanterede patienter, der er blevet behandlet med andre </w:t>
      </w:r>
      <w:proofErr w:type="spellStart"/>
      <w:r w:rsidRPr="00FA0C3A">
        <w:rPr>
          <w:sz w:val="24"/>
          <w:szCs w:val="24"/>
        </w:rPr>
        <w:t>immunosuppressiva</w:t>
      </w:r>
      <w:proofErr w:type="spellEnd"/>
      <w:r w:rsidRPr="00FA0C3A">
        <w:rPr>
          <w:sz w:val="24"/>
          <w:szCs w:val="24"/>
        </w:rPr>
        <w:t xml:space="preserve"> end </w:t>
      </w:r>
      <w:proofErr w:type="spellStart"/>
      <w:r w:rsidRPr="00FA0C3A">
        <w:rPr>
          <w:sz w:val="24"/>
          <w:szCs w:val="24"/>
        </w:rPr>
        <w:t>mycophenolatmofetil</w:t>
      </w:r>
      <w:proofErr w:type="spellEnd"/>
      <w:r w:rsidRPr="00FA0C3A">
        <w:rPr>
          <w:sz w:val="24"/>
          <w:szCs w:val="24"/>
        </w:rPr>
        <w:t>.</w:t>
      </w:r>
    </w:p>
    <w:p w14:paraId="0DE2D567" w14:textId="77777777" w:rsidR="00886F11" w:rsidRPr="00FA0C3A" w:rsidRDefault="00886F11" w:rsidP="00886F11">
      <w:pPr>
        <w:pStyle w:val="Listeafsnit"/>
        <w:numPr>
          <w:ilvl w:val="0"/>
          <w:numId w:val="7"/>
        </w:numPr>
        <w:ind w:left="1134" w:hanging="283"/>
        <w:rPr>
          <w:iCs/>
          <w:sz w:val="24"/>
          <w:szCs w:val="24"/>
        </w:rPr>
      </w:pPr>
      <w:r w:rsidRPr="00FA0C3A">
        <w:rPr>
          <w:sz w:val="24"/>
          <w:szCs w:val="24"/>
        </w:rPr>
        <w:t xml:space="preserve">Baseret på publicerede rapporter forekom der misdannelser hos 23-27 % af levendefødte børn, hvor moderen var eksponeret for </w:t>
      </w:r>
      <w:proofErr w:type="spellStart"/>
      <w:r w:rsidRPr="00FA0C3A">
        <w:rPr>
          <w:sz w:val="24"/>
          <w:szCs w:val="24"/>
        </w:rPr>
        <w:t>mycophenolatmofetil</w:t>
      </w:r>
      <w:proofErr w:type="spellEnd"/>
      <w:r w:rsidRPr="00FA0C3A">
        <w:rPr>
          <w:sz w:val="24"/>
          <w:szCs w:val="24"/>
        </w:rPr>
        <w:t xml:space="preserve"> under graviditeten (sammenlignet med 2-3 % af levendefødte børn i den samlede population og ca. 4-5 % af levendefødte børn hos organtransplanterede patienter, der blev behandlet med andre </w:t>
      </w:r>
      <w:proofErr w:type="spellStart"/>
      <w:r w:rsidRPr="00FA0C3A">
        <w:rPr>
          <w:sz w:val="24"/>
          <w:szCs w:val="24"/>
        </w:rPr>
        <w:t>immunosuppressiva</w:t>
      </w:r>
      <w:proofErr w:type="spellEnd"/>
      <w:r w:rsidRPr="00FA0C3A">
        <w:rPr>
          <w:sz w:val="24"/>
          <w:szCs w:val="24"/>
        </w:rPr>
        <w:t xml:space="preserve"> end </w:t>
      </w:r>
      <w:proofErr w:type="spellStart"/>
      <w:r w:rsidRPr="00FA0C3A">
        <w:rPr>
          <w:sz w:val="24"/>
          <w:szCs w:val="24"/>
        </w:rPr>
        <w:t>mycophenolatmofetil</w:t>
      </w:r>
      <w:proofErr w:type="spellEnd"/>
      <w:r w:rsidRPr="00FA0C3A">
        <w:rPr>
          <w:sz w:val="24"/>
          <w:szCs w:val="24"/>
        </w:rPr>
        <w:t>).</w:t>
      </w:r>
    </w:p>
    <w:p w14:paraId="522189F6" w14:textId="77777777" w:rsidR="00886F11" w:rsidRPr="00FA0C3A" w:rsidRDefault="00886F11" w:rsidP="00886F11">
      <w:pPr>
        <w:ind w:left="1134"/>
        <w:rPr>
          <w:iCs/>
          <w:sz w:val="24"/>
          <w:szCs w:val="24"/>
        </w:rPr>
      </w:pPr>
    </w:p>
    <w:p w14:paraId="6BB68F63" w14:textId="77777777" w:rsidR="00886F11" w:rsidRPr="00FA0C3A" w:rsidRDefault="00886F11" w:rsidP="00725D71">
      <w:pPr>
        <w:ind w:left="851"/>
        <w:rPr>
          <w:iCs/>
          <w:sz w:val="24"/>
          <w:szCs w:val="24"/>
        </w:rPr>
      </w:pPr>
      <w:r w:rsidRPr="00FA0C3A">
        <w:rPr>
          <w:sz w:val="24"/>
          <w:szCs w:val="24"/>
        </w:rPr>
        <w:t xml:space="preserve">Efter markedsføringen er der set medfødte misdannelser, herunder indberetninger om multiple misdannelser, hos børn af patienter, der var eksponeret for </w:t>
      </w:r>
      <w:proofErr w:type="spellStart"/>
      <w:r w:rsidRPr="00FA0C3A">
        <w:rPr>
          <w:sz w:val="24"/>
          <w:szCs w:val="24"/>
        </w:rPr>
        <w:t>mycophenolatmofetil</w:t>
      </w:r>
      <w:proofErr w:type="spellEnd"/>
      <w:r w:rsidRPr="00FA0C3A">
        <w:rPr>
          <w:sz w:val="24"/>
          <w:szCs w:val="24"/>
        </w:rPr>
        <w:t xml:space="preserve"> under graviditeten i kombination med andre </w:t>
      </w:r>
      <w:proofErr w:type="spellStart"/>
      <w:r w:rsidRPr="00FA0C3A">
        <w:rPr>
          <w:sz w:val="24"/>
          <w:szCs w:val="24"/>
        </w:rPr>
        <w:t>immunosuppressiva</w:t>
      </w:r>
      <w:proofErr w:type="spellEnd"/>
      <w:r w:rsidRPr="00FA0C3A">
        <w:rPr>
          <w:sz w:val="24"/>
          <w:szCs w:val="24"/>
        </w:rPr>
        <w:t>. Følgende misdannelser er de hyppigst indberettede:</w:t>
      </w:r>
    </w:p>
    <w:p w14:paraId="55A7ADD1"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misdannelse af øret (f.eks. </w:t>
      </w:r>
      <w:proofErr w:type="spellStart"/>
      <w:r w:rsidRPr="00FA0C3A">
        <w:rPr>
          <w:sz w:val="24"/>
          <w:szCs w:val="24"/>
        </w:rPr>
        <w:t>abnormtformet</w:t>
      </w:r>
      <w:proofErr w:type="spellEnd"/>
      <w:r w:rsidRPr="00FA0C3A">
        <w:rPr>
          <w:sz w:val="24"/>
          <w:szCs w:val="24"/>
        </w:rPr>
        <w:t xml:space="preserve"> eller manglende ydre øre), atresi i ydre øregang (mellemøre);</w:t>
      </w:r>
    </w:p>
    <w:p w14:paraId="1CC417A6"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misdannelser i ansigtet såsom læbespalte, ganespalte, </w:t>
      </w:r>
      <w:proofErr w:type="spellStart"/>
      <w:r w:rsidRPr="00FA0C3A">
        <w:rPr>
          <w:sz w:val="24"/>
          <w:szCs w:val="24"/>
        </w:rPr>
        <w:t>mikrognati</w:t>
      </w:r>
      <w:proofErr w:type="spellEnd"/>
      <w:r w:rsidRPr="00FA0C3A">
        <w:rPr>
          <w:sz w:val="24"/>
          <w:szCs w:val="24"/>
        </w:rPr>
        <w:t xml:space="preserve"> og </w:t>
      </w:r>
      <w:proofErr w:type="spellStart"/>
      <w:r w:rsidRPr="00FA0C3A">
        <w:rPr>
          <w:sz w:val="24"/>
          <w:szCs w:val="24"/>
        </w:rPr>
        <w:t>okulær</w:t>
      </w:r>
      <w:proofErr w:type="spellEnd"/>
      <w:r w:rsidRPr="00FA0C3A">
        <w:rPr>
          <w:sz w:val="24"/>
          <w:szCs w:val="24"/>
        </w:rPr>
        <w:t xml:space="preserve"> </w:t>
      </w:r>
      <w:proofErr w:type="spellStart"/>
      <w:r w:rsidRPr="00FA0C3A">
        <w:rPr>
          <w:sz w:val="24"/>
          <w:szCs w:val="24"/>
        </w:rPr>
        <w:t>hypertelorisme</w:t>
      </w:r>
      <w:proofErr w:type="spellEnd"/>
      <w:r w:rsidRPr="00FA0C3A">
        <w:rPr>
          <w:sz w:val="24"/>
          <w:szCs w:val="24"/>
        </w:rPr>
        <w:t xml:space="preserve">; </w:t>
      </w:r>
    </w:p>
    <w:p w14:paraId="29CC0449" w14:textId="6586ECB1" w:rsidR="00886F11" w:rsidRPr="00FA0C3A" w:rsidRDefault="00886F11" w:rsidP="00FA0C3A">
      <w:pPr>
        <w:pStyle w:val="Listeafsnit"/>
        <w:numPr>
          <w:ilvl w:val="0"/>
          <w:numId w:val="7"/>
        </w:numPr>
        <w:ind w:left="1276" w:hanging="425"/>
        <w:rPr>
          <w:sz w:val="24"/>
          <w:szCs w:val="24"/>
        </w:rPr>
      </w:pPr>
      <w:r w:rsidRPr="00FA0C3A">
        <w:rPr>
          <w:sz w:val="24"/>
          <w:szCs w:val="24"/>
        </w:rPr>
        <w:t xml:space="preserve">misdannelse af øjnene (f.eks. </w:t>
      </w:r>
      <w:proofErr w:type="spellStart"/>
      <w:r w:rsidRPr="00FA0C3A">
        <w:rPr>
          <w:sz w:val="24"/>
          <w:szCs w:val="24"/>
        </w:rPr>
        <w:t>coloboma</w:t>
      </w:r>
      <w:proofErr w:type="spellEnd"/>
      <w:r w:rsidRPr="00FA0C3A">
        <w:rPr>
          <w:sz w:val="24"/>
          <w:szCs w:val="24"/>
        </w:rPr>
        <w:t>);</w:t>
      </w:r>
    </w:p>
    <w:p w14:paraId="12CD3B37"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medfødt hjertesygdom såsom </w:t>
      </w:r>
      <w:proofErr w:type="spellStart"/>
      <w:r w:rsidRPr="00FA0C3A">
        <w:rPr>
          <w:sz w:val="24"/>
          <w:szCs w:val="24"/>
        </w:rPr>
        <w:t>atriale</w:t>
      </w:r>
      <w:proofErr w:type="spellEnd"/>
      <w:r w:rsidRPr="00FA0C3A">
        <w:rPr>
          <w:sz w:val="24"/>
          <w:szCs w:val="24"/>
        </w:rPr>
        <w:t xml:space="preserve"> og </w:t>
      </w:r>
      <w:proofErr w:type="spellStart"/>
      <w:r w:rsidRPr="00FA0C3A">
        <w:rPr>
          <w:sz w:val="24"/>
          <w:szCs w:val="24"/>
        </w:rPr>
        <w:t>ventrikulære</w:t>
      </w:r>
      <w:proofErr w:type="spellEnd"/>
      <w:r w:rsidRPr="00FA0C3A">
        <w:rPr>
          <w:sz w:val="24"/>
          <w:szCs w:val="24"/>
        </w:rPr>
        <w:t xml:space="preserve"> septumdefekter;</w:t>
      </w:r>
    </w:p>
    <w:p w14:paraId="66656686"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misdannelser af fingrene (f.eks. </w:t>
      </w:r>
      <w:proofErr w:type="spellStart"/>
      <w:r w:rsidRPr="00FA0C3A">
        <w:rPr>
          <w:sz w:val="24"/>
          <w:szCs w:val="24"/>
        </w:rPr>
        <w:t>polydaktyli</w:t>
      </w:r>
      <w:proofErr w:type="spellEnd"/>
      <w:r w:rsidRPr="00FA0C3A">
        <w:rPr>
          <w:sz w:val="24"/>
          <w:szCs w:val="24"/>
        </w:rPr>
        <w:t xml:space="preserve">, </w:t>
      </w:r>
      <w:proofErr w:type="spellStart"/>
      <w:r w:rsidRPr="00FA0C3A">
        <w:rPr>
          <w:sz w:val="24"/>
          <w:szCs w:val="24"/>
        </w:rPr>
        <w:t>syndaktyli</w:t>
      </w:r>
      <w:proofErr w:type="spellEnd"/>
      <w:r w:rsidRPr="00FA0C3A">
        <w:rPr>
          <w:sz w:val="24"/>
          <w:szCs w:val="24"/>
        </w:rPr>
        <w:t>);</w:t>
      </w:r>
    </w:p>
    <w:p w14:paraId="5B1B0FB3" w14:textId="77777777" w:rsidR="00886F11" w:rsidRPr="00FA0C3A" w:rsidRDefault="00886F11" w:rsidP="00FA0C3A">
      <w:pPr>
        <w:pStyle w:val="Listeafsnit"/>
        <w:numPr>
          <w:ilvl w:val="0"/>
          <w:numId w:val="7"/>
        </w:numPr>
        <w:ind w:left="1276" w:hanging="425"/>
        <w:rPr>
          <w:sz w:val="24"/>
          <w:szCs w:val="24"/>
        </w:rPr>
      </w:pPr>
      <w:proofErr w:type="spellStart"/>
      <w:r w:rsidRPr="00FA0C3A">
        <w:rPr>
          <w:sz w:val="24"/>
          <w:szCs w:val="24"/>
        </w:rPr>
        <w:t>trakeo-øsofageale</w:t>
      </w:r>
      <w:proofErr w:type="spellEnd"/>
      <w:r w:rsidRPr="00FA0C3A">
        <w:rPr>
          <w:sz w:val="24"/>
          <w:szCs w:val="24"/>
        </w:rPr>
        <w:t xml:space="preserve"> misdannelser (f.eks. </w:t>
      </w:r>
      <w:proofErr w:type="spellStart"/>
      <w:r w:rsidRPr="00FA0C3A">
        <w:rPr>
          <w:sz w:val="24"/>
          <w:szCs w:val="24"/>
        </w:rPr>
        <w:t>øsofagusatresi</w:t>
      </w:r>
      <w:proofErr w:type="spellEnd"/>
      <w:r w:rsidRPr="00FA0C3A">
        <w:rPr>
          <w:sz w:val="24"/>
          <w:szCs w:val="24"/>
        </w:rPr>
        <w:t xml:space="preserve">); </w:t>
      </w:r>
    </w:p>
    <w:p w14:paraId="38362AE2"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misdannelser i nervesystemet såsom </w:t>
      </w:r>
      <w:proofErr w:type="spellStart"/>
      <w:r w:rsidRPr="00FA0C3A">
        <w:rPr>
          <w:sz w:val="24"/>
          <w:szCs w:val="24"/>
        </w:rPr>
        <w:t>spina</w:t>
      </w:r>
      <w:proofErr w:type="spellEnd"/>
      <w:r w:rsidRPr="00FA0C3A">
        <w:rPr>
          <w:sz w:val="24"/>
          <w:szCs w:val="24"/>
        </w:rPr>
        <w:t xml:space="preserve"> </w:t>
      </w:r>
      <w:proofErr w:type="spellStart"/>
      <w:r w:rsidRPr="00FA0C3A">
        <w:rPr>
          <w:sz w:val="24"/>
          <w:szCs w:val="24"/>
        </w:rPr>
        <w:t>bifida</w:t>
      </w:r>
      <w:proofErr w:type="spellEnd"/>
      <w:r w:rsidRPr="00FA0C3A">
        <w:rPr>
          <w:sz w:val="24"/>
          <w:szCs w:val="24"/>
        </w:rPr>
        <w:t xml:space="preserve">; </w:t>
      </w:r>
    </w:p>
    <w:p w14:paraId="1117E650" w14:textId="77777777" w:rsidR="00886F11" w:rsidRPr="00FA0C3A" w:rsidRDefault="00886F11" w:rsidP="00FA0C3A">
      <w:pPr>
        <w:pStyle w:val="Listeafsnit"/>
        <w:numPr>
          <w:ilvl w:val="0"/>
          <w:numId w:val="7"/>
        </w:numPr>
        <w:ind w:left="1276" w:hanging="425"/>
        <w:rPr>
          <w:sz w:val="24"/>
          <w:szCs w:val="24"/>
        </w:rPr>
      </w:pPr>
      <w:proofErr w:type="spellStart"/>
      <w:r w:rsidRPr="00FA0C3A">
        <w:rPr>
          <w:sz w:val="24"/>
          <w:szCs w:val="24"/>
        </w:rPr>
        <w:t>nyreabnormaliteter</w:t>
      </w:r>
      <w:proofErr w:type="spellEnd"/>
      <w:r w:rsidRPr="00FA0C3A">
        <w:rPr>
          <w:sz w:val="24"/>
          <w:szCs w:val="24"/>
        </w:rPr>
        <w:t>.</w:t>
      </w:r>
    </w:p>
    <w:p w14:paraId="5CEB461B" w14:textId="38D804FC" w:rsidR="00886F11" w:rsidRPr="00FA0C3A" w:rsidRDefault="00886F11" w:rsidP="00725D71">
      <w:pPr>
        <w:rPr>
          <w:sz w:val="24"/>
          <w:szCs w:val="24"/>
        </w:rPr>
      </w:pPr>
    </w:p>
    <w:p w14:paraId="48ED58BE" w14:textId="77777777" w:rsidR="00886F11" w:rsidRPr="00FA0C3A" w:rsidRDefault="00886F11" w:rsidP="00886F11">
      <w:pPr>
        <w:ind w:left="851"/>
        <w:rPr>
          <w:iCs/>
          <w:sz w:val="24"/>
          <w:szCs w:val="24"/>
        </w:rPr>
      </w:pPr>
      <w:r w:rsidRPr="00FA0C3A">
        <w:rPr>
          <w:sz w:val="24"/>
          <w:szCs w:val="24"/>
        </w:rPr>
        <w:t>Der har desuden været enkeltstående rapporter om følgende misdannelser:</w:t>
      </w:r>
    </w:p>
    <w:p w14:paraId="5472502E" w14:textId="77777777" w:rsidR="00886F11" w:rsidRPr="00FA0C3A" w:rsidRDefault="00886F11" w:rsidP="00FA0C3A">
      <w:pPr>
        <w:pStyle w:val="Listeafsnit"/>
        <w:numPr>
          <w:ilvl w:val="0"/>
          <w:numId w:val="7"/>
        </w:numPr>
        <w:ind w:left="1276" w:hanging="425"/>
        <w:rPr>
          <w:iCs/>
          <w:sz w:val="24"/>
          <w:szCs w:val="24"/>
        </w:rPr>
      </w:pPr>
      <w:proofErr w:type="spellStart"/>
      <w:r w:rsidRPr="00FA0C3A">
        <w:rPr>
          <w:sz w:val="24"/>
          <w:szCs w:val="24"/>
        </w:rPr>
        <w:t>mikroftalmi</w:t>
      </w:r>
      <w:proofErr w:type="spellEnd"/>
      <w:r w:rsidRPr="00FA0C3A">
        <w:rPr>
          <w:sz w:val="24"/>
          <w:szCs w:val="24"/>
        </w:rPr>
        <w:t>;</w:t>
      </w:r>
    </w:p>
    <w:p w14:paraId="407AE8C6" w14:textId="77777777" w:rsidR="00886F11" w:rsidRPr="00FA0C3A" w:rsidRDefault="00886F11" w:rsidP="00FA0C3A">
      <w:pPr>
        <w:pStyle w:val="Listeafsnit"/>
        <w:numPr>
          <w:ilvl w:val="0"/>
          <w:numId w:val="7"/>
        </w:numPr>
        <w:ind w:left="1276" w:hanging="425"/>
        <w:rPr>
          <w:iCs/>
          <w:sz w:val="24"/>
          <w:szCs w:val="24"/>
        </w:rPr>
      </w:pPr>
      <w:r w:rsidRPr="00FA0C3A">
        <w:rPr>
          <w:sz w:val="24"/>
          <w:szCs w:val="24"/>
        </w:rPr>
        <w:t xml:space="preserve">medfødt cyste i plexus </w:t>
      </w:r>
      <w:proofErr w:type="spellStart"/>
      <w:r w:rsidRPr="00FA0C3A">
        <w:rPr>
          <w:sz w:val="24"/>
          <w:szCs w:val="24"/>
        </w:rPr>
        <w:t>choroideus</w:t>
      </w:r>
      <w:proofErr w:type="spellEnd"/>
      <w:r w:rsidRPr="00FA0C3A">
        <w:rPr>
          <w:sz w:val="24"/>
          <w:szCs w:val="24"/>
        </w:rPr>
        <w:t>;</w:t>
      </w:r>
    </w:p>
    <w:p w14:paraId="4640DBA1" w14:textId="77777777" w:rsidR="00886F11" w:rsidRPr="00FA0C3A" w:rsidRDefault="00886F11" w:rsidP="00FA0C3A">
      <w:pPr>
        <w:pStyle w:val="Listeafsnit"/>
        <w:numPr>
          <w:ilvl w:val="0"/>
          <w:numId w:val="7"/>
        </w:numPr>
        <w:ind w:left="1276" w:hanging="425"/>
        <w:rPr>
          <w:iCs/>
          <w:sz w:val="24"/>
          <w:szCs w:val="24"/>
        </w:rPr>
      </w:pPr>
      <w:r w:rsidRPr="00FA0C3A">
        <w:rPr>
          <w:sz w:val="24"/>
          <w:szCs w:val="24"/>
        </w:rPr>
        <w:t xml:space="preserve">manglende udvikling af septum </w:t>
      </w:r>
      <w:proofErr w:type="spellStart"/>
      <w:r w:rsidRPr="00FA0C3A">
        <w:rPr>
          <w:sz w:val="24"/>
          <w:szCs w:val="24"/>
        </w:rPr>
        <w:t>pellucidum</w:t>
      </w:r>
      <w:proofErr w:type="spellEnd"/>
      <w:r w:rsidRPr="00FA0C3A">
        <w:rPr>
          <w:sz w:val="24"/>
          <w:szCs w:val="24"/>
        </w:rPr>
        <w:t>;</w:t>
      </w:r>
    </w:p>
    <w:p w14:paraId="41369850" w14:textId="77777777" w:rsidR="00886F11" w:rsidRPr="00FA0C3A" w:rsidRDefault="00886F11" w:rsidP="00FA0C3A">
      <w:pPr>
        <w:pStyle w:val="Listeafsnit"/>
        <w:numPr>
          <w:ilvl w:val="0"/>
          <w:numId w:val="7"/>
        </w:numPr>
        <w:ind w:left="1276" w:hanging="425"/>
        <w:rPr>
          <w:sz w:val="24"/>
          <w:szCs w:val="24"/>
        </w:rPr>
      </w:pPr>
      <w:r w:rsidRPr="00FA0C3A">
        <w:rPr>
          <w:sz w:val="24"/>
          <w:szCs w:val="24"/>
        </w:rPr>
        <w:t xml:space="preserve">manglende udvikling af den </w:t>
      </w:r>
      <w:proofErr w:type="spellStart"/>
      <w:r w:rsidRPr="00FA0C3A">
        <w:rPr>
          <w:sz w:val="24"/>
          <w:szCs w:val="24"/>
        </w:rPr>
        <w:t>olfaktoriske</w:t>
      </w:r>
      <w:proofErr w:type="spellEnd"/>
      <w:r w:rsidRPr="00FA0C3A">
        <w:rPr>
          <w:sz w:val="24"/>
          <w:szCs w:val="24"/>
        </w:rPr>
        <w:t xml:space="preserve"> nerve.</w:t>
      </w:r>
    </w:p>
    <w:p w14:paraId="667E1352" w14:textId="77777777" w:rsidR="00886F11" w:rsidRPr="00FA0C3A" w:rsidRDefault="00886F11" w:rsidP="00886F11">
      <w:pPr>
        <w:tabs>
          <w:tab w:val="left" w:pos="2268"/>
        </w:tabs>
        <w:ind w:left="1134" w:hanging="283"/>
        <w:rPr>
          <w:sz w:val="24"/>
          <w:szCs w:val="24"/>
        </w:rPr>
      </w:pPr>
    </w:p>
    <w:p w14:paraId="0DB81DF7" w14:textId="77777777" w:rsidR="00886F11" w:rsidRPr="00FA0C3A" w:rsidRDefault="00886F11" w:rsidP="00886F11">
      <w:pPr>
        <w:tabs>
          <w:tab w:val="left" w:pos="2268"/>
        </w:tabs>
        <w:ind w:left="1134" w:hanging="283"/>
        <w:rPr>
          <w:sz w:val="24"/>
          <w:szCs w:val="24"/>
        </w:rPr>
      </w:pPr>
      <w:r w:rsidRPr="00FA0C3A">
        <w:rPr>
          <w:sz w:val="24"/>
          <w:szCs w:val="24"/>
        </w:rPr>
        <w:t>Dyrestudier har påvist reproduktionstoksicitet (se pkt. 5.3).</w:t>
      </w:r>
    </w:p>
    <w:p w14:paraId="6B6232CB" w14:textId="77777777" w:rsidR="00886F11" w:rsidRPr="00FA0C3A" w:rsidRDefault="00886F11" w:rsidP="00886F11">
      <w:pPr>
        <w:autoSpaceDE w:val="0"/>
        <w:autoSpaceDN w:val="0"/>
        <w:adjustRightInd w:val="0"/>
        <w:ind w:firstLine="851"/>
        <w:rPr>
          <w:sz w:val="24"/>
          <w:szCs w:val="24"/>
        </w:rPr>
      </w:pPr>
    </w:p>
    <w:p w14:paraId="127D06B0" w14:textId="77777777" w:rsidR="006E72DB" w:rsidRPr="00FA0C3A" w:rsidRDefault="006E72DB" w:rsidP="006E72DB">
      <w:pPr>
        <w:autoSpaceDE w:val="0"/>
        <w:autoSpaceDN w:val="0"/>
        <w:adjustRightInd w:val="0"/>
        <w:ind w:firstLine="851"/>
        <w:rPr>
          <w:sz w:val="24"/>
          <w:szCs w:val="24"/>
          <w:u w:val="single"/>
        </w:rPr>
      </w:pPr>
      <w:r w:rsidRPr="00FA0C3A">
        <w:rPr>
          <w:sz w:val="24"/>
          <w:szCs w:val="24"/>
          <w:u w:val="single"/>
        </w:rPr>
        <w:t>Amning</w:t>
      </w:r>
    </w:p>
    <w:p w14:paraId="61763AE5" w14:textId="77777777" w:rsidR="006E72DB" w:rsidRPr="00FA0C3A" w:rsidRDefault="006E72DB" w:rsidP="006E72DB">
      <w:pPr>
        <w:autoSpaceDE w:val="0"/>
        <w:autoSpaceDN w:val="0"/>
        <w:adjustRightInd w:val="0"/>
        <w:ind w:left="851"/>
        <w:rPr>
          <w:sz w:val="24"/>
          <w:szCs w:val="24"/>
        </w:rPr>
      </w:pPr>
      <w:r w:rsidRPr="00B4522D">
        <w:rPr>
          <w:sz w:val="24"/>
          <w:szCs w:val="24"/>
        </w:rPr>
        <w:t xml:space="preserve">Begrænsede data viser, at </w:t>
      </w:r>
      <w:proofErr w:type="spellStart"/>
      <w:r w:rsidRPr="00B4522D">
        <w:rPr>
          <w:sz w:val="24"/>
          <w:szCs w:val="24"/>
        </w:rPr>
        <w:t>mycophenolsyre</w:t>
      </w:r>
      <w:proofErr w:type="spellEnd"/>
      <w:r w:rsidRPr="00B4522D">
        <w:rPr>
          <w:sz w:val="24"/>
          <w:szCs w:val="24"/>
        </w:rPr>
        <w:t xml:space="preserve"> udskilles i human mælk. På grund af risikoen for alvorlige bivirkninger af </w:t>
      </w:r>
      <w:proofErr w:type="spellStart"/>
      <w:r w:rsidRPr="00B4522D">
        <w:rPr>
          <w:sz w:val="24"/>
          <w:szCs w:val="24"/>
        </w:rPr>
        <w:t>mycophenolsyre</w:t>
      </w:r>
      <w:proofErr w:type="spellEnd"/>
      <w:r w:rsidRPr="00B4522D">
        <w:rPr>
          <w:sz w:val="24"/>
          <w:szCs w:val="24"/>
        </w:rPr>
        <w:t xml:space="preserve"> hos ammende spædbørn, er </w:t>
      </w:r>
      <w:proofErr w:type="spellStart"/>
      <w:r>
        <w:rPr>
          <w:sz w:val="24"/>
          <w:szCs w:val="24"/>
        </w:rPr>
        <w:t>Mycophenolate</w:t>
      </w:r>
      <w:proofErr w:type="spellEnd"/>
      <w:r>
        <w:rPr>
          <w:sz w:val="24"/>
          <w:szCs w:val="24"/>
        </w:rPr>
        <w:t xml:space="preserve"> </w:t>
      </w:r>
      <w:proofErr w:type="spellStart"/>
      <w:r>
        <w:rPr>
          <w:sz w:val="24"/>
          <w:szCs w:val="24"/>
        </w:rPr>
        <w:t>mofetil</w:t>
      </w:r>
      <w:proofErr w:type="spellEnd"/>
      <w:r>
        <w:rPr>
          <w:sz w:val="24"/>
          <w:szCs w:val="24"/>
        </w:rPr>
        <w:t xml:space="preserve"> </w:t>
      </w:r>
      <w:proofErr w:type="spellStart"/>
      <w:r>
        <w:rPr>
          <w:sz w:val="24"/>
          <w:szCs w:val="24"/>
        </w:rPr>
        <w:t>Hexal</w:t>
      </w:r>
      <w:proofErr w:type="spellEnd"/>
      <w:r w:rsidRPr="00B4522D">
        <w:rPr>
          <w:sz w:val="24"/>
          <w:szCs w:val="24"/>
        </w:rPr>
        <w:t xml:space="preserve"> kontraindiceret hos ammende mødre (se pkt. 4.3).</w:t>
      </w:r>
    </w:p>
    <w:p w14:paraId="4A97B036" w14:textId="77777777" w:rsidR="00886F11" w:rsidRPr="00FA0C3A" w:rsidRDefault="00886F11" w:rsidP="00886F11">
      <w:pPr>
        <w:tabs>
          <w:tab w:val="left" w:pos="2268"/>
        </w:tabs>
        <w:ind w:left="851"/>
        <w:rPr>
          <w:bCs/>
          <w:iCs/>
          <w:sz w:val="24"/>
          <w:szCs w:val="24"/>
          <w:u w:val="single"/>
        </w:rPr>
      </w:pPr>
    </w:p>
    <w:p w14:paraId="384FDFCF" w14:textId="77777777" w:rsidR="00886F11" w:rsidRPr="00FA0C3A" w:rsidRDefault="00886F11" w:rsidP="00886F11">
      <w:pPr>
        <w:tabs>
          <w:tab w:val="left" w:pos="2268"/>
        </w:tabs>
        <w:ind w:left="851"/>
        <w:rPr>
          <w:iCs/>
          <w:sz w:val="24"/>
          <w:szCs w:val="24"/>
          <w:u w:val="single"/>
        </w:rPr>
      </w:pPr>
      <w:r w:rsidRPr="00FA0C3A">
        <w:rPr>
          <w:bCs/>
          <w:iCs/>
          <w:sz w:val="24"/>
          <w:szCs w:val="24"/>
          <w:u w:val="single"/>
        </w:rPr>
        <w:t xml:space="preserve">Mænd </w:t>
      </w:r>
    </w:p>
    <w:p w14:paraId="6B49DA05" w14:textId="77777777" w:rsidR="00886F11" w:rsidRPr="00FA0C3A" w:rsidRDefault="00886F11" w:rsidP="00886F11">
      <w:pPr>
        <w:tabs>
          <w:tab w:val="left" w:pos="2268"/>
        </w:tabs>
        <w:ind w:left="851"/>
        <w:rPr>
          <w:bCs/>
          <w:iCs/>
          <w:sz w:val="24"/>
          <w:szCs w:val="24"/>
        </w:rPr>
      </w:pPr>
      <w:r w:rsidRPr="00FA0C3A">
        <w:rPr>
          <w:bCs/>
          <w:iCs/>
          <w:sz w:val="24"/>
          <w:szCs w:val="24"/>
        </w:rPr>
        <w:t xml:space="preserve">Begrænset klinisk evidens indikerer ikke en øget risiko for misdannelser eller abort efter faderens eksponering for </w:t>
      </w:r>
      <w:proofErr w:type="spellStart"/>
      <w:r w:rsidRPr="00FA0C3A">
        <w:rPr>
          <w:bCs/>
          <w:iCs/>
          <w:sz w:val="24"/>
          <w:szCs w:val="24"/>
        </w:rPr>
        <w:t>mycophenolatmofetil</w:t>
      </w:r>
      <w:proofErr w:type="spellEnd"/>
      <w:r w:rsidRPr="00FA0C3A">
        <w:rPr>
          <w:bCs/>
          <w:iCs/>
          <w:sz w:val="24"/>
          <w:szCs w:val="24"/>
        </w:rPr>
        <w:t xml:space="preserve">. </w:t>
      </w:r>
    </w:p>
    <w:p w14:paraId="0B3DD925" w14:textId="77777777" w:rsidR="00886F11" w:rsidRPr="00FA0C3A" w:rsidRDefault="00886F11" w:rsidP="00886F11">
      <w:pPr>
        <w:tabs>
          <w:tab w:val="left" w:pos="2268"/>
        </w:tabs>
        <w:ind w:left="851"/>
        <w:rPr>
          <w:iCs/>
          <w:sz w:val="24"/>
          <w:szCs w:val="24"/>
        </w:rPr>
      </w:pPr>
    </w:p>
    <w:p w14:paraId="5EC0267F" w14:textId="77777777" w:rsidR="00886F11" w:rsidRPr="00FA0C3A" w:rsidRDefault="00886F11" w:rsidP="00886F11">
      <w:pPr>
        <w:tabs>
          <w:tab w:val="left" w:pos="2268"/>
        </w:tabs>
        <w:ind w:left="851"/>
        <w:rPr>
          <w:bCs/>
          <w:iCs/>
          <w:sz w:val="24"/>
          <w:szCs w:val="24"/>
        </w:rPr>
      </w:pPr>
      <w:r w:rsidRPr="00FA0C3A">
        <w:rPr>
          <w:bCs/>
          <w:iCs/>
          <w:sz w:val="24"/>
          <w:szCs w:val="24"/>
        </w:rPr>
        <w:t xml:space="preserve">MPA er et stærkt </w:t>
      </w:r>
      <w:proofErr w:type="spellStart"/>
      <w:r w:rsidRPr="00FA0C3A">
        <w:rPr>
          <w:bCs/>
          <w:iCs/>
          <w:sz w:val="24"/>
          <w:szCs w:val="24"/>
        </w:rPr>
        <w:t>teratogen</w:t>
      </w:r>
      <w:proofErr w:type="spellEnd"/>
      <w:r w:rsidRPr="00FA0C3A">
        <w:rPr>
          <w:bCs/>
          <w:iCs/>
          <w:sz w:val="24"/>
          <w:szCs w:val="24"/>
        </w:rPr>
        <w:t xml:space="preserve">. Det vides ikke, om MPA findes i sæd. Beregninger baseret på dyremodeller viser, at den maksimale mængde af MPA, der potentielt kunne overføres til kvinden, er så lav, at det sandsynligvis ikke vil have effekt. </w:t>
      </w:r>
      <w:proofErr w:type="spellStart"/>
      <w:r w:rsidRPr="00FA0C3A">
        <w:rPr>
          <w:bCs/>
          <w:iCs/>
          <w:sz w:val="24"/>
          <w:szCs w:val="24"/>
        </w:rPr>
        <w:t>Mycophenolat</w:t>
      </w:r>
      <w:proofErr w:type="spellEnd"/>
      <w:r w:rsidRPr="00FA0C3A">
        <w:rPr>
          <w:bCs/>
          <w:iCs/>
          <w:sz w:val="24"/>
          <w:szCs w:val="24"/>
        </w:rPr>
        <w:t xml:space="preserve"> har vist sig at være genotoksisk i dyrestudier ved koncentrationer, der kun overstiger de menneskelige terapeutiske eksponeringer med små marginer, således at risikoen for genotoksiske virkninger på sædceller ikke helt kan udelukkes. </w:t>
      </w:r>
    </w:p>
    <w:p w14:paraId="0C91CFF9" w14:textId="77777777" w:rsidR="00886F11" w:rsidRPr="00FA0C3A" w:rsidRDefault="00886F11" w:rsidP="00886F11">
      <w:pPr>
        <w:tabs>
          <w:tab w:val="left" w:pos="2268"/>
        </w:tabs>
        <w:ind w:left="851"/>
        <w:rPr>
          <w:iCs/>
          <w:sz w:val="24"/>
          <w:szCs w:val="24"/>
        </w:rPr>
      </w:pPr>
    </w:p>
    <w:p w14:paraId="50E44445" w14:textId="77777777" w:rsidR="00886F11" w:rsidRPr="00FA0C3A" w:rsidRDefault="00886F11" w:rsidP="00886F11">
      <w:pPr>
        <w:autoSpaceDE w:val="0"/>
        <w:autoSpaceDN w:val="0"/>
        <w:adjustRightInd w:val="0"/>
        <w:ind w:left="851"/>
        <w:rPr>
          <w:sz w:val="24"/>
          <w:szCs w:val="24"/>
        </w:rPr>
      </w:pPr>
      <w:r w:rsidRPr="00FA0C3A">
        <w:rPr>
          <w:bCs/>
          <w:iCs/>
          <w:sz w:val="24"/>
          <w:szCs w:val="24"/>
        </w:rPr>
        <w:t xml:space="preserve">Derfor anbefales det som sikkerhedsforanstaltning, at seksuelt aktive mandlige patienter eller deres kvindelige partnere anvender pålidelig antikonception under behandling af den mandlige patient og i mindst 90 dage efter ophør af </w:t>
      </w:r>
      <w:proofErr w:type="spellStart"/>
      <w:r w:rsidRPr="00FA0C3A">
        <w:rPr>
          <w:bCs/>
          <w:iCs/>
          <w:sz w:val="24"/>
          <w:szCs w:val="24"/>
        </w:rPr>
        <w:t>mycophenolatmofetil</w:t>
      </w:r>
      <w:proofErr w:type="spellEnd"/>
      <w:r w:rsidRPr="00FA0C3A">
        <w:rPr>
          <w:bCs/>
          <w:iCs/>
          <w:sz w:val="24"/>
          <w:szCs w:val="24"/>
        </w:rPr>
        <w:t>. Kvalificeret sundhedspersonale bør gøre mandlige patienter med reproduktivt potentiale opmærksomme på og tale med dem om de potentielle risici ved at blive far til et barn.</w:t>
      </w:r>
    </w:p>
    <w:p w14:paraId="601BE979" w14:textId="77777777" w:rsidR="00886F11" w:rsidRPr="00FA0C3A" w:rsidRDefault="00886F11" w:rsidP="00886F11">
      <w:pPr>
        <w:autoSpaceDE w:val="0"/>
        <w:autoSpaceDN w:val="0"/>
        <w:adjustRightInd w:val="0"/>
        <w:ind w:left="851"/>
        <w:rPr>
          <w:sz w:val="24"/>
          <w:szCs w:val="24"/>
        </w:rPr>
      </w:pPr>
    </w:p>
    <w:p w14:paraId="29D8C211" w14:textId="77777777" w:rsidR="00886F11" w:rsidRPr="00FA0C3A" w:rsidRDefault="00886F11" w:rsidP="00886F11">
      <w:pPr>
        <w:pStyle w:val="Default"/>
        <w:ind w:left="851"/>
        <w:rPr>
          <w:bCs/>
          <w:iCs/>
          <w:color w:val="auto"/>
          <w:u w:val="single"/>
          <w:lang w:eastAsia="en-US"/>
        </w:rPr>
      </w:pPr>
      <w:r w:rsidRPr="00FA0C3A">
        <w:rPr>
          <w:bCs/>
          <w:iCs/>
          <w:color w:val="auto"/>
          <w:u w:val="single"/>
          <w:lang w:eastAsia="en-US"/>
        </w:rPr>
        <w:t xml:space="preserve">Fertilitet </w:t>
      </w:r>
    </w:p>
    <w:p w14:paraId="7B99CA5B" w14:textId="73F7D05C" w:rsidR="00886F11" w:rsidRPr="00FA0C3A" w:rsidRDefault="00886F11" w:rsidP="00886F11">
      <w:pPr>
        <w:autoSpaceDE w:val="0"/>
        <w:autoSpaceDN w:val="0"/>
        <w:adjustRightInd w:val="0"/>
        <w:ind w:left="851"/>
        <w:rPr>
          <w:bCs/>
          <w:iCs/>
          <w:sz w:val="24"/>
          <w:szCs w:val="24"/>
        </w:rPr>
      </w:pPr>
      <w:proofErr w:type="spellStart"/>
      <w:r w:rsidRPr="00FA0C3A">
        <w:rPr>
          <w:bCs/>
          <w:iCs/>
          <w:sz w:val="24"/>
          <w:szCs w:val="24"/>
        </w:rPr>
        <w:t>Mycophenolatmofetil</w:t>
      </w:r>
      <w:proofErr w:type="spellEnd"/>
      <w:r w:rsidRPr="00FA0C3A">
        <w:rPr>
          <w:bCs/>
          <w:iCs/>
          <w:sz w:val="24"/>
          <w:szCs w:val="24"/>
        </w:rPr>
        <w:t xml:space="preserve"> havde ingen effekt på fertiliteten hos hanrotter ved orale doser op til 20 mg/kg/dag. Den systemiske eksponering ved denne dosis repræsenterer 2 - 3 gange den kliniske eksponering ved den anbefalede kliniske dosis på 2 g daglig til nyretrans</w:t>
      </w:r>
      <w:r w:rsidR="008D3E9F" w:rsidRPr="00FA0C3A">
        <w:rPr>
          <w:bCs/>
          <w:iCs/>
          <w:sz w:val="24"/>
          <w:szCs w:val="24"/>
        </w:rPr>
        <w:softHyphen/>
      </w:r>
      <w:r w:rsidRPr="00FA0C3A">
        <w:rPr>
          <w:bCs/>
          <w:iCs/>
          <w:sz w:val="24"/>
          <w:szCs w:val="24"/>
        </w:rPr>
        <w:t xml:space="preserve">planterede patienter og 1,3 - 2 gange den kliniske eksponering ved den anbefalede kliniske dosis på 3 g daglig til hjertetransplanterede patienter. I et studie af fertilitet og reproduktion udført på hunrotter forårsagede orale doser på 4,5 mg/kg/dag misdannelser (inkl. </w:t>
      </w:r>
      <w:proofErr w:type="spellStart"/>
      <w:r w:rsidRPr="00FA0C3A">
        <w:rPr>
          <w:bCs/>
          <w:iCs/>
          <w:sz w:val="24"/>
          <w:szCs w:val="24"/>
        </w:rPr>
        <w:t>anophthalmi</w:t>
      </w:r>
      <w:proofErr w:type="spellEnd"/>
      <w:r w:rsidRPr="00FA0C3A">
        <w:rPr>
          <w:bCs/>
          <w:iCs/>
          <w:sz w:val="24"/>
          <w:szCs w:val="24"/>
        </w:rPr>
        <w:t xml:space="preserve">, </w:t>
      </w:r>
      <w:proofErr w:type="spellStart"/>
      <w:r w:rsidRPr="00FA0C3A">
        <w:rPr>
          <w:bCs/>
          <w:iCs/>
          <w:sz w:val="24"/>
          <w:szCs w:val="24"/>
        </w:rPr>
        <w:t>agnathi</w:t>
      </w:r>
      <w:proofErr w:type="spellEnd"/>
      <w:r w:rsidRPr="00FA0C3A">
        <w:rPr>
          <w:bCs/>
          <w:iCs/>
          <w:sz w:val="24"/>
          <w:szCs w:val="24"/>
        </w:rPr>
        <w:t xml:space="preserve"> og </w:t>
      </w:r>
      <w:proofErr w:type="spellStart"/>
      <w:r w:rsidRPr="00FA0C3A">
        <w:rPr>
          <w:bCs/>
          <w:iCs/>
          <w:sz w:val="24"/>
          <w:szCs w:val="24"/>
        </w:rPr>
        <w:t>hydrocephalus</w:t>
      </w:r>
      <w:proofErr w:type="spellEnd"/>
      <w:r w:rsidRPr="00FA0C3A">
        <w:rPr>
          <w:bCs/>
          <w:iCs/>
          <w:sz w:val="24"/>
          <w:szCs w:val="24"/>
        </w:rPr>
        <w:t xml:space="preserve">) hos det første generationsafkom ved fravær af </w:t>
      </w:r>
      <w:proofErr w:type="spellStart"/>
      <w:r w:rsidRPr="00FA0C3A">
        <w:rPr>
          <w:bCs/>
          <w:iCs/>
          <w:sz w:val="24"/>
          <w:szCs w:val="24"/>
        </w:rPr>
        <w:t>maternel</w:t>
      </w:r>
      <w:proofErr w:type="spellEnd"/>
      <w:r w:rsidRPr="00FA0C3A">
        <w:rPr>
          <w:bCs/>
          <w:iCs/>
          <w:sz w:val="24"/>
          <w:szCs w:val="24"/>
        </w:rPr>
        <w:t xml:space="preserve"> toksicitet. Den systemiske eksponering ved denne dosis var ca. 0,5 gange den kliniske eksponering ved den anbefalede kliniske dosis på 2 g daglig til nyretransplanterede patienter og ca. 0,3 gange den kliniske eksponering ved den anbefalede kliniske dosis på 3 g daglig til hjertetransplanterede patienter. Der var ingen tydelig påvirkning af fertilitets- eller reproduktionsparametre hos moderdyrene og den følgende generation.</w:t>
      </w:r>
    </w:p>
    <w:p w14:paraId="0927DA4D" w14:textId="0501555B" w:rsidR="008D3E9F" w:rsidRPr="00FA0C3A" w:rsidRDefault="008D3E9F">
      <w:pPr>
        <w:rPr>
          <w:sz w:val="24"/>
          <w:szCs w:val="24"/>
        </w:rPr>
      </w:pPr>
      <w:r w:rsidRPr="00FA0C3A">
        <w:rPr>
          <w:sz w:val="24"/>
          <w:szCs w:val="24"/>
        </w:rPr>
        <w:br w:type="page"/>
      </w:r>
    </w:p>
    <w:p w14:paraId="1F344852" w14:textId="77777777" w:rsidR="009260DE" w:rsidRPr="00FA0C3A" w:rsidRDefault="009260DE" w:rsidP="009260DE">
      <w:pPr>
        <w:tabs>
          <w:tab w:val="left" w:pos="851"/>
        </w:tabs>
        <w:ind w:left="851"/>
        <w:rPr>
          <w:sz w:val="24"/>
          <w:szCs w:val="24"/>
        </w:rPr>
      </w:pPr>
    </w:p>
    <w:p w14:paraId="58EE6721" w14:textId="77777777" w:rsidR="009260DE" w:rsidRPr="00FA0C3A" w:rsidRDefault="009260DE" w:rsidP="009260DE">
      <w:pPr>
        <w:tabs>
          <w:tab w:val="left" w:pos="851"/>
        </w:tabs>
        <w:ind w:left="851" w:hanging="851"/>
        <w:rPr>
          <w:b/>
          <w:sz w:val="24"/>
          <w:szCs w:val="24"/>
        </w:rPr>
      </w:pPr>
      <w:r w:rsidRPr="00FA0C3A">
        <w:rPr>
          <w:b/>
          <w:sz w:val="24"/>
          <w:szCs w:val="24"/>
        </w:rPr>
        <w:t>4.7</w:t>
      </w:r>
      <w:r w:rsidRPr="00FA0C3A">
        <w:rPr>
          <w:b/>
          <w:sz w:val="24"/>
          <w:szCs w:val="24"/>
        </w:rPr>
        <w:tab/>
        <w:t xml:space="preserve">Virkning på evnen til at føre motorkøretøj </w:t>
      </w:r>
      <w:r w:rsidR="0071241E" w:rsidRPr="00FA0C3A">
        <w:rPr>
          <w:b/>
          <w:sz w:val="24"/>
          <w:szCs w:val="24"/>
        </w:rPr>
        <w:t>og</w:t>
      </w:r>
      <w:r w:rsidRPr="00FA0C3A">
        <w:rPr>
          <w:b/>
          <w:sz w:val="24"/>
          <w:szCs w:val="24"/>
        </w:rPr>
        <w:t xml:space="preserve"> betjene maskiner</w:t>
      </w:r>
    </w:p>
    <w:p w14:paraId="72C5C13A" w14:textId="77777777" w:rsidR="00725D71" w:rsidRPr="00FA0C3A" w:rsidRDefault="00725D71" w:rsidP="00886F11">
      <w:pPr>
        <w:autoSpaceDE w:val="0"/>
        <w:autoSpaceDN w:val="0"/>
        <w:adjustRightInd w:val="0"/>
        <w:ind w:left="851"/>
        <w:rPr>
          <w:bCs/>
          <w:iCs/>
          <w:sz w:val="24"/>
          <w:szCs w:val="24"/>
        </w:rPr>
      </w:pPr>
      <w:r w:rsidRPr="00FA0C3A">
        <w:rPr>
          <w:bCs/>
          <w:iCs/>
          <w:sz w:val="24"/>
          <w:szCs w:val="24"/>
        </w:rPr>
        <w:t>Ikke mærkning.</w:t>
      </w:r>
    </w:p>
    <w:p w14:paraId="2B64D5DD" w14:textId="27EAB8F1" w:rsidR="00886F11" w:rsidRPr="00FA0C3A" w:rsidRDefault="00886F11" w:rsidP="00886F11">
      <w:pPr>
        <w:autoSpaceDE w:val="0"/>
        <w:autoSpaceDN w:val="0"/>
        <w:adjustRightInd w:val="0"/>
        <w:ind w:left="851"/>
        <w:rPr>
          <w:bCs/>
          <w:iCs/>
          <w:sz w:val="24"/>
          <w:szCs w:val="24"/>
        </w:rPr>
      </w:pPr>
      <w:proofErr w:type="spellStart"/>
      <w:r w:rsidRPr="00FA0C3A">
        <w:rPr>
          <w:bCs/>
          <w:iCs/>
          <w:sz w:val="24"/>
          <w:szCs w:val="24"/>
        </w:rPr>
        <w:t>Mycophenolatmofetil</w:t>
      </w:r>
      <w:proofErr w:type="spellEnd"/>
      <w:r w:rsidRPr="00FA0C3A">
        <w:rPr>
          <w:bCs/>
          <w:iCs/>
          <w:sz w:val="24"/>
          <w:szCs w:val="24"/>
        </w:rPr>
        <w:t xml:space="preserve"> påvirker i moderat grad evnen til at føre motorkøretøj og betjene maskiner. </w:t>
      </w:r>
      <w:proofErr w:type="spellStart"/>
      <w:r w:rsidRPr="00FA0C3A">
        <w:rPr>
          <w:bCs/>
          <w:iCs/>
          <w:sz w:val="24"/>
          <w:szCs w:val="24"/>
        </w:rPr>
        <w:t>Mycophenolatmofetil</w:t>
      </w:r>
      <w:proofErr w:type="spellEnd"/>
      <w:r w:rsidRPr="00FA0C3A">
        <w:rPr>
          <w:bCs/>
          <w:iCs/>
          <w:sz w:val="24"/>
          <w:szCs w:val="24"/>
        </w:rPr>
        <w:t xml:space="preserve"> kan forårsage døsighed, konfusion, svimmelhed, </w:t>
      </w:r>
      <w:proofErr w:type="spellStart"/>
      <w:r w:rsidRPr="00FA0C3A">
        <w:rPr>
          <w:bCs/>
          <w:iCs/>
          <w:sz w:val="24"/>
          <w:szCs w:val="24"/>
        </w:rPr>
        <w:t>tremor</w:t>
      </w:r>
      <w:proofErr w:type="spellEnd"/>
      <w:r w:rsidRPr="00FA0C3A">
        <w:rPr>
          <w:bCs/>
          <w:iCs/>
          <w:sz w:val="24"/>
          <w:szCs w:val="24"/>
        </w:rPr>
        <w:t xml:space="preserve"> og hypotension, og patienterne bør derfor tilrådes forsigtighed ved bilkørsel og maskinbetjening.</w:t>
      </w:r>
    </w:p>
    <w:p w14:paraId="46970B4E" w14:textId="77777777" w:rsidR="009260DE" w:rsidRPr="00FA0C3A" w:rsidRDefault="009260DE" w:rsidP="009260DE">
      <w:pPr>
        <w:tabs>
          <w:tab w:val="left" w:pos="851"/>
        </w:tabs>
        <w:ind w:left="851"/>
        <w:rPr>
          <w:sz w:val="24"/>
          <w:szCs w:val="24"/>
        </w:rPr>
      </w:pPr>
    </w:p>
    <w:p w14:paraId="2B997A57" w14:textId="77777777" w:rsidR="009260DE" w:rsidRPr="00FA0C3A" w:rsidRDefault="009260DE" w:rsidP="009260DE">
      <w:pPr>
        <w:tabs>
          <w:tab w:val="left" w:pos="851"/>
        </w:tabs>
        <w:ind w:left="851" w:hanging="851"/>
        <w:rPr>
          <w:b/>
          <w:sz w:val="24"/>
          <w:szCs w:val="24"/>
        </w:rPr>
      </w:pPr>
      <w:r w:rsidRPr="00FA0C3A">
        <w:rPr>
          <w:b/>
          <w:sz w:val="24"/>
          <w:szCs w:val="24"/>
        </w:rPr>
        <w:t>4.8</w:t>
      </w:r>
      <w:r w:rsidRPr="00FA0C3A">
        <w:rPr>
          <w:b/>
          <w:sz w:val="24"/>
          <w:szCs w:val="24"/>
        </w:rPr>
        <w:tab/>
        <w:t>Bivirkninger</w:t>
      </w:r>
    </w:p>
    <w:p w14:paraId="42E10921" w14:textId="77777777" w:rsidR="00725D71" w:rsidRPr="00FA0C3A" w:rsidRDefault="00725D71" w:rsidP="00886F11">
      <w:pPr>
        <w:ind w:left="851"/>
        <w:rPr>
          <w:iCs/>
          <w:sz w:val="24"/>
          <w:szCs w:val="24"/>
          <w:u w:val="single"/>
        </w:rPr>
      </w:pPr>
    </w:p>
    <w:p w14:paraId="5D6E64ED" w14:textId="2792B972" w:rsidR="00886F11" w:rsidRPr="00FA0C3A" w:rsidRDefault="00886F11" w:rsidP="00886F11">
      <w:pPr>
        <w:ind w:left="851"/>
        <w:rPr>
          <w:iCs/>
          <w:sz w:val="24"/>
          <w:szCs w:val="24"/>
          <w:u w:val="single"/>
        </w:rPr>
      </w:pPr>
      <w:r w:rsidRPr="00FA0C3A">
        <w:rPr>
          <w:iCs/>
          <w:sz w:val="24"/>
          <w:szCs w:val="24"/>
          <w:u w:val="single"/>
        </w:rPr>
        <w:t>Resumé af sikkerhedsprofilen</w:t>
      </w:r>
    </w:p>
    <w:p w14:paraId="6F22BDEC" w14:textId="77777777" w:rsidR="00886F11" w:rsidRPr="00FA0C3A" w:rsidRDefault="00886F11" w:rsidP="00886F11">
      <w:pPr>
        <w:ind w:left="851"/>
        <w:rPr>
          <w:i/>
          <w:iCs/>
          <w:sz w:val="24"/>
          <w:szCs w:val="24"/>
        </w:rPr>
      </w:pPr>
    </w:p>
    <w:p w14:paraId="22DD012B" w14:textId="77777777" w:rsidR="00886F11" w:rsidRPr="00FA0C3A" w:rsidRDefault="00886F11" w:rsidP="00886F11">
      <w:pPr>
        <w:ind w:left="851"/>
        <w:rPr>
          <w:sz w:val="24"/>
          <w:szCs w:val="24"/>
        </w:rPr>
      </w:pPr>
      <w:r w:rsidRPr="00FA0C3A">
        <w:rPr>
          <w:sz w:val="24"/>
          <w:szCs w:val="24"/>
        </w:rPr>
        <w:t xml:space="preserve">Diarré (op til 52,6 %), </w:t>
      </w:r>
      <w:proofErr w:type="spellStart"/>
      <w:r w:rsidRPr="00FA0C3A">
        <w:rPr>
          <w:sz w:val="24"/>
          <w:szCs w:val="24"/>
        </w:rPr>
        <w:t>leukopeni</w:t>
      </w:r>
      <w:proofErr w:type="spellEnd"/>
      <w:r w:rsidRPr="00FA0C3A">
        <w:rPr>
          <w:sz w:val="24"/>
          <w:szCs w:val="24"/>
        </w:rPr>
        <w:t xml:space="preserve"> (op til 45,8 %), bakterieinfektioner (op til 39,9 %) og opkastning (op til 39,1 %) var blandt de mest almindelige og/eller alvorlige bivirkninger i forbindelse med administration af </w:t>
      </w:r>
      <w:proofErr w:type="spellStart"/>
      <w:r w:rsidRPr="00FA0C3A">
        <w:rPr>
          <w:sz w:val="24"/>
          <w:szCs w:val="24"/>
        </w:rPr>
        <w:t>mycophenolatmofetil</w:t>
      </w:r>
      <w:proofErr w:type="spellEnd"/>
      <w:r w:rsidRPr="00FA0C3A">
        <w:rPr>
          <w:sz w:val="24"/>
          <w:szCs w:val="24"/>
        </w:rPr>
        <w:t xml:space="preserve"> i kombination med </w:t>
      </w:r>
      <w:proofErr w:type="spellStart"/>
      <w:r w:rsidRPr="00FA0C3A">
        <w:rPr>
          <w:sz w:val="24"/>
          <w:szCs w:val="24"/>
        </w:rPr>
        <w:t>ciclosporin</w:t>
      </w:r>
      <w:proofErr w:type="spellEnd"/>
      <w:r w:rsidRPr="00FA0C3A">
        <w:rPr>
          <w:sz w:val="24"/>
          <w:szCs w:val="24"/>
        </w:rPr>
        <w:t xml:space="preserve"> og </w:t>
      </w:r>
      <w:proofErr w:type="spellStart"/>
      <w:r w:rsidRPr="00FA0C3A">
        <w:rPr>
          <w:sz w:val="24"/>
          <w:szCs w:val="24"/>
        </w:rPr>
        <w:t>kortikosteroider</w:t>
      </w:r>
      <w:proofErr w:type="spellEnd"/>
      <w:r w:rsidRPr="00FA0C3A">
        <w:rPr>
          <w:sz w:val="24"/>
          <w:szCs w:val="24"/>
        </w:rPr>
        <w:t>. Der er også tegn på større hyppighed af visse typer infektioner (se pkt. 4.4).</w:t>
      </w:r>
    </w:p>
    <w:p w14:paraId="1382A0F8" w14:textId="77777777" w:rsidR="00886F11" w:rsidRPr="00FA0C3A" w:rsidRDefault="00886F11" w:rsidP="00886F11">
      <w:pPr>
        <w:ind w:left="851"/>
        <w:rPr>
          <w:iCs/>
          <w:sz w:val="24"/>
          <w:szCs w:val="24"/>
          <w:u w:val="single"/>
        </w:rPr>
      </w:pPr>
    </w:p>
    <w:p w14:paraId="15661579" w14:textId="77777777" w:rsidR="00886F11" w:rsidRPr="00FA0C3A" w:rsidRDefault="00886F11" w:rsidP="00886F11">
      <w:pPr>
        <w:ind w:left="851"/>
        <w:rPr>
          <w:iCs/>
          <w:sz w:val="24"/>
          <w:szCs w:val="24"/>
          <w:u w:val="single"/>
        </w:rPr>
      </w:pPr>
      <w:r w:rsidRPr="00FA0C3A">
        <w:rPr>
          <w:iCs/>
          <w:sz w:val="24"/>
          <w:szCs w:val="24"/>
          <w:u w:val="single"/>
        </w:rPr>
        <w:t>Skema over bivirkninger</w:t>
      </w:r>
    </w:p>
    <w:p w14:paraId="08529276" w14:textId="77777777" w:rsidR="00886F11" w:rsidRPr="00FA0C3A" w:rsidRDefault="00886F11" w:rsidP="00886F11">
      <w:pPr>
        <w:ind w:left="851"/>
        <w:rPr>
          <w:iCs/>
          <w:sz w:val="24"/>
          <w:szCs w:val="24"/>
          <w:u w:val="single"/>
        </w:rPr>
      </w:pPr>
    </w:p>
    <w:p w14:paraId="62B33022" w14:textId="4E28121A" w:rsidR="00886F11" w:rsidRPr="00FA0C3A" w:rsidRDefault="00886F11" w:rsidP="00725D71">
      <w:pPr>
        <w:autoSpaceDE w:val="0"/>
        <w:autoSpaceDN w:val="0"/>
        <w:adjustRightInd w:val="0"/>
        <w:ind w:left="851"/>
        <w:rPr>
          <w:sz w:val="24"/>
          <w:szCs w:val="24"/>
          <w:u w:val="single"/>
        </w:rPr>
      </w:pPr>
      <w:r w:rsidRPr="00FA0C3A">
        <w:rPr>
          <w:sz w:val="24"/>
          <w:szCs w:val="24"/>
        </w:rPr>
        <w:t xml:space="preserve">Bivirkninger fra de kliniske studier og efter markedsføring er angivet i tabel 1 efter </w:t>
      </w:r>
      <w:proofErr w:type="spellStart"/>
      <w:r w:rsidRPr="00FA0C3A">
        <w:rPr>
          <w:sz w:val="24"/>
          <w:szCs w:val="24"/>
        </w:rPr>
        <w:t>MedDRAs</w:t>
      </w:r>
      <w:proofErr w:type="spellEnd"/>
      <w:r w:rsidRPr="00FA0C3A">
        <w:rPr>
          <w:sz w:val="24"/>
          <w:szCs w:val="24"/>
        </w:rPr>
        <w:t xml:space="preserve"> systemorganklasse og hyppighed. Følgende hyppighedskategorier er anvendt: meget almindelig (≥ 1/10), almindelig (≥ 1/100 til &lt; 1/10), ikke almindelig (≥ 1/1.000 til &lt; 1/100), sjælden (≥ 1/10.000 til &lt; 1/1.000) og meget sjælden (&lt; 1/10.000). Da der er observeret store forskelle i hyppigheden af nogle bivirkninger på tværs af de forskellige transplantat-indikationer, er hyppighederne angivet separat for nyre-, lever- og hjertetransplanterede patienter.</w:t>
      </w:r>
      <w:r w:rsidRPr="00FA0C3A">
        <w:rPr>
          <w:sz w:val="24"/>
          <w:szCs w:val="24"/>
          <w:u w:val="single"/>
        </w:rPr>
        <w:br/>
      </w:r>
    </w:p>
    <w:tbl>
      <w:tblPr>
        <w:tblW w:w="5000" w:type="pct"/>
        <w:tblCellMar>
          <w:left w:w="0" w:type="dxa"/>
          <w:right w:w="0" w:type="dxa"/>
        </w:tblCellMar>
        <w:tblLook w:val="04A0" w:firstRow="1" w:lastRow="0" w:firstColumn="1" w:lastColumn="0" w:noHBand="0" w:noVBand="1"/>
      </w:tblPr>
      <w:tblGrid>
        <w:gridCol w:w="2504"/>
        <w:gridCol w:w="2338"/>
        <w:gridCol w:w="2398"/>
        <w:gridCol w:w="2382"/>
      </w:tblGrid>
      <w:tr w:rsidR="00886F11" w:rsidRPr="00FA0C3A" w14:paraId="7A5F0FC6"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tcPr>
          <w:p w14:paraId="0F4A6F9B" w14:textId="77777777" w:rsidR="00886F11" w:rsidRPr="00FA0C3A" w:rsidRDefault="00886F11">
            <w:pPr>
              <w:kinsoku w:val="0"/>
              <w:overflowPunct w:val="0"/>
              <w:autoSpaceDE w:val="0"/>
              <w:autoSpaceDN w:val="0"/>
              <w:adjustRightInd w:val="0"/>
              <w:spacing w:before="34"/>
              <w:ind w:left="112"/>
              <w:rPr>
                <w:b/>
                <w:bCs/>
                <w:sz w:val="22"/>
                <w:szCs w:val="22"/>
                <w:lang w:val="fi-FI"/>
              </w:rPr>
            </w:pPr>
            <w:r w:rsidRPr="00FA0C3A">
              <w:rPr>
                <w:b/>
                <w:bCs/>
                <w:sz w:val="22"/>
                <w:szCs w:val="22"/>
                <w:lang w:val="fi-FI"/>
              </w:rPr>
              <w:t>Bivirkning</w:t>
            </w:r>
          </w:p>
          <w:p w14:paraId="35A84C53" w14:textId="77777777" w:rsidR="00886F11" w:rsidRPr="00FA0C3A" w:rsidRDefault="00886F11">
            <w:pPr>
              <w:kinsoku w:val="0"/>
              <w:overflowPunct w:val="0"/>
              <w:autoSpaceDE w:val="0"/>
              <w:autoSpaceDN w:val="0"/>
              <w:adjustRightInd w:val="0"/>
              <w:spacing w:before="34"/>
              <w:ind w:left="112"/>
              <w:rPr>
                <w:b/>
                <w:bCs/>
                <w:sz w:val="22"/>
                <w:szCs w:val="22"/>
                <w:lang w:val="fi-FI"/>
              </w:rPr>
            </w:pPr>
            <w:r w:rsidRPr="00FA0C3A">
              <w:rPr>
                <w:b/>
                <w:bCs/>
                <w:sz w:val="22"/>
                <w:szCs w:val="22"/>
                <w:lang w:val="fi-FI"/>
              </w:rPr>
              <w:t>(MedDRA)</w:t>
            </w:r>
          </w:p>
          <w:p w14:paraId="1484DCC7" w14:textId="77777777" w:rsidR="00886F11" w:rsidRPr="00FA0C3A" w:rsidRDefault="00886F11">
            <w:pPr>
              <w:kinsoku w:val="0"/>
              <w:overflowPunct w:val="0"/>
              <w:autoSpaceDE w:val="0"/>
              <w:autoSpaceDN w:val="0"/>
              <w:adjustRightInd w:val="0"/>
              <w:spacing w:before="34"/>
              <w:ind w:left="112"/>
              <w:rPr>
                <w:sz w:val="22"/>
                <w:szCs w:val="22"/>
                <w:lang w:val="fi-FI"/>
              </w:rPr>
            </w:pPr>
          </w:p>
          <w:p w14:paraId="481682D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b/>
                <w:bCs/>
                <w:sz w:val="22"/>
                <w:szCs w:val="22"/>
                <w:lang w:val="fi-FI"/>
              </w:rPr>
              <w:t>Systemorganklasse</w:t>
            </w:r>
          </w:p>
        </w:tc>
        <w:tc>
          <w:tcPr>
            <w:tcW w:w="1215" w:type="pct"/>
            <w:tcBorders>
              <w:top w:val="single" w:sz="6" w:space="0" w:color="000000"/>
              <w:left w:val="single" w:sz="6" w:space="0" w:color="000000"/>
              <w:bottom w:val="single" w:sz="6" w:space="0" w:color="000000"/>
              <w:right w:val="single" w:sz="6" w:space="0" w:color="000000"/>
            </w:tcBorders>
          </w:tcPr>
          <w:p w14:paraId="22A6C6C1" w14:textId="77777777" w:rsidR="00886F11" w:rsidRPr="00FA0C3A" w:rsidRDefault="00886F11">
            <w:pPr>
              <w:kinsoku w:val="0"/>
              <w:overflowPunct w:val="0"/>
              <w:autoSpaceDE w:val="0"/>
              <w:autoSpaceDN w:val="0"/>
              <w:adjustRightInd w:val="0"/>
              <w:spacing w:line="240" w:lineRule="exact"/>
              <w:ind w:left="623" w:right="88" w:hanging="400"/>
              <w:rPr>
                <w:b/>
                <w:bCs/>
                <w:sz w:val="22"/>
                <w:szCs w:val="22"/>
                <w:lang w:val="fi-FI"/>
              </w:rPr>
            </w:pPr>
          </w:p>
          <w:p w14:paraId="7323A09E" w14:textId="77777777" w:rsidR="00886F11" w:rsidRPr="00FA0C3A" w:rsidRDefault="00886F11">
            <w:pPr>
              <w:kinsoku w:val="0"/>
              <w:overflowPunct w:val="0"/>
              <w:autoSpaceDE w:val="0"/>
              <w:autoSpaceDN w:val="0"/>
              <w:adjustRightInd w:val="0"/>
              <w:spacing w:line="240" w:lineRule="exact"/>
              <w:ind w:left="623" w:right="88" w:hanging="400"/>
              <w:rPr>
                <w:sz w:val="22"/>
                <w:szCs w:val="22"/>
                <w:lang w:val="fi-FI"/>
              </w:rPr>
            </w:pPr>
            <w:r w:rsidRPr="00FA0C3A">
              <w:rPr>
                <w:b/>
                <w:bCs/>
                <w:sz w:val="22"/>
                <w:szCs w:val="22"/>
                <w:lang w:val="fi-FI"/>
              </w:rPr>
              <w:t xml:space="preserve">Nyretransplantat </w:t>
            </w:r>
          </w:p>
        </w:tc>
        <w:tc>
          <w:tcPr>
            <w:tcW w:w="1246" w:type="pct"/>
            <w:tcBorders>
              <w:top w:val="single" w:sz="6" w:space="0" w:color="000000"/>
              <w:left w:val="single" w:sz="6" w:space="0" w:color="000000"/>
              <w:bottom w:val="single" w:sz="6" w:space="0" w:color="000000"/>
              <w:right w:val="single" w:sz="6" w:space="0" w:color="000000"/>
            </w:tcBorders>
          </w:tcPr>
          <w:p w14:paraId="38D5CAAE" w14:textId="77777777" w:rsidR="00886F11" w:rsidRPr="00FA0C3A" w:rsidRDefault="00886F11">
            <w:pPr>
              <w:kinsoku w:val="0"/>
              <w:overflowPunct w:val="0"/>
              <w:autoSpaceDE w:val="0"/>
              <w:autoSpaceDN w:val="0"/>
              <w:adjustRightInd w:val="0"/>
              <w:spacing w:line="240" w:lineRule="exact"/>
              <w:ind w:left="624" w:right="49" w:hanging="448"/>
              <w:rPr>
                <w:b/>
                <w:bCs/>
                <w:sz w:val="22"/>
                <w:szCs w:val="22"/>
                <w:lang w:val="fi-FI"/>
              </w:rPr>
            </w:pPr>
          </w:p>
          <w:p w14:paraId="7CCD43A8" w14:textId="77777777" w:rsidR="00886F11" w:rsidRPr="00FA0C3A" w:rsidRDefault="00886F11">
            <w:pPr>
              <w:kinsoku w:val="0"/>
              <w:overflowPunct w:val="0"/>
              <w:autoSpaceDE w:val="0"/>
              <w:autoSpaceDN w:val="0"/>
              <w:adjustRightInd w:val="0"/>
              <w:spacing w:line="240" w:lineRule="exact"/>
              <w:ind w:left="624" w:right="49" w:hanging="448"/>
              <w:rPr>
                <w:sz w:val="22"/>
                <w:szCs w:val="22"/>
                <w:lang w:val="fi-FI"/>
              </w:rPr>
            </w:pPr>
            <w:r w:rsidRPr="00FA0C3A">
              <w:rPr>
                <w:b/>
                <w:bCs/>
                <w:sz w:val="22"/>
                <w:szCs w:val="22"/>
                <w:lang w:val="fi-FI"/>
              </w:rPr>
              <w:t xml:space="preserve">Levertransplantat </w:t>
            </w:r>
          </w:p>
        </w:tc>
        <w:tc>
          <w:tcPr>
            <w:tcW w:w="1238" w:type="pct"/>
            <w:tcBorders>
              <w:top w:val="single" w:sz="6" w:space="0" w:color="000000"/>
              <w:left w:val="single" w:sz="6" w:space="0" w:color="000000"/>
              <w:bottom w:val="single" w:sz="6" w:space="0" w:color="000000"/>
              <w:right w:val="single" w:sz="6" w:space="0" w:color="000000"/>
            </w:tcBorders>
          </w:tcPr>
          <w:p w14:paraId="69A98B0D" w14:textId="77777777" w:rsidR="00886F11" w:rsidRPr="00FA0C3A" w:rsidRDefault="00886F11">
            <w:pPr>
              <w:kinsoku w:val="0"/>
              <w:overflowPunct w:val="0"/>
              <w:autoSpaceDE w:val="0"/>
              <w:autoSpaceDN w:val="0"/>
              <w:adjustRightInd w:val="0"/>
              <w:spacing w:line="240" w:lineRule="exact"/>
              <w:ind w:left="608" w:right="88" w:hanging="464"/>
              <w:rPr>
                <w:b/>
                <w:bCs/>
                <w:sz w:val="22"/>
                <w:szCs w:val="22"/>
                <w:lang w:val="fi-FI"/>
              </w:rPr>
            </w:pPr>
          </w:p>
          <w:p w14:paraId="284857DA" w14:textId="77777777" w:rsidR="00886F11" w:rsidRPr="00FA0C3A" w:rsidRDefault="00886F11">
            <w:pPr>
              <w:kinsoku w:val="0"/>
              <w:overflowPunct w:val="0"/>
              <w:autoSpaceDE w:val="0"/>
              <w:autoSpaceDN w:val="0"/>
              <w:adjustRightInd w:val="0"/>
              <w:spacing w:line="240" w:lineRule="exact"/>
              <w:ind w:left="608" w:right="88" w:hanging="464"/>
              <w:rPr>
                <w:sz w:val="22"/>
                <w:szCs w:val="22"/>
                <w:lang w:val="fi-FI"/>
              </w:rPr>
            </w:pPr>
            <w:r w:rsidRPr="00FA0C3A">
              <w:rPr>
                <w:b/>
                <w:bCs/>
                <w:sz w:val="22"/>
                <w:szCs w:val="22"/>
                <w:lang w:val="fi-FI"/>
              </w:rPr>
              <w:t xml:space="preserve">Hjertetransplantat </w:t>
            </w:r>
          </w:p>
        </w:tc>
      </w:tr>
      <w:tr w:rsidR="00886F11" w:rsidRPr="00FA0C3A" w14:paraId="36AED2D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tcPr>
          <w:p w14:paraId="2BED0702" w14:textId="77777777" w:rsidR="00886F11" w:rsidRPr="00FA0C3A" w:rsidRDefault="00886F11">
            <w:pPr>
              <w:kinsoku w:val="0"/>
              <w:overflowPunct w:val="0"/>
              <w:autoSpaceDE w:val="0"/>
              <w:autoSpaceDN w:val="0"/>
              <w:adjustRightInd w:val="0"/>
              <w:spacing w:before="34"/>
              <w:ind w:left="112"/>
              <w:rPr>
                <w:sz w:val="22"/>
                <w:szCs w:val="22"/>
                <w:lang w:val="fi-FI"/>
              </w:rPr>
            </w:pPr>
          </w:p>
        </w:tc>
        <w:tc>
          <w:tcPr>
            <w:tcW w:w="1215" w:type="pct"/>
            <w:tcBorders>
              <w:top w:val="single" w:sz="6" w:space="0" w:color="000000"/>
              <w:left w:val="single" w:sz="6" w:space="0" w:color="000000"/>
              <w:bottom w:val="single" w:sz="6" w:space="0" w:color="000000"/>
              <w:right w:val="single" w:sz="6" w:space="0" w:color="000000"/>
            </w:tcBorders>
            <w:hideMark/>
          </w:tcPr>
          <w:p w14:paraId="3F3296BE" w14:textId="77777777" w:rsidR="00886F11" w:rsidRPr="00FA0C3A" w:rsidRDefault="00886F11">
            <w:pPr>
              <w:kinsoku w:val="0"/>
              <w:overflowPunct w:val="0"/>
              <w:autoSpaceDE w:val="0"/>
              <w:autoSpaceDN w:val="0"/>
              <w:adjustRightInd w:val="0"/>
              <w:spacing w:before="34"/>
              <w:ind w:left="148" w:right="148"/>
              <w:jc w:val="center"/>
              <w:rPr>
                <w:sz w:val="22"/>
                <w:szCs w:val="22"/>
                <w:lang w:val="fi-FI"/>
              </w:rPr>
            </w:pPr>
            <w:r w:rsidRPr="00FA0C3A">
              <w:rPr>
                <w:sz w:val="22"/>
                <w:szCs w:val="22"/>
                <w:lang w:val="fi-FI"/>
              </w:rPr>
              <w:t>Hyppighed</w:t>
            </w:r>
          </w:p>
        </w:tc>
        <w:tc>
          <w:tcPr>
            <w:tcW w:w="1246" w:type="pct"/>
            <w:tcBorders>
              <w:top w:val="single" w:sz="6" w:space="0" w:color="000000"/>
              <w:left w:val="single" w:sz="6" w:space="0" w:color="000000"/>
              <w:bottom w:val="single" w:sz="6" w:space="0" w:color="000000"/>
              <w:right w:val="single" w:sz="6" w:space="0" w:color="000000"/>
            </w:tcBorders>
            <w:hideMark/>
          </w:tcPr>
          <w:p w14:paraId="12CDC7A6" w14:textId="77777777" w:rsidR="00886F11" w:rsidRPr="00FA0C3A" w:rsidRDefault="00886F11">
            <w:pPr>
              <w:kinsoku w:val="0"/>
              <w:overflowPunct w:val="0"/>
              <w:autoSpaceDE w:val="0"/>
              <w:autoSpaceDN w:val="0"/>
              <w:adjustRightInd w:val="0"/>
              <w:spacing w:before="34"/>
              <w:ind w:left="175" w:right="175"/>
              <w:jc w:val="center"/>
              <w:rPr>
                <w:sz w:val="22"/>
                <w:szCs w:val="22"/>
                <w:lang w:val="fi-FI"/>
              </w:rPr>
            </w:pPr>
            <w:r w:rsidRPr="00FA0C3A">
              <w:rPr>
                <w:sz w:val="22"/>
                <w:szCs w:val="22"/>
                <w:lang w:val="fi-FI"/>
              </w:rPr>
              <w:t>Hyppighed</w:t>
            </w:r>
          </w:p>
        </w:tc>
        <w:tc>
          <w:tcPr>
            <w:tcW w:w="1238" w:type="pct"/>
            <w:tcBorders>
              <w:top w:val="single" w:sz="6" w:space="0" w:color="000000"/>
              <w:left w:val="single" w:sz="6" w:space="0" w:color="000000"/>
              <w:bottom w:val="single" w:sz="6" w:space="0" w:color="000000"/>
              <w:right w:val="single" w:sz="6" w:space="0" w:color="000000"/>
            </w:tcBorders>
            <w:hideMark/>
          </w:tcPr>
          <w:p w14:paraId="7B70EFDC" w14:textId="77777777" w:rsidR="00886F11" w:rsidRPr="00FA0C3A" w:rsidRDefault="00886F11">
            <w:pPr>
              <w:kinsoku w:val="0"/>
              <w:overflowPunct w:val="0"/>
              <w:autoSpaceDE w:val="0"/>
              <w:autoSpaceDN w:val="0"/>
              <w:adjustRightInd w:val="0"/>
              <w:spacing w:before="34"/>
              <w:ind w:left="148" w:right="148"/>
              <w:jc w:val="center"/>
              <w:rPr>
                <w:sz w:val="22"/>
                <w:szCs w:val="22"/>
                <w:lang w:val="fi-FI"/>
              </w:rPr>
            </w:pPr>
            <w:r w:rsidRPr="00FA0C3A">
              <w:rPr>
                <w:sz w:val="22"/>
                <w:szCs w:val="22"/>
                <w:lang w:val="fi-FI"/>
              </w:rPr>
              <w:t>Hyppighed</w:t>
            </w:r>
          </w:p>
        </w:tc>
      </w:tr>
      <w:tr w:rsidR="00886F11" w:rsidRPr="00FA0C3A" w14:paraId="5C43037A"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6BDB6F20"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b/>
                <w:bCs/>
                <w:sz w:val="22"/>
                <w:szCs w:val="22"/>
                <w:lang w:val="fi-FI"/>
              </w:rPr>
              <w:t>Infektioner og parasitære sygdomme</w:t>
            </w:r>
          </w:p>
        </w:tc>
      </w:tr>
      <w:tr w:rsidR="00886F11" w:rsidRPr="00FA0C3A" w14:paraId="2DAF792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1E94C0B"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Bakterielle infektioner</w:t>
            </w:r>
          </w:p>
        </w:tc>
        <w:tc>
          <w:tcPr>
            <w:tcW w:w="1215" w:type="pct"/>
            <w:tcBorders>
              <w:top w:val="single" w:sz="6" w:space="0" w:color="000000"/>
              <w:left w:val="single" w:sz="6" w:space="0" w:color="000000"/>
              <w:bottom w:val="single" w:sz="6" w:space="0" w:color="000000"/>
              <w:right w:val="single" w:sz="6" w:space="0" w:color="000000"/>
            </w:tcBorders>
            <w:hideMark/>
          </w:tcPr>
          <w:p w14:paraId="3E170AF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150CEF8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C4D548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7CFDD80"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FC7D863"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Svampeinfektioner</w:t>
            </w:r>
          </w:p>
        </w:tc>
        <w:tc>
          <w:tcPr>
            <w:tcW w:w="1215" w:type="pct"/>
            <w:tcBorders>
              <w:top w:val="single" w:sz="6" w:space="0" w:color="000000"/>
              <w:left w:val="single" w:sz="6" w:space="0" w:color="000000"/>
              <w:bottom w:val="single" w:sz="6" w:space="0" w:color="000000"/>
              <w:right w:val="single" w:sz="6" w:space="0" w:color="000000"/>
            </w:tcBorders>
            <w:hideMark/>
          </w:tcPr>
          <w:p w14:paraId="70C5142C"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3A3BD6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BA5844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0D296DF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C714533"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Protozoale infektioner</w:t>
            </w:r>
          </w:p>
        </w:tc>
        <w:tc>
          <w:tcPr>
            <w:tcW w:w="1215" w:type="pct"/>
            <w:tcBorders>
              <w:top w:val="single" w:sz="6" w:space="0" w:color="000000"/>
              <w:left w:val="single" w:sz="6" w:space="0" w:color="000000"/>
              <w:bottom w:val="single" w:sz="6" w:space="0" w:color="000000"/>
              <w:right w:val="single" w:sz="6" w:space="0" w:color="000000"/>
            </w:tcBorders>
            <w:hideMark/>
          </w:tcPr>
          <w:p w14:paraId="50789D3A"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E34A2E5"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45A0975"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Ikke almindelig</w:t>
            </w:r>
          </w:p>
        </w:tc>
      </w:tr>
      <w:tr w:rsidR="00886F11" w:rsidRPr="00FA0C3A" w14:paraId="17A44F2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96BCFB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Virale infektioner</w:t>
            </w:r>
          </w:p>
        </w:tc>
        <w:tc>
          <w:tcPr>
            <w:tcW w:w="1215" w:type="pct"/>
            <w:tcBorders>
              <w:top w:val="single" w:sz="6" w:space="0" w:color="000000"/>
              <w:left w:val="single" w:sz="6" w:space="0" w:color="000000"/>
              <w:bottom w:val="single" w:sz="6" w:space="0" w:color="000000"/>
              <w:right w:val="single" w:sz="6" w:space="0" w:color="000000"/>
            </w:tcBorders>
            <w:hideMark/>
          </w:tcPr>
          <w:p w14:paraId="080C10B9"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1EA4500"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365E8E5"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417A486"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157CE987" w14:textId="77777777" w:rsidR="00886F11" w:rsidRPr="00FA0C3A" w:rsidRDefault="00886F11">
            <w:pPr>
              <w:kinsoku w:val="0"/>
              <w:overflowPunct w:val="0"/>
              <w:autoSpaceDE w:val="0"/>
              <w:autoSpaceDN w:val="0"/>
              <w:adjustRightInd w:val="0"/>
              <w:spacing w:before="18"/>
              <w:ind w:left="112"/>
              <w:rPr>
                <w:sz w:val="22"/>
                <w:szCs w:val="22"/>
              </w:rPr>
            </w:pPr>
            <w:r w:rsidRPr="00FA0C3A">
              <w:rPr>
                <w:b/>
                <w:bCs/>
                <w:sz w:val="22"/>
                <w:szCs w:val="22"/>
              </w:rPr>
              <w:t>Benigne, maligne og uspecificerede neoplasmer (inkl. cyster og polypper)</w:t>
            </w:r>
          </w:p>
        </w:tc>
      </w:tr>
      <w:tr w:rsidR="00886F11" w:rsidRPr="00FA0C3A" w14:paraId="66E4D71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A0FA9A2" w14:textId="77777777" w:rsidR="00886F11" w:rsidRPr="00FA0C3A" w:rsidRDefault="00886F11">
            <w:pPr>
              <w:kinsoku w:val="0"/>
              <w:overflowPunct w:val="0"/>
              <w:autoSpaceDE w:val="0"/>
              <w:autoSpaceDN w:val="0"/>
              <w:adjustRightInd w:val="0"/>
              <w:spacing w:line="240" w:lineRule="exact"/>
              <w:ind w:left="112" w:right="124"/>
              <w:rPr>
                <w:sz w:val="22"/>
                <w:szCs w:val="22"/>
                <w:lang w:val="fi-FI"/>
              </w:rPr>
            </w:pPr>
            <w:r w:rsidRPr="00FA0C3A">
              <w:rPr>
                <w:sz w:val="22"/>
                <w:szCs w:val="22"/>
                <w:lang w:val="fi-FI"/>
              </w:rPr>
              <w:t>Benignt neoplasme af huden</w:t>
            </w:r>
          </w:p>
        </w:tc>
        <w:tc>
          <w:tcPr>
            <w:tcW w:w="1215" w:type="pct"/>
            <w:tcBorders>
              <w:top w:val="single" w:sz="6" w:space="0" w:color="000000"/>
              <w:left w:val="single" w:sz="6" w:space="0" w:color="000000"/>
              <w:bottom w:val="single" w:sz="6" w:space="0" w:color="000000"/>
              <w:right w:val="single" w:sz="6" w:space="0" w:color="000000"/>
            </w:tcBorders>
            <w:hideMark/>
          </w:tcPr>
          <w:p w14:paraId="55EB768E" w14:textId="77777777" w:rsidR="00886F11" w:rsidRPr="00FA0C3A" w:rsidRDefault="00886F11">
            <w:pPr>
              <w:kinsoku w:val="0"/>
              <w:overflowPunct w:val="0"/>
              <w:autoSpaceDE w:val="0"/>
              <w:autoSpaceDN w:val="0"/>
              <w:adjustRightInd w:val="0"/>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5300319" w14:textId="77777777" w:rsidR="00886F11" w:rsidRPr="00FA0C3A" w:rsidRDefault="00886F11">
            <w:pPr>
              <w:kinsoku w:val="0"/>
              <w:overflowPunct w:val="0"/>
              <w:autoSpaceDE w:val="0"/>
              <w:autoSpaceDN w:val="0"/>
              <w:adjustRightInd w:val="0"/>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DF3A3EE" w14:textId="77777777" w:rsidR="00886F11" w:rsidRPr="00FA0C3A" w:rsidRDefault="00886F11">
            <w:pPr>
              <w:kinsoku w:val="0"/>
              <w:overflowPunct w:val="0"/>
              <w:autoSpaceDE w:val="0"/>
              <w:autoSpaceDN w:val="0"/>
              <w:adjustRightInd w:val="0"/>
              <w:ind w:left="123" w:right="151"/>
              <w:jc w:val="center"/>
              <w:rPr>
                <w:sz w:val="22"/>
                <w:szCs w:val="22"/>
                <w:lang w:val="fi-FI"/>
              </w:rPr>
            </w:pPr>
            <w:r w:rsidRPr="00FA0C3A">
              <w:rPr>
                <w:sz w:val="22"/>
                <w:szCs w:val="22"/>
                <w:lang w:val="fi-FI"/>
              </w:rPr>
              <w:t>Almindelig</w:t>
            </w:r>
          </w:p>
        </w:tc>
      </w:tr>
      <w:tr w:rsidR="00886F11" w:rsidRPr="00FA0C3A" w14:paraId="6032DD9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41CBAA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Lymfom</w:t>
            </w:r>
          </w:p>
        </w:tc>
        <w:tc>
          <w:tcPr>
            <w:tcW w:w="1215" w:type="pct"/>
            <w:tcBorders>
              <w:top w:val="single" w:sz="6" w:space="0" w:color="000000"/>
              <w:left w:val="single" w:sz="6" w:space="0" w:color="000000"/>
              <w:bottom w:val="single" w:sz="6" w:space="0" w:color="000000"/>
              <w:right w:val="single" w:sz="6" w:space="0" w:color="000000"/>
            </w:tcBorders>
            <w:hideMark/>
          </w:tcPr>
          <w:p w14:paraId="0D31EAC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4F084754"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BA55176"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3E6031B3"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A6B5C12"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Lymfoproliferativ lidelse</w:t>
            </w:r>
          </w:p>
        </w:tc>
        <w:tc>
          <w:tcPr>
            <w:tcW w:w="1215" w:type="pct"/>
            <w:tcBorders>
              <w:top w:val="single" w:sz="6" w:space="0" w:color="000000"/>
              <w:left w:val="single" w:sz="6" w:space="0" w:color="000000"/>
              <w:bottom w:val="single" w:sz="6" w:space="0" w:color="000000"/>
              <w:right w:val="single" w:sz="6" w:space="0" w:color="000000"/>
            </w:tcBorders>
            <w:hideMark/>
          </w:tcPr>
          <w:p w14:paraId="23B7E832"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61538ED8"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D9BD5A6"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Ikke almindelig</w:t>
            </w:r>
          </w:p>
        </w:tc>
      </w:tr>
      <w:tr w:rsidR="00886F11" w:rsidRPr="00FA0C3A" w14:paraId="28A6ED1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B5F6531"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Neoplasme</w:t>
            </w:r>
          </w:p>
        </w:tc>
        <w:tc>
          <w:tcPr>
            <w:tcW w:w="1215" w:type="pct"/>
            <w:tcBorders>
              <w:top w:val="single" w:sz="6" w:space="0" w:color="000000"/>
              <w:left w:val="single" w:sz="6" w:space="0" w:color="000000"/>
              <w:bottom w:val="single" w:sz="6" w:space="0" w:color="000000"/>
              <w:right w:val="single" w:sz="6" w:space="0" w:color="000000"/>
            </w:tcBorders>
            <w:hideMark/>
          </w:tcPr>
          <w:p w14:paraId="65B9AF03"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F7BF85C"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1F394F8"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Almindelig</w:t>
            </w:r>
          </w:p>
        </w:tc>
      </w:tr>
      <w:tr w:rsidR="00886F11" w:rsidRPr="00FA0C3A" w14:paraId="5ACB0A3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6E2AD6D"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Hudkræft</w:t>
            </w:r>
          </w:p>
        </w:tc>
        <w:tc>
          <w:tcPr>
            <w:tcW w:w="1215" w:type="pct"/>
            <w:tcBorders>
              <w:top w:val="single" w:sz="6" w:space="0" w:color="000000"/>
              <w:left w:val="single" w:sz="6" w:space="0" w:color="000000"/>
              <w:bottom w:val="single" w:sz="6" w:space="0" w:color="000000"/>
              <w:right w:val="single" w:sz="6" w:space="0" w:color="000000"/>
            </w:tcBorders>
            <w:hideMark/>
          </w:tcPr>
          <w:p w14:paraId="6124042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3DC0A9BB"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33C490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4F451F06"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3A544E1A"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b/>
                <w:bCs/>
                <w:sz w:val="22"/>
                <w:szCs w:val="22"/>
                <w:lang w:val="fi-FI"/>
              </w:rPr>
              <w:t>Blod og lymfesystem</w:t>
            </w:r>
          </w:p>
        </w:tc>
      </w:tr>
      <w:tr w:rsidR="00886F11" w:rsidRPr="00FA0C3A" w14:paraId="407E3F80"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9C4126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Anæmi</w:t>
            </w:r>
          </w:p>
        </w:tc>
        <w:tc>
          <w:tcPr>
            <w:tcW w:w="1215" w:type="pct"/>
            <w:tcBorders>
              <w:top w:val="single" w:sz="6" w:space="0" w:color="000000"/>
              <w:left w:val="single" w:sz="6" w:space="0" w:color="000000"/>
              <w:bottom w:val="single" w:sz="6" w:space="0" w:color="000000"/>
              <w:right w:val="single" w:sz="6" w:space="0" w:color="000000"/>
            </w:tcBorders>
            <w:hideMark/>
          </w:tcPr>
          <w:p w14:paraId="6201EDF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7F13686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6986C44"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5FEC67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656E053" w14:textId="77777777" w:rsidR="00886F11" w:rsidRPr="00FA0C3A" w:rsidRDefault="00886F11">
            <w:pPr>
              <w:kinsoku w:val="0"/>
              <w:overflowPunct w:val="0"/>
              <w:autoSpaceDE w:val="0"/>
              <w:autoSpaceDN w:val="0"/>
              <w:adjustRightInd w:val="0"/>
              <w:ind w:left="112" w:right="688"/>
              <w:rPr>
                <w:sz w:val="22"/>
                <w:szCs w:val="22"/>
                <w:lang w:val="en-US"/>
              </w:rPr>
            </w:pPr>
            <w:r w:rsidRPr="00FA0C3A">
              <w:rPr>
                <w:sz w:val="22"/>
                <w:szCs w:val="22"/>
                <w:lang w:val="en-US"/>
              </w:rPr>
              <w:t>Pure red cell aplasia (PRCA)</w:t>
            </w:r>
          </w:p>
        </w:tc>
        <w:tc>
          <w:tcPr>
            <w:tcW w:w="1215" w:type="pct"/>
            <w:tcBorders>
              <w:top w:val="single" w:sz="6" w:space="0" w:color="000000"/>
              <w:left w:val="single" w:sz="6" w:space="0" w:color="000000"/>
              <w:bottom w:val="single" w:sz="6" w:space="0" w:color="000000"/>
              <w:right w:val="single" w:sz="6" w:space="0" w:color="000000"/>
            </w:tcBorders>
            <w:hideMark/>
          </w:tcPr>
          <w:p w14:paraId="0DE8AD4B" w14:textId="77777777" w:rsidR="00886F11" w:rsidRPr="00FA0C3A" w:rsidRDefault="00886F11">
            <w:pPr>
              <w:kinsoku w:val="0"/>
              <w:overflowPunct w:val="0"/>
              <w:autoSpaceDE w:val="0"/>
              <w:autoSpaceDN w:val="0"/>
              <w:adjustRightInd w:val="0"/>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24CC142" w14:textId="77777777" w:rsidR="00886F11" w:rsidRPr="00FA0C3A" w:rsidRDefault="00886F11">
            <w:pPr>
              <w:kinsoku w:val="0"/>
              <w:overflowPunct w:val="0"/>
              <w:autoSpaceDE w:val="0"/>
              <w:autoSpaceDN w:val="0"/>
              <w:adjustRightInd w:val="0"/>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59EBE7E" w14:textId="77777777" w:rsidR="00886F11" w:rsidRPr="00FA0C3A" w:rsidRDefault="00886F11">
            <w:pPr>
              <w:kinsoku w:val="0"/>
              <w:overflowPunct w:val="0"/>
              <w:autoSpaceDE w:val="0"/>
              <w:autoSpaceDN w:val="0"/>
              <w:adjustRightInd w:val="0"/>
              <w:ind w:left="123" w:right="151"/>
              <w:jc w:val="center"/>
              <w:rPr>
                <w:sz w:val="22"/>
                <w:szCs w:val="22"/>
                <w:lang w:val="fi-FI"/>
              </w:rPr>
            </w:pPr>
            <w:r w:rsidRPr="00FA0C3A">
              <w:rPr>
                <w:sz w:val="22"/>
                <w:szCs w:val="22"/>
                <w:lang w:val="fi-FI"/>
              </w:rPr>
              <w:t>Ikke almindelig</w:t>
            </w:r>
          </w:p>
        </w:tc>
      </w:tr>
      <w:tr w:rsidR="00886F11" w:rsidRPr="00FA0C3A" w14:paraId="0B5DCC8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A114D4D"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Knoglemarvssvigt</w:t>
            </w:r>
          </w:p>
        </w:tc>
        <w:tc>
          <w:tcPr>
            <w:tcW w:w="1215" w:type="pct"/>
            <w:tcBorders>
              <w:top w:val="single" w:sz="6" w:space="0" w:color="000000"/>
              <w:left w:val="single" w:sz="6" w:space="0" w:color="000000"/>
              <w:bottom w:val="single" w:sz="6" w:space="0" w:color="000000"/>
              <w:right w:val="single" w:sz="6" w:space="0" w:color="000000"/>
            </w:tcBorders>
            <w:hideMark/>
          </w:tcPr>
          <w:p w14:paraId="14CF5D1D"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7233E8B7"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C73A3C0"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Ikke almindelig</w:t>
            </w:r>
          </w:p>
        </w:tc>
      </w:tr>
      <w:tr w:rsidR="00886F11" w:rsidRPr="00FA0C3A" w14:paraId="18ED7D56"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87D01D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Ekkymose</w:t>
            </w:r>
          </w:p>
        </w:tc>
        <w:tc>
          <w:tcPr>
            <w:tcW w:w="1215" w:type="pct"/>
            <w:tcBorders>
              <w:top w:val="single" w:sz="6" w:space="0" w:color="000000"/>
              <w:left w:val="single" w:sz="6" w:space="0" w:color="000000"/>
              <w:bottom w:val="single" w:sz="6" w:space="0" w:color="000000"/>
              <w:right w:val="single" w:sz="6" w:space="0" w:color="000000"/>
            </w:tcBorders>
            <w:hideMark/>
          </w:tcPr>
          <w:p w14:paraId="5EBD171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72B6962"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776858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6E9BECD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9EE184B"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Leukocytose</w:t>
            </w:r>
          </w:p>
        </w:tc>
        <w:tc>
          <w:tcPr>
            <w:tcW w:w="1215" w:type="pct"/>
            <w:tcBorders>
              <w:top w:val="single" w:sz="6" w:space="0" w:color="000000"/>
              <w:left w:val="single" w:sz="6" w:space="0" w:color="000000"/>
              <w:bottom w:val="single" w:sz="6" w:space="0" w:color="000000"/>
              <w:right w:val="single" w:sz="6" w:space="0" w:color="000000"/>
            </w:tcBorders>
            <w:hideMark/>
          </w:tcPr>
          <w:p w14:paraId="6E26DD1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3FCD87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609BCC6"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456E7B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ED8F58D"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Leukopeni</w:t>
            </w:r>
          </w:p>
        </w:tc>
        <w:tc>
          <w:tcPr>
            <w:tcW w:w="1215" w:type="pct"/>
            <w:tcBorders>
              <w:top w:val="single" w:sz="6" w:space="0" w:color="000000"/>
              <w:left w:val="single" w:sz="6" w:space="0" w:color="000000"/>
              <w:bottom w:val="single" w:sz="6" w:space="0" w:color="000000"/>
              <w:right w:val="single" w:sz="6" w:space="0" w:color="000000"/>
            </w:tcBorders>
            <w:hideMark/>
          </w:tcPr>
          <w:p w14:paraId="14510428"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03193599" w14:textId="77777777" w:rsidR="00886F11" w:rsidRPr="00FA0C3A" w:rsidRDefault="00886F11">
            <w:pPr>
              <w:kinsoku w:val="0"/>
              <w:overflowPunct w:val="0"/>
              <w:autoSpaceDE w:val="0"/>
              <w:autoSpaceDN w:val="0"/>
              <w:adjustRightInd w:val="0"/>
              <w:spacing w:before="18"/>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929D17F"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Meget almindelig</w:t>
            </w:r>
          </w:p>
        </w:tc>
      </w:tr>
      <w:tr w:rsidR="00886F11" w:rsidRPr="00FA0C3A" w14:paraId="2059AFDC"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503CAD2"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Pancytopeni</w:t>
            </w:r>
          </w:p>
        </w:tc>
        <w:tc>
          <w:tcPr>
            <w:tcW w:w="1215" w:type="pct"/>
            <w:tcBorders>
              <w:top w:val="single" w:sz="6" w:space="0" w:color="000000"/>
              <w:left w:val="single" w:sz="6" w:space="0" w:color="000000"/>
              <w:bottom w:val="single" w:sz="6" w:space="0" w:color="000000"/>
              <w:right w:val="single" w:sz="6" w:space="0" w:color="000000"/>
            </w:tcBorders>
            <w:hideMark/>
          </w:tcPr>
          <w:p w14:paraId="1D88996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C70F5D5"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3493ACD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7DEC6F5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BBC4DE9"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Pseudolymfom</w:t>
            </w:r>
          </w:p>
        </w:tc>
        <w:tc>
          <w:tcPr>
            <w:tcW w:w="1215" w:type="pct"/>
            <w:tcBorders>
              <w:top w:val="single" w:sz="6" w:space="0" w:color="000000"/>
              <w:left w:val="single" w:sz="6" w:space="0" w:color="000000"/>
              <w:bottom w:val="single" w:sz="6" w:space="0" w:color="000000"/>
              <w:right w:val="single" w:sz="6" w:space="0" w:color="000000"/>
            </w:tcBorders>
            <w:hideMark/>
          </w:tcPr>
          <w:p w14:paraId="7205A5F4"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DBC7853"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260FD91"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Almindelig</w:t>
            </w:r>
          </w:p>
        </w:tc>
      </w:tr>
      <w:tr w:rsidR="00886F11" w:rsidRPr="00FA0C3A" w14:paraId="6F446CF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278BB11"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Trombocytopeni</w:t>
            </w:r>
          </w:p>
        </w:tc>
        <w:tc>
          <w:tcPr>
            <w:tcW w:w="1215" w:type="pct"/>
            <w:tcBorders>
              <w:top w:val="single" w:sz="6" w:space="0" w:color="000000"/>
              <w:left w:val="single" w:sz="6" w:space="0" w:color="000000"/>
              <w:bottom w:val="single" w:sz="6" w:space="0" w:color="000000"/>
              <w:right w:val="single" w:sz="6" w:space="0" w:color="000000"/>
            </w:tcBorders>
            <w:hideMark/>
          </w:tcPr>
          <w:p w14:paraId="1CAD6042"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25278CD"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0F12C7B"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Meget almindelig</w:t>
            </w:r>
          </w:p>
        </w:tc>
      </w:tr>
      <w:tr w:rsidR="00886F11" w:rsidRPr="00FA0C3A" w14:paraId="738984FC"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2F15D49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b/>
                <w:bCs/>
                <w:sz w:val="22"/>
                <w:szCs w:val="22"/>
                <w:lang w:val="fi-FI"/>
              </w:rPr>
              <w:t>Metabolisme og ernæring</w:t>
            </w:r>
          </w:p>
        </w:tc>
      </w:tr>
      <w:tr w:rsidR="00886F11" w:rsidRPr="00FA0C3A" w14:paraId="5219F63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DBFB978"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Acidose</w:t>
            </w:r>
          </w:p>
        </w:tc>
        <w:tc>
          <w:tcPr>
            <w:tcW w:w="1215" w:type="pct"/>
            <w:tcBorders>
              <w:top w:val="single" w:sz="6" w:space="0" w:color="000000"/>
              <w:left w:val="single" w:sz="6" w:space="0" w:color="000000"/>
              <w:bottom w:val="single" w:sz="6" w:space="0" w:color="000000"/>
              <w:right w:val="single" w:sz="6" w:space="0" w:color="000000"/>
            </w:tcBorders>
            <w:hideMark/>
          </w:tcPr>
          <w:p w14:paraId="3F3B2F99"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C9DD5ED"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E24BAAB"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Meget almindelig</w:t>
            </w:r>
          </w:p>
        </w:tc>
      </w:tr>
      <w:tr w:rsidR="00886F11" w:rsidRPr="00FA0C3A" w14:paraId="139DE4F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908138B"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Hyperkolesterolæmi</w:t>
            </w:r>
          </w:p>
        </w:tc>
        <w:tc>
          <w:tcPr>
            <w:tcW w:w="1215" w:type="pct"/>
            <w:tcBorders>
              <w:top w:val="single" w:sz="6" w:space="0" w:color="000000"/>
              <w:left w:val="single" w:sz="6" w:space="0" w:color="000000"/>
              <w:bottom w:val="single" w:sz="6" w:space="0" w:color="000000"/>
              <w:right w:val="single" w:sz="6" w:space="0" w:color="000000"/>
            </w:tcBorders>
            <w:hideMark/>
          </w:tcPr>
          <w:p w14:paraId="55E29AB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7156CC9A"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9F4138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16F823D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B65465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Hyperglykæmi</w:t>
            </w:r>
          </w:p>
        </w:tc>
        <w:tc>
          <w:tcPr>
            <w:tcW w:w="1215" w:type="pct"/>
            <w:tcBorders>
              <w:top w:val="single" w:sz="6" w:space="0" w:color="000000"/>
              <w:left w:val="single" w:sz="6" w:space="0" w:color="000000"/>
              <w:bottom w:val="single" w:sz="6" w:space="0" w:color="000000"/>
              <w:right w:val="single" w:sz="6" w:space="0" w:color="000000"/>
            </w:tcBorders>
            <w:hideMark/>
          </w:tcPr>
          <w:p w14:paraId="674898C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719D8F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65A5714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1F56BCA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884920D"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Hyperkaliæmi</w:t>
            </w:r>
          </w:p>
        </w:tc>
        <w:tc>
          <w:tcPr>
            <w:tcW w:w="1215" w:type="pct"/>
            <w:tcBorders>
              <w:top w:val="single" w:sz="6" w:space="0" w:color="000000"/>
              <w:left w:val="single" w:sz="6" w:space="0" w:color="000000"/>
              <w:bottom w:val="single" w:sz="6" w:space="0" w:color="000000"/>
              <w:right w:val="single" w:sz="6" w:space="0" w:color="000000"/>
            </w:tcBorders>
            <w:hideMark/>
          </w:tcPr>
          <w:p w14:paraId="20E3E27A"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1742F6B" w14:textId="77777777" w:rsidR="00886F11" w:rsidRPr="00FA0C3A" w:rsidRDefault="00886F11">
            <w:pPr>
              <w:kinsoku w:val="0"/>
              <w:overflowPunct w:val="0"/>
              <w:autoSpaceDE w:val="0"/>
              <w:autoSpaceDN w:val="0"/>
              <w:adjustRightInd w:val="0"/>
              <w:spacing w:before="18"/>
              <w:ind w:left="176"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14C188D"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Meget almindelig</w:t>
            </w:r>
          </w:p>
        </w:tc>
      </w:tr>
      <w:tr w:rsidR="00886F11" w:rsidRPr="00FA0C3A" w14:paraId="0420EED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D902DE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Hyperlipidæmi</w:t>
            </w:r>
          </w:p>
        </w:tc>
        <w:tc>
          <w:tcPr>
            <w:tcW w:w="1215" w:type="pct"/>
            <w:tcBorders>
              <w:top w:val="single" w:sz="6" w:space="0" w:color="000000"/>
              <w:left w:val="single" w:sz="6" w:space="0" w:color="000000"/>
              <w:bottom w:val="single" w:sz="6" w:space="0" w:color="000000"/>
              <w:right w:val="single" w:sz="6" w:space="0" w:color="000000"/>
            </w:tcBorders>
            <w:hideMark/>
          </w:tcPr>
          <w:p w14:paraId="7F3EE670"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B1B54DE" w14:textId="77777777" w:rsidR="00886F11" w:rsidRPr="00FA0C3A" w:rsidRDefault="00886F11">
            <w:pPr>
              <w:kinsoku w:val="0"/>
              <w:overflowPunct w:val="0"/>
              <w:autoSpaceDE w:val="0"/>
              <w:autoSpaceDN w:val="0"/>
              <w:adjustRightInd w:val="0"/>
              <w:spacing w:before="34"/>
              <w:ind w:left="176"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2939DFE"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E576D2F"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E779893"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Hypocalcæmi</w:t>
            </w:r>
          </w:p>
        </w:tc>
        <w:tc>
          <w:tcPr>
            <w:tcW w:w="1215" w:type="pct"/>
            <w:tcBorders>
              <w:top w:val="single" w:sz="6" w:space="0" w:color="000000"/>
              <w:left w:val="single" w:sz="6" w:space="0" w:color="000000"/>
              <w:bottom w:val="single" w:sz="6" w:space="0" w:color="000000"/>
              <w:right w:val="single" w:sz="6" w:space="0" w:color="000000"/>
            </w:tcBorders>
            <w:hideMark/>
          </w:tcPr>
          <w:p w14:paraId="4D2543E0"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9A9C79C" w14:textId="77777777" w:rsidR="00886F11" w:rsidRPr="00FA0C3A" w:rsidRDefault="00886F11">
            <w:pPr>
              <w:kinsoku w:val="0"/>
              <w:overflowPunct w:val="0"/>
              <w:autoSpaceDE w:val="0"/>
              <w:autoSpaceDN w:val="0"/>
              <w:adjustRightInd w:val="0"/>
              <w:spacing w:before="18"/>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15B8057"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Almindelig</w:t>
            </w:r>
          </w:p>
        </w:tc>
      </w:tr>
      <w:tr w:rsidR="00886F11" w:rsidRPr="00FA0C3A" w14:paraId="35558EC0"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B048D59" w14:textId="77777777" w:rsidR="00886F11" w:rsidRPr="00FA0C3A" w:rsidRDefault="00886F11">
            <w:pPr>
              <w:kinsoku w:val="0"/>
              <w:overflowPunct w:val="0"/>
              <w:autoSpaceDE w:val="0"/>
              <w:autoSpaceDN w:val="0"/>
              <w:adjustRightInd w:val="0"/>
              <w:spacing w:before="18"/>
              <w:ind w:left="112"/>
              <w:rPr>
                <w:sz w:val="22"/>
                <w:szCs w:val="22"/>
                <w:lang w:val="fi-FI"/>
              </w:rPr>
            </w:pPr>
            <w:r w:rsidRPr="00FA0C3A">
              <w:rPr>
                <w:sz w:val="22"/>
                <w:szCs w:val="22"/>
                <w:lang w:val="fi-FI"/>
              </w:rPr>
              <w:t>Hypokaliæmi</w:t>
            </w:r>
          </w:p>
        </w:tc>
        <w:tc>
          <w:tcPr>
            <w:tcW w:w="1215" w:type="pct"/>
            <w:tcBorders>
              <w:top w:val="single" w:sz="6" w:space="0" w:color="000000"/>
              <w:left w:val="single" w:sz="6" w:space="0" w:color="000000"/>
              <w:bottom w:val="single" w:sz="6" w:space="0" w:color="000000"/>
              <w:right w:val="single" w:sz="6" w:space="0" w:color="000000"/>
            </w:tcBorders>
            <w:hideMark/>
          </w:tcPr>
          <w:p w14:paraId="58AF710A" w14:textId="77777777" w:rsidR="00886F11" w:rsidRPr="00FA0C3A" w:rsidRDefault="00886F11">
            <w:pPr>
              <w:kinsoku w:val="0"/>
              <w:overflowPunct w:val="0"/>
              <w:autoSpaceDE w:val="0"/>
              <w:autoSpaceDN w:val="0"/>
              <w:adjustRightInd w:val="0"/>
              <w:spacing w:before="18"/>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D906113" w14:textId="77777777" w:rsidR="00886F11" w:rsidRPr="00FA0C3A" w:rsidRDefault="00886F11">
            <w:pPr>
              <w:kinsoku w:val="0"/>
              <w:overflowPunct w:val="0"/>
              <w:autoSpaceDE w:val="0"/>
              <w:autoSpaceDN w:val="0"/>
              <w:adjustRightInd w:val="0"/>
              <w:spacing w:before="18"/>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6E90AF2" w14:textId="77777777" w:rsidR="00886F11" w:rsidRPr="00FA0C3A" w:rsidRDefault="00886F11">
            <w:pPr>
              <w:kinsoku w:val="0"/>
              <w:overflowPunct w:val="0"/>
              <w:autoSpaceDE w:val="0"/>
              <w:autoSpaceDN w:val="0"/>
              <w:adjustRightInd w:val="0"/>
              <w:spacing w:before="18"/>
              <w:ind w:left="123" w:right="151"/>
              <w:jc w:val="center"/>
              <w:rPr>
                <w:sz w:val="22"/>
                <w:szCs w:val="22"/>
                <w:lang w:val="fi-FI"/>
              </w:rPr>
            </w:pPr>
            <w:r w:rsidRPr="00FA0C3A">
              <w:rPr>
                <w:sz w:val="22"/>
                <w:szCs w:val="22"/>
                <w:lang w:val="fi-FI"/>
              </w:rPr>
              <w:t>Meget almindelig</w:t>
            </w:r>
          </w:p>
        </w:tc>
      </w:tr>
      <w:tr w:rsidR="00886F11" w:rsidRPr="00FA0C3A" w14:paraId="177F49DF"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E52355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Hypomagnesæmi</w:t>
            </w:r>
          </w:p>
        </w:tc>
        <w:tc>
          <w:tcPr>
            <w:tcW w:w="1215" w:type="pct"/>
            <w:tcBorders>
              <w:top w:val="single" w:sz="6" w:space="0" w:color="000000"/>
              <w:left w:val="single" w:sz="6" w:space="0" w:color="000000"/>
              <w:bottom w:val="single" w:sz="6" w:space="0" w:color="000000"/>
              <w:right w:val="single" w:sz="6" w:space="0" w:color="000000"/>
            </w:tcBorders>
            <w:hideMark/>
          </w:tcPr>
          <w:p w14:paraId="22D613E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9C6DDC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D364EF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4E3DC1F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941AD1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Hypofosfatæmi</w:t>
            </w:r>
          </w:p>
        </w:tc>
        <w:tc>
          <w:tcPr>
            <w:tcW w:w="1215" w:type="pct"/>
            <w:tcBorders>
              <w:top w:val="single" w:sz="6" w:space="0" w:color="000000"/>
              <w:left w:val="single" w:sz="6" w:space="0" w:color="000000"/>
              <w:bottom w:val="single" w:sz="6" w:space="0" w:color="000000"/>
              <w:right w:val="single" w:sz="6" w:space="0" w:color="000000"/>
            </w:tcBorders>
            <w:hideMark/>
          </w:tcPr>
          <w:p w14:paraId="3799B387"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1E89250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E5E2F0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13429D9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2478FC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Hyperurikæmi</w:t>
            </w:r>
          </w:p>
        </w:tc>
        <w:tc>
          <w:tcPr>
            <w:tcW w:w="1215" w:type="pct"/>
            <w:tcBorders>
              <w:top w:val="single" w:sz="6" w:space="0" w:color="000000"/>
              <w:left w:val="single" w:sz="6" w:space="0" w:color="000000"/>
              <w:bottom w:val="single" w:sz="6" w:space="0" w:color="000000"/>
              <w:right w:val="single" w:sz="6" w:space="0" w:color="000000"/>
            </w:tcBorders>
            <w:hideMark/>
          </w:tcPr>
          <w:p w14:paraId="7E62A33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91C9FD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4A2BF42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5C6A48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DA380E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Arthritis urica</w:t>
            </w:r>
          </w:p>
        </w:tc>
        <w:tc>
          <w:tcPr>
            <w:tcW w:w="1215" w:type="pct"/>
            <w:tcBorders>
              <w:top w:val="single" w:sz="6" w:space="0" w:color="000000"/>
              <w:left w:val="single" w:sz="6" w:space="0" w:color="000000"/>
              <w:bottom w:val="single" w:sz="6" w:space="0" w:color="000000"/>
              <w:right w:val="single" w:sz="6" w:space="0" w:color="000000"/>
            </w:tcBorders>
            <w:hideMark/>
          </w:tcPr>
          <w:p w14:paraId="0494940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2FFAB48"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355AC1B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639808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0A1E1F2"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Vægttab</w:t>
            </w:r>
          </w:p>
        </w:tc>
        <w:tc>
          <w:tcPr>
            <w:tcW w:w="1215" w:type="pct"/>
            <w:tcBorders>
              <w:top w:val="single" w:sz="6" w:space="0" w:color="000000"/>
              <w:left w:val="single" w:sz="6" w:space="0" w:color="000000"/>
              <w:bottom w:val="single" w:sz="6" w:space="0" w:color="000000"/>
              <w:right w:val="single" w:sz="6" w:space="0" w:color="000000"/>
            </w:tcBorders>
            <w:hideMark/>
          </w:tcPr>
          <w:p w14:paraId="3D65EF2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A93CC9D"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631D4DAB"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1E224C4F"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170461A2"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Psykiske forstyrrelser</w:t>
            </w:r>
          </w:p>
        </w:tc>
      </w:tr>
      <w:tr w:rsidR="00886F11" w:rsidRPr="00FA0C3A" w14:paraId="029C0B9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4D63EF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Konfusion</w:t>
            </w:r>
          </w:p>
        </w:tc>
        <w:tc>
          <w:tcPr>
            <w:tcW w:w="1215" w:type="pct"/>
            <w:tcBorders>
              <w:top w:val="single" w:sz="6" w:space="0" w:color="000000"/>
              <w:left w:val="single" w:sz="6" w:space="0" w:color="000000"/>
              <w:bottom w:val="single" w:sz="6" w:space="0" w:color="000000"/>
              <w:right w:val="single" w:sz="6" w:space="0" w:color="000000"/>
            </w:tcBorders>
            <w:hideMark/>
          </w:tcPr>
          <w:p w14:paraId="4A3AD33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DC5A90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32F1D59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7AB0E7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774DAB3"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Depression</w:t>
            </w:r>
          </w:p>
        </w:tc>
        <w:tc>
          <w:tcPr>
            <w:tcW w:w="1215" w:type="pct"/>
            <w:tcBorders>
              <w:top w:val="single" w:sz="6" w:space="0" w:color="000000"/>
              <w:left w:val="single" w:sz="6" w:space="0" w:color="000000"/>
              <w:bottom w:val="single" w:sz="6" w:space="0" w:color="000000"/>
              <w:right w:val="single" w:sz="6" w:space="0" w:color="000000"/>
            </w:tcBorders>
            <w:hideMark/>
          </w:tcPr>
          <w:p w14:paraId="18F6C5C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E0DDEA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523561B"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6CC1E72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855ED9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Insomnia</w:t>
            </w:r>
          </w:p>
        </w:tc>
        <w:tc>
          <w:tcPr>
            <w:tcW w:w="1215" w:type="pct"/>
            <w:tcBorders>
              <w:top w:val="single" w:sz="6" w:space="0" w:color="000000"/>
              <w:left w:val="single" w:sz="6" w:space="0" w:color="000000"/>
              <w:bottom w:val="single" w:sz="6" w:space="0" w:color="000000"/>
              <w:right w:val="single" w:sz="6" w:space="0" w:color="000000"/>
            </w:tcBorders>
            <w:hideMark/>
          </w:tcPr>
          <w:p w14:paraId="53880927"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4D3F47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2561DCB"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D653EC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5CDF7D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Agitation</w:t>
            </w:r>
          </w:p>
        </w:tc>
        <w:tc>
          <w:tcPr>
            <w:tcW w:w="1215" w:type="pct"/>
            <w:tcBorders>
              <w:top w:val="single" w:sz="6" w:space="0" w:color="000000"/>
              <w:left w:val="single" w:sz="6" w:space="0" w:color="000000"/>
              <w:bottom w:val="single" w:sz="6" w:space="0" w:color="000000"/>
              <w:right w:val="single" w:sz="6" w:space="0" w:color="000000"/>
            </w:tcBorders>
            <w:hideMark/>
          </w:tcPr>
          <w:p w14:paraId="29A90AB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50D80C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0212FC4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CD052E6"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02561D6"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Angst</w:t>
            </w:r>
          </w:p>
        </w:tc>
        <w:tc>
          <w:tcPr>
            <w:tcW w:w="1215" w:type="pct"/>
            <w:tcBorders>
              <w:top w:val="single" w:sz="6" w:space="0" w:color="000000"/>
              <w:left w:val="single" w:sz="6" w:space="0" w:color="000000"/>
              <w:bottom w:val="single" w:sz="6" w:space="0" w:color="000000"/>
              <w:right w:val="single" w:sz="6" w:space="0" w:color="000000"/>
            </w:tcBorders>
            <w:hideMark/>
          </w:tcPr>
          <w:p w14:paraId="5527128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6FF93D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5D6CF0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206199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F090CD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Abnorme tanker</w:t>
            </w:r>
          </w:p>
        </w:tc>
        <w:tc>
          <w:tcPr>
            <w:tcW w:w="1215" w:type="pct"/>
            <w:tcBorders>
              <w:top w:val="single" w:sz="6" w:space="0" w:color="000000"/>
              <w:left w:val="single" w:sz="6" w:space="0" w:color="000000"/>
              <w:bottom w:val="single" w:sz="6" w:space="0" w:color="000000"/>
              <w:right w:val="single" w:sz="6" w:space="0" w:color="000000"/>
            </w:tcBorders>
            <w:hideMark/>
          </w:tcPr>
          <w:p w14:paraId="393F1C74"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4533616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F2BE53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0BB82726"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2F0FC9A9"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Nervesystemet</w:t>
            </w:r>
          </w:p>
        </w:tc>
      </w:tr>
      <w:tr w:rsidR="00886F11" w:rsidRPr="00FA0C3A" w14:paraId="016FD86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2C28C9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Svimmelhed</w:t>
            </w:r>
          </w:p>
        </w:tc>
        <w:tc>
          <w:tcPr>
            <w:tcW w:w="1215" w:type="pct"/>
            <w:tcBorders>
              <w:top w:val="single" w:sz="6" w:space="0" w:color="000000"/>
              <w:left w:val="single" w:sz="6" w:space="0" w:color="000000"/>
              <w:bottom w:val="single" w:sz="6" w:space="0" w:color="000000"/>
              <w:right w:val="single" w:sz="6" w:space="0" w:color="000000"/>
            </w:tcBorders>
            <w:hideMark/>
          </w:tcPr>
          <w:p w14:paraId="6C99122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75AB8C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E6EF31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062C1C4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ACD996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Hovedpine</w:t>
            </w:r>
          </w:p>
        </w:tc>
        <w:tc>
          <w:tcPr>
            <w:tcW w:w="1215" w:type="pct"/>
            <w:tcBorders>
              <w:top w:val="single" w:sz="6" w:space="0" w:color="000000"/>
              <w:left w:val="single" w:sz="6" w:space="0" w:color="000000"/>
              <w:bottom w:val="single" w:sz="6" w:space="0" w:color="000000"/>
              <w:right w:val="single" w:sz="6" w:space="0" w:color="000000"/>
            </w:tcBorders>
            <w:hideMark/>
          </w:tcPr>
          <w:p w14:paraId="7C829773"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8F9015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3B4B26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4E6DCE8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5460FA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Hypertoni</w:t>
            </w:r>
          </w:p>
        </w:tc>
        <w:tc>
          <w:tcPr>
            <w:tcW w:w="1215" w:type="pct"/>
            <w:tcBorders>
              <w:top w:val="single" w:sz="6" w:space="0" w:color="000000"/>
              <w:left w:val="single" w:sz="6" w:space="0" w:color="000000"/>
              <w:bottom w:val="single" w:sz="6" w:space="0" w:color="000000"/>
              <w:right w:val="single" w:sz="6" w:space="0" w:color="000000"/>
            </w:tcBorders>
            <w:hideMark/>
          </w:tcPr>
          <w:p w14:paraId="4BD48D6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3440B62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3198CFE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AB6384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598EE8D"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Paræstesier</w:t>
            </w:r>
          </w:p>
        </w:tc>
        <w:tc>
          <w:tcPr>
            <w:tcW w:w="1215" w:type="pct"/>
            <w:tcBorders>
              <w:top w:val="single" w:sz="6" w:space="0" w:color="000000"/>
              <w:left w:val="single" w:sz="6" w:space="0" w:color="000000"/>
              <w:bottom w:val="single" w:sz="6" w:space="0" w:color="000000"/>
              <w:right w:val="single" w:sz="6" w:space="0" w:color="000000"/>
            </w:tcBorders>
            <w:hideMark/>
          </w:tcPr>
          <w:p w14:paraId="37048B70"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46616F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B8BBBF4"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0587585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B9A2EA6"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Døsighed</w:t>
            </w:r>
          </w:p>
        </w:tc>
        <w:tc>
          <w:tcPr>
            <w:tcW w:w="1215" w:type="pct"/>
            <w:tcBorders>
              <w:top w:val="single" w:sz="6" w:space="0" w:color="000000"/>
              <w:left w:val="single" w:sz="6" w:space="0" w:color="000000"/>
              <w:bottom w:val="single" w:sz="6" w:space="0" w:color="000000"/>
              <w:right w:val="single" w:sz="6" w:space="0" w:color="000000"/>
            </w:tcBorders>
            <w:hideMark/>
          </w:tcPr>
          <w:p w14:paraId="04FC5FE3"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0F7492D"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09BF28A8"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608AB990"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45430D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Tremor</w:t>
            </w:r>
          </w:p>
        </w:tc>
        <w:tc>
          <w:tcPr>
            <w:tcW w:w="1215" w:type="pct"/>
            <w:tcBorders>
              <w:top w:val="single" w:sz="6" w:space="0" w:color="000000"/>
              <w:left w:val="single" w:sz="6" w:space="0" w:color="000000"/>
              <w:bottom w:val="single" w:sz="6" w:space="0" w:color="000000"/>
              <w:right w:val="single" w:sz="6" w:space="0" w:color="000000"/>
            </w:tcBorders>
            <w:hideMark/>
          </w:tcPr>
          <w:p w14:paraId="1CE23C90"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E3A2A58"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877372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113D74D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4FDBB9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Konvulsion</w:t>
            </w:r>
          </w:p>
        </w:tc>
        <w:tc>
          <w:tcPr>
            <w:tcW w:w="1215" w:type="pct"/>
            <w:tcBorders>
              <w:top w:val="single" w:sz="6" w:space="0" w:color="000000"/>
              <w:left w:val="single" w:sz="6" w:space="0" w:color="000000"/>
              <w:bottom w:val="single" w:sz="6" w:space="0" w:color="000000"/>
              <w:right w:val="single" w:sz="6" w:space="0" w:color="000000"/>
            </w:tcBorders>
            <w:hideMark/>
          </w:tcPr>
          <w:p w14:paraId="5511F6AE"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D3149D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6EB0576"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1DEFF39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DB7D79B"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Dysgeusi</w:t>
            </w:r>
          </w:p>
        </w:tc>
        <w:tc>
          <w:tcPr>
            <w:tcW w:w="1215" w:type="pct"/>
            <w:tcBorders>
              <w:top w:val="single" w:sz="6" w:space="0" w:color="000000"/>
              <w:left w:val="single" w:sz="6" w:space="0" w:color="000000"/>
              <w:bottom w:val="single" w:sz="6" w:space="0" w:color="000000"/>
              <w:right w:val="single" w:sz="6" w:space="0" w:color="000000"/>
            </w:tcBorders>
            <w:hideMark/>
          </w:tcPr>
          <w:p w14:paraId="10D75969"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08DCD9D"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B15C9E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34F2C1C9"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1960E30A"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Hjerte</w:t>
            </w:r>
          </w:p>
        </w:tc>
      </w:tr>
      <w:tr w:rsidR="00886F11" w:rsidRPr="00FA0C3A" w14:paraId="3032975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0011CF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Takykardi</w:t>
            </w:r>
          </w:p>
        </w:tc>
        <w:tc>
          <w:tcPr>
            <w:tcW w:w="1215" w:type="pct"/>
            <w:tcBorders>
              <w:top w:val="single" w:sz="6" w:space="0" w:color="000000"/>
              <w:left w:val="single" w:sz="6" w:space="0" w:color="000000"/>
              <w:bottom w:val="single" w:sz="6" w:space="0" w:color="000000"/>
              <w:right w:val="single" w:sz="6" w:space="0" w:color="000000"/>
            </w:tcBorders>
            <w:hideMark/>
          </w:tcPr>
          <w:p w14:paraId="25C17E4F"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B176E3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CEC4C2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45B03967"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1FE595CA"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Vaskulære sygdomme</w:t>
            </w:r>
          </w:p>
        </w:tc>
      </w:tr>
      <w:tr w:rsidR="00886F11" w:rsidRPr="00FA0C3A" w14:paraId="341588C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4970827"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Hypertension</w:t>
            </w:r>
          </w:p>
        </w:tc>
        <w:tc>
          <w:tcPr>
            <w:tcW w:w="1215" w:type="pct"/>
            <w:tcBorders>
              <w:top w:val="single" w:sz="6" w:space="0" w:color="000000"/>
              <w:left w:val="single" w:sz="6" w:space="0" w:color="000000"/>
              <w:bottom w:val="single" w:sz="6" w:space="0" w:color="000000"/>
              <w:right w:val="single" w:sz="6" w:space="0" w:color="000000"/>
            </w:tcBorders>
            <w:hideMark/>
          </w:tcPr>
          <w:p w14:paraId="01206A9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3A5824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F831DA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59BF636"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92C1BF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Hypotension</w:t>
            </w:r>
          </w:p>
        </w:tc>
        <w:tc>
          <w:tcPr>
            <w:tcW w:w="1215" w:type="pct"/>
            <w:tcBorders>
              <w:top w:val="single" w:sz="6" w:space="0" w:color="000000"/>
              <w:left w:val="single" w:sz="6" w:space="0" w:color="000000"/>
              <w:bottom w:val="single" w:sz="6" w:space="0" w:color="000000"/>
              <w:right w:val="single" w:sz="6" w:space="0" w:color="000000"/>
            </w:tcBorders>
            <w:hideMark/>
          </w:tcPr>
          <w:p w14:paraId="6C39DA59"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27A7FB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308190C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D3C0373"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B41773D"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Lymfocele</w:t>
            </w:r>
          </w:p>
        </w:tc>
        <w:tc>
          <w:tcPr>
            <w:tcW w:w="1215" w:type="pct"/>
            <w:tcBorders>
              <w:top w:val="single" w:sz="6" w:space="0" w:color="000000"/>
              <w:left w:val="single" w:sz="6" w:space="0" w:color="000000"/>
              <w:bottom w:val="single" w:sz="6" w:space="0" w:color="000000"/>
              <w:right w:val="single" w:sz="6" w:space="0" w:color="000000"/>
            </w:tcBorders>
            <w:hideMark/>
          </w:tcPr>
          <w:p w14:paraId="198868A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2123B47F"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1D04034"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164A094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25D36A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Venetrombose</w:t>
            </w:r>
          </w:p>
        </w:tc>
        <w:tc>
          <w:tcPr>
            <w:tcW w:w="1215" w:type="pct"/>
            <w:tcBorders>
              <w:top w:val="single" w:sz="6" w:space="0" w:color="000000"/>
              <w:left w:val="single" w:sz="6" w:space="0" w:color="000000"/>
              <w:bottom w:val="single" w:sz="6" w:space="0" w:color="000000"/>
              <w:right w:val="single" w:sz="6" w:space="0" w:color="000000"/>
            </w:tcBorders>
            <w:hideMark/>
          </w:tcPr>
          <w:p w14:paraId="2D06A9BE"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3AAA84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50685DB"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73DF52B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153108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Vasodilatation</w:t>
            </w:r>
          </w:p>
        </w:tc>
        <w:tc>
          <w:tcPr>
            <w:tcW w:w="1215" w:type="pct"/>
            <w:tcBorders>
              <w:top w:val="single" w:sz="6" w:space="0" w:color="000000"/>
              <w:left w:val="single" w:sz="6" w:space="0" w:color="000000"/>
              <w:bottom w:val="single" w:sz="6" w:space="0" w:color="000000"/>
              <w:right w:val="single" w:sz="6" w:space="0" w:color="000000"/>
            </w:tcBorders>
            <w:hideMark/>
          </w:tcPr>
          <w:p w14:paraId="5AAF0C0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86D265D"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E656BA4"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5824AD9" w14:textId="77777777" w:rsidTr="00FA0C3A">
        <w:trPr>
          <w:trHeight w:val="20"/>
        </w:trPr>
        <w:tc>
          <w:tcPr>
            <w:tcW w:w="5000" w:type="pct"/>
            <w:gridSpan w:val="4"/>
            <w:tcBorders>
              <w:top w:val="single" w:sz="6" w:space="0" w:color="000000"/>
              <w:left w:val="single" w:sz="6" w:space="0" w:color="000000"/>
              <w:bottom w:val="single" w:sz="6" w:space="0" w:color="000000"/>
              <w:right w:val="nil"/>
            </w:tcBorders>
            <w:hideMark/>
          </w:tcPr>
          <w:p w14:paraId="5974EBAE"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Luftveje, thorax og mediastinum</w:t>
            </w:r>
          </w:p>
        </w:tc>
      </w:tr>
      <w:tr w:rsidR="00886F11" w:rsidRPr="00FA0C3A" w14:paraId="54E05AF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27E6277"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Bronkiektasi</w:t>
            </w:r>
          </w:p>
        </w:tc>
        <w:tc>
          <w:tcPr>
            <w:tcW w:w="1215" w:type="pct"/>
            <w:tcBorders>
              <w:top w:val="single" w:sz="6" w:space="0" w:color="000000"/>
              <w:left w:val="single" w:sz="6" w:space="0" w:color="000000"/>
              <w:bottom w:val="single" w:sz="6" w:space="0" w:color="000000"/>
              <w:right w:val="single" w:sz="6" w:space="0" w:color="000000"/>
            </w:tcBorders>
            <w:hideMark/>
          </w:tcPr>
          <w:p w14:paraId="65943DF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031A9C5B"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EECFE3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6063550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E0DC8C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Hoste</w:t>
            </w:r>
          </w:p>
        </w:tc>
        <w:tc>
          <w:tcPr>
            <w:tcW w:w="1215" w:type="pct"/>
            <w:tcBorders>
              <w:top w:val="single" w:sz="6" w:space="0" w:color="000000"/>
              <w:left w:val="single" w:sz="6" w:space="0" w:color="000000"/>
              <w:bottom w:val="single" w:sz="6" w:space="0" w:color="000000"/>
              <w:right w:val="single" w:sz="6" w:space="0" w:color="000000"/>
            </w:tcBorders>
            <w:hideMark/>
          </w:tcPr>
          <w:p w14:paraId="31DC9CD0"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7778B09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6C1AEF8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D702FF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DC19853"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Dyspnø</w:t>
            </w:r>
          </w:p>
        </w:tc>
        <w:tc>
          <w:tcPr>
            <w:tcW w:w="1215" w:type="pct"/>
            <w:tcBorders>
              <w:top w:val="single" w:sz="6" w:space="0" w:color="000000"/>
              <w:left w:val="single" w:sz="6" w:space="0" w:color="000000"/>
              <w:bottom w:val="single" w:sz="6" w:space="0" w:color="000000"/>
              <w:right w:val="single" w:sz="6" w:space="0" w:color="000000"/>
            </w:tcBorders>
            <w:hideMark/>
          </w:tcPr>
          <w:p w14:paraId="66FD9D7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2A8FAF7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654BF12D"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9A344F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3ED617D"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Interstitiel lungesygdom</w:t>
            </w:r>
          </w:p>
        </w:tc>
        <w:tc>
          <w:tcPr>
            <w:tcW w:w="1215" w:type="pct"/>
            <w:tcBorders>
              <w:top w:val="single" w:sz="6" w:space="0" w:color="000000"/>
              <w:left w:val="single" w:sz="6" w:space="0" w:color="000000"/>
              <w:bottom w:val="single" w:sz="6" w:space="0" w:color="000000"/>
              <w:right w:val="single" w:sz="6" w:space="0" w:color="000000"/>
            </w:tcBorders>
            <w:hideMark/>
          </w:tcPr>
          <w:p w14:paraId="04C1BFD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17E892BD"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sjælden</w:t>
            </w:r>
          </w:p>
        </w:tc>
        <w:tc>
          <w:tcPr>
            <w:tcW w:w="1238" w:type="pct"/>
            <w:tcBorders>
              <w:top w:val="single" w:sz="6" w:space="0" w:color="000000"/>
              <w:left w:val="single" w:sz="6" w:space="0" w:color="000000"/>
              <w:bottom w:val="single" w:sz="6" w:space="0" w:color="000000"/>
              <w:right w:val="single" w:sz="6" w:space="0" w:color="000000"/>
            </w:tcBorders>
            <w:hideMark/>
          </w:tcPr>
          <w:p w14:paraId="50522005"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sjælden</w:t>
            </w:r>
          </w:p>
        </w:tc>
      </w:tr>
      <w:tr w:rsidR="00886F11" w:rsidRPr="00FA0C3A" w14:paraId="679D7C9C"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799C02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Pleural effusion</w:t>
            </w:r>
          </w:p>
        </w:tc>
        <w:tc>
          <w:tcPr>
            <w:tcW w:w="1215" w:type="pct"/>
            <w:tcBorders>
              <w:top w:val="single" w:sz="6" w:space="0" w:color="000000"/>
              <w:left w:val="single" w:sz="6" w:space="0" w:color="000000"/>
              <w:bottom w:val="single" w:sz="6" w:space="0" w:color="000000"/>
              <w:right w:val="single" w:sz="6" w:space="0" w:color="000000"/>
            </w:tcBorders>
            <w:hideMark/>
          </w:tcPr>
          <w:p w14:paraId="306E4F59"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2E6CA5F"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3AEE6B7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BB9AE5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FC2585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Lungefibrose</w:t>
            </w:r>
          </w:p>
        </w:tc>
        <w:tc>
          <w:tcPr>
            <w:tcW w:w="1215" w:type="pct"/>
            <w:tcBorders>
              <w:top w:val="single" w:sz="6" w:space="0" w:color="000000"/>
              <w:left w:val="single" w:sz="6" w:space="0" w:color="000000"/>
              <w:bottom w:val="single" w:sz="6" w:space="0" w:color="000000"/>
              <w:right w:val="single" w:sz="6" w:space="0" w:color="000000"/>
            </w:tcBorders>
            <w:hideMark/>
          </w:tcPr>
          <w:p w14:paraId="7DC4027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sjælden</w:t>
            </w:r>
          </w:p>
        </w:tc>
        <w:tc>
          <w:tcPr>
            <w:tcW w:w="1246" w:type="pct"/>
            <w:tcBorders>
              <w:top w:val="single" w:sz="6" w:space="0" w:color="000000"/>
              <w:left w:val="single" w:sz="6" w:space="0" w:color="000000"/>
              <w:bottom w:val="single" w:sz="6" w:space="0" w:color="000000"/>
              <w:right w:val="single" w:sz="6" w:space="0" w:color="000000"/>
            </w:tcBorders>
            <w:hideMark/>
          </w:tcPr>
          <w:p w14:paraId="63A012B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EFA847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15BC5001"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5D620DE7"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Mave-tarmkanalen</w:t>
            </w:r>
          </w:p>
        </w:tc>
      </w:tr>
      <w:tr w:rsidR="00886F11" w:rsidRPr="00FA0C3A" w14:paraId="615F608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455FE37"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Abdominal distension</w:t>
            </w:r>
          </w:p>
        </w:tc>
        <w:tc>
          <w:tcPr>
            <w:tcW w:w="1215" w:type="pct"/>
            <w:tcBorders>
              <w:top w:val="single" w:sz="6" w:space="0" w:color="000000"/>
              <w:left w:val="single" w:sz="6" w:space="0" w:color="000000"/>
              <w:bottom w:val="single" w:sz="6" w:space="0" w:color="000000"/>
              <w:right w:val="single" w:sz="6" w:space="0" w:color="000000"/>
            </w:tcBorders>
            <w:hideMark/>
          </w:tcPr>
          <w:p w14:paraId="22068B9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026641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BDABBB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0BDB4BA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306CBC0"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Abdominalsmerter</w:t>
            </w:r>
          </w:p>
        </w:tc>
        <w:tc>
          <w:tcPr>
            <w:tcW w:w="1215" w:type="pct"/>
            <w:tcBorders>
              <w:top w:val="single" w:sz="6" w:space="0" w:color="000000"/>
              <w:left w:val="single" w:sz="6" w:space="0" w:color="000000"/>
              <w:bottom w:val="single" w:sz="6" w:space="0" w:color="000000"/>
              <w:right w:val="single" w:sz="6" w:space="0" w:color="000000"/>
            </w:tcBorders>
            <w:hideMark/>
          </w:tcPr>
          <w:p w14:paraId="56C33AC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1AB29659"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03E94B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04C2960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6F1269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Colitis</w:t>
            </w:r>
          </w:p>
        </w:tc>
        <w:tc>
          <w:tcPr>
            <w:tcW w:w="1215" w:type="pct"/>
            <w:tcBorders>
              <w:top w:val="single" w:sz="6" w:space="0" w:color="000000"/>
              <w:left w:val="single" w:sz="6" w:space="0" w:color="000000"/>
              <w:bottom w:val="single" w:sz="6" w:space="0" w:color="000000"/>
              <w:right w:val="single" w:sz="6" w:space="0" w:color="000000"/>
            </w:tcBorders>
            <w:hideMark/>
          </w:tcPr>
          <w:p w14:paraId="1C627D8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9762B2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1562A78D"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20E783D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802612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Obstipation</w:t>
            </w:r>
          </w:p>
        </w:tc>
        <w:tc>
          <w:tcPr>
            <w:tcW w:w="1215" w:type="pct"/>
            <w:tcBorders>
              <w:top w:val="single" w:sz="6" w:space="0" w:color="000000"/>
              <w:left w:val="single" w:sz="6" w:space="0" w:color="000000"/>
              <w:bottom w:val="single" w:sz="6" w:space="0" w:color="000000"/>
              <w:right w:val="single" w:sz="6" w:space="0" w:color="000000"/>
            </w:tcBorders>
            <w:hideMark/>
          </w:tcPr>
          <w:p w14:paraId="4E563AD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D1BEE8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39A48C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53B040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CB99EC0"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Nedsat appetit</w:t>
            </w:r>
          </w:p>
        </w:tc>
        <w:tc>
          <w:tcPr>
            <w:tcW w:w="1215" w:type="pct"/>
            <w:tcBorders>
              <w:top w:val="single" w:sz="6" w:space="0" w:color="000000"/>
              <w:left w:val="single" w:sz="6" w:space="0" w:color="000000"/>
              <w:bottom w:val="single" w:sz="6" w:space="0" w:color="000000"/>
              <w:right w:val="single" w:sz="6" w:space="0" w:color="000000"/>
            </w:tcBorders>
            <w:hideMark/>
          </w:tcPr>
          <w:p w14:paraId="280C2F2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67A9BE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8BBBC7E"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522C1D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415E9E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Diarré</w:t>
            </w:r>
          </w:p>
        </w:tc>
        <w:tc>
          <w:tcPr>
            <w:tcW w:w="1215" w:type="pct"/>
            <w:tcBorders>
              <w:top w:val="single" w:sz="6" w:space="0" w:color="000000"/>
              <w:left w:val="single" w:sz="6" w:space="0" w:color="000000"/>
              <w:bottom w:val="single" w:sz="6" w:space="0" w:color="000000"/>
              <w:right w:val="single" w:sz="6" w:space="0" w:color="000000"/>
            </w:tcBorders>
            <w:hideMark/>
          </w:tcPr>
          <w:p w14:paraId="47BB9564"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025EFFF0"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18D4F2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138D073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173662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Dyspepsi</w:t>
            </w:r>
          </w:p>
        </w:tc>
        <w:tc>
          <w:tcPr>
            <w:tcW w:w="1215" w:type="pct"/>
            <w:tcBorders>
              <w:top w:val="single" w:sz="6" w:space="0" w:color="000000"/>
              <w:left w:val="single" w:sz="6" w:space="0" w:color="000000"/>
              <w:bottom w:val="single" w:sz="6" w:space="0" w:color="000000"/>
              <w:right w:val="single" w:sz="6" w:space="0" w:color="000000"/>
            </w:tcBorders>
            <w:hideMark/>
          </w:tcPr>
          <w:p w14:paraId="53234C4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0C31EC4E"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2431BC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EE99B3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45AC11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Oesophagitis</w:t>
            </w:r>
          </w:p>
        </w:tc>
        <w:tc>
          <w:tcPr>
            <w:tcW w:w="1215" w:type="pct"/>
            <w:tcBorders>
              <w:top w:val="single" w:sz="6" w:space="0" w:color="000000"/>
              <w:left w:val="single" w:sz="6" w:space="0" w:color="000000"/>
              <w:bottom w:val="single" w:sz="6" w:space="0" w:color="000000"/>
              <w:right w:val="single" w:sz="6" w:space="0" w:color="000000"/>
            </w:tcBorders>
            <w:hideMark/>
          </w:tcPr>
          <w:p w14:paraId="48AE6FB7"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700899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1AAB0B9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3471354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2F47F9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Opstød</w:t>
            </w:r>
          </w:p>
        </w:tc>
        <w:tc>
          <w:tcPr>
            <w:tcW w:w="1215" w:type="pct"/>
            <w:tcBorders>
              <w:top w:val="single" w:sz="6" w:space="0" w:color="000000"/>
              <w:left w:val="single" w:sz="6" w:space="0" w:color="000000"/>
              <w:bottom w:val="single" w:sz="6" w:space="0" w:color="000000"/>
              <w:right w:val="single" w:sz="6" w:space="0" w:color="000000"/>
            </w:tcBorders>
            <w:hideMark/>
          </w:tcPr>
          <w:p w14:paraId="08D0CD2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4D5B3B91"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00900D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74389A93"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615DF73"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Flatulens</w:t>
            </w:r>
          </w:p>
        </w:tc>
        <w:tc>
          <w:tcPr>
            <w:tcW w:w="1215" w:type="pct"/>
            <w:tcBorders>
              <w:top w:val="single" w:sz="6" w:space="0" w:color="000000"/>
              <w:left w:val="single" w:sz="6" w:space="0" w:color="000000"/>
              <w:bottom w:val="single" w:sz="6" w:space="0" w:color="000000"/>
              <w:right w:val="single" w:sz="6" w:space="0" w:color="000000"/>
            </w:tcBorders>
            <w:hideMark/>
          </w:tcPr>
          <w:p w14:paraId="402A25E1"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BFC002E"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D9FBD9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605F999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A8EE21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Gastritis</w:t>
            </w:r>
          </w:p>
        </w:tc>
        <w:tc>
          <w:tcPr>
            <w:tcW w:w="1215" w:type="pct"/>
            <w:tcBorders>
              <w:top w:val="single" w:sz="6" w:space="0" w:color="000000"/>
              <w:left w:val="single" w:sz="6" w:space="0" w:color="000000"/>
              <w:bottom w:val="single" w:sz="6" w:space="0" w:color="000000"/>
              <w:right w:val="single" w:sz="6" w:space="0" w:color="000000"/>
            </w:tcBorders>
            <w:hideMark/>
          </w:tcPr>
          <w:p w14:paraId="1683E9A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DA7F4C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0F663DD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37CF55E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E93A43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Gastrointestinal blødning</w:t>
            </w:r>
          </w:p>
        </w:tc>
        <w:tc>
          <w:tcPr>
            <w:tcW w:w="1215" w:type="pct"/>
            <w:tcBorders>
              <w:top w:val="single" w:sz="6" w:space="0" w:color="000000"/>
              <w:left w:val="single" w:sz="6" w:space="0" w:color="000000"/>
              <w:bottom w:val="single" w:sz="6" w:space="0" w:color="000000"/>
              <w:right w:val="single" w:sz="6" w:space="0" w:color="000000"/>
            </w:tcBorders>
            <w:hideMark/>
          </w:tcPr>
          <w:p w14:paraId="1110EAC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10C226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991574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2CAA4CD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81E6CF6"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Mavesår</w:t>
            </w:r>
          </w:p>
        </w:tc>
        <w:tc>
          <w:tcPr>
            <w:tcW w:w="1215" w:type="pct"/>
            <w:tcBorders>
              <w:top w:val="single" w:sz="6" w:space="0" w:color="000000"/>
              <w:left w:val="single" w:sz="6" w:space="0" w:color="000000"/>
              <w:bottom w:val="single" w:sz="6" w:space="0" w:color="000000"/>
              <w:right w:val="single" w:sz="6" w:space="0" w:color="000000"/>
            </w:tcBorders>
            <w:hideMark/>
          </w:tcPr>
          <w:p w14:paraId="3246D323"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21EC14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0E99948"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26FB3F4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C531E0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Gingival hyperplasi</w:t>
            </w:r>
          </w:p>
        </w:tc>
        <w:tc>
          <w:tcPr>
            <w:tcW w:w="1215" w:type="pct"/>
            <w:tcBorders>
              <w:top w:val="single" w:sz="6" w:space="0" w:color="000000"/>
              <w:left w:val="single" w:sz="6" w:space="0" w:color="000000"/>
              <w:bottom w:val="single" w:sz="6" w:space="0" w:color="000000"/>
              <w:right w:val="single" w:sz="6" w:space="0" w:color="000000"/>
            </w:tcBorders>
            <w:hideMark/>
          </w:tcPr>
          <w:p w14:paraId="3BB42D1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A339651"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81A60A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7DBEB26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FB7B22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Ileus</w:t>
            </w:r>
          </w:p>
        </w:tc>
        <w:tc>
          <w:tcPr>
            <w:tcW w:w="1215" w:type="pct"/>
            <w:tcBorders>
              <w:top w:val="single" w:sz="6" w:space="0" w:color="000000"/>
              <w:left w:val="single" w:sz="6" w:space="0" w:color="000000"/>
              <w:bottom w:val="single" w:sz="6" w:space="0" w:color="000000"/>
              <w:right w:val="single" w:sz="6" w:space="0" w:color="000000"/>
            </w:tcBorders>
            <w:hideMark/>
          </w:tcPr>
          <w:p w14:paraId="153A6BD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D470F1B"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A1B8B6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5B3C596E"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7CFBD3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Mundsår</w:t>
            </w:r>
          </w:p>
        </w:tc>
        <w:tc>
          <w:tcPr>
            <w:tcW w:w="1215" w:type="pct"/>
            <w:tcBorders>
              <w:top w:val="single" w:sz="6" w:space="0" w:color="000000"/>
              <w:left w:val="single" w:sz="6" w:space="0" w:color="000000"/>
              <w:bottom w:val="single" w:sz="6" w:space="0" w:color="000000"/>
              <w:right w:val="single" w:sz="6" w:space="0" w:color="000000"/>
            </w:tcBorders>
            <w:hideMark/>
          </w:tcPr>
          <w:p w14:paraId="1799C04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071C4C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796B22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30A6F7F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53FB43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Kvalme</w:t>
            </w:r>
          </w:p>
        </w:tc>
        <w:tc>
          <w:tcPr>
            <w:tcW w:w="1215" w:type="pct"/>
            <w:tcBorders>
              <w:top w:val="single" w:sz="6" w:space="0" w:color="000000"/>
              <w:left w:val="single" w:sz="6" w:space="0" w:color="000000"/>
              <w:bottom w:val="single" w:sz="6" w:space="0" w:color="000000"/>
              <w:right w:val="single" w:sz="6" w:space="0" w:color="000000"/>
            </w:tcBorders>
            <w:hideMark/>
          </w:tcPr>
          <w:p w14:paraId="67F10BF3"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25645A0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5DF400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19CA35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083D93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Pankreatitis</w:t>
            </w:r>
          </w:p>
        </w:tc>
        <w:tc>
          <w:tcPr>
            <w:tcW w:w="1215" w:type="pct"/>
            <w:tcBorders>
              <w:top w:val="single" w:sz="6" w:space="0" w:color="000000"/>
              <w:left w:val="single" w:sz="6" w:space="0" w:color="000000"/>
              <w:bottom w:val="single" w:sz="6" w:space="0" w:color="000000"/>
              <w:right w:val="single" w:sz="6" w:space="0" w:color="000000"/>
            </w:tcBorders>
            <w:hideMark/>
          </w:tcPr>
          <w:p w14:paraId="2D319B1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6318192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E89A57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43FF227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132F86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Stomatitis</w:t>
            </w:r>
          </w:p>
        </w:tc>
        <w:tc>
          <w:tcPr>
            <w:tcW w:w="1215" w:type="pct"/>
            <w:tcBorders>
              <w:top w:val="single" w:sz="6" w:space="0" w:color="000000"/>
              <w:left w:val="single" w:sz="6" w:space="0" w:color="000000"/>
              <w:bottom w:val="single" w:sz="6" w:space="0" w:color="000000"/>
              <w:right w:val="single" w:sz="6" w:space="0" w:color="000000"/>
            </w:tcBorders>
            <w:hideMark/>
          </w:tcPr>
          <w:p w14:paraId="3B7153E0"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5AB8FE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1BBFDA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16BC344E"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DD9586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Opkastning</w:t>
            </w:r>
          </w:p>
        </w:tc>
        <w:tc>
          <w:tcPr>
            <w:tcW w:w="1215" w:type="pct"/>
            <w:tcBorders>
              <w:top w:val="single" w:sz="6" w:space="0" w:color="000000"/>
              <w:left w:val="single" w:sz="6" w:space="0" w:color="000000"/>
              <w:bottom w:val="single" w:sz="6" w:space="0" w:color="000000"/>
              <w:right w:val="single" w:sz="6" w:space="0" w:color="000000"/>
            </w:tcBorders>
            <w:hideMark/>
          </w:tcPr>
          <w:p w14:paraId="0620BA2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0929BD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0370BAD5"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AB49ECC"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4D2F4D48"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Immunsystemet</w:t>
            </w:r>
          </w:p>
        </w:tc>
      </w:tr>
      <w:tr w:rsidR="00886F11" w:rsidRPr="00FA0C3A" w14:paraId="360B40BA"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E3CB13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Hypersensitivitet</w:t>
            </w:r>
          </w:p>
        </w:tc>
        <w:tc>
          <w:tcPr>
            <w:tcW w:w="1215" w:type="pct"/>
            <w:tcBorders>
              <w:top w:val="single" w:sz="6" w:space="0" w:color="000000"/>
              <w:left w:val="single" w:sz="6" w:space="0" w:color="000000"/>
              <w:bottom w:val="single" w:sz="6" w:space="0" w:color="000000"/>
              <w:right w:val="single" w:sz="6" w:space="0" w:color="000000"/>
            </w:tcBorders>
            <w:hideMark/>
          </w:tcPr>
          <w:p w14:paraId="29670177"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6FB0098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4F6A249B"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4A05C17F"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8BEE10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Hypogammaglobulinæmi</w:t>
            </w:r>
          </w:p>
        </w:tc>
        <w:tc>
          <w:tcPr>
            <w:tcW w:w="1215" w:type="pct"/>
            <w:tcBorders>
              <w:top w:val="single" w:sz="6" w:space="0" w:color="000000"/>
              <w:left w:val="single" w:sz="6" w:space="0" w:color="000000"/>
              <w:bottom w:val="single" w:sz="6" w:space="0" w:color="000000"/>
              <w:right w:val="single" w:sz="6" w:space="0" w:color="000000"/>
            </w:tcBorders>
            <w:hideMark/>
          </w:tcPr>
          <w:p w14:paraId="7DCCCCD8"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34DB76D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sjælden</w:t>
            </w:r>
          </w:p>
        </w:tc>
        <w:tc>
          <w:tcPr>
            <w:tcW w:w="1238" w:type="pct"/>
            <w:tcBorders>
              <w:top w:val="single" w:sz="6" w:space="0" w:color="000000"/>
              <w:left w:val="single" w:sz="6" w:space="0" w:color="000000"/>
              <w:bottom w:val="single" w:sz="6" w:space="0" w:color="000000"/>
              <w:right w:val="single" w:sz="6" w:space="0" w:color="000000"/>
            </w:tcBorders>
            <w:hideMark/>
          </w:tcPr>
          <w:p w14:paraId="626B50C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sjælden</w:t>
            </w:r>
          </w:p>
        </w:tc>
      </w:tr>
      <w:tr w:rsidR="00886F11" w:rsidRPr="00FA0C3A" w14:paraId="58ACDE70"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9DD069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b/>
                <w:bCs/>
                <w:sz w:val="22"/>
                <w:szCs w:val="22"/>
                <w:lang w:val="fi-FI"/>
              </w:rPr>
              <w:t>Lever og galdeveje</w:t>
            </w:r>
          </w:p>
        </w:tc>
        <w:tc>
          <w:tcPr>
            <w:tcW w:w="1215" w:type="pct"/>
            <w:tcBorders>
              <w:top w:val="single" w:sz="6" w:space="0" w:color="000000"/>
              <w:left w:val="single" w:sz="6" w:space="0" w:color="000000"/>
              <w:bottom w:val="single" w:sz="6" w:space="0" w:color="000000"/>
              <w:right w:val="single" w:sz="6" w:space="0" w:color="000000"/>
            </w:tcBorders>
          </w:tcPr>
          <w:p w14:paraId="0F53C14E"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p>
        </w:tc>
        <w:tc>
          <w:tcPr>
            <w:tcW w:w="1246" w:type="pct"/>
            <w:tcBorders>
              <w:top w:val="single" w:sz="6" w:space="0" w:color="000000"/>
              <w:left w:val="single" w:sz="6" w:space="0" w:color="000000"/>
              <w:bottom w:val="single" w:sz="6" w:space="0" w:color="000000"/>
              <w:right w:val="single" w:sz="6" w:space="0" w:color="000000"/>
            </w:tcBorders>
          </w:tcPr>
          <w:p w14:paraId="1B2B820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p>
        </w:tc>
        <w:tc>
          <w:tcPr>
            <w:tcW w:w="1238" w:type="pct"/>
            <w:tcBorders>
              <w:top w:val="single" w:sz="6" w:space="0" w:color="000000"/>
              <w:left w:val="single" w:sz="6" w:space="0" w:color="000000"/>
              <w:bottom w:val="single" w:sz="6" w:space="0" w:color="000000"/>
              <w:right w:val="single" w:sz="6" w:space="0" w:color="000000"/>
            </w:tcBorders>
          </w:tcPr>
          <w:p w14:paraId="6F277B2A"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p>
        </w:tc>
      </w:tr>
      <w:tr w:rsidR="00886F11" w:rsidRPr="00FA0C3A" w14:paraId="70DD949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ADE42FB"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Forhøjede basiske phosphataser</w:t>
            </w:r>
          </w:p>
        </w:tc>
        <w:tc>
          <w:tcPr>
            <w:tcW w:w="1215" w:type="pct"/>
            <w:tcBorders>
              <w:top w:val="single" w:sz="6" w:space="0" w:color="000000"/>
              <w:left w:val="single" w:sz="6" w:space="0" w:color="000000"/>
              <w:bottom w:val="single" w:sz="6" w:space="0" w:color="000000"/>
              <w:right w:val="single" w:sz="6" w:space="0" w:color="000000"/>
            </w:tcBorders>
            <w:hideMark/>
          </w:tcPr>
          <w:p w14:paraId="3BBC7E49"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9458DF6"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0C63EF3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6E8A2ED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F9AE6E8" w14:textId="77777777" w:rsidR="00886F11" w:rsidRPr="00FA0C3A" w:rsidRDefault="00886F11">
            <w:pPr>
              <w:kinsoku w:val="0"/>
              <w:overflowPunct w:val="0"/>
              <w:autoSpaceDE w:val="0"/>
              <w:autoSpaceDN w:val="0"/>
              <w:adjustRightInd w:val="0"/>
              <w:spacing w:line="224" w:lineRule="exact"/>
              <w:ind w:left="112"/>
              <w:rPr>
                <w:sz w:val="22"/>
                <w:szCs w:val="22"/>
                <w:lang w:val="fi-FI"/>
              </w:rPr>
            </w:pPr>
            <w:r w:rsidRPr="00FA0C3A">
              <w:rPr>
                <w:sz w:val="22"/>
                <w:szCs w:val="22"/>
                <w:lang w:val="fi-FI"/>
              </w:rPr>
              <w:t>Forhøjet</w:t>
            </w:r>
          </w:p>
          <w:p w14:paraId="749941F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laktatdehydrogenase</w:t>
            </w:r>
          </w:p>
        </w:tc>
        <w:tc>
          <w:tcPr>
            <w:tcW w:w="1215" w:type="pct"/>
            <w:tcBorders>
              <w:top w:val="single" w:sz="6" w:space="0" w:color="000000"/>
              <w:left w:val="single" w:sz="6" w:space="0" w:color="000000"/>
              <w:bottom w:val="single" w:sz="6" w:space="0" w:color="000000"/>
              <w:right w:val="single" w:sz="6" w:space="0" w:color="000000"/>
            </w:tcBorders>
            <w:hideMark/>
          </w:tcPr>
          <w:p w14:paraId="3685CD3F"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461FBC3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4A85152D"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CD2155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63409F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Forhøjede leverenzymer</w:t>
            </w:r>
          </w:p>
        </w:tc>
        <w:tc>
          <w:tcPr>
            <w:tcW w:w="1215" w:type="pct"/>
            <w:tcBorders>
              <w:top w:val="single" w:sz="6" w:space="0" w:color="000000"/>
              <w:left w:val="single" w:sz="6" w:space="0" w:color="000000"/>
              <w:bottom w:val="single" w:sz="6" w:space="0" w:color="000000"/>
              <w:right w:val="single" w:sz="6" w:space="0" w:color="000000"/>
            </w:tcBorders>
            <w:hideMark/>
          </w:tcPr>
          <w:p w14:paraId="556ECEA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6FA9D8F"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77B35F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0A6F54AE"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28A089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Hepatitis</w:t>
            </w:r>
          </w:p>
        </w:tc>
        <w:tc>
          <w:tcPr>
            <w:tcW w:w="1215" w:type="pct"/>
            <w:tcBorders>
              <w:top w:val="single" w:sz="6" w:space="0" w:color="000000"/>
              <w:left w:val="single" w:sz="6" w:space="0" w:color="000000"/>
              <w:bottom w:val="single" w:sz="6" w:space="0" w:color="000000"/>
              <w:right w:val="single" w:sz="6" w:space="0" w:color="000000"/>
            </w:tcBorders>
            <w:hideMark/>
          </w:tcPr>
          <w:p w14:paraId="647976F4"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22D55B83"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6E24878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Ikke almindelig</w:t>
            </w:r>
          </w:p>
        </w:tc>
      </w:tr>
      <w:tr w:rsidR="00886F11" w:rsidRPr="00FA0C3A" w14:paraId="5408521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C10519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Hyperbilirubinæmi</w:t>
            </w:r>
          </w:p>
        </w:tc>
        <w:tc>
          <w:tcPr>
            <w:tcW w:w="1215" w:type="pct"/>
            <w:tcBorders>
              <w:top w:val="single" w:sz="6" w:space="0" w:color="000000"/>
              <w:left w:val="single" w:sz="6" w:space="0" w:color="000000"/>
              <w:bottom w:val="single" w:sz="6" w:space="0" w:color="000000"/>
              <w:right w:val="single" w:sz="6" w:space="0" w:color="000000"/>
            </w:tcBorders>
            <w:hideMark/>
          </w:tcPr>
          <w:p w14:paraId="491687B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0612F28"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B5AC36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9B9A90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E431420"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Gulsot</w:t>
            </w:r>
          </w:p>
        </w:tc>
        <w:tc>
          <w:tcPr>
            <w:tcW w:w="1215" w:type="pct"/>
            <w:tcBorders>
              <w:top w:val="single" w:sz="6" w:space="0" w:color="000000"/>
              <w:left w:val="single" w:sz="6" w:space="0" w:color="000000"/>
              <w:bottom w:val="single" w:sz="6" w:space="0" w:color="000000"/>
              <w:right w:val="single" w:sz="6" w:space="0" w:color="000000"/>
            </w:tcBorders>
            <w:hideMark/>
          </w:tcPr>
          <w:p w14:paraId="4E67F78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0590B398"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1B4679C1"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53FD9EA8"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6296F338"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Hud og subkutane væv</w:t>
            </w:r>
          </w:p>
        </w:tc>
      </w:tr>
      <w:tr w:rsidR="00886F11" w:rsidRPr="00FA0C3A" w14:paraId="69A1A1B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3BC81C6"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Acne</w:t>
            </w:r>
          </w:p>
        </w:tc>
        <w:tc>
          <w:tcPr>
            <w:tcW w:w="1215" w:type="pct"/>
            <w:tcBorders>
              <w:top w:val="single" w:sz="6" w:space="0" w:color="000000"/>
              <w:left w:val="single" w:sz="6" w:space="0" w:color="000000"/>
              <w:bottom w:val="single" w:sz="6" w:space="0" w:color="000000"/>
              <w:right w:val="single" w:sz="6" w:space="0" w:color="000000"/>
            </w:tcBorders>
            <w:hideMark/>
          </w:tcPr>
          <w:p w14:paraId="31CB749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545127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25E1FC88"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224BE3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8C56E59"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Alopeci</w:t>
            </w:r>
          </w:p>
        </w:tc>
        <w:tc>
          <w:tcPr>
            <w:tcW w:w="1215" w:type="pct"/>
            <w:tcBorders>
              <w:top w:val="single" w:sz="6" w:space="0" w:color="000000"/>
              <w:left w:val="single" w:sz="6" w:space="0" w:color="000000"/>
              <w:bottom w:val="single" w:sz="6" w:space="0" w:color="000000"/>
              <w:right w:val="single" w:sz="6" w:space="0" w:color="000000"/>
            </w:tcBorders>
            <w:hideMark/>
          </w:tcPr>
          <w:p w14:paraId="4927451E"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2936240"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6B2CD64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51EBE6E1"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6A1B705"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Udslæt</w:t>
            </w:r>
          </w:p>
        </w:tc>
        <w:tc>
          <w:tcPr>
            <w:tcW w:w="1215" w:type="pct"/>
            <w:tcBorders>
              <w:top w:val="single" w:sz="6" w:space="0" w:color="000000"/>
              <w:left w:val="single" w:sz="6" w:space="0" w:color="000000"/>
              <w:bottom w:val="single" w:sz="6" w:space="0" w:color="000000"/>
              <w:right w:val="single" w:sz="6" w:space="0" w:color="000000"/>
            </w:tcBorders>
            <w:hideMark/>
          </w:tcPr>
          <w:p w14:paraId="44F7046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3707EC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DBC0A8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685B807"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620534C8"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Hud hypertrofi</w:t>
            </w:r>
          </w:p>
        </w:tc>
        <w:tc>
          <w:tcPr>
            <w:tcW w:w="1215" w:type="pct"/>
            <w:tcBorders>
              <w:top w:val="single" w:sz="6" w:space="0" w:color="000000"/>
              <w:left w:val="single" w:sz="6" w:space="0" w:color="000000"/>
              <w:bottom w:val="single" w:sz="6" w:space="0" w:color="000000"/>
              <w:right w:val="single" w:sz="6" w:space="0" w:color="000000"/>
            </w:tcBorders>
            <w:hideMark/>
          </w:tcPr>
          <w:p w14:paraId="7CC6BDD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F6DAB2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5D4B22DF"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E16334D"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72F1B769" w14:textId="77777777" w:rsidR="00886F11" w:rsidRPr="00FA0C3A" w:rsidRDefault="00886F11">
            <w:pPr>
              <w:kinsoku w:val="0"/>
              <w:overflowPunct w:val="0"/>
              <w:autoSpaceDE w:val="0"/>
              <w:autoSpaceDN w:val="0"/>
              <w:adjustRightInd w:val="0"/>
              <w:spacing w:before="34"/>
              <w:ind w:left="123" w:right="151"/>
              <w:rPr>
                <w:sz w:val="22"/>
                <w:szCs w:val="22"/>
              </w:rPr>
            </w:pPr>
            <w:r w:rsidRPr="00FA0C3A">
              <w:rPr>
                <w:b/>
                <w:bCs/>
                <w:sz w:val="22"/>
                <w:szCs w:val="22"/>
              </w:rPr>
              <w:t>Knogler, led, muskler og bindevæv</w:t>
            </w:r>
          </w:p>
        </w:tc>
      </w:tr>
      <w:tr w:rsidR="00886F11" w:rsidRPr="00FA0C3A" w14:paraId="211F48F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4BAEA0F"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Artralgi</w:t>
            </w:r>
          </w:p>
        </w:tc>
        <w:tc>
          <w:tcPr>
            <w:tcW w:w="1215" w:type="pct"/>
            <w:tcBorders>
              <w:top w:val="single" w:sz="6" w:space="0" w:color="000000"/>
              <w:left w:val="single" w:sz="6" w:space="0" w:color="000000"/>
              <w:bottom w:val="single" w:sz="6" w:space="0" w:color="000000"/>
              <w:right w:val="single" w:sz="6" w:space="0" w:color="000000"/>
            </w:tcBorders>
            <w:hideMark/>
          </w:tcPr>
          <w:p w14:paraId="41B24087"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E62574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4DBB2FA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5F5055F"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483F3A3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Muskelsvaghed</w:t>
            </w:r>
          </w:p>
        </w:tc>
        <w:tc>
          <w:tcPr>
            <w:tcW w:w="1215" w:type="pct"/>
            <w:tcBorders>
              <w:top w:val="single" w:sz="6" w:space="0" w:color="000000"/>
              <w:left w:val="single" w:sz="6" w:space="0" w:color="000000"/>
              <w:bottom w:val="single" w:sz="6" w:space="0" w:color="000000"/>
              <w:right w:val="single" w:sz="6" w:space="0" w:color="000000"/>
            </w:tcBorders>
            <w:hideMark/>
          </w:tcPr>
          <w:p w14:paraId="3CAA48CC"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6BB77FA4"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9A8A5FE"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17A029DA"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33DBF058" w14:textId="77777777" w:rsidR="00886F11" w:rsidRPr="00FA0C3A" w:rsidRDefault="00886F11">
            <w:pPr>
              <w:kinsoku w:val="0"/>
              <w:overflowPunct w:val="0"/>
              <w:autoSpaceDE w:val="0"/>
              <w:autoSpaceDN w:val="0"/>
              <w:adjustRightInd w:val="0"/>
              <w:spacing w:before="34"/>
              <w:ind w:left="123" w:right="151"/>
              <w:rPr>
                <w:sz w:val="22"/>
                <w:szCs w:val="22"/>
                <w:lang w:val="fi-FI"/>
              </w:rPr>
            </w:pPr>
            <w:r w:rsidRPr="00FA0C3A">
              <w:rPr>
                <w:b/>
                <w:bCs/>
                <w:sz w:val="22"/>
                <w:szCs w:val="22"/>
                <w:lang w:val="fi-FI"/>
              </w:rPr>
              <w:t>Nyrer og urinveje</w:t>
            </w:r>
          </w:p>
        </w:tc>
      </w:tr>
      <w:tr w:rsidR="00886F11" w:rsidRPr="00FA0C3A" w14:paraId="03C1D293"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7672476A"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Forhøjet serum-creatinin</w:t>
            </w:r>
          </w:p>
        </w:tc>
        <w:tc>
          <w:tcPr>
            <w:tcW w:w="1215" w:type="pct"/>
            <w:tcBorders>
              <w:top w:val="single" w:sz="6" w:space="0" w:color="000000"/>
              <w:left w:val="single" w:sz="6" w:space="0" w:color="000000"/>
              <w:bottom w:val="single" w:sz="6" w:space="0" w:color="000000"/>
              <w:right w:val="single" w:sz="6" w:space="0" w:color="000000"/>
            </w:tcBorders>
            <w:hideMark/>
          </w:tcPr>
          <w:p w14:paraId="192AA8B1"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4965975"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66F2981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2696F6E"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DB7FC90"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Forhøjet serum-carbamid</w:t>
            </w:r>
          </w:p>
        </w:tc>
        <w:tc>
          <w:tcPr>
            <w:tcW w:w="1215" w:type="pct"/>
            <w:tcBorders>
              <w:top w:val="single" w:sz="6" w:space="0" w:color="000000"/>
              <w:left w:val="single" w:sz="6" w:space="0" w:color="000000"/>
              <w:bottom w:val="single" w:sz="6" w:space="0" w:color="000000"/>
              <w:right w:val="single" w:sz="6" w:space="0" w:color="000000"/>
            </w:tcBorders>
            <w:hideMark/>
          </w:tcPr>
          <w:p w14:paraId="5660EBC4"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5F4194AB"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71F1557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7EFBA5C4"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1E4B2B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Hæmaturi</w:t>
            </w:r>
          </w:p>
        </w:tc>
        <w:tc>
          <w:tcPr>
            <w:tcW w:w="1215" w:type="pct"/>
            <w:tcBorders>
              <w:top w:val="single" w:sz="6" w:space="0" w:color="000000"/>
              <w:left w:val="single" w:sz="6" w:space="0" w:color="000000"/>
              <w:bottom w:val="single" w:sz="6" w:space="0" w:color="000000"/>
              <w:right w:val="single" w:sz="6" w:space="0" w:color="000000"/>
            </w:tcBorders>
            <w:hideMark/>
          </w:tcPr>
          <w:p w14:paraId="2DA80113"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213E0867"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63D50A5E"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Almindelig</w:t>
            </w:r>
          </w:p>
        </w:tc>
      </w:tr>
      <w:tr w:rsidR="00886F11" w:rsidRPr="00FA0C3A" w14:paraId="527B8802"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17134671"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Nedsat nyrefunktion</w:t>
            </w:r>
          </w:p>
        </w:tc>
        <w:tc>
          <w:tcPr>
            <w:tcW w:w="1215" w:type="pct"/>
            <w:tcBorders>
              <w:top w:val="single" w:sz="6" w:space="0" w:color="000000"/>
              <w:left w:val="single" w:sz="6" w:space="0" w:color="000000"/>
              <w:bottom w:val="single" w:sz="6" w:space="0" w:color="000000"/>
              <w:right w:val="single" w:sz="6" w:space="0" w:color="000000"/>
            </w:tcBorders>
            <w:hideMark/>
          </w:tcPr>
          <w:p w14:paraId="598228CD"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16432CF"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BFE3672"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515D7D90" w14:textId="77777777" w:rsidTr="00FA0C3A">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681D9156" w14:textId="77777777" w:rsidR="00886F11" w:rsidRPr="00FA0C3A" w:rsidRDefault="00886F11">
            <w:pPr>
              <w:kinsoku w:val="0"/>
              <w:overflowPunct w:val="0"/>
              <w:autoSpaceDE w:val="0"/>
              <w:autoSpaceDN w:val="0"/>
              <w:adjustRightInd w:val="0"/>
              <w:spacing w:before="34"/>
              <w:ind w:left="123" w:right="151"/>
              <w:rPr>
                <w:sz w:val="22"/>
                <w:szCs w:val="22"/>
              </w:rPr>
            </w:pPr>
            <w:r w:rsidRPr="00FA0C3A">
              <w:rPr>
                <w:b/>
                <w:bCs/>
                <w:sz w:val="22"/>
                <w:szCs w:val="22"/>
              </w:rPr>
              <w:t>Almene symptomer og reaktioner på administrationsstedet</w:t>
            </w:r>
          </w:p>
        </w:tc>
      </w:tr>
      <w:tr w:rsidR="00886F11" w:rsidRPr="00FA0C3A" w14:paraId="41E08A1F"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AA6D7A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Asteni</w:t>
            </w:r>
          </w:p>
        </w:tc>
        <w:tc>
          <w:tcPr>
            <w:tcW w:w="1215" w:type="pct"/>
            <w:tcBorders>
              <w:top w:val="single" w:sz="6" w:space="0" w:color="000000"/>
              <w:left w:val="single" w:sz="6" w:space="0" w:color="000000"/>
              <w:bottom w:val="single" w:sz="6" w:space="0" w:color="000000"/>
              <w:right w:val="single" w:sz="6" w:space="0" w:color="000000"/>
            </w:tcBorders>
            <w:hideMark/>
          </w:tcPr>
          <w:p w14:paraId="3DACE3EF"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2CB12ABB"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23C118C9"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374701EB"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5E1F9C7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Kulderystelser</w:t>
            </w:r>
          </w:p>
        </w:tc>
        <w:tc>
          <w:tcPr>
            <w:tcW w:w="1215" w:type="pct"/>
            <w:tcBorders>
              <w:top w:val="single" w:sz="6" w:space="0" w:color="000000"/>
              <w:left w:val="single" w:sz="6" w:space="0" w:color="000000"/>
              <w:bottom w:val="single" w:sz="6" w:space="0" w:color="000000"/>
              <w:right w:val="single" w:sz="6" w:space="0" w:color="000000"/>
            </w:tcBorders>
            <w:hideMark/>
          </w:tcPr>
          <w:p w14:paraId="7DC1FC22"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15F2971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69A449D"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40AEA90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A2167C4"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Ødemer</w:t>
            </w:r>
          </w:p>
        </w:tc>
        <w:tc>
          <w:tcPr>
            <w:tcW w:w="1215" w:type="pct"/>
            <w:tcBorders>
              <w:top w:val="single" w:sz="6" w:space="0" w:color="000000"/>
              <w:left w:val="single" w:sz="6" w:space="0" w:color="000000"/>
              <w:bottom w:val="single" w:sz="6" w:space="0" w:color="000000"/>
              <w:right w:val="single" w:sz="6" w:space="0" w:color="000000"/>
            </w:tcBorders>
            <w:hideMark/>
          </w:tcPr>
          <w:p w14:paraId="2E96AA6A"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651460AC"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9CDA13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48E243F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7982B0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lang w:val="fi-FI"/>
              </w:rPr>
              <w:t>Brok</w:t>
            </w:r>
          </w:p>
        </w:tc>
        <w:tc>
          <w:tcPr>
            <w:tcW w:w="1215" w:type="pct"/>
            <w:tcBorders>
              <w:top w:val="single" w:sz="6" w:space="0" w:color="000000"/>
              <w:left w:val="single" w:sz="6" w:space="0" w:color="000000"/>
              <w:bottom w:val="single" w:sz="6" w:space="0" w:color="000000"/>
              <w:right w:val="single" w:sz="6" w:space="0" w:color="000000"/>
            </w:tcBorders>
            <w:hideMark/>
          </w:tcPr>
          <w:p w14:paraId="73B81E3C"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lang w:val="fi-FI"/>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796CCA72"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lang w:val="fi-FI"/>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D9F71EC"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lang w:val="fi-FI"/>
              </w:rPr>
              <w:t>Meget almindelig</w:t>
            </w:r>
          </w:p>
        </w:tc>
      </w:tr>
      <w:tr w:rsidR="00886F11" w:rsidRPr="00FA0C3A" w14:paraId="2CE94DD8"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2B568E1C"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rPr>
              <w:t>Utilpashed</w:t>
            </w:r>
          </w:p>
        </w:tc>
        <w:tc>
          <w:tcPr>
            <w:tcW w:w="1215" w:type="pct"/>
            <w:tcBorders>
              <w:top w:val="single" w:sz="6" w:space="0" w:color="000000"/>
              <w:left w:val="single" w:sz="6" w:space="0" w:color="000000"/>
              <w:bottom w:val="single" w:sz="6" w:space="0" w:color="000000"/>
              <w:right w:val="single" w:sz="6" w:space="0" w:color="000000"/>
            </w:tcBorders>
            <w:hideMark/>
          </w:tcPr>
          <w:p w14:paraId="32969C2B"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56F1E8D9"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197EB4C3"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rPr>
              <w:t>Almindelig</w:t>
            </w:r>
          </w:p>
        </w:tc>
      </w:tr>
      <w:tr w:rsidR="00886F11" w:rsidRPr="00FA0C3A" w14:paraId="1B362C15"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D5C295E"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rPr>
              <w:t>Smerter</w:t>
            </w:r>
          </w:p>
        </w:tc>
        <w:tc>
          <w:tcPr>
            <w:tcW w:w="1215" w:type="pct"/>
            <w:tcBorders>
              <w:top w:val="single" w:sz="6" w:space="0" w:color="000000"/>
              <w:left w:val="single" w:sz="6" w:space="0" w:color="000000"/>
              <w:bottom w:val="single" w:sz="6" w:space="0" w:color="000000"/>
              <w:right w:val="single" w:sz="6" w:space="0" w:color="000000"/>
            </w:tcBorders>
            <w:hideMark/>
          </w:tcPr>
          <w:p w14:paraId="23ABC315"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rPr>
              <w:t>Almindelig</w:t>
            </w:r>
          </w:p>
        </w:tc>
        <w:tc>
          <w:tcPr>
            <w:tcW w:w="1246" w:type="pct"/>
            <w:tcBorders>
              <w:top w:val="single" w:sz="6" w:space="0" w:color="000000"/>
              <w:left w:val="single" w:sz="6" w:space="0" w:color="000000"/>
              <w:bottom w:val="single" w:sz="6" w:space="0" w:color="000000"/>
              <w:right w:val="single" w:sz="6" w:space="0" w:color="000000"/>
            </w:tcBorders>
            <w:hideMark/>
          </w:tcPr>
          <w:p w14:paraId="0F67BE7F"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1A03B4A7"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rPr>
              <w:t>Meget almindelig</w:t>
            </w:r>
          </w:p>
        </w:tc>
      </w:tr>
      <w:tr w:rsidR="00886F11" w:rsidRPr="00FA0C3A" w14:paraId="49116599"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0845EB10" w14:textId="77777777" w:rsidR="00886F11" w:rsidRPr="00FA0C3A" w:rsidRDefault="00886F11">
            <w:pPr>
              <w:kinsoku w:val="0"/>
              <w:overflowPunct w:val="0"/>
              <w:autoSpaceDE w:val="0"/>
              <w:autoSpaceDN w:val="0"/>
              <w:adjustRightInd w:val="0"/>
              <w:spacing w:before="34"/>
              <w:ind w:left="112"/>
              <w:rPr>
                <w:sz w:val="22"/>
                <w:szCs w:val="22"/>
                <w:lang w:val="fi-FI"/>
              </w:rPr>
            </w:pPr>
            <w:r w:rsidRPr="00FA0C3A">
              <w:rPr>
                <w:sz w:val="22"/>
                <w:szCs w:val="22"/>
              </w:rPr>
              <w:t>Feber</w:t>
            </w:r>
          </w:p>
        </w:tc>
        <w:tc>
          <w:tcPr>
            <w:tcW w:w="1215" w:type="pct"/>
            <w:tcBorders>
              <w:top w:val="single" w:sz="6" w:space="0" w:color="000000"/>
              <w:left w:val="single" w:sz="6" w:space="0" w:color="000000"/>
              <w:bottom w:val="single" w:sz="6" w:space="0" w:color="000000"/>
              <w:right w:val="single" w:sz="6" w:space="0" w:color="000000"/>
            </w:tcBorders>
            <w:hideMark/>
          </w:tcPr>
          <w:p w14:paraId="7D577896" w14:textId="77777777" w:rsidR="00886F11" w:rsidRPr="00FA0C3A" w:rsidRDefault="00886F11">
            <w:pPr>
              <w:kinsoku w:val="0"/>
              <w:overflowPunct w:val="0"/>
              <w:autoSpaceDE w:val="0"/>
              <w:autoSpaceDN w:val="0"/>
              <w:adjustRightInd w:val="0"/>
              <w:spacing w:before="34"/>
              <w:ind w:left="148" w:right="147"/>
              <w:jc w:val="center"/>
              <w:rPr>
                <w:sz w:val="22"/>
                <w:szCs w:val="22"/>
                <w:lang w:val="fi-FI"/>
              </w:rPr>
            </w:pPr>
            <w:r w:rsidRPr="00FA0C3A">
              <w:rPr>
                <w:sz w:val="22"/>
                <w:szCs w:val="22"/>
              </w:rPr>
              <w:t>Meget almindelig</w:t>
            </w:r>
          </w:p>
        </w:tc>
        <w:tc>
          <w:tcPr>
            <w:tcW w:w="1246" w:type="pct"/>
            <w:tcBorders>
              <w:top w:val="single" w:sz="6" w:space="0" w:color="000000"/>
              <w:left w:val="single" w:sz="6" w:space="0" w:color="000000"/>
              <w:bottom w:val="single" w:sz="6" w:space="0" w:color="000000"/>
              <w:right w:val="single" w:sz="6" w:space="0" w:color="000000"/>
            </w:tcBorders>
            <w:hideMark/>
          </w:tcPr>
          <w:p w14:paraId="1FBA000A" w14:textId="77777777" w:rsidR="00886F11" w:rsidRPr="00FA0C3A" w:rsidRDefault="00886F11">
            <w:pPr>
              <w:kinsoku w:val="0"/>
              <w:overflowPunct w:val="0"/>
              <w:autoSpaceDE w:val="0"/>
              <w:autoSpaceDN w:val="0"/>
              <w:adjustRightInd w:val="0"/>
              <w:spacing w:before="34"/>
              <w:ind w:left="177" w:right="175"/>
              <w:jc w:val="center"/>
              <w:rPr>
                <w:sz w:val="22"/>
                <w:szCs w:val="22"/>
                <w:lang w:val="fi-FI"/>
              </w:rPr>
            </w:pPr>
            <w:r w:rsidRPr="00FA0C3A">
              <w:rPr>
                <w:sz w:val="22"/>
                <w:szCs w:val="22"/>
              </w:rPr>
              <w:t>Meget almindelig</w:t>
            </w:r>
          </w:p>
        </w:tc>
        <w:tc>
          <w:tcPr>
            <w:tcW w:w="1238" w:type="pct"/>
            <w:tcBorders>
              <w:top w:val="single" w:sz="6" w:space="0" w:color="000000"/>
              <w:left w:val="single" w:sz="6" w:space="0" w:color="000000"/>
              <w:bottom w:val="single" w:sz="6" w:space="0" w:color="000000"/>
              <w:right w:val="single" w:sz="6" w:space="0" w:color="000000"/>
            </w:tcBorders>
            <w:hideMark/>
          </w:tcPr>
          <w:p w14:paraId="3DA048B0" w14:textId="77777777" w:rsidR="00886F11" w:rsidRPr="00FA0C3A" w:rsidRDefault="00886F11">
            <w:pPr>
              <w:kinsoku w:val="0"/>
              <w:overflowPunct w:val="0"/>
              <w:autoSpaceDE w:val="0"/>
              <w:autoSpaceDN w:val="0"/>
              <w:adjustRightInd w:val="0"/>
              <w:spacing w:before="34"/>
              <w:ind w:left="123" w:right="151"/>
              <w:jc w:val="center"/>
              <w:rPr>
                <w:sz w:val="22"/>
                <w:szCs w:val="22"/>
                <w:lang w:val="fi-FI"/>
              </w:rPr>
            </w:pPr>
            <w:r w:rsidRPr="00FA0C3A">
              <w:rPr>
                <w:sz w:val="22"/>
                <w:szCs w:val="22"/>
              </w:rPr>
              <w:t>Meget almindelig</w:t>
            </w:r>
          </w:p>
        </w:tc>
      </w:tr>
      <w:tr w:rsidR="00886F11" w:rsidRPr="00FA0C3A" w14:paraId="2EE2F29D" w14:textId="77777777" w:rsidTr="00FA0C3A">
        <w:trPr>
          <w:trHeight w:val="20"/>
        </w:trPr>
        <w:tc>
          <w:tcPr>
            <w:tcW w:w="1301" w:type="pct"/>
            <w:tcBorders>
              <w:top w:val="single" w:sz="6" w:space="0" w:color="000000"/>
              <w:left w:val="single" w:sz="6" w:space="0" w:color="000000"/>
              <w:bottom w:val="single" w:sz="6" w:space="0" w:color="000000"/>
              <w:right w:val="single" w:sz="6" w:space="0" w:color="000000"/>
            </w:tcBorders>
            <w:hideMark/>
          </w:tcPr>
          <w:p w14:paraId="3B737A5F" w14:textId="77777777" w:rsidR="00886F11" w:rsidRPr="00FA0C3A" w:rsidRDefault="00886F11">
            <w:pPr>
              <w:kinsoku w:val="0"/>
              <w:overflowPunct w:val="0"/>
              <w:autoSpaceDE w:val="0"/>
              <w:autoSpaceDN w:val="0"/>
              <w:adjustRightInd w:val="0"/>
              <w:spacing w:before="34"/>
              <w:ind w:left="112"/>
              <w:rPr>
                <w:sz w:val="22"/>
                <w:szCs w:val="22"/>
              </w:rPr>
            </w:pPr>
            <w:r w:rsidRPr="00FA0C3A">
              <w:rPr>
                <w:bCs/>
                <w:i/>
                <w:iCs/>
                <w:sz w:val="22"/>
                <w:szCs w:val="22"/>
              </w:rPr>
              <w:t xml:space="preserve">De </w:t>
            </w:r>
            <w:proofErr w:type="spellStart"/>
            <w:r w:rsidRPr="00FA0C3A">
              <w:rPr>
                <w:bCs/>
                <w:i/>
                <w:iCs/>
                <w:sz w:val="22"/>
                <w:szCs w:val="22"/>
              </w:rPr>
              <w:t>novo</w:t>
            </w:r>
            <w:proofErr w:type="spellEnd"/>
            <w:r w:rsidRPr="00FA0C3A">
              <w:rPr>
                <w:bCs/>
                <w:i/>
                <w:iCs/>
                <w:sz w:val="22"/>
                <w:szCs w:val="22"/>
              </w:rPr>
              <w:t xml:space="preserve"> </w:t>
            </w:r>
            <w:proofErr w:type="spellStart"/>
            <w:r w:rsidRPr="00FA0C3A">
              <w:rPr>
                <w:bCs/>
                <w:sz w:val="22"/>
                <w:szCs w:val="22"/>
              </w:rPr>
              <w:t>purinsyntese</w:t>
            </w:r>
            <w:proofErr w:type="spellEnd"/>
            <w:r w:rsidRPr="00FA0C3A">
              <w:rPr>
                <w:bCs/>
                <w:sz w:val="22"/>
                <w:szCs w:val="22"/>
              </w:rPr>
              <w:t xml:space="preserve"> </w:t>
            </w:r>
            <w:proofErr w:type="spellStart"/>
            <w:r w:rsidRPr="00FA0C3A">
              <w:rPr>
                <w:bCs/>
                <w:sz w:val="22"/>
                <w:szCs w:val="22"/>
              </w:rPr>
              <w:t>hæmmere</w:t>
            </w:r>
            <w:proofErr w:type="spellEnd"/>
            <w:r w:rsidRPr="00FA0C3A">
              <w:rPr>
                <w:bCs/>
                <w:sz w:val="22"/>
                <w:szCs w:val="22"/>
              </w:rPr>
              <w:t xml:space="preserve"> forbundet med akut inflammatorisk syndrom</w:t>
            </w:r>
          </w:p>
        </w:tc>
        <w:tc>
          <w:tcPr>
            <w:tcW w:w="1215" w:type="pct"/>
            <w:tcBorders>
              <w:top w:val="single" w:sz="6" w:space="0" w:color="000000"/>
              <w:left w:val="single" w:sz="6" w:space="0" w:color="000000"/>
              <w:bottom w:val="single" w:sz="6" w:space="0" w:color="000000"/>
              <w:right w:val="single" w:sz="6" w:space="0" w:color="000000"/>
            </w:tcBorders>
            <w:hideMark/>
          </w:tcPr>
          <w:p w14:paraId="582A558B" w14:textId="77777777" w:rsidR="00886F11" w:rsidRPr="00FA0C3A" w:rsidRDefault="00886F11">
            <w:pPr>
              <w:kinsoku w:val="0"/>
              <w:overflowPunct w:val="0"/>
              <w:autoSpaceDE w:val="0"/>
              <w:autoSpaceDN w:val="0"/>
              <w:adjustRightInd w:val="0"/>
              <w:spacing w:before="34"/>
              <w:ind w:left="148" w:right="147"/>
              <w:jc w:val="center"/>
              <w:rPr>
                <w:sz w:val="22"/>
                <w:szCs w:val="22"/>
                <w:lang w:val="en-US"/>
              </w:rPr>
            </w:pPr>
            <w:r w:rsidRPr="00FA0C3A">
              <w:rPr>
                <w:sz w:val="22"/>
                <w:szCs w:val="22"/>
              </w:rPr>
              <w:t>Ikke almindelig</w:t>
            </w:r>
          </w:p>
        </w:tc>
        <w:tc>
          <w:tcPr>
            <w:tcW w:w="1246" w:type="pct"/>
            <w:tcBorders>
              <w:top w:val="single" w:sz="6" w:space="0" w:color="000000"/>
              <w:left w:val="single" w:sz="6" w:space="0" w:color="000000"/>
              <w:bottom w:val="single" w:sz="6" w:space="0" w:color="000000"/>
              <w:right w:val="single" w:sz="6" w:space="0" w:color="000000"/>
            </w:tcBorders>
            <w:hideMark/>
          </w:tcPr>
          <w:p w14:paraId="6B2096D3" w14:textId="77777777" w:rsidR="00886F11" w:rsidRPr="00FA0C3A" w:rsidRDefault="00886F11">
            <w:pPr>
              <w:kinsoku w:val="0"/>
              <w:overflowPunct w:val="0"/>
              <w:autoSpaceDE w:val="0"/>
              <w:autoSpaceDN w:val="0"/>
              <w:adjustRightInd w:val="0"/>
              <w:spacing w:before="34"/>
              <w:ind w:left="177" w:right="175"/>
              <w:jc w:val="center"/>
              <w:rPr>
                <w:sz w:val="22"/>
                <w:szCs w:val="22"/>
                <w:lang w:val="en-US"/>
              </w:rPr>
            </w:pPr>
            <w:r w:rsidRPr="00FA0C3A">
              <w:rPr>
                <w:sz w:val="22"/>
                <w:szCs w:val="22"/>
              </w:rPr>
              <w:t>Ikke almindelig</w:t>
            </w:r>
          </w:p>
        </w:tc>
        <w:tc>
          <w:tcPr>
            <w:tcW w:w="1238" w:type="pct"/>
            <w:tcBorders>
              <w:top w:val="single" w:sz="6" w:space="0" w:color="000000"/>
              <w:left w:val="single" w:sz="6" w:space="0" w:color="000000"/>
              <w:bottom w:val="single" w:sz="6" w:space="0" w:color="000000"/>
              <w:right w:val="single" w:sz="6" w:space="0" w:color="000000"/>
            </w:tcBorders>
            <w:hideMark/>
          </w:tcPr>
          <w:p w14:paraId="5C471AFB" w14:textId="77777777" w:rsidR="00886F11" w:rsidRPr="00FA0C3A" w:rsidRDefault="00886F11">
            <w:pPr>
              <w:kinsoku w:val="0"/>
              <w:overflowPunct w:val="0"/>
              <w:autoSpaceDE w:val="0"/>
              <w:autoSpaceDN w:val="0"/>
              <w:adjustRightInd w:val="0"/>
              <w:spacing w:before="34"/>
              <w:ind w:left="123" w:right="151"/>
              <w:jc w:val="center"/>
              <w:rPr>
                <w:sz w:val="22"/>
                <w:szCs w:val="22"/>
                <w:lang w:val="en-US"/>
              </w:rPr>
            </w:pPr>
            <w:r w:rsidRPr="00FA0C3A">
              <w:rPr>
                <w:sz w:val="22"/>
                <w:szCs w:val="22"/>
              </w:rPr>
              <w:t>Ikke almindelig</w:t>
            </w:r>
          </w:p>
        </w:tc>
      </w:tr>
    </w:tbl>
    <w:p w14:paraId="53824C4C" w14:textId="77777777" w:rsidR="00886F11" w:rsidRPr="00FA0C3A" w:rsidRDefault="00886F11" w:rsidP="00886F11">
      <w:pPr>
        <w:ind w:left="851"/>
        <w:rPr>
          <w:sz w:val="24"/>
          <w:szCs w:val="24"/>
          <w:u w:val="single"/>
        </w:rPr>
      </w:pPr>
    </w:p>
    <w:p w14:paraId="48B5E297" w14:textId="77777777" w:rsidR="00886F11" w:rsidRPr="00FA0C3A" w:rsidRDefault="00886F11" w:rsidP="00886F11">
      <w:pPr>
        <w:autoSpaceDE w:val="0"/>
        <w:autoSpaceDN w:val="0"/>
        <w:adjustRightInd w:val="0"/>
        <w:ind w:left="851"/>
        <w:rPr>
          <w:iCs/>
          <w:sz w:val="24"/>
          <w:szCs w:val="24"/>
          <w:u w:val="single"/>
        </w:rPr>
      </w:pPr>
      <w:r w:rsidRPr="00FA0C3A">
        <w:rPr>
          <w:iCs/>
          <w:sz w:val="24"/>
          <w:szCs w:val="24"/>
          <w:u w:val="single"/>
        </w:rPr>
        <w:t>Beskrivelse af udvalgte bivirkninger</w:t>
      </w:r>
    </w:p>
    <w:p w14:paraId="04C292AD" w14:textId="77777777" w:rsidR="00886F11" w:rsidRPr="00FA0C3A" w:rsidRDefault="00886F11" w:rsidP="00886F11">
      <w:pPr>
        <w:autoSpaceDE w:val="0"/>
        <w:autoSpaceDN w:val="0"/>
        <w:adjustRightInd w:val="0"/>
        <w:ind w:left="851"/>
        <w:rPr>
          <w:iCs/>
          <w:sz w:val="24"/>
          <w:szCs w:val="24"/>
          <w:u w:val="single"/>
        </w:rPr>
      </w:pPr>
    </w:p>
    <w:p w14:paraId="3781A5D4" w14:textId="77777777" w:rsidR="00886F11" w:rsidRPr="00FA0C3A" w:rsidRDefault="00886F11" w:rsidP="00886F11">
      <w:pPr>
        <w:autoSpaceDE w:val="0"/>
        <w:autoSpaceDN w:val="0"/>
        <w:adjustRightInd w:val="0"/>
        <w:ind w:left="851"/>
        <w:rPr>
          <w:i/>
          <w:iCs/>
          <w:sz w:val="24"/>
          <w:szCs w:val="24"/>
        </w:rPr>
      </w:pPr>
      <w:proofErr w:type="spellStart"/>
      <w:r w:rsidRPr="00FA0C3A">
        <w:rPr>
          <w:i/>
          <w:iCs/>
          <w:sz w:val="24"/>
          <w:szCs w:val="24"/>
        </w:rPr>
        <w:t>Maligniteter</w:t>
      </w:r>
      <w:proofErr w:type="spellEnd"/>
    </w:p>
    <w:p w14:paraId="03C38B96" w14:textId="77777777" w:rsidR="00886F11" w:rsidRPr="00FA0C3A" w:rsidRDefault="00886F11" w:rsidP="00886F11">
      <w:pPr>
        <w:autoSpaceDE w:val="0"/>
        <w:autoSpaceDN w:val="0"/>
        <w:adjustRightInd w:val="0"/>
        <w:ind w:left="851"/>
        <w:rPr>
          <w:sz w:val="24"/>
          <w:szCs w:val="24"/>
        </w:rPr>
      </w:pPr>
      <w:r w:rsidRPr="00FA0C3A">
        <w:rPr>
          <w:sz w:val="24"/>
          <w:szCs w:val="24"/>
        </w:rPr>
        <w:t xml:space="preserve">Patienter, der får immunsuppressiv behandling med kombinationer af lægemidler, inklusive </w:t>
      </w:r>
      <w:proofErr w:type="spellStart"/>
      <w:r w:rsidRPr="00FA0C3A">
        <w:rPr>
          <w:sz w:val="24"/>
          <w:szCs w:val="24"/>
        </w:rPr>
        <w:t>mycophenolatmofetil</w:t>
      </w:r>
      <w:proofErr w:type="spellEnd"/>
      <w:r w:rsidRPr="00FA0C3A">
        <w:rPr>
          <w:sz w:val="24"/>
          <w:szCs w:val="24"/>
        </w:rPr>
        <w:t xml:space="preserve">, har forøget risiko for at udvikle </w:t>
      </w:r>
      <w:proofErr w:type="spellStart"/>
      <w:r w:rsidRPr="00FA0C3A">
        <w:rPr>
          <w:sz w:val="24"/>
          <w:szCs w:val="24"/>
        </w:rPr>
        <w:t>lymfomer</w:t>
      </w:r>
      <w:proofErr w:type="spellEnd"/>
      <w:r w:rsidRPr="00FA0C3A">
        <w:rPr>
          <w:sz w:val="24"/>
          <w:szCs w:val="24"/>
        </w:rPr>
        <w:t xml:space="preserve"> og andre maligne lidelser, især i huden (se pkt. 4.4). Sammenlignet med data efter 1 år viste sikkerhedsdata for 3 år ingen uventede ændringer mht. hyppighed af </w:t>
      </w:r>
      <w:proofErr w:type="spellStart"/>
      <w:r w:rsidRPr="00FA0C3A">
        <w:rPr>
          <w:sz w:val="24"/>
          <w:szCs w:val="24"/>
        </w:rPr>
        <w:t>malignitet</w:t>
      </w:r>
      <w:proofErr w:type="spellEnd"/>
      <w:r w:rsidRPr="00FA0C3A">
        <w:rPr>
          <w:sz w:val="24"/>
          <w:szCs w:val="24"/>
        </w:rPr>
        <w:t xml:space="preserve"> hos nyre- og hjertetransplanterede patienter. Levertransplanterede patienter fulgtes i mindst 1 år, men i mindre end 3 år.</w:t>
      </w:r>
    </w:p>
    <w:p w14:paraId="7FCEBD99" w14:textId="77777777" w:rsidR="00886F11" w:rsidRPr="00FA0C3A" w:rsidRDefault="00886F11" w:rsidP="00886F11">
      <w:pPr>
        <w:autoSpaceDE w:val="0"/>
        <w:autoSpaceDN w:val="0"/>
        <w:adjustRightInd w:val="0"/>
        <w:ind w:left="851" w:hanging="851"/>
        <w:rPr>
          <w:sz w:val="24"/>
          <w:szCs w:val="24"/>
        </w:rPr>
      </w:pPr>
    </w:p>
    <w:p w14:paraId="394C9B0E" w14:textId="77777777" w:rsidR="00886F11" w:rsidRPr="00FA0C3A" w:rsidRDefault="00886F11" w:rsidP="00886F11">
      <w:pPr>
        <w:autoSpaceDE w:val="0"/>
        <w:autoSpaceDN w:val="0"/>
        <w:adjustRightInd w:val="0"/>
        <w:ind w:left="851"/>
        <w:rPr>
          <w:i/>
          <w:sz w:val="24"/>
          <w:szCs w:val="24"/>
        </w:rPr>
      </w:pPr>
      <w:r w:rsidRPr="00FA0C3A">
        <w:rPr>
          <w:i/>
          <w:sz w:val="24"/>
          <w:szCs w:val="24"/>
        </w:rPr>
        <w:t>Infektioner</w:t>
      </w:r>
    </w:p>
    <w:p w14:paraId="4AE54752" w14:textId="77777777" w:rsidR="00886F11" w:rsidRPr="00FA0C3A" w:rsidRDefault="00886F11" w:rsidP="00886F11">
      <w:pPr>
        <w:autoSpaceDE w:val="0"/>
        <w:autoSpaceDN w:val="0"/>
        <w:adjustRightInd w:val="0"/>
        <w:ind w:left="851"/>
        <w:rPr>
          <w:sz w:val="24"/>
          <w:szCs w:val="24"/>
        </w:rPr>
      </w:pPr>
      <w:r w:rsidRPr="00FA0C3A">
        <w:rPr>
          <w:sz w:val="24"/>
          <w:szCs w:val="24"/>
        </w:rPr>
        <w:t xml:space="preserve">Alle patienter, som bliver behandlet med </w:t>
      </w:r>
      <w:proofErr w:type="spellStart"/>
      <w:r w:rsidRPr="00FA0C3A">
        <w:rPr>
          <w:sz w:val="24"/>
          <w:szCs w:val="24"/>
        </w:rPr>
        <w:t>immunsuppressiva</w:t>
      </w:r>
      <w:proofErr w:type="spellEnd"/>
      <w:r w:rsidRPr="00FA0C3A">
        <w:rPr>
          <w:sz w:val="24"/>
          <w:szCs w:val="24"/>
        </w:rPr>
        <w:t xml:space="preserve">, har forhøjet risiko for bakterielle, virale og svampeinfektioner (hvoraf nogle kan forårsage dødelige tilstande), inklusiv dem, der skyldes opportunistiske mikroorganismer og latent viral reaktivering. Risikoen øges med stigende immunsuppressiv belastning (se pkt. 4.4). De mest alvorlige infektioner var sepsis, </w:t>
      </w:r>
      <w:proofErr w:type="spellStart"/>
      <w:r w:rsidRPr="00FA0C3A">
        <w:rPr>
          <w:sz w:val="24"/>
          <w:szCs w:val="24"/>
        </w:rPr>
        <w:t>peritonitis</w:t>
      </w:r>
      <w:proofErr w:type="spellEnd"/>
      <w:r w:rsidRPr="00FA0C3A">
        <w:rPr>
          <w:sz w:val="24"/>
          <w:szCs w:val="24"/>
        </w:rPr>
        <w:t xml:space="preserve">, meningitis, </w:t>
      </w:r>
      <w:proofErr w:type="spellStart"/>
      <w:r w:rsidRPr="00FA0C3A">
        <w:rPr>
          <w:sz w:val="24"/>
          <w:szCs w:val="24"/>
        </w:rPr>
        <w:t>endocarditis</w:t>
      </w:r>
      <w:proofErr w:type="spellEnd"/>
      <w:r w:rsidRPr="00FA0C3A">
        <w:rPr>
          <w:sz w:val="24"/>
          <w:szCs w:val="24"/>
        </w:rPr>
        <w:t xml:space="preserve">, tuberkulose og atypisk </w:t>
      </w:r>
      <w:proofErr w:type="spellStart"/>
      <w:r w:rsidRPr="00FA0C3A">
        <w:rPr>
          <w:sz w:val="24"/>
          <w:szCs w:val="24"/>
        </w:rPr>
        <w:t>mykobakteriel</w:t>
      </w:r>
      <w:proofErr w:type="spellEnd"/>
      <w:r w:rsidRPr="00FA0C3A">
        <w:rPr>
          <w:sz w:val="24"/>
          <w:szCs w:val="24"/>
        </w:rPr>
        <w:t xml:space="preserve"> infektion. I kontrollerede kliniske studier hos nyre-, hjerte- og levertransplanterede patienter, som blev fulgt i mindst 1 år, var de almindeligste opportunistiske infektioner hos patienter, som fik </w:t>
      </w:r>
      <w:proofErr w:type="spellStart"/>
      <w:r w:rsidRPr="00FA0C3A">
        <w:rPr>
          <w:sz w:val="24"/>
          <w:szCs w:val="24"/>
        </w:rPr>
        <w:t>mycophenolatmofetil</w:t>
      </w:r>
      <w:proofErr w:type="spellEnd"/>
      <w:r w:rsidRPr="00FA0C3A">
        <w:rPr>
          <w:sz w:val="24"/>
          <w:szCs w:val="24"/>
        </w:rPr>
        <w:t xml:space="preserve"> (2 g eller 3 g daglig) sammen med andre immunsupprimerende stoffer, </w:t>
      </w:r>
      <w:proofErr w:type="spellStart"/>
      <w:r w:rsidRPr="00FA0C3A">
        <w:rPr>
          <w:sz w:val="24"/>
          <w:szCs w:val="24"/>
        </w:rPr>
        <w:t>mukokutane</w:t>
      </w:r>
      <w:proofErr w:type="spellEnd"/>
      <w:r w:rsidRPr="00FA0C3A">
        <w:rPr>
          <w:sz w:val="24"/>
          <w:szCs w:val="24"/>
        </w:rPr>
        <w:t xml:space="preserve"> </w:t>
      </w:r>
      <w:proofErr w:type="spellStart"/>
      <w:r w:rsidRPr="00FA0C3A">
        <w:rPr>
          <w:sz w:val="24"/>
          <w:szCs w:val="24"/>
        </w:rPr>
        <w:t>candidainfektioner</w:t>
      </w:r>
      <w:proofErr w:type="spellEnd"/>
      <w:r w:rsidRPr="00FA0C3A">
        <w:rPr>
          <w:sz w:val="24"/>
          <w:szCs w:val="24"/>
        </w:rPr>
        <w:t>, CMV-</w:t>
      </w:r>
      <w:proofErr w:type="spellStart"/>
      <w:r w:rsidRPr="00FA0C3A">
        <w:rPr>
          <w:sz w:val="24"/>
          <w:szCs w:val="24"/>
        </w:rPr>
        <w:t>viræmi</w:t>
      </w:r>
      <w:proofErr w:type="spellEnd"/>
      <w:r w:rsidRPr="00FA0C3A">
        <w:rPr>
          <w:sz w:val="24"/>
          <w:szCs w:val="24"/>
        </w:rPr>
        <w:t xml:space="preserve">/syndrom og herpes </w:t>
      </w:r>
      <w:proofErr w:type="spellStart"/>
      <w:r w:rsidRPr="00FA0C3A">
        <w:rPr>
          <w:sz w:val="24"/>
          <w:szCs w:val="24"/>
        </w:rPr>
        <w:t>simplex</w:t>
      </w:r>
      <w:proofErr w:type="spellEnd"/>
      <w:r w:rsidRPr="00FA0C3A">
        <w:rPr>
          <w:sz w:val="24"/>
          <w:szCs w:val="24"/>
        </w:rPr>
        <w:t>-infektioner. Andelen af patienter med CMV-</w:t>
      </w:r>
      <w:proofErr w:type="spellStart"/>
      <w:r w:rsidRPr="00FA0C3A">
        <w:rPr>
          <w:sz w:val="24"/>
          <w:szCs w:val="24"/>
        </w:rPr>
        <w:t>viræmi</w:t>
      </w:r>
      <w:proofErr w:type="spellEnd"/>
      <w:r w:rsidRPr="00FA0C3A">
        <w:rPr>
          <w:sz w:val="24"/>
          <w:szCs w:val="24"/>
        </w:rPr>
        <w:t xml:space="preserve">/syndrom var 13,5 %. Tilfælde af BK-virus associeret med </w:t>
      </w:r>
      <w:proofErr w:type="spellStart"/>
      <w:r w:rsidRPr="00FA0C3A">
        <w:rPr>
          <w:sz w:val="24"/>
          <w:szCs w:val="24"/>
        </w:rPr>
        <w:t>nefropati</w:t>
      </w:r>
      <w:proofErr w:type="spellEnd"/>
      <w:r w:rsidRPr="00FA0C3A">
        <w:rPr>
          <w:sz w:val="24"/>
          <w:szCs w:val="24"/>
        </w:rPr>
        <w:t xml:space="preserve"> såvel som tilfælde af JC-virus associeret med progressiv multifokal </w:t>
      </w:r>
      <w:proofErr w:type="spellStart"/>
      <w:r w:rsidRPr="00FA0C3A">
        <w:rPr>
          <w:sz w:val="24"/>
          <w:szCs w:val="24"/>
        </w:rPr>
        <w:t>leukoencefalopati</w:t>
      </w:r>
      <w:proofErr w:type="spellEnd"/>
      <w:r w:rsidRPr="00FA0C3A">
        <w:rPr>
          <w:sz w:val="24"/>
          <w:szCs w:val="24"/>
        </w:rPr>
        <w:t xml:space="preserve"> (PML) er blevet rapporteret hos patienter, der behandles med </w:t>
      </w:r>
      <w:proofErr w:type="spellStart"/>
      <w:r w:rsidRPr="00FA0C3A">
        <w:rPr>
          <w:sz w:val="24"/>
          <w:szCs w:val="24"/>
        </w:rPr>
        <w:t>immunsuppressiva</w:t>
      </w:r>
      <w:proofErr w:type="spellEnd"/>
      <w:r w:rsidRPr="00FA0C3A">
        <w:rPr>
          <w:sz w:val="24"/>
          <w:szCs w:val="24"/>
        </w:rPr>
        <w:t xml:space="preserve"> herunder </w:t>
      </w:r>
      <w:proofErr w:type="spellStart"/>
      <w:r w:rsidRPr="00FA0C3A">
        <w:rPr>
          <w:sz w:val="24"/>
          <w:szCs w:val="24"/>
        </w:rPr>
        <w:t>mycophenolatmofetil</w:t>
      </w:r>
      <w:proofErr w:type="spellEnd"/>
      <w:r w:rsidRPr="00FA0C3A">
        <w:rPr>
          <w:sz w:val="24"/>
          <w:szCs w:val="24"/>
        </w:rPr>
        <w:t>.</w:t>
      </w:r>
    </w:p>
    <w:p w14:paraId="58EDE975" w14:textId="77777777" w:rsidR="00886F11" w:rsidRPr="00FA0C3A" w:rsidRDefault="00886F11" w:rsidP="00886F11">
      <w:pPr>
        <w:autoSpaceDE w:val="0"/>
        <w:autoSpaceDN w:val="0"/>
        <w:adjustRightInd w:val="0"/>
        <w:ind w:left="851"/>
        <w:rPr>
          <w:sz w:val="24"/>
          <w:szCs w:val="24"/>
        </w:rPr>
      </w:pPr>
    </w:p>
    <w:p w14:paraId="3A221116" w14:textId="77777777" w:rsidR="00886F11" w:rsidRPr="00FA0C3A" w:rsidRDefault="00886F11" w:rsidP="00886F11">
      <w:pPr>
        <w:autoSpaceDE w:val="0"/>
        <w:autoSpaceDN w:val="0"/>
        <w:adjustRightInd w:val="0"/>
        <w:ind w:left="851"/>
        <w:rPr>
          <w:i/>
          <w:iCs/>
          <w:sz w:val="24"/>
          <w:szCs w:val="24"/>
        </w:rPr>
      </w:pPr>
      <w:r w:rsidRPr="00FA0C3A">
        <w:rPr>
          <w:i/>
          <w:iCs/>
          <w:sz w:val="24"/>
          <w:szCs w:val="24"/>
        </w:rPr>
        <w:t>Blod og lymfesystem</w:t>
      </w:r>
    </w:p>
    <w:p w14:paraId="47F63BD4"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rPr>
        <w:t>Cytopenier</w:t>
      </w:r>
      <w:proofErr w:type="spellEnd"/>
      <w:r w:rsidRPr="00FA0C3A">
        <w:rPr>
          <w:sz w:val="24"/>
          <w:szCs w:val="24"/>
        </w:rPr>
        <w:t xml:space="preserve">, inklusiv </w:t>
      </w:r>
      <w:proofErr w:type="spellStart"/>
      <w:r w:rsidRPr="00FA0C3A">
        <w:rPr>
          <w:sz w:val="24"/>
          <w:szCs w:val="24"/>
        </w:rPr>
        <w:t>leukopeni</w:t>
      </w:r>
      <w:proofErr w:type="spellEnd"/>
      <w:r w:rsidRPr="00FA0C3A">
        <w:rPr>
          <w:sz w:val="24"/>
          <w:szCs w:val="24"/>
        </w:rPr>
        <w:t xml:space="preserve">, anæmi, </w:t>
      </w:r>
      <w:proofErr w:type="spellStart"/>
      <w:r w:rsidRPr="00FA0C3A">
        <w:rPr>
          <w:sz w:val="24"/>
          <w:szCs w:val="24"/>
        </w:rPr>
        <w:t>trombocytopeni</w:t>
      </w:r>
      <w:proofErr w:type="spellEnd"/>
      <w:r w:rsidRPr="00FA0C3A">
        <w:rPr>
          <w:sz w:val="24"/>
          <w:szCs w:val="24"/>
        </w:rPr>
        <w:t xml:space="preserve"> og </w:t>
      </w:r>
      <w:proofErr w:type="spellStart"/>
      <w:r w:rsidRPr="00FA0C3A">
        <w:rPr>
          <w:sz w:val="24"/>
          <w:szCs w:val="24"/>
        </w:rPr>
        <w:t>pancytopeni</w:t>
      </w:r>
      <w:proofErr w:type="spellEnd"/>
      <w:r w:rsidRPr="00FA0C3A">
        <w:rPr>
          <w:sz w:val="24"/>
          <w:szCs w:val="24"/>
        </w:rPr>
        <w:t xml:space="preserve"> er velkendte risici associeret med </w:t>
      </w:r>
      <w:proofErr w:type="spellStart"/>
      <w:r w:rsidRPr="00FA0C3A">
        <w:rPr>
          <w:sz w:val="24"/>
          <w:szCs w:val="24"/>
        </w:rPr>
        <w:t>mycophenolatmofetil</w:t>
      </w:r>
      <w:proofErr w:type="spellEnd"/>
      <w:r w:rsidRPr="00FA0C3A">
        <w:rPr>
          <w:sz w:val="24"/>
          <w:szCs w:val="24"/>
        </w:rPr>
        <w:t xml:space="preserve"> og kan forårsage eller medvirke til infektioner og blødninger (se pkt. 4.4). </w:t>
      </w:r>
      <w:proofErr w:type="spellStart"/>
      <w:r w:rsidRPr="00FA0C3A">
        <w:rPr>
          <w:sz w:val="24"/>
          <w:szCs w:val="24"/>
        </w:rPr>
        <w:t>Agranulocytose</w:t>
      </w:r>
      <w:proofErr w:type="spellEnd"/>
      <w:r w:rsidRPr="00FA0C3A">
        <w:rPr>
          <w:sz w:val="24"/>
          <w:szCs w:val="24"/>
        </w:rPr>
        <w:t xml:space="preserve"> og </w:t>
      </w:r>
      <w:proofErr w:type="spellStart"/>
      <w:r w:rsidRPr="00FA0C3A">
        <w:rPr>
          <w:sz w:val="24"/>
          <w:szCs w:val="24"/>
        </w:rPr>
        <w:t>neutropeni</w:t>
      </w:r>
      <w:proofErr w:type="spellEnd"/>
      <w:r w:rsidRPr="00FA0C3A">
        <w:rPr>
          <w:sz w:val="24"/>
          <w:szCs w:val="24"/>
        </w:rPr>
        <w:t xml:space="preserve"> er rapporteret; derfor tilrådes regelmæssig monitorering af patienter i behandling med </w:t>
      </w:r>
      <w:proofErr w:type="spellStart"/>
      <w:r w:rsidRPr="00FA0C3A">
        <w:rPr>
          <w:sz w:val="24"/>
          <w:szCs w:val="24"/>
        </w:rPr>
        <w:t>mycophenolatmofetil</w:t>
      </w:r>
      <w:proofErr w:type="spellEnd"/>
      <w:r w:rsidRPr="00FA0C3A">
        <w:rPr>
          <w:sz w:val="24"/>
          <w:szCs w:val="24"/>
        </w:rPr>
        <w:t xml:space="preserve"> (se pkt. 4.4). Der har været indberetninger om </w:t>
      </w:r>
      <w:proofErr w:type="spellStart"/>
      <w:r w:rsidRPr="00FA0C3A">
        <w:rPr>
          <w:sz w:val="24"/>
          <w:szCs w:val="24"/>
        </w:rPr>
        <w:t>aplastisk</w:t>
      </w:r>
      <w:proofErr w:type="spellEnd"/>
      <w:r w:rsidRPr="00FA0C3A">
        <w:rPr>
          <w:sz w:val="24"/>
          <w:szCs w:val="24"/>
        </w:rPr>
        <w:t xml:space="preserve"> anæmi og knoglemarvssvigt hos patienter behandlet med </w:t>
      </w:r>
      <w:proofErr w:type="spellStart"/>
      <w:r w:rsidRPr="00FA0C3A">
        <w:rPr>
          <w:sz w:val="24"/>
          <w:szCs w:val="24"/>
        </w:rPr>
        <w:t>mycophenolatmofetil</w:t>
      </w:r>
      <w:proofErr w:type="spellEnd"/>
      <w:r w:rsidRPr="00FA0C3A">
        <w:rPr>
          <w:sz w:val="24"/>
          <w:szCs w:val="24"/>
        </w:rPr>
        <w:t xml:space="preserve">, hvor nogle har været dødelige. </w:t>
      </w:r>
    </w:p>
    <w:p w14:paraId="4C620EC1" w14:textId="77777777" w:rsidR="00886F11" w:rsidRPr="00FA0C3A" w:rsidRDefault="00886F11" w:rsidP="00725D71">
      <w:pPr>
        <w:autoSpaceDE w:val="0"/>
        <w:autoSpaceDN w:val="0"/>
        <w:adjustRightInd w:val="0"/>
        <w:ind w:left="851"/>
        <w:rPr>
          <w:bCs/>
          <w:sz w:val="24"/>
          <w:szCs w:val="24"/>
        </w:rPr>
      </w:pPr>
    </w:p>
    <w:p w14:paraId="68DCDAAD" w14:textId="77777777" w:rsidR="00886F11" w:rsidRPr="00FA0C3A" w:rsidRDefault="00886F11" w:rsidP="00886F11">
      <w:pPr>
        <w:autoSpaceDE w:val="0"/>
        <w:autoSpaceDN w:val="0"/>
        <w:adjustRightInd w:val="0"/>
        <w:ind w:left="851"/>
        <w:rPr>
          <w:sz w:val="24"/>
          <w:szCs w:val="24"/>
          <w:u w:val="single"/>
        </w:rPr>
      </w:pPr>
      <w:r w:rsidRPr="00FA0C3A">
        <w:rPr>
          <w:sz w:val="24"/>
          <w:szCs w:val="24"/>
        </w:rPr>
        <w:t xml:space="preserve">Der er rapporteret om tilfælde af PRCA (pure red </w:t>
      </w:r>
      <w:proofErr w:type="spellStart"/>
      <w:r w:rsidRPr="00FA0C3A">
        <w:rPr>
          <w:sz w:val="24"/>
          <w:szCs w:val="24"/>
        </w:rPr>
        <w:t>cell</w:t>
      </w:r>
      <w:proofErr w:type="spellEnd"/>
      <w:r w:rsidRPr="00FA0C3A">
        <w:rPr>
          <w:sz w:val="24"/>
          <w:szCs w:val="24"/>
        </w:rPr>
        <w:t xml:space="preserve"> </w:t>
      </w:r>
      <w:proofErr w:type="spellStart"/>
      <w:r w:rsidRPr="00FA0C3A">
        <w:rPr>
          <w:sz w:val="24"/>
          <w:szCs w:val="24"/>
        </w:rPr>
        <w:t>aplasia</w:t>
      </w:r>
      <w:proofErr w:type="spellEnd"/>
      <w:r w:rsidRPr="00FA0C3A">
        <w:rPr>
          <w:sz w:val="24"/>
          <w:szCs w:val="24"/>
        </w:rPr>
        <w:t xml:space="preserve">) hos patienter, som blev behandlet med </w:t>
      </w:r>
      <w:proofErr w:type="spellStart"/>
      <w:r w:rsidRPr="00FA0C3A">
        <w:rPr>
          <w:sz w:val="24"/>
          <w:szCs w:val="24"/>
        </w:rPr>
        <w:t>mycophenolatmofetil</w:t>
      </w:r>
      <w:proofErr w:type="spellEnd"/>
      <w:r w:rsidRPr="00FA0C3A">
        <w:rPr>
          <w:sz w:val="24"/>
          <w:szCs w:val="24"/>
        </w:rPr>
        <w:t xml:space="preserve"> (se pkt. 4.4). </w:t>
      </w:r>
    </w:p>
    <w:p w14:paraId="7BBE1382" w14:textId="77777777" w:rsidR="00886F11" w:rsidRPr="00FA0C3A" w:rsidRDefault="00886F11" w:rsidP="00886F11">
      <w:pPr>
        <w:autoSpaceDE w:val="0"/>
        <w:autoSpaceDN w:val="0"/>
        <w:adjustRightInd w:val="0"/>
        <w:ind w:left="851"/>
        <w:rPr>
          <w:sz w:val="24"/>
          <w:szCs w:val="24"/>
        </w:rPr>
      </w:pPr>
    </w:p>
    <w:p w14:paraId="45FF5B50" w14:textId="77777777" w:rsidR="00886F11" w:rsidRPr="00FA0C3A" w:rsidRDefault="00886F11" w:rsidP="00886F11">
      <w:pPr>
        <w:autoSpaceDE w:val="0"/>
        <w:autoSpaceDN w:val="0"/>
        <w:adjustRightInd w:val="0"/>
        <w:ind w:left="851"/>
        <w:rPr>
          <w:sz w:val="24"/>
          <w:szCs w:val="24"/>
        </w:rPr>
      </w:pPr>
      <w:r w:rsidRPr="00FA0C3A">
        <w:rPr>
          <w:sz w:val="24"/>
          <w:szCs w:val="24"/>
        </w:rPr>
        <w:t xml:space="preserve">Der er observeret enkeltstående tilfælde af abnorm </w:t>
      </w:r>
      <w:proofErr w:type="spellStart"/>
      <w:r w:rsidRPr="00FA0C3A">
        <w:rPr>
          <w:sz w:val="24"/>
          <w:szCs w:val="24"/>
        </w:rPr>
        <w:t>neutrofilmorfologi</w:t>
      </w:r>
      <w:proofErr w:type="spellEnd"/>
      <w:r w:rsidRPr="00FA0C3A">
        <w:rPr>
          <w:sz w:val="24"/>
          <w:szCs w:val="24"/>
        </w:rPr>
        <w:t xml:space="preserve">, herunder den erhvervede </w:t>
      </w:r>
      <w:proofErr w:type="spellStart"/>
      <w:r w:rsidRPr="00FA0C3A">
        <w:rPr>
          <w:sz w:val="24"/>
          <w:szCs w:val="24"/>
        </w:rPr>
        <w:t>Pelger</w:t>
      </w:r>
      <w:proofErr w:type="spellEnd"/>
      <w:r w:rsidRPr="00FA0C3A">
        <w:rPr>
          <w:sz w:val="24"/>
          <w:szCs w:val="24"/>
        </w:rPr>
        <w:t>-</w:t>
      </w:r>
      <w:proofErr w:type="spellStart"/>
      <w:r w:rsidRPr="00FA0C3A">
        <w:rPr>
          <w:sz w:val="24"/>
          <w:szCs w:val="24"/>
        </w:rPr>
        <w:t>Hüet</w:t>
      </w:r>
      <w:proofErr w:type="spellEnd"/>
      <w:r w:rsidRPr="00FA0C3A">
        <w:rPr>
          <w:sz w:val="24"/>
          <w:szCs w:val="24"/>
        </w:rPr>
        <w:t xml:space="preserve">-anomali, hos patienter, som blev behandlet med </w:t>
      </w:r>
      <w:proofErr w:type="spellStart"/>
      <w:r w:rsidRPr="00FA0C3A">
        <w:rPr>
          <w:sz w:val="24"/>
          <w:szCs w:val="24"/>
        </w:rPr>
        <w:t>mycophenolatmofetil</w:t>
      </w:r>
      <w:proofErr w:type="spellEnd"/>
      <w:r w:rsidRPr="00FA0C3A">
        <w:rPr>
          <w:sz w:val="24"/>
          <w:szCs w:val="24"/>
        </w:rPr>
        <w:t xml:space="preserve">. Disse ændringer er ikke forbundet med nedsat </w:t>
      </w:r>
      <w:proofErr w:type="spellStart"/>
      <w:r w:rsidRPr="00FA0C3A">
        <w:rPr>
          <w:sz w:val="24"/>
          <w:szCs w:val="24"/>
        </w:rPr>
        <w:t>neutrofilfunktion</w:t>
      </w:r>
      <w:proofErr w:type="spellEnd"/>
      <w:r w:rsidRPr="00FA0C3A">
        <w:rPr>
          <w:sz w:val="24"/>
          <w:szCs w:val="24"/>
        </w:rPr>
        <w:t xml:space="preserve">. Disse ændringer kan indikere et ‘skift til venstre’ i </w:t>
      </w:r>
      <w:proofErr w:type="spellStart"/>
      <w:r w:rsidRPr="00FA0C3A">
        <w:rPr>
          <w:sz w:val="24"/>
          <w:szCs w:val="24"/>
        </w:rPr>
        <w:t>neutrofilers</w:t>
      </w:r>
      <w:proofErr w:type="spellEnd"/>
      <w:r w:rsidRPr="00FA0C3A">
        <w:rPr>
          <w:sz w:val="24"/>
          <w:szCs w:val="24"/>
        </w:rPr>
        <w:t xml:space="preserve"> modenhed i hæmatologiske undersøgelser, der fejlagtigt kan blive fortolket som et tegn på infektion hos immunkompromitterede patienter, f.eks. patienter, der får </w:t>
      </w:r>
      <w:proofErr w:type="spellStart"/>
      <w:r w:rsidRPr="00FA0C3A">
        <w:rPr>
          <w:sz w:val="24"/>
          <w:szCs w:val="24"/>
        </w:rPr>
        <w:t>mycophenolatmofetil</w:t>
      </w:r>
      <w:proofErr w:type="spellEnd"/>
      <w:r w:rsidRPr="00FA0C3A">
        <w:rPr>
          <w:sz w:val="24"/>
          <w:szCs w:val="24"/>
        </w:rPr>
        <w:t>.</w:t>
      </w:r>
    </w:p>
    <w:p w14:paraId="705ED3EB" w14:textId="77777777" w:rsidR="00886F11" w:rsidRPr="00FA0C3A" w:rsidRDefault="00886F11" w:rsidP="00886F11">
      <w:pPr>
        <w:ind w:left="851"/>
        <w:rPr>
          <w:sz w:val="24"/>
          <w:szCs w:val="24"/>
          <w:u w:val="single"/>
        </w:rPr>
      </w:pPr>
    </w:p>
    <w:p w14:paraId="00F4BFA2" w14:textId="16C8F8F3" w:rsidR="00886F11" w:rsidRPr="00FA0C3A" w:rsidRDefault="00886F11" w:rsidP="00886F11">
      <w:pPr>
        <w:autoSpaceDE w:val="0"/>
        <w:autoSpaceDN w:val="0"/>
        <w:adjustRightInd w:val="0"/>
        <w:ind w:left="851"/>
        <w:rPr>
          <w:i/>
          <w:iCs/>
          <w:sz w:val="24"/>
          <w:szCs w:val="24"/>
        </w:rPr>
      </w:pPr>
      <w:r w:rsidRPr="00FA0C3A">
        <w:rPr>
          <w:i/>
          <w:iCs/>
          <w:sz w:val="24"/>
          <w:szCs w:val="24"/>
        </w:rPr>
        <w:t>Mave-tarm</w:t>
      </w:r>
      <w:r w:rsidR="00725D71" w:rsidRPr="00FA0C3A">
        <w:rPr>
          <w:i/>
          <w:iCs/>
          <w:sz w:val="24"/>
          <w:szCs w:val="24"/>
        </w:rPr>
        <w:t>-</w:t>
      </w:r>
      <w:r w:rsidRPr="00FA0C3A">
        <w:rPr>
          <w:i/>
          <w:iCs/>
          <w:sz w:val="24"/>
          <w:szCs w:val="24"/>
        </w:rPr>
        <w:t>kanalen</w:t>
      </w:r>
    </w:p>
    <w:p w14:paraId="486854A3" w14:textId="37033ED2" w:rsidR="00886F11" w:rsidRPr="00FA0C3A" w:rsidRDefault="00886F11" w:rsidP="00886F11">
      <w:pPr>
        <w:autoSpaceDE w:val="0"/>
        <w:autoSpaceDN w:val="0"/>
        <w:adjustRightInd w:val="0"/>
        <w:ind w:left="851"/>
        <w:rPr>
          <w:sz w:val="24"/>
          <w:szCs w:val="24"/>
        </w:rPr>
      </w:pPr>
      <w:r w:rsidRPr="00FA0C3A">
        <w:rPr>
          <w:sz w:val="24"/>
          <w:szCs w:val="24"/>
        </w:rPr>
        <w:t xml:space="preserve">De mest alvorlige bivirkninger i fordøjelsessystemet var </w:t>
      </w:r>
      <w:proofErr w:type="spellStart"/>
      <w:r w:rsidRPr="00FA0C3A">
        <w:rPr>
          <w:sz w:val="24"/>
          <w:szCs w:val="24"/>
        </w:rPr>
        <w:t>ulceration</w:t>
      </w:r>
      <w:proofErr w:type="spellEnd"/>
      <w:r w:rsidRPr="00FA0C3A">
        <w:rPr>
          <w:sz w:val="24"/>
          <w:szCs w:val="24"/>
        </w:rPr>
        <w:t xml:space="preserve"> og blødninger, som er velkendte risici associeret med </w:t>
      </w:r>
      <w:proofErr w:type="spellStart"/>
      <w:r w:rsidRPr="00FA0C3A">
        <w:rPr>
          <w:sz w:val="24"/>
          <w:szCs w:val="24"/>
        </w:rPr>
        <w:t>mycophenolatmofetil</w:t>
      </w:r>
      <w:proofErr w:type="spellEnd"/>
      <w:r w:rsidRPr="00FA0C3A">
        <w:rPr>
          <w:sz w:val="24"/>
          <w:szCs w:val="24"/>
        </w:rPr>
        <w:t xml:space="preserve">. Sår i munden, spiserøret, mavesækken, duodenum og tarmene, ofte forværret af blødninger, såvel som </w:t>
      </w:r>
      <w:proofErr w:type="spellStart"/>
      <w:r w:rsidRPr="00FA0C3A">
        <w:rPr>
          <w:sz w:val="24"/>
          <w:szCs w:val="24"/>
        </w:rPr>
        <w:t>hæmatemese</w:t>
      </w:r>
      <w:proofErr w:type="spellEnd"/>
      <w:r w:rsidRPr="00FA0C3A">
        <w:rPr>
          <w:sz w:val="24"/>
          <w:szCs w:val="24"/>
        </w:rPr>
        <w:t xml:space="preserve">, </w:t>
      </w:r>
      <w:proofErr w:type="spellStart"/>
      <w:r w:rsidRPr="00FA0C3A">
        <w:rPr>
          <w:sz w:val="24"/>
          <w:szCs w:val="24"/>
        </w:rPr>
        <w:t>melæna</w:t>
      </w:r>
      <w:proofErr w:type="spellEnd"/>
      <w:r w:rsidRPr="00FA0C3A">
        <w:rPr>
          <w:sz w:val="24"/>
          <w:szCs w:val="24"/>
        </w:rPr>
        <w:t xml:space="preserve"> og </w:t>
      </w:r>
      <w:proofErr w:type="spellStart"/>
      <w:r w:rsidRPr="00FA0C3A">
        <w:rPr>
          <w:sz w:val="24"/>
          <w:szCs w:val="24"/>
        </w:rPr>
        <w:t>hæmoragisk</w:t>
      </w:r>
      <w:proofErr w:type="spellEnd"/>
      <w:r w:rsidRPr="00FA0C3A">
        <w:rPr>
          <w:sz w:val="24"/>
          <w:szCs w:val="24"/>
        </w:rPr>
        <w:t xml:space="preserve"> gastritis og colitis blev indberettet som almindelige bivirkninger i de pivotale kliniske studier. De mest almindelige bivirkninger i fordøjelsessystemet var diarré, kvalme og opkastning. Endoskopi af patienter med </w:t>
      </w:r>
      <w:proofErr w:type="spellStart"/>
      <w:r w:rsidRPr="00FA0C3A">
        <w:rPr>
          <w:sz w:val="24"/>
          <w:szCs w:val="24"/>
        </w:rPr>
        <w:t>mycophenolatmofetil</w:t>
      </w:r>
      <w:proofErr w:type="spellEnd"/>
      <w:r w:rsidRPr="00FA0C3A">
        <w:rPr>
          <w:sz w:val="24"/>
          <w:szCs w:val="24"/>
        </w:rPr>
        <w:t xml:space="preserve">-relateret diarré har identificeret isolerede tilfælde af </w:t>
      </w:r>
      <w:proofErr w:type="spellStart"/>
      <w:r w:rsidRPr="00FA0C3A">
        <w:rPr>
          <w:sz w:val="24"/>
          <w:szCs w:val="24"/>
        </w:rPr>
        <w:t>intestinal</w:t>
      </w:r>
      <w:proofErr w:type="spellEnd"/>
      <w:r w:rsidRPr="00FA0C3A">
        <w:rPr>
          <w:sz w:val="24"/>
          <w:szCs w:val="24"/>
        </w:rPr>
        <w:t xml:space="preserve"> </w:t>
      </w:r>
      <w:proofErr w:type="spellStart"/>
      <w:r w:rsidRPr="00FA0C3A">
        <w:rPr>
          <w:sz w:val="24"/>
          <w:szCs w:val="24"/>
        </w:rPr>
        <w:t>villøs</w:t>
      </w:r>
      <w:proofErr w:type="spellEnd"/>
      <w:r w:rsidRPr="00FA0C3A">
        <w:rPr>
          <w:sz w:val="24"/>
          <w:szCs w:val="24"/>
        </w:rPr>
        <w:t xml:space="preserve"> atrofi (se pkt</w:t>
      </w:r>
      <w:r w:rsidR="00725D71" w:rsidRPr="00FA0C3A">
        <w:rPr>
          <w:sz w:val="24"/>
          <w:szCs w:val="24"/>
        </w:rPr>
        <w:t>.</w:t>
      </w:r>
      <w:r w:rsidRPr="00FA0C3A">
        <w:rPr>
          <w:sz w:val="24"/>
          <w:szCs w:val="24"/>
        </w:rPr>
        <w:t xml:space="preserve"> 4.4).</w:t>
      </w:r>
    </w:p>
    <w:p w14:paraId="0A70E7FA" w14:textId="77777777" w:rsidR="00886F11" w:rsidRPr="00FA0C3A" w:rsidRDefault="00886F11" w:rsidP="00886F11">
      <w:pPr>
        <w:autoSpaceDE w:val="0"/>
        <w:autoSpaceDN w:val="0"/>
        <w:adjustRightInd w:val="0"/>
        <w:ind w:firstLine="851"/>
        <w:rPr>
          <w:i/>
          <w:sz w:val="24"/>
          <w:szCs w:val="24"/>
        </w:rPr>
      </w:pPr>
    </w:p>
    <w:p w14:paraId="288022EF" w14:textId="77777777" w:rsidR="00886F11" w:rsidRPr="00FA0C3A" w:rsidRDefault="00886F11" w:rsidP="00886F11">
      <w:pPr>
        <w:autoSpaceDE w:val="0"/>
        <w:autoSpaceDN w:val="0"/>
        <w:adjustRightInd w:val="0"/>
        <w:ind w:firstLine="851"/>
        <w:rPr>
          <w:sz w:val="24"/>
          <w:szCs w:val="24"/>
        </w:rPr>
      </w:pPr>
      <w:r w:rsidRPr="00FA0C3A">
        <w:rPr>
          <w:i/>
          <w:sz w:val="24"/>
          <w:szCs w:val="24"/>
        </w:rPr>
        <w:t>Overfølsomhed</w:t>
      </w:r>
      <w:r w:rsidRPr="00FA0C3A">
        <w:rPr>
          <w:sz w:val="24"/>
          <w:szCs w:val="24"/>
        </w:rPr>
        <w:t xml:space="preserve"> </w:t>
      </w:r>
    </w:p>
    <w:p w14:paraId="56C8FEBE" w14:textId="399EC840" w:rsidR="00886F11" w:rsidRPr="00FA0C3A" w:rsidRDefault="00886F11" w:rsidP="00725D71">
      <w:pPr>
        <w:autoSpaceDE w:val="0"/>
        <w:autoSpaceDN w:val="0"/>
        <w:adjustRightInd w:val="0"/>
        <w:ind w:left="851"/>
        <w:rPr>
          <w:sz w:val="24"/>
          <w:szCs w:val="24"/>
        </w:rPr>
      </w:pPr>
      <w:r w:rsidRPr="00FA0C3A">
        <w:rPr>
          <w:sz w:val="24"/>
          <w:szCs w:val="24"/>
        </w:rPr>
        <w:t xml:space="preserve">Der er rapporteret om overfølsomhedsreaktioner, herunder </w:t>
      </w:r>
      <w:proofErr w:type="spellStart"/>
      <w:r w:rsidRPr="00FA0C3A">
        <w:rPr>
          <w:sz w:val="24"/>
          <w:szCs w:val="24"/>
        </w:rPr>
        <w:t>angioneurotisk</w:t>
      </w:r>
      <w:proofErr w:type="spellEnd"/>
      <w:r w:rsidRPr="00FA0C3A">
        <w:rPr>
          <w:sz w:val="24"/>
          <w:szCs w:val="24"/>
        </w:rPr>
        <w:t xml:space="preserve"> ødem og </w:t>
      </w:r>
      <w:proofErr w:type="spellStart"/>
      <w:r w:rsidRPr="00FA0C3A">
        <w:rPr>
          <w:sz w:val="24"/>
          <w:szCs w:val="24"/>
        </w:rPr>
        <w:t>anafylaktisk</w:t>
      </w:r>
      <w:proofErr w:type="spellEnd"/>
      <w:r w:rsidRPr="00FA0C3A">
        <w:rPr>
          <w:sz w:val="24"/>
          <w:szCs w:val="24"/>
        </w:rPr>
        <w:t xml:space="preserve"> reaktion.</w:t>
      </w:r>
    </w:p>
    <w:p w14:paraId="77E1A9A5" w14:textId="77777777" w:rsidR="00886F11" w:rsidRPr="00FA0C3A" w:rsidRDefault="00886F11" w:rsidP="00725D71">
      <w:pPr>
        <w:autoSpaceDE w:val="0"/>
        <w:autoSpaceDN w:val="0"/>
        <w:adjustRightInd w:val="0"/>
        <w:ind w:left="851"/>
        <w:rPr>
          <w:sz w:val="24"/>
          <w:szCs w:val="24"/>
        </w:rPr>
      </w:pPr>
    </w:p>
    <w:p w14:paraId="27360AFD" w14:textId="77777777" w:rsidR="00886F11" w:rsidRPr="00FA0C3A" w:rsidRDefault="00886F11" w:rsidP="00725D71">
      <w:pPr>
        <w:ind w:left="851"/>
        <w:rPr>
          <w:i/>
          <w:iCs/>
          <w:sz w:val="24"/>
          <w:szCs w:val="24"/>
        </w:rPr>
      </w:pPr>
      <w:r w:rsidRPr="00FA0C3A">
        <w:rPr>
          <w:i/>
          <w:sz w:val="24"/>
          <w:szCs w:val="24"/>
        </w:rPr>
        <w:t xml:space="preserve">Graviditet, </w:t>
      </w:r>
      <w:proofErr w:type="spellStart"/>
      <w:r w:rsidRPr="00FA0C3A">
        <w:rPr>
          <w:i/>
          <w:sz w:val="24"/>
          <w:szCs w:val="24"/>
        </w:rPr>
        <w:t>puerperium</w:t>
      </w:r>
      <w:proofErr w:type="spellEnd"/>
      <w:r w:rsidRPr="00FA0C3A">
        <w:rPr>
          <w:i/>
          <w:sz w:val="24"/>
          <w:szCs w:val="24"/>
        </w:rPr>
        <w:t xml:space="preserve"> og den </w:t>
      </w:r>
      <w:proofErr w:type="spellStart"/>
      <w:r w:rsidRPr="00FA0C3A">
        <w:rPr>
          <w:i/>
          <w:sz w:val="24"/>
          <w:szCs w:val="24"/>
        </w:rPr>
        <w:t>perinatale</w:t>
      </w:r>
      <w:proofErr w:type="spellEnd"/>
      <w:r w:rsidRPr="00FA0C3A">
        <w:rPr>
          <w:i/>
          <w:sz w:val="24"/>
          <w:szCs w:val="24"/>
        </w:rPr>
        <w:t xml:space="preserve"> periode</w:t>
      </w:r>
    </w:p>
    <w:p w14:paraId="5F50630D" w14:textId="77777777" w:rsidR="00886F11" w:rsidRPr="00FA0C3A" w:rsidRDefault="00886F11" w:rsidP="00725D71">
      <w:pPr>
        <w:ind w:left="851"/>
        <w:rPr>
          <w:iCs/>
          <w:sz w:val="24"/>
          <w:szCs w:val="24"/>
        </w:rPr>
      </w:pPr>
      <w:r w:rsidRPr="00FA0C3A">
        <w:rPr>
          <w:sz w:val="24"/>
          <w:szCs w:val="24"/>
        </w:rPr>
        <w:t xml:space="preserve">Der er rapporteret om tilfælde af spontane aborter hos patienter eksponeret for </w:t>
      </w:r>
      <w:proofErr w:type="spellStart"/>
      <w:r w:rsidRPr="00FA0C3A">
        <w:rPr>
          <w:sz w:val="24"/>
          <w:szCs w:val="24"/>
        </w:rPr>
        <w:t>mycophenolatmofetil</w:t>
      </w:r>
      <w:proofErr w:type="spellEnd"/>
      <w:r w:rsidRPr="00FA0C3A">
        <w:rPr>
          <w:sz w:val="24"/>
          <w:szCs w:val="24"/>
        </w:rPr>
        <w:t>, primært i første trimester, se pkt. 4.6.</w:t>
      </w:r>
    </w:p>
    <w:p w14:paraId="29F4CD14" w14:textId="77777777" w:rsidR="00886F11" w:rsidRPr="00FA0C3A" w:rsidRDefault="00886F11" w:rsidP="00725D71">
      <w:pPr>
        <w:autoSpaceDE w:val="0"/>
        <w:autoSpaceDN w:val="0"/>
        <w:adjustRightInd w:val="0"/>
        <w:ind w:left="851"/>
        <w:rPr>
          <w:sz w:val="24"/>
          <w:szCs w:val="24"/>
        </w:rPr>
      </w:pPr>
    </w:p>
    <w:p w14:paraId="2F6C4C90" w14:textId="77777777" w:rsidR="00886F11" w:rsidRPr="00FA0C3A" w:rsidRDefault="00886F11" w:rsidP="00725D71">
      <w:pPr>
        <w:autoSpaceDE w:val="0"/>
        <w:autoSpaceDN w:val="0"/>
        <w:adjustRightInd w:val="0"/>
        <w:ind w:left="851"/>
        <w:rPr>
          <w:sz w:val="24"/>
          <w:szCs w:val="24"/>
          <w:lang w:eastAsia="da-DK"/>
        </w:rPr>
      </w:pPr>
      <w:r w:rsidRPr="00FA0C3A">
        <w:rPr>
          <w:i/>
          <w:sz w:val="24"/>
          <w:szCs w:val="24"/>
        </w:rPr>
        <w:t>Medfødte tilstande</w:t>
      </w:r>
      <w:r w:rsidRPr="00FA0C3A">
        <w:rPr>
          <w:sz w:val="24"/>
          <w:szCs w:val="24"/>
          <w:lang w:eastAsia="da-DK"/>
        </w:rPr>
        <w:t xml:space="preserve"> </w:t>
      </w:r>
    </w:p>
    <w:p w14:paraId="68C1F10C" w14:textId="77777777" w:rsidR="00886F11" w:rsidRPr="00FA0C3A" w:rsidRDefault="00886F11" w:rsidP="00725D71">
      <w:pPr>
        <w:ind w:left="851"/>
        <w:rPr>
          <w:sz w:val="24"/>
          <w:szCs w:val="24"/>
        </w:rPr>
      </w:pPr>
      <w:r w:rsidRPr="00FA0C3A">
        <w:rPr>
          <w:sz w:val="24"/>
          <w:szCs w:val="24"/>
        </w:rPr>
        <w:t xml:space="preserve">Efter markedsføringen er der set medfødte misdannelser hos børn af patienter, der var eksponeret for </w:t>
      </w:r>
      <w:proofErr w:type="spellStart"/>
      <w:r w:rsidRPr="00FA0C3A">
        <w:rPr>
          <w:sz w:val="24"/>
          <w:szCs w:val="24"/>
        </w:rPr>
        <w:t>mycophenolatmofetil</w:t>
      </w:r>
      <w:proofErr w:type="spellEnd"/>
      <w:r w:rsidRPr="00FA0C3A">
        <w:rPr>
          <w:sz w:val="24"/>
          <w:szCs w:val="24"/>
        </w:rPr>
        <w:t xml:space="preserve"> i kombination med andre </w:t>
      </w:r>
      <w:proofErr w:type="spellStart"/>
      <w:r w:rsidRPr="00FA0C3A">
        <w:rPr>
          <w:sz w:val="24"/>
          <w:szCs w:val="24"/>
        </w:rPr>
        <w:t>immunosuppressiva</w:t>
      </w:r>
      <w:proofErr w:type="spellEnd"/>
      <w:r w:rsidRPr="00FA0C3A">
        <w:rPr>
          <w:sz w:val="24"/>
          <w:szCs w:val="24"/>
        </w:rPr>
        <w:t xml:space="preserve">, se pkt. 4.6. </w:t>
      </w:r>
    </w:p>
    <w:p w14:paraId="73495729" w14:textId="77777777" w:rsidR="00886F11" w:rsidRPr="00FA0C3A" w:rsidRDefault="00886F11" w:rsidP="00725D71">
      <w:pPr>
        <w:autoSpaceDE w:val="0"/>
        <w:autoSpaceDN w:val="0"/>
        <w:adjustRightInd w:val="0"/>
        <w:ind w:left="851"/>
        <w:rPr>
          <w:sz w:val="24"/>
          <w:szCs w:val="24"/>
        </w:rPr>
      </w:pPr>
    </w:p>
    <w:p w14:paraId="5FA1BF1F" w14:textId="1B75163F" w:rsidR="00886F11" w:rsidRPr="00FA0C3A" w:rsidRDefault="00886F11" w:rsidP="00725D71">
      <w:pPr>
        <w:pStyle w:val="Sidehoved"/>
        <w:tabs>
          <w:tab w:val="left" w:pos="851"/>
        </w:tabs>
        <w:ind w:left="851"/>
        <w:rPr>
          <w:i/>
          <w:szCs w:val="24"/>
        </w:rPr>
      </w:pPr>
      <w:r w:rsidRPr="00FA0C3A">
        <w:rPr>
          <w:i/>
          <w:szCs w:val="24"/>
        </w:rPr>
        <w:t xml:space="preserve">Tilstande, der er relateret til luftveje, thorax og </w:t>
      </w:r>
      <w:proofErr w:type="spellStart"/>
      <w:r w:rsidRPr="00FA0C3A">
        <w:rPr>
          <w:i/>
          <w:szCs w:val="24"/>
        </w:rPr>
        <w:t>mediastinum</w:t>
      </w:r>
      <w:proofErr w:type="spellEnd"/>
      <w:r w:rsidRPr="00FA0C3A">
        <w:rPr>
          <w:i/>
          <w:szCs w:val="24"/>
        </w:rPr>
        <w:t xml:space="preserve"> </w:t>
      </w:r>
    </w:p>
    <w:p w14:paraId="5B2DF295" w14:textId="77777777" w:rsidR="00886F11" w:rsidRPr="00FA0C3A" w:rsidRDefault="00886F11" w:rsidP="00886F11">
      <w:pPr>
        <w:ind w:left="851"/>
        <w:rPr>
          <w:sz w:val="24"/>
          <w:szCs w:val="24"/>
        </w:rPr>
      </w:pPr>
      <w:r w:rsidRPr="00FA0C3A">
        <w:rPr>
          <w:sz w:val="24"/>
          <w:szCs w:val="24"/>
        </w:rPr>
        <w:t xml:space="preserve">Der er i enkeltstående tilfælde rapporteret om </w:t>
      </w:r>
      <w:proofErr w:type="spellStart"/>
      <w:r w:rsidRPr="00FA0C3A">
        <w:rPr>
          <w:sz w:val="24"/>
          <w:szCs w:val="24"/>
        </w:rPr>
        <w:t>interstitiel</w:t>
      </w:r>
      <w:proofErr w:type="spellEnd"/>
      <w:r w:rsidRPr="00FA0C3A">
        <w:rPr>
          <w:sz w:val="24"/>
          <w:szCs w:val="24"/>
        </w:rPr>
        <w:t xml:space="preserve"> lungesygdom og lungefibrose, i nogle tilfælde med fatal udgang, hos patienter, som blev behandlet med </w:t>
      </w:r>
      <w:proofErr w:type="spellStart"/>
      <w:r w:rsidRPr="00FA0C3A">
        <w:rPr>
          <w:sz w:val="24"/>
          <w:szCs w:val="24"/>
        </w:rPr>
        <w:t>mycophenolatmofetil</w:t>
      </w:r>
      <w:proofErr w:type="spellEnd"/>
      <w:r w:rsidRPr="00FA0C3A">
        <w:rPr>
          <w:sz w:val="24"/>
          <w:szCs w:val="24"/>
        </w:rPr>
        <w:t xml:space="preserve"> i kombination med andre </w:t>
      </w:r>
      <w:proofErr w:type="spellStart"/>
      <w:r w:rsidRPr="00FA0C3A">
        <w:rPr>
          <w:sz w:val="24"/>
          <w:szCs w:val="24"/>
        </w:rPr>
        <w:t>immunosuppressiva</w:t>
      </w:r>
      <w:proofErr w:type="spellEnd"/>
      <w:r w:rsidRPr="00FA0C3A">
        <w:rPr>
          <w:sz w:val="24"/>
          <w:szCs w:val="24"/>
        </w:rPr>
        <w:t xml:space="preserve">. Der er også rapporteret om </w:t>
      </w:r>
      <w:proofErr w:type="spellStart"/>
      <w:r w:rsidRPr="00FA0C3A">
        <w:rPr>
          <w:sz w:val="24"/>
          <w:szCs w:val="24"/>
        </w:rPr>
        <w:t>bronkiektasi</w:t>
      </w:r>
      <w:proofErr w:type="spellEnd"/>
      <w:r w:rsidRPr="00FA0C3A">
        <w:rPr>
          <w:sz w:val="24"/>
          <w:szCs w:val="24"/>
        </w:rPr>
        <w:t xml:space="preserve"> hos børn og voksne.</w:t>
      </w:r>
    </w:p>
    <w:p w14:paraId="0CC034AB" w14:textId="77777777" w:rsidR="00886F11" w:rsidRPr="00FA0C3A" w:rsidRDefault="00886F11" w:rsidP="00886F11">
      <w:pPr>
        <w:ind w:left="851"/>
        <w:rPr>
          <w:sz w:val="24"/>
          <w:szCs w:val="24"/>
        </w:rPr>
      </w:pPr>
    </w:p>
    <w:p w14:paraId="44B1453C" w14:textId="77777777" w:rsidR="00886F11" w:rsidRPr="00FA0C3A" w:rsidRDefault="00886F11" w:rsidP="00886F11">
      <w:pPr>
        <w:ind w:left="851"/>
        <w:rPr>
          <w:i/>
          <w:sz w:val="24"/>
          <w:szCs w:val="24"/>
        </w:rPr>
      </w:pPr>
      <w:r w:rsidRPr="00FA0C3A">
        <w:rPr>
          <w:i/>
          <w:sz w:val="24"/>
          <w:szCs w:val="24"/>
        </w:rPr>
        <w:t>Tilstande, der er relateret til immunsystemet</w:t>
      </w:r>
    </w:p>
    <w:p w14:paraId="5FB9E2B7" w14:textId="77777777" w:rsidR="00886F11" w:rsidRPr="00FA0C3A" w:rsidRDefault="00886F11" w:rsidP="00886F11">
      <w:pPr>
        <w:ind w:left="851"/>
        <w:rPr>
          <w:sz w:val="24"/>
          <w:szCs w:val="24"/>
        </w:rPr>
      </w:pPr>
      <w:r w:rsidRPr="00FA0C3A">
        <w:rPr>
          <w:sz w:val="24"/>
          <w:szCs w:val="24"/>
        </w:rPr>
        <w:t xml:space="preserve">Der er rapporteret om </w:t>
      </w:r>
      <w:proofErr w:type="spellStart"/>
      <w:r w:rsidRPr="00FA0C3A">
        <w:rPr>
          <w:sz w:val="24"/>
          <w:szCs w:val="24"/>
        </w:rPr>
        <w:t>hypogammaglobulinæmi</w:t>
      </w:r>
      <w:proofErr w:type="spellEnd"/>
      <w:r w:rsidRPr="00FA0C3A">
        <w:rPr>
          <w:sz w:val="24"/>
          <w:szCs w:val="24"/>
        </w:rPr>
        <w:t xml:space="preserve"> hos patienter, der fik </w:t>
      </w:r>
      <w:proofErr w:type="spellStart"/>
      <w:r w:rsidRPr="00FA0C3A">
        <w:rPr>
          <w:sz w:val="24"/>
          <w:szCs w:val="24"/>
        </w:rPr>
        <w:t>mycophenolatmofetil</w:t>
      </w:r>
      <w:proofErr w:type="spellEnd"/>
      <w:r w:rsidRPr="00FA0C3A">
        <w:rPr>
          <w:sz w:val="24"/>
          <w:szCs w:val="24"/>
        </w:rPr>
        <w:t xml:space="preserve"> i kombination med andre </w:t>
      </w:r>
      <w:proofErr w:type="spellStart"/>
      <w:r w:rsidRPr="00FA0C3A">
        <w:rPr>
          <w:sz w:val="24"/>
          <w:szCs w:val="24"/>
        </w:rPr>
        <w:t>immunosuppressiva</w:t>
      </w:r>
      <w:proofErr w:type="spellEnd"/>
      <w:r w:rsidRPr="00FA0C3A">
        <w:rPr>
          <w:sz w:val="24"/>
          <w:szCs w:val="24"/>
        </w:rPr>
        <w:t>.</w:t>
      </w:r>
    </w:p>
    <w:p w14:paraId="793B711A" w14:textId="77777777" w:rsidR="00886F11" w:rsidRPr="00FA0C3A" w:rsidRDefault="00886F11" w:rsidP="00886F11">
      <w:pPr>
        <w:ind w:left="851"/>
        <w:rPr>
          <w:sz w:val="24"/>
          <w:szCs w:val="24"/>
          <w:u w:val="single"/>
        </w:rPr>
      </w:pPr>
    </w:p>
    <w:p w14:paraId="786EDE7D" w14:textId="77777777" w:rsidR="00886F11" w:rsidRPr="00FA0C3A" w:rsidRDefault="00886F11" w:rsidP="00886F11">
      <w:pPr>
        <w:ind w:left="851"/>
        <w:rPr>
          <w:i/>
          <w:sz w:val="24"/>
          <w:szCs w:val="24"/>
        </w:rPr>
      </w:pPr>
      <w:r w:rsidRPr="00FA0C3A">
        <w:rPr>
          <w:i/>
          <w:sz w:val="24"/>
          <w:szCs w:val="24"/>
        </w:rPr>
        <w:t>Almene symptomer og reaktioner på administrationsstedet</w:t>
      </w:r>
    </w:p>
    <w:p w14:paraId="505A5EEA" w14:textId="77777777" w:rsidR="00886F11" w:rsidRPr="00FA0C3A" w:rsidRDefault="00886F11" w:rsidP="00886F11">
      <w:pPr>
        <w:ind w:left="851"/>
        <w:rPr>
          <w:iCs/>
          <w:sz w:val="24"/>
          <w:szCs w:val="24"/>
        </w:rPr>
      </w:pPr>
      <w:r w:rsidRPr="00FA0C3A">
        <w:rPr>
          <w:iCs/>
          <w:sz w:val="24"/>
          <w:szCs w:val="24"/>
        </w:rPr>
        <w:t>Ødemer, inklusiv perifere, ansigts- og skrotale ødemer, blev indberettet som meget almindelige bivirkninger i de pivotale kliniske studier. Smerter i led og muskler som myalgi, nakke- og rygsmerter blev også indberettet som meget almindelige bivirkninger.</w:t>
      </w:r>
    </w:p>
    <w:p w14:paraId="35F81A70" w14:textId="77777777" w:rsidR="00886F11" w:rsidRPr="00FA0C3A" w:rsidRDefault="00886F11" w:rsidP="00886F11">
      <w:pPr>
        <w:ind w:left="851"/>
        <w:rPr>
          <w:i/>
          <w:sz w:val="24"/>
          <w:szCs w:val="24"/>
        </w:rPr>
      </w:pPr>
    </w:p>
    <w:p w14:paraId="0A1B15F4" w14:textId="77777777" w:rsidR="00886F11" w:rsidRPr="00FA0C3A" w:rsidRDefault="00886F11" w:rsidP="00886F11">
      <w:pPr>
        <w:ind w:left="851"/>
        <w:rPr>
          <w:sz w:val="24"/>
          <w:szCs w:val="24"/>
        </w:rPr>
      </w:pPr>
      <w:r w:rsidRPr="00FA0C3A">
        <w:rPr>
          <w:i/>
          <w:sz w:val="24"/>
          <w:szCs w:val="24"/>
        </w:rPr>
        <w:t xml:space="preserve">De </w:t>
      </w:r>
      <w:proofErr w:type="spellStart"/>
      <w:r w:rsidRPr="00FA0C3A">
        <w:rPr>
          <w:i/>
          <w:sz w:val="24"/>
          <w:szCs w:val="24"/>
        </w:rPr>
        <w:t>novo</w:t>
      </w:r>
      <w:proofErr w:type="spellEnd"/>
      <w:r w:rsidRPr="00FA0C3A">
        <w:rPr>
          <w:sz w:val="24"/>
          <w:szCs w:val="24"/>
        </w:rPr>
        <w:t xml:space="preserve"> </w:t>
      </w:r>
      <w:proofErr w:type="spellStart"/>
      <w:r w:rsidRPr="00FA0C3A">
        <w:rPr>
          <w:sz w:val="24"/>
          <w:szCs w:val="24"/>
        </w:rPr>
        <w:t>purinsyntese</w:t>
      </w:r>
      <w:proofErr w:type="spellEnd"/>
      <w:r w:rsidRPr="00FA0C3A">
        <w:rPr>
          <w:sz w:val="24"/>
          <w:szCs w:val="24"/>
        </w:rPr>
        <w:t xml:space="preserve"> </w:t>
      </w:r>
      <w:proofErr w:type="spellStart"/>
      <w:r w:rsidRPr="00FA0C3A">
        <w:rPr>
          <w:sz w:val="24"/>
          <w:szCs w:val="24"/>
        </w:rPr>
        <w:t>hæmmere</w:t>
      </w:r>
      <w:proofErr w:type="spellEnd"/>
      <w:r w:rsidRPr="00FA0C3A">
        <w:rPr>
          <w:sz w:val="24"/>
          <w:szCs w:val="24"/>
        </w:rPr>
        <w:t xml:space="preserve"> forbundet med akut inflammatorisk syndrom er blevet beskrevet efter markedsføringen som en paradoks proinflammatorisk reaktion forbundet med </w:t>
      </w:r>
      <w:proofErr w:type="spellStart"/>
      <w:r w:rsidRPr="00FA0C3A">
        <w:rPr>
          <w:sz w:val="24"/>
          <w:szCs w:val="24"/>
        </w:rPr>
        <w:t>mycophenolatmofetil</w:t>
      </w:r>
      <w:proofErr w:type="spellEnd"/>
      <w:r w:rsidRPr="00FA0C3A">
        <w:rPr>
          <w:sz w:val="24"/>
          <w:szCs w:val="24"/>
        </w:rPr>
        <w:t xml:space="preserve"> og </w:t>
      </w:r>
      <w:proofErr w:type="spellStart"/>
      <w:r w:rsidRPr="00FA0C3A">
        <w:rPr>
          <w:sz w:val="24"/>
          <w:szCs w:val="24"/>
        </w:rPr>
        <w:t>mycophenolsyre</w:t>
      </w:r>
      <w:proofErr w:type="spellEnd"/>
      <w:r w:rsidRPr="00FA0C3A">
        <w:rPr>
          <w:sz w:val="24"/>
          <w:szCs w:val="24"/>
        </w:rPr>
        <w:t xml:space="preserve">, karakteriseret ved feber, </w:t>
      </w:r>
      <w:proofErr w:type="spellStart"/>
      <w:r w:rsidRPr="00FA0C3A">
        <w:rPr>
          <w:sz w:val="24"/>
          <w:szCs w:val="24"/>
        </w:rPr>
        <w:t>arthralgi</w:t>
      </w:r>
      <w:proofErr w:type="spellEnd"/>
      <w:r w:rsidRPr="00FA0C3A">
        <w:rPr>
          <w:sz w:val="24"/>
          <w:szCs w:val="24"/>
        </w:rPr>
        <w:t xml:space="preserve">, artritis, muskelsmerter og forhøjede inflammatoriske markører. Kasuistikker fra litteraturen viste hurtig forbedring efter </w:t>
      </w:r>
      <w:proofErr w:type="spellStart"/>
      <w:r w:rsidRPr="00FA0C3A">
        <w:rPr>
          <w:sz w:val="24"/>
          <w:szCs w:val="24"/>
        </w:rPr>
        <w:t>seponering</w:t>
      </w:r>
      <w:proofErr w:type="spellEnd"/>
      <w:r w:rsidRPr="00FA0C3A">
        <w:rPr>
          <w:sz w:val="24"/>
          <w:szCs w:val="24"/>
        </w:rPr>
        <w:t xml:space="preserve"> af lægemidlet.</w:t>
      </w:r>
    </w:p>
    <w:p w14:paraId="4C25EE42" w14:textId="77777777" w:rsidR="00886F11" w:rsidRPr="00FA0C3A" w:rsidRDefault="00886F11" w:rsidP="00886F11">
      <w:pPr>
        <w:ind w:left="851"/>
        <w:rPr>
          <w:sz w:val="24"/>
          <w:szCs w:val="24"/>
        </w:rPr>
      </w:pPr>
    </w:p>
    <w:p w14:paraId="663231CA" w14:textId="77777777" w:rsidR="00886F11" w:rsidRPr="00FA0C3A" w:rsidRDefault="00886F11" w:rsidP="00886F11">
      <w:pPr>
        <w:ind w:left="851"/>
        <w:rPr>
          <w:sz w:val="24"/>
          <w:szCs w:val="24"/>
          <w:u w:val="single"/>
        </w:rPr>
      </w:pPr>
      <w:r w:rsidRPr="00FA0C3A">
        <w:rPr>
          <w:sz w:val="24"/>
          <w:szCs w:val="24"/>
          <w:u w:val="single"/>
        </w:rPr>
        <w:t>Særlige populationer</w:t>
      </w:r>
    </w:p>
    <w:p w14:paraId="2EAD0E17" w14:textId="77777777" w:rsidR="00886F11" w:rsidRPr="00FA0C3A" w:rsidRDefault="00886F11" w:rsidP="00886F11">
      <w:pPr>
        <w:ind w:left="851"/>
        <w:rPr>
          <w:sz w:val="24"/>
          <w:szCs w:val="24"/>
        </w:rPr>
      </w:pPr>
    </w:p>
    <w:p w14:paraId="40025DED" w14:textId="77777777" w:rsidR="00886F11" w:rsidRPr="00FA0C3A" w:rsidRDefault="00886F11" w:rsidP="00886F11">
      <w:pPr>
        <w:ind w:left="851"/>
        <w:rPr>
          <w:i/>
          <w:iCs/>
          <w:sz w:val="24"/>
          <w:szCs w:val="24"/>
        </w:rPr>
      </w:pPr>
      <w:r w:rsidRPr="00FA0C3A">
        <w:rPr>
          <w:i/>
          <w:iCs/>
          <w:sz w:val="24"/>
          <w:szCs w:val="24"/>
        </w:rPr>
        <w:t>Pædiatrisk population</w:t>
      </w:r>
    </w:p>
    <w:p w14:paraId="35DA1135" w14:textId="77777777" w:rsidR="00886F11" w:rsidRPr="00FA0C3A" w:rsidRDefault="00886F11" w:rsidP="00886F11">
      <w:pPr>
        <w:ind w:left="851"/>
        <w:rPr>
          <w:sz w:val="24"/>
          <w:szCs w:val="24"/>
        </w:rPr>
      </w:pPr>
      <w:r w:rsidRPr="00FA0C3A">
        <w:rPr>
          <w:sz w:val="24"/>
          <w:szCs w:val="24"/>
        </w:rPr>
        <w:t>I et klinisk studie, som rekrutterede 92 børn i alderen 2-18 år, og som fik 600 mg/m</w:t>
      </w:r>
      <w:r w:rsidRPr="00FA0C3A">
        <w:rPr>
          <w:sz w:val="24"/>
          <w:szCs w:val="24"/>
          <w:vertAlign w:val="superscript"/>
        </w:rPr>
        <w:t>2</w:t>
      </w:r>
      <w:r w:rsidRPr="00FA0C3A">
        <w:rPr>
          <w:sz w:val="24"/>
          <w:szCs w:val="24"/>
        </w:rPr>
        <w:t xml:space="preserve"> </w:t>
      </w:r>
      <w:proofErr w:type="spellStart"/>
      <w:r w:rsidRPr="00FA0C3A">
        <w:rPr>
          <w:sz w:val="24"/>
          <w:szCs w:val="24"/>
        </w:rPr>
        <w:t>mycophenolatmofetil</w:t>
      </w:r>
      <w:proofErr w:type="spellEnd"/>
      <w:r w:rsidRPr="00FA0C3A">
        <w:rPr>
          <w:sz w:val="24"/>
          <w:szCs w:val="24"/>
        </w:rPr>
        <w:t xml:space="preserve"> oralt to gange daglig, var typen og hyppigheden af bivirkninger generelt den samme som dem, der observeredes hos voksne patienter, som fik 1 g </w:t>
      </w:r>
      <w:proofErr w:type="spellStart"/>
      <w:r w:rsidRPr="00FA0C3A">
        <w:rPr>
          <w:sz w:val="24"/>
          <w:szCs w:val="24"/>
        </w:rPr>
        <w:t>mycophenolatmofetil</w:t>
      </w:r>
      <w:proofErr w:type="spellEnd"/>
      <w:r w:rsidRPr="00FA0C3A">
        <w:rPr>
          <w:sz w:val="24"/>
          <w:szCs w:val="24"/>
        </w:rPr>
        <w:t xml:space="preserve"> to gange daglig. Imidlertid var følgende behandlingsrelaterede bivirkninger hyppigere i den pædiatriske population, især hos børn under 6 år, sammenlignet med voksne: diarré, sepsis, </w:t>
      </w:r>
      <w:proofErr w:type="spellStart"/>
      <w:r w:rsidRPr="00FA0C3A">
        <w:rPr>
          <w:sz w:val="24"/>
          <w:szCs w:val="24"/>
        </w:rPr>
        <w:t>leukopeni</w:t>
      </w:r>
      <w:proofErr w:type="spellEnd"/>
      <w:r w:rsidRPr="00FA0C3A">
        <w:rPr>
          <w:sz w:val="24"/>
          <w:szCs w:val="24"/>
        </w:rPr>
        <w:t>, anæmi og infektion.</w:t>
      </w:r>
    </w:p>
    <w:p w14:paraId="09D2FC5E" w14:textId="77777777" w:rsidR="00886F11" w:rsidRPr="00FA0C3A" w:rsidRDefault="00886F11" w:rsidP="00886F11">
      <w:pPr>
        <w:ind w:left="851"/>
        <w:rPr>
          <w:sz w:val="24"/>
          <w:szCs w:val="24"/>
        </w:rPr>
      </w:pPr>
    </w:p>
    <w:p w14:paraId="7E285B04" w14:textId="77777777" w:rsidR="00886F11" w:rsidRPr="00FA0C3A" w:rsidRDefault="00886F11" w:rsidP="00886F11">
      <w:pPr>
        <w:ind w:left="851"/>
        <w:rPr>
          <w:i/>
          <w:iCs/>
          <w:sz w:val="24"/>
          <w:szCs w:val="24"/>
        </w:rPr>
      </w:pPr>
      <w:r w:rsidRPr="00FA0C3A">
        <w:rPr>
          <w:i/>
          <w:iCs/>
          <w:sz w:val="24"/>
          <w:szCs w:val="24"/>
        </w:rPr>
        <w:t>Ældre</w:t>
      </w:r>
    </w:p>
    <w:p w14:paraId="6D38A37C" w14:textId="77777777" w:rsidR="00886F11" w:rsidRPr="00FA0C3A" w:rsidRDefault="00886F11" w:rsidP="00886F11">
      <w:pPr>
        <w:ind w:left="851"/>
        <w:rPr>
          <w:sz w:val="24"/>
          <w:szCs w:val="24"/>
        </w:rPr>
      </w:pPr>
      <w:r w:rsidRPr="00FA0C3A">
        <w:rPr>
          <w:sz w:val="24"/>
          <w:szCs w:val="24"/>
        </w:rPr>
        <w:t xml:space="preserve">Ældre patienter (≥ 65 år) har i almindelighed større risiko for bivirkninger pga. immunsuppression. Ældre patienter som får </w:t>
      </w:r>
      <w:proofErr w:type="spellStart"/>
      <w:r w:rsidRPr="00FA0C3A">
        <w:rPr>
          <w:sz w:val="24"/>
          <w:szCs w:val="24"/>
        </w:rPr>
        <w:t>mycophenolatmofetil</w:t>
      </w:r>
      <w:proofErr w:type="spellEnd"/>
      <w:r w:rsidRPr="00FA0C3A">
        <w:rPr>
          <w:sz w:val="24"/>
          <w:szCs w:val="24"/>
        </w:rPr>
        <w:t xml:space="preserve"> som led i et immunsuppressivt kombinationsregime, kan have større risiko for visse infektioner (inklusive vævsinvasiv sygdom forårsaget af </w:t>
      </w:r>
      <w:proofErr w:type="spellStart"/>
      <w:r w:rsidRPr="00FA0C3A">
        <w:rPr>
          <w:sz w:val="24"/>
          <w:szCs w:val="24"/>
        </w:rPr>
        <w:t>cytomegalovirus</w:t>
      </w:r>
      <w:proofErr w:type="spellEnd"/>
      <w:r w:rsidRPr="00FA0C3A">
        <w:rPr>
          <w:sz w:val="24"/>
          <w:szCs w:val="24"/>
        </w:rPr>
        <w:t xml:space="preserve">) og muligvis </w:t>
      </w:r>
      <w:proofErr w:type="spellStart"/>
      <w:r w:rsidRPr="00FA0C3A">
        <w:rPr>
          <w:sz w:val="24"/>
          <w:szCs w:val="24"/>
        </w:rPr>
        <w:t>gastrointestinal</w:t>
      </w:r>
      <w:proofErr w:type="spellEnd"/>
      <w:r w:rsidRPr="00FA0C3A">
        <w:rPr>
          <w:sz w:val="24"/>
          <w:szCs w:val="24"/>
        </w:rPr>
        <w:t xml:space="preserve"> blødning og lungeødem, sammenlignet med yngre individer.</w:t>
      </w:r>
    </w:p>
    <w:p w14:paraId="30E4AFC7" w14:textId="77777777" w:rsidR="00886F11" w:rsidRPr="00FA0C3A" w:rsidRDefault="00886F11" w:rsidP="00886F11">
      <w:pPr>
        <w:ind w:left="851"/>
        <w:rPr>
          <w:sz w:val="24"/>
          <w:szCs w:val="24"/>
        </w:rPr>
      </w:pPr>
    </w:p>
    <w:p w14:paraId="50383624" w14:textId="77777777" w:rsidR="00886F11" w:rsidRPr="00FA0C3A" w:rsidRDefault="00886F11" w:rsidP="00886F11">
      <w:pPr>
        <w:autoSpaceDE w:val="0"/>
        <w:autoSpaceDN w:val="0"/>
        <w:ind w:left="851"/>
        <w:rPr>
          <w:sz w:val="24"/>
          <w:szCs w:val="24"/>
          <w:u w:val="single"/>
          <w:lang w:eastAsia="da-DK"/>
        </w:rPr>
      </w:pPr>
      <w:r w:rsidRPr="00FA0C3A">
        <w:rPr>
          <w:sz w:val="24"/>
          <w:szCs w:val="24"/>
          <w:u w:val="single"/>
          <w:lang w:eastAsia="da-DK"/>
        </w:rPr>
        <w:t>Indberetning af formodede bivirkninger</w:t>
      </w:r>
    </w:p>
    <w:p w14:paraId="1781DC8C" w14:textId="77777777" w:rsidR="00886F11" w:rsidRPr="00FA0C3A" w:rsidRDefault="00886F11" w:rsidP="00886F11">
      <w:pPr>
        <w:ind w:left="851"/>
        <w:rPr>
          <w:sz w:val="24"/>
          <w:szCs w:val="24"/>
          <w:lang w:eastAsia="da-DK"/>
        </w:rPr>
      </w:pPr>
      <w:r w:rsidRPr="00FA0C3A">
        <w:rPr>
          <w:sz w:val="24"/>
          <w:szCs w:val="24"/>
          <w:lang w:eastAsia="da-DK"/>
        </w:rPr>
        <w:t>Når lægemidlet er godkendt, er indberetning af formodede bivirkninger vigtig. Det muliggør løbende overvågning af benefit/</w:t>
      </w:r>
      <w:proofErr w:type="spellStart"/>
      <w:r w:rsidRPr="00FA0C3A">
        <w:rPr>
          <w:sz w:val="24"/>
          <w:szCs w:val="24"/>
          <w:lang w:eastAsia="da-DK"/>
        </w:rPr>
        <w:t>risk</w:t>
      </w:r>
      <w:proofErr w:type="spellEnd"/>
      <w:r w:rsidRPr="00FA0C3A">
        <w:rPr>
          <w:sz w:val="24"/>
          <w:szCs w:val="24"/>
          <w:lang w:eastAsia="da-DK"/>
        </w:rPr>
        <w:t>-forholdet for lægemidlet. Sundhedspersoner anmodes om at indberette alle formodede bivirkninger via:</w:t>
      </w:r>
    </w:p>
    <w:p w14:paraId="6BF695B0" w14:textId="77777777" w:rsidR="00886F11" w:rsidRPr="00FA0C3A" w:rsidRDefault="00886F11" w:rsidP="00886F11">
      <w:pPr>
        <w:ind w:left="851"/>
        <w:rPr>
          <w:sz w:val="24"/>
          <w:szCs w:val="24"/>
          <w:lang w:eastAsia="da-DK"/>
        </w:rPr>
      </w:pPr>
    </w:p>
    <w:p w14:paraId="6DD96EEE" w14:textId="77777777" w:rsidR="00886F11" w:rsidRPr="00FA0C3A" w:rsidRDefault="00886F11" w:rsidP="00886F11">
      <w:pPr>
        <w:ind w:left="851"/>
        <w:rPr>
          <w:sz w:val="24"/>
          <w:szCs w:val="24"/>
          <w:lang w:eastAsia="da-DK"/>
        </w:rPr>
      </w:pPr>
      <w:r w:rsidRPr="00FA0C3A">
        <w:rPr>
          <w:sz w:val="24"/>
          <w:szCs w:val="24"/>
          <w:lang w:eastAsia="da-DK"/>
        </w:rPr>
        <w:t>Lægemiddelstyrelsen</w:t>
      </w:r>
    </w:p>
    <w:p w14:paraId="4981932D" w14:textId="77777777" w:rsidR="00886F11" w:rsidRPr="00FA0C3A" w:rsidRDefault="00886F11" w:rsidP="00886F11">
      <w:pPr>
        <w:ind w:left="851"/>
        <w:rPr>
          <w:sz w:val="24"/>
          <w:szCs w:val="24"/>
          <w:lang w:eastAsia="da-DK"/>
        </w:rPr>
      </w:pPr>
      <w:r w:rsidRPr="00FA0C3A">
        <w:rPr>
          <w:sz w:val="24"/>
          <w:szCs w:val="24"/>
          <w:lang w:eastAsia="da-DK"/>
        </w:rPr>
        <w:t>Axel Heides Gade 1</w:t>
      </w:r>
    </w:p>
    <w:p w14:paraId="0AF802C9" w14:textId="77777777" w:rsidR="00886F11" w:rsidRPr="00FA0C3A" w:rsidRDefault="00886F11" w:rsidP="00886F11">
      <w:pPr>
        <w:ind w:left="851"/>
        <w:rPr>
          <w:sz w:val="24"/>
          <w:szCs w:val="24"/>
          <w:lang w:eastAsia="da-DK"/>
        </w:rPr>
      </w:pPr>
      <w:r w:rsidRPr="00FA0C3A">
        <w:rPr>
          <w:sz w:val="24"/>
          <w:szCs w:val="24"/>
          <w:lang w:eastAsia="da-DK"/>
        </w:rPr>
        <w:t>DK-2300 København S</w:t>
      </w:r>
    </w:p>
    <w:p w14:paraId="678F9FE6" w14:textId="2BD92914" w:rsidR="00886F11" w:rsidRDefault="00886F11" w:rsidP="00886F11">
      <w:pPr>
        <w:ind w:left="851"/>
        <w:rPr>
          <w:sz w:val="24"/>
          <w:szCs w:val="24"/>
          <w:lang w:eastAsia="da-DK"/>
        </w:rPr>
      </w:pPr>
      <w:r w:rsidRPr="00FA0C3A">
        <w:rPr>
          <w:sz w:val="24"/>
          <w:szCs w:val="24"/>
          <w:lang w:eastAsia="da-DK"/>
        </w:rPr>
        <w:t xml:space="preserve">Websted: </w:t>
      </w:r>
      <w:hyperlink r:id="rId8" w:history="1">
        <w:r w:rsidR="006E72DB" w:rsidRPr="000557C7">
          <w:rPr>
            <w:rStyle w:val="Hyperlink"/>
            <w:sz w:val="24"/>
            <w:szCs w:val="24"/>
            <w:lang w:eastAsia="da-DK"/>
          </w:rPr>
          <w:t>www.meldenbivirkning.dk</w:t>
        </w:r>
      </w:hyperlink>
    </w:p>
    <w:p w14:paraId="5AC493DA" w14:textId="77777777" w:rsidR="009260DE" w:rsidRPr="00FA0C3A" w:rsidRDefault="009260DE" w:rsidP="00A10294">
      <w:pPr>
        <w:tabs>
          <w:tab w:val="left" w:pos="851"/>
        </w:tabs>
        <w:ind w:left="851"/>
        <w:rPr>
          <w:sz w:val="24"/>
          <w:szCs w:val="24"/>
        </w:rPr>
      </w:pPr>
      <w:bookmarkStart w:id="1" w:name="_GoBack"/>
      <w:bookmarkEnd w:id="1"/>
    </w:p>
    <w:p w14:paraId="42690955" w14:textId="77777777" w:rsidR="009260DE" w:rsidRPr="00FA0C3A" w:rsidRDefault="009260DE" w:rsidP="009260DE">
      <w:pPr>
        <w:tabs>
          <w:tab w:val="left" w:pos="851"/>
        </w:tabs>
        <w:ind w:left="851" w:hanging="851"/>
        <w:rPr>
          <w:b/>
          <w:sz w:val="24"/>
          <w:szCs w:val="24"/>
        </w:rPr>
      </w:pPr>
      <w:r w:rsidRPr="00FA0C3A">
        <w:rPr>
          <w:b/>
          <w:sz w:val="24"/>
          <w:szCs w:val="24"/>
        </w:rPr>
        <w:t>4.9</w:t>
      </w:r>
      <w:r w:rsidRPr="00FA0C3A">
        <w:rPr>
          <w:b/>
          <w:sz w:val="24"/>
          <w:szCs w:val="24"/>
        </w:rPr>
        <w:tab/>
        <w:t>Overdosering</w:t>
      </w:r>
    </w:p>
    <w:p w14:paraId="2F6750CE" w14:textId="77777777" w:rsidR="00886F11" w:rsidRPr="00FA0C3A" w:rsidRDefault="00886F11" w:rsidP="00725D71">
      <w:pPr>
        <w:ind w:left="851"/>
        <w:rPr>
          <w:sz w:val="24"/>
          <w:szCs w:val="24"/>
        </w:rPr>
      </w:pPr>
      <w:r w:rsidRPr="00FA0C3A">
        <w:rPr>
          <w:sz w:val="24"/>
          <w:szCs w:val="24"/>
        </w:rPr>
        <w:t xml:space="preserve">Der er modtaget rapporter om overdosering med </w:t>
      </w:r>
      <w:proofErr w:type="spellStart"/>
      <w:r w:rsidRPr="00FA0C3A">
        <w:rPr>
          <w:sz w:val="24"/>
          <w:szCs w:val="24"/>
        </w:rPr>
        <w:t>mycophenolatmofetil</w:t>
      </w:r>
      <w:proofErr w:type="spellEnd"/>
      <w:r w:rsidRPr="00FA0C3A">
        <w:rPr>
          <w:sz w:val="24"/>
          <w:szCs w:val="24"/>
        </w:rPr>
        <w:t xml:space="preserve"> fra kliniske forsøg og i perioden efter markedsføringen. I mange af disse tilfælde blev der ikke rapporteret om hændelser. I de tilfælde af overdosering, hvor der blev rapporteret om hændelser, faldt hændelserne inden for lægemidlets kendte sikkerhedsprofil.</w:t>
      </w:r>
    </w:p>
    <w:p w14:paraId="2993ABE7" w14:textId="77777777" w:rsidR="00886F11" w:rsidRPr="00FA0C3A" w:rsidRDefault="00886F11" w:rsidP="00725D71">
      <w:pPr>
        <w:ind w:left="851"/>
        <w:rPr>
          <w:sz w:val="24"/>
          <w:szCs w:val="24"/>
        </w:rPr>
      </w:pPr>
    </w:p>
    <w:p w14:paraId="2136982F" w14:textId="77777777" w:rsidR="00886F11" w:rsidRPr="00FA0C3A" w:rsidRDefault="00886F11" w:rsidP="00725D71">
      <w:pPr>
        <w:autoSpaceDE w:val="0"/>
        <w:autoSpaceDN w:val="0"/>
        <w:adjustRightInd w:val="0"/>
        <w:ind w:left="851"/>
        <w:rPr>
          <w:sz w:val="24"/>
          <w:szCs w:val="24"/>
        </w:rPr>
      </w:pPr>
      <w:r w:rsidRPr="00FA0C3A">
        <w:rPr>
          <w:sz w:val="24"/>
          <w:szCs w:val="24"/>
        </w:rPr>
        <w:t xml:space="preserve">Det forventes, at en overdosis af </w:t>
      </w:r>
      <w:proofErr w:type="spellStart"/>
      <w:r w:rsidRPr="00FA0C3A">
        <w:rPr>
          <w:sz w:val="24"/>
          <w:szCs w:val="24"/>
        </w:rPr>
        <w:t>mycophenolatmofetil</w:t>
      </w:r>
      <w:proofErr w:type="spellEnd"/>
      <w:r w:rsidRPr="00FA0C3A">
        <w:rPr>
          <w:sz w:val="24"/>
          <w:szCs w:val="24"/>
        </w:rPr>
        <w:t xml:space="preserve"> muligvis vil kunne resultere i oversuppression af immunsystemet og øge modtageligheden for infektioner og knoglemarvsdepression (se pkt. 4.4). Hvis der udvikles </w:t>
      </w:r>
      <w:proofErr w:type="spellStart"/>
      <w:r w:rsidRPr="00FA0C3A">
        <w:rPr>
          <w:sz w:val="24"/>
          <w:szCs w:val="24"/>
        </w:rPr>
        <w:t>neutropeni</w:t>
      </w:r>
      <w:proofErr w:type="spellEnd"/>
      <w:r w:rsidRPr="00FA0C3A">
        <w:rPr>
          <w:sz w:val="24"/>
          <w:szCs w:val="24"/>
        </w:rPr>
        <w:t xml:space="preserve">, skal behandlingen med </w:t>
      </w:r>
      <w:proofErr w:type="spellStart"/>
      <w:r w:rsidRPr="00FA0C3A">
        <w:rPr>
          <w:sz w:val="24"/>
          <w:szCs w:val="24"/>
        </w:rPr>
        <w:t>mycophenolatmofetil</w:t>
      </w:r>
      <w:proofErr w:type="spellEnd"/>
      <w:r w:rsidRPr="00FA0C3A">
        <w:rPr>
          <w:sz w:val="24"/>
          <w:szCs w:val="24"/>
        </w:rPr>
        <w:t xml:space="preserve"> afbrydes, eller dosen skal reduceres (se pkt. 4.4).</w:t>
      </w:r>
    </w:p>
    <w:p w14:paraId="4678FFB1" w14:textId="77777777" w:rsidR="00886F11" w:rsidRPr="00FA0C3A" w:rsidRDefault="00886F11" w:rsidP="00725D71">
      <w:pPr>
        <w:ind w:left="851"/>
        <w:rPr>
          <w:sz w:val="24"/>
          <w:szCs w:val="24"/>
        </w:rPr>
      </w:pPr>
    </w:p>
    <w:p w14:paraId="2AF6011E" w14:textId="77777777" w:rsidR="00886F11" w:rsidRPr="00FA0C3A" w:rsidRDefault="00886F11" w:rsidP="00725D71">
      <w:pPr>
        <w:ind w:left="851"/>
        <w:rPr>
          <w:sz w:val="24"/>
          <w:szCs w:val="24"/>
        </w:rPr>
      </w:pPr>
      <w:r w:rsidRPr="00FA0C3A">
        <w:rPr>
          <w:sz w:val="24"/>
          <w:szCs w:val="24"/>
        </w:rPr>
        <w:t xml:space="preserve">Det forventes ikke, at klinisk signifikante mængder af MPA eller MPAG vil kunne fjernes ved hæmodialyse. Galdesyrebindende midler, f.eks. </w:t>
      </w:r>
      <w:proofErr w:type="spellStart"/>
      <w:r w:rsidRPr="00FA0C3A">
        <w:rPr>
          <w:sz w:val="24"/>
          <w:szCs w:val="24"/>
        </w:rPr>
        <w:t>colestyramin</w:t>
      </w:r>
      <w:proofErr w:type="spellEnd"/>
      <w:r w:rsidRPr="00FA0C3A">
        <w:rPr>
          <w:sz w:val="24"/>
          <w:szCs w:val="24"/>
        </w:rPr>
        <w:t xml:space="preserve">, kan fjerne MPA ved at nedsætte den </w:t>
      </w:r>
      <w:proofErr w:type="spellStart"/>
      <w:r w:rsidRPr="00FA0C3A">
        <w:rPr>
          <w:sz w:val="24"/>
          <w:szCs w:val="24"/>
        </w:rPr>
        <w:t>enterohepatiske</w:t>
      </w:r>
      <w:proofErr w:type="spellEnd"/>
      <w:r w:rsidRPr="00FA0C3A">
        <w:rPr>
          <w:sz w:val="24"/>
          <w:szCs w:val="24"/>
        </w:rPr>
        <w:t xml:space="preserve"> recirkulation af lægemidlet (se pkt. 5.2).</w:t>
      </w:r>
    </w:p>
    <w:p w14:paraId="25BB4031" w14:textId="77777777" w:rsidR="009260DE" w:rsidRPr="00FA0C3A" w:rsidRDefault="009260DE" w:rsidP="009260DE">
      <w:pPr>
        <w:tabs>
          <w:tab w:val="left" w:pos="851"/>
        </w:tabs>
        <w:ind w:left="851"/>
        <w:rPr>
          <w:sz w:val="24"/>
          <w:szCs w:val="24"/>
        </w:rPr>
      </w:pPr>
    </w:p>
    <w:p w14:paraId="1B9A5F0F" w14:textId="77777777" w:rsidR="009260DE" w:rsidRPr="00FA0C3A" w:rsidRDefault="009260DE" w:rsidP="009260DE">
      <w:pPr>
        <w:tabs>
          <w:tab w:val="left" w:pos="851"/>
        </w:tabs>
        <w:ind w:left="851" w:hanging="851"/>
        <w:rPr>
          <w:b/>
          <w:sz w:val="24"/>
          <w:szCs w:val="24"/>
        </w:rPr>
      </w:pPr>
      <w:r w:rsidRPr="00FA0C3A">
        <w:rPr>
          <w:b/>
          <w:sz w:val="24"/>
          <w:szCs w:val="24"/>
        </w:rPr>
        <w:t>4.10</w:t>
      </w:r>
      <w:r w:rsidRPr="00FA0C3A">
        <w:rPr>
          <w:b/>
          <w:sz w:val="24"/>
          <w:szCs w:val="24"/>
        </w:rPr>
        <w:tab/>
        <w:t>Udlevering</w:t>
      </w:r>
    </w:p>
    <w:p w14:paraId="366F4E96" w14:textId="77777777" w:rsidR="00886F11" w:rsidRPr="00FA0C3A" w:rsidRDefault="00886F11" w:rsidP="00886F11">
      <w:pPr>
        <w:pStyle w:val="Default"/>
        <w:ind w:left="851"/>
        <w:rPr>
          <w:color w:val="auto"/>
        </w:rPr>
      </w:pPr>
      <w:r w:rsidRPr="00FA0C3A">
        <w:rPr>
          <w:color w:val="auto"/>
        </w:rPr>
        <w:t xml:space="preserve">NBS (kun til sygehuse samt efter ordination af speciallæger i </w:t>
      </w:r>
      <w:proofErr w:type="spellStart"/>
      <w:r w:rsidRPr="00FA0C3A">
        <w:rPr>
          <w:color w:val="auto"/>
        </w:rPr>
        <w:t>gastroenterologi</w:t>
      </w:r>
      <w:proofErr w:type="spellEnd"/>
      <w:r w:rsidRPr="00FA0C3A">
        <w:rPr>
          <w:color w:val="auto"/>
        </w:rPr>
        <w:t xml:space="preserve">, </w:t>
      </w:r>
      <w:proofErr w:type="spellStart"/>
      <w:r w:rsidRPr="00FA0C3A">
        <w:rPr>
          <w:color w:val="auto"/>
        </w:rPr>
        <w:t>hepatologi</w:t>
      </w:r>
      <w:proofErr w:type="spellEnd"/>
      <w:r w:rsidRPr="00FA0C3A">
        <w:rPr>
          <w:color w:val="auto"/>
        </w:rPr>
        <w:t>, kardiologi, lungemedicin eller nefrologi)</w:t>
      </w:r>
    </w:p>
    <w:p w14:paraId="312345C2" w14:textId="77777777" w:rsidR="009260DE" w:rsidRPr="00FA0C3A" w:rsidRDefault="009260DE" w:rsidP="009260DE">
      <w:pPr>
        <w:tabs>
          <w:tab w:val="left" w:pos="851"/>
        </w:tabs>
        <w:ind w:left="851"/>
        <w:rPr>
          <w:sz w:val="24"/>
          <w:szCs w:val="24"/>
        </w:rPr>
      </w:pPr>
    </w:p>
    <w:p w14:paraId="3137E185" w14:textId="33C73779" w:rsidR="008D3E9F" w:rsidRPr="00FA0C3A" w:rsidRDefault="008D3E9F">
      <w:pPr>
        <w:rPr>
          <w:sz w:val="24"/>
          <w:szCs w:val="24"/>
        </w:rPr>
      </w:pPr>
      <w:r w:rsidRPr="00FA0C3A">
        <w:rPr>
          <w:sz w:val="24"/>
          <w:szCs w:val="24"/>
        </w:rPr>
        <w:br w:type="page"/>
      </w:r>
    </w:p>
    <w:p w14:paraId="7CA7F3F2" w14:textId="77777777" w:rsidR="009260DE" w:rsidRPr="00FA0C3A" w:rsidRDefault="009260DE" w:rsidP="009260DE">
      <w:pPr>
        <w:tabs>
          <w:tab w:val="left" w:pos="851"/>
        </w:tabs>
        <w:ind w:left="851"/>
        <w:rPr>
          <w:sz w:val="24"/>
          <w:szCs w:val="24"/>
        </w:rPr>
      </w:pPr>
    </w:p>
    <w:p w14:paraId="47D36E14" w14:textId="77777777" w:rsidR="009260DE" w:rsidRPr="00FA0C3A" w:rsidRDefault="009260DE" w:rsidP="009260DE">
      <w:pPr>
        <w:tabs>
          <w:tab w:val="left" w:pos="851"/>
        </w:tabs>
        <w:ind w:left="851" w:hanging="851"/>
        <w:rPr>
          <w:b/>
          <w:sz w:val="24"/>
          <w:szCs w:val="24"/>
        </w:rPr>
      </w:pPr>
      <w:r w:rsidRPr="00FA0C3A">
        <w:rPr>
          <w:b/>
          <w:sz w:val="24"/>
          <w:szCs w:val="24"/>
        </w:rPr>
        <w:t>5.</w:t>
      </w:r>
      <w:r w:rsidRPr="00FA0C3A">
        <w:rPr>
          <w:b/>
          <w:sz w:val="24"/>
          <w:szCs w:val="24"/>
        </w:rPr>
        <w:tab/>
        <w:t>FARMAKOLOGISKE EGENSKABER</w:t>
      </w:r>
    </w:p>
    <w:p w14:paraId="1532C90A" w14:textId="77777777" w:rsidR="009260DE" w:rsidRPr="00FA0C3A" w:rsidRDefault="009260DE" w:rsidP="009260DE">
      <w:pPr>
        <w:tabs>
          <w:tab w:val="left" w:pos="851"/>
        </w:tabs>
        <w:ind w:left="851"/>
        <w:rPr>
          <w:sz w:val="24"/>
          <w:szCs w:val="24"/>
        </w:rPr>
      </w:pPr>
    </w:p>
    <w:p w14:paraId="58573AF4" w14:textId="77777777" w:rsidR="009260DE" w:rsidRPr="00FA0C3A" w:rsidRDefault="009260DE" w:rsidP="009260DE">
      <w:pPr>
        <w:tabs>
          <w:tab w:val="num" w:pos="851"/>
        </w:tabs>
        <w:ind w:left="851" w:hanging="851"/>
        <w:rPr>
          <w:b/>
          <w:sz w:val="24"/>
          <w:szCs w:val="24"/>
        </w:rPr>
      </w:pPr>
      <w:r w:rsidRPr="00FA0C3A">
        <w:rPr>
          <w:b/>
          <w:sz w:val="24"/>
          <w:szCs w:val="24"/>
        </w:rPr>
        <w:t>5.1</w:t>
      </w:r>
      <w:r w:rsidRPr="00FA0C3A">
        <w:rPr>
          <w:b/>
          <w:sz w:val="24"/>
          <w:szCs w:val="24"/>
        </w:rPr>
        <w:tab/>
      </w:r>
      <w:proofErr w:type="spellStart"/>
      <w:r w:rsidRPr="00FA0C3A">
        <w:rPr>
          <w:b/>
          <w:sz w:val="24"/>
          <w:szCs w:val="24"/>
        </w:rPr>
        <w:t>Farmakodynamiske</w:t>
      </w:r>
      <w:proofErr w:type="spellEnd"/>
      <w:r w:rsidRPr="00FA0C3A">
        <w:rPr>
          <w:b/>
          <w:sz w:val="24"/>
          <w:szCs w:val="24"/>
        </w:rPr>
        <w:t xml:space="preserve"> egenskaber</w:t>
      </w:r>
    </w:p>
    <w:p w14:paraId="0E6B36A4" w14:textId="27B9D1BA" w:rsidR="00886F11" w:rsidRPr="00FA0C3A" w:rsidRDefault="00886F11" w:rsidP="00886F11">
      <w:pPr>
        <w:tabs>
          <w:tab w:val="left" w:pos="851"/>
        </w:tabs>
        <w:ind w:left="851"/>
        <w:rPr>
          <w:sz w:val="24"/>
          <w:szCs w:val="24"/>
        </w:rPr>
      </w:pPr>
      <w:proofErr w:type="spellStart"/>
      <w:r w:rsidRPr="00FA0C3A">
        <w:rPr>
          <w:sz w:val="24"/>
          <w:szCs w:val="24"/>
        </w:rPr>
        <w:t>Farmakoterapeutisk</w:t>
      </w:r>
      <w:proofErr w:type="spellEnd"/>
      <w:r w:rsidRPr="00FA0C3A">
        <w:rPr>
          <w:sz w:val="24"/>
          <w:szCs w:val="24"/>
        </w:rPr>
        <w:t xml:space="preserve"> klassifikation: </w:t>
      </w:r>
      <w:proofErr w:type="spellStart"/>
      <w:r w:rsidRPr="00FA0C3A">
        <w:rPr>
          <w:sz w:val="24"/>
          <w:szCs w:val="24"/>
        </w:rPr>
        <w:t>Immunosuppressiva</w:t>
      </w:r>
      <w:proofErr w:type="spellEnd"/>
      <w:r w:rsidRPr="00FA0C3A">
        <w:rPr>
          <w:sz w:val="24"/>
          <w:szCs w:val="24"/>
        </w:rPr>
        <w:t>, ATC-kode: L04AA06.</w:t>
      </w:r>
    </w:p>
    <w:p w14:paraId="7258D5B6" w14:textId="77777777" w:rsidR="00886F11" w:rsidRPr="00FA0C3A" w:rsidRDefault="00886F11" w:rsidP="009260DE">
      <w:pPr>
        <w:tabs>
          <w:tab w:val="left" w:pos="851"/>
        </w:tabs>
        <w:ind w:left="851"/>
        <w:rPr>
          <w:sz w:val="24"/>
          <w:szCs w:val="24"/>
        </w:rPr>
      </w:pPr>
    </w:p>
    <w:p w14:paraId="42EEEC5A"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Virkningsmekanisme</w:t>
      </w:r>
    </w:p>
    <w:p w14:paraId="62EE04F8"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rPr>
        <w:t>Mycophenolatmofetil</w:t>
      </w:r>
      <w:proofErr w:type="spellEnd"/>
      <w:r w:rsidRPr="00FA0C3A">
        <w:rPr>
          <w:sz w:val="24"/>
          <w:szCs w:val="24"/>
        </w:rPr>
        <w:t xml:space="preserve"> er 2-morpholinoethylesteren af MPA. MPA er en selektiv, non-</w:t>
      </w:r>
      <w:proofErr w:type="spellStart"/>
      <w:r w:rsidRPr="00FA0C3A">
        <w:rPr>
          <w:sz w:val="24"/>
          <w:szCs w:val="24"/>
        </w:rPr>
        <w:t>kompetitiv</w:t>
      </w:r>
      <w:proofErr w:type="spellEnd"/>
      <w:r w:rsidRPr="00FA0C3A">
        <w:rPr>
          <w:sz w:val="24"/>
          <w:szCs w:val="24"/>
        </w:rPr>
        <w:t xml:space="preserve"> og </w:t>
      </w:r>
      <w:proofErr w:type="gramStart"/>
      <w:r w:rsidRPr="00FA0C3A">
        <w:rPr>
          <w:sz w:val="24"/>
          <w:szCs w:val="24"/>
        </w:rPr>
        <w:t>reversibel</w:t>
      </w:r>
      <w:proofErr w:type="gramEnd"/>
      <w:r w:rsidRPr="00FA0C3A">
        <w:rPr>
          <w:sz w:val="24"/>
          <w:szCs w:val="24"/>
        </w:rPr>
        <w:t xml:space="preserve"> hæmmer af </w:t>
      </w:r>
      <w:proofErr w:type="spellStart"/>
      <w:r w:rsidRPr="00FA0C3A">
        <w:rPr>
          <w:sz w:val="24"/>
          <w:szCs w:val="24"/>
        </w:rPr>
        <w:t>inosinmonophosphatdehydrogenase</w:t>
      </w:r>
      <w:proofErr w:type="spellEnd"/>
      <w:r w:rsidRPr="00FA0C3A">
        <w:rPr>
          <w:sz w:val="24"/>
          <w:szCs w:val="24"/>
        </w:rPr>
        <w:t xml:space="preserve"> (IMPDH) og hæmmer derfor </w:t>
      </w:r>
      <w:r w:rsidRPr="00FA0C3A">
        <w:rPr>
          <w:i/>
          <w:sz w:val="24"/>
          <w:szCs w:val="24"/>
        </w:rPr>
        <w:t xml:space="preserve">de </w:t>
      </w:r>
      <w:proofErr w:type="spellStart"/>
      <w:r w:rsidRPr="00FA0C3A">
        <w:rPr>
          <w:i/>
          <w:sz w:val="24"/>
          <w:szCs w:val="24"/>
        </w:rPr>
        <w:t>novo</w:t>
      </w:r>
      <w:proofErr w:type="spellEnd"/>
      <w:r w:rsidRPr="00FA0C3A">
        <w:rPr>
          <w:sz w:val="24"/>
          <w:szCs w:val="24"/>
        </w:rPr>
        <w:t xml:space="preserve">-forløbet af </w:t>
      </w:r>
      <w:proofErr w:type="spellStart"/>
      <w:r w:rsidRPr="00FA0C3A">
        <w:rPr>
          <w:sz w:val="24"/>
          <w:szCs w:val="24"/>
        </w:rPr>
        <w:t>guanosinnukleotidsyntesen</w:t>
      </w:r>
      <w:proofErr w:type="spellEnd"/>
      <w:r w:rsidRPr="00FA0C3A">
        <w:rPr>
          <w:sz w:val="24"/>
          <w:szCs w:val="24"/>
        </w:rPr>
        <w:t xml:space="preserve"> uden inkorporering i DNA.</w:t>
      </w:r>
    </w:p>
    <w:p w14:paraId="60419AD9" w14:textId="77777777" w:rsidR="00886F11" w:rsidRPr="00FA0C3A" w:rsidRDefault="00886F11" w:rsidP="00886F11">
      <w:pPr>
        <w:tabs>
          <w:tab w:val="left" w:pos="851"/>
        </w:tabs>
        <w:ind w:left="851" w:hanging="851"/>
        <w:rPr>
          <w:snapToGrid w:val="0"/>
          <w:sz w:val="24"/>
          <w:szCs w:val="24"/>
        </w:rPr>
      </w:pPr>
      <w:r w:rsidRPr="00FA0C3A">
        <w:rPr>
          <w:snapToGrid w:val="0"/>
          <w:sz w:val="24"/>
          <w:szCs w:val="24"/>
        </w:rPr>
        <w:tab/>
        <w:t xml:space="preserve">Da delingen af T- og B-lymfocytter i meget høj grad er afhængig af </w:t>
      </w:r>
      <w:r w:rsidRPr="00FA0C3A">
        <w:rPr>
          <w:i/>
          <w:snapToGrid w:val="0"/>
          <w:sz w:val="24"/>
          <w:szCs w:val="24"/>
        </w:rPr>
        <w:t xml:space="preserve">de </w:t>
      </w:r>
      <w:proofErr w:type="spellStart"/>
      <w:r w:rsidRPr="00FA0C3A">
        <w:rPr>
          <w:i/>
          <w:snapToGrid w:val="0"/>
          <w:sz w:val="24"/>
          <w:szCs w:val="24"/>
        </w:rPr>
        <w:t>novo</w:t>
      </w:r>
      <w:proofErr w:type="spellEnd"/>
      <w:r w:rsidRPr="00FA0C3A">
        <w:rPr>
          <w:snapToGrid w:val="0"/>
          <w:sz w:val="24"/>
          <w:szCs w:val="24"/>
        </w:rPr>
        <w:t xml:space="preserve">-syntesen af </w:t>
      </w:r>
      <w:proofErr w:type="spellStart"/>
      <w:r w:rsidRPr="00FA0C3A">
        <w:rPr>
          <w:snapToGrid w:val="0"/>
          <w:sz w:val="24"/>
          <w:szCs w:val="24"/>
        </w:rPr>
        <w:t>puriner</w:t>
      </w:r>
      <w:proofErr w:type="spellEnd"/>
      <w:r w:rsidRPr="00FA0C3A">
        <w:rPr>
          <w:snapToGrid w:val="0"/>
          <w:sz w:val="24"/>
          <w:szCs w:val="24"/>
        </w:rPr>
        <w:t xml:space="preserve">, mens andre celletyper kan anvende alternative veje, har MPA en kraftigere </w:t>
      </w:r>
      <w:proofErr w:type="spellStart"/>
      <w:r w:rsidRPr="00FA0C3A">
        <w:rPr>
          <w:snapToGrid w:val="0"/>
          <w:sz w:val="24"/>
          <w:szCs w:val="24"/>
        </w:rPr>
        <w:t>cytostatisk</w:t>
      </w:r>
      <w:proofErr w:type="spellEnd"/>
      <w:r w:rsidRPr="00FA0C3A">
        <w:rPr>
          <w:snapToGrid w:val="0"/>
          <w:sz w:val="24"/>
          <w:szCs w:val="24"/>
        </w:rPr>
        <w:t xml:space="preserve"> effekt på lymfocytter end på andre celler.</w:t>
      </w:r>
    </w:p>
    <w:p w14:paraId="4FDE613B" w14:textId="77777777" w:rsidR="00886F11" w:rsidRPr="00FA0C3A" w:rsidRDefault="00886F11" w:rsidP="00886F11">
      <w:pPr>
        <w:tabs>
          <w:tab w:val="left" w:pos="851"/>
        </w:tabs>
        <w:ind w:left="851" w:hanging="851"/>
        <w:rPr>
          <w:sz w:val="24"/>
          <w:szCs w:val="24"/>
        </w:rPr>
      </w:pPr>
      <w:r w:rsidRPr="00FA0C3A">
        <w:rPr>
          <w:snapToGrid w:val="0"/>
          <w:sz w:val="24"/>
          <w:szCs w:val="24"/>
        </w:rPr>
        <w:tab/>
      </w:r>
    </w:p>
    <w:p w14:paraId="2144EB94" w14:textId="77777777" w:rsidR="00886F11" w:rsidRPr="00FA0C3A" w:rsidRDefault="00886F11" w:rsidP="00886F11">
      <w:pPr>
        <w:tabs>
          <w:tab w:val="left" w:pos="851"/>
        </w:tabs>
        <w:ind w:left="851" w:hanging="851"/>
        <w:rPr>
          <w:sz w:val="24"/>
          <w:szCs w:val="24"/>
        </w:rPr>
      </w:pPr>
      <w:r w:rsidRPr="00FA0C3A">
        <w:rPr>
          <w:sz w:val="24"/>
          <w:szCs w:val="24"/>
        </w:rPr>
        <w:tab/>
        <w:t xml:space="preserve">Ud over hæmningen af IMPDH og den deraf følgende deprivation af lymfocytter, påvirker MPA også cellulære kontrolpunkter, som er ansvarlige for metabolisk programmering af lymfocytter. Det er blevet vist ved at bruge humane CD4+ T-celler, at MPA skifter transskriptionsaktiviteter i lymfocytter fra et </w:t>
      </w:r>
      <w:proofErr w:type="spellStart"/>
      <w:r w:rsidRPr="00FA0C3A">
        <w:rPr>
          <w:sz w:val="24"/>
          <w:szCs w:val="24"/>
        </w:rPr>
        <w:t>proliferativt</w:t>
      </w:r>
      <w:proofErr w:type="spellEnd"/>
      <w:r w:rsidRPr="00FA0C3A">
        <w:rPr>
          <w:sz w:val="24"/>
          <w:szCs w:val="24"/>
        </w:rPr>
        <w:t xml:space="preserve"> stadie til </w:t>
      </w:r>
      <w:proofErr w:type="spellStart"/>
      <w:r w:rsidRPr="00FA0C3A">
        <w:rPr>
          <w:sz w:val="24"/>
          <w:szCs w:val="24"/>
        </w:rPr>
        <w:t>katabolske</w:t>
      </w:r>
      <w:proofErr w:type="spellEnd"/>
      <w:r w:rsidRPr="00FA0C3A">
        <w:rPr>
          <w:sz w:val="24"/>
          <w:szCs w:val="24"/>
        </w:rPr>
        <w:t xml:space="preserve"> processer som er relevante for metabolismen og overlevelse, til et </w:t>
      </w:r>
      <w:proofErr w:type="spellStart"/>
      <w:r w:rsidRPr="00FA0C3A">
        <w:rPr>
          <w:sz w:val="24"/>
          <w:szCs w:val="24"/>
        </w:rPr>
        <w:t>anergisk</w:t>
      </w:r>
      <w:proofErr w:type="spellEnd"/>
      <w:r w:rsidRPr="00FA0C3A">
        <w:rPr>
          <w:sz w:val="24"/>
          <w:szCs w:val="24"/>
        </w:rPr>
        <w:t xml:space="preserve"> stadie af T-celler, hvorved cellerne ikke reagerer på deres specifikke antigen.</w:t>
      </w:r>
    </w:p>
    <w:p w14:paraId="5E13FEB4" w14:textId="77777777" w:rsidR="009260DE" w:rsidRPr="00FA0C3A" w:rsidRDefault="009260DE" w:rsidP="009260DE">
      <w:pPr>
        <w:tabs>
          <w:tab w:val="left" w:pos="851"/>
        </w:tabs>
        <w:ind w:left="851"/>
        <w:rPr>
          <w:sz w:val="24"/>
          <w:szCs w:val="24"/>
        </w:rPr>
      </w:pPr>
    </w:p>
    <w:p w14:paraId="401F1BDA" w14:textId="77777777" w:rsidR="009260DE" w:rsidRPr="00FA0C3A" w:rsidRDefault="009260DE" w:rsidP="009260DE">
      <w:pPr>
        <w:tabs>
          <w:tab w:val="left" w:pos="851"/>
        </w:tabs>
        <w:ind w:left="851" w:hanging="851"/>
        <w:rPr>
          <w:b/>
          <w:sz w:val="24"/>
          <w:szCs w:val="24"/>
        </w:rPr>
      </w:pPr>
      <w:r w:rsidRPr="00FA0C3A">
        <w:rPr>
          <w:b/>
          <w:sz w:val="24"/>
          <w:szCs w:val="24"/>
        </w:rPr>
        <w:t>5.2</w:t>
      </w:r>
      <w:r w:rsidRPr="00FA0C3A">
        <w:rPr>
          <w:b/>
          <w:sz w:val="24"/>
          <w:szCs w:val="24"/>
        </w:rPr>
        <w:tab/>
      </w:r>
      <w:proofErr w:type="spellStart"/>
      <w:r w:rsidRPr="00FA0C3A">
        <w:rPr>
          <w:b/>
          <w:sz w:val="24"/>
          <w:szCs w:val="24"/>
        </w:rPr>
        <w:t>Farmakokinetiske</w:t>
      </w:r>
      <w:proofErr w:type="spellEnd"/>
      <w:r w:rsidRPr="00FA0C3A">
        <w:rPr>
          <w:b/>
          <w:sz w:val="24"/>
          <w:szCs w:val="24"/>
        </w:rPr>
        <w:t xml:space="preserve"> egenskaber</w:t>
      </w:r>
    </w:p>
    <w:p w14:paraId="7401BCF7" w14:textId="77777777" w:rsidR="00725D71" w:rsidRPr="00FA0C3A" w:rsidRDefault="00725D71" w:rsidP="00886F11">
      <w:pPr>
        <w:ind w:left="851"/>
        <w:rPr>
          <w:sz w:val="24"/>
          <w:szCs w:val="24"/>
          <w:u w:val="single"/>
        </w:rPr>
      </w:pPr>
    </w:p>
    <w:p w14:paraId="2B54BCC9" w14:textId="42989E67" w:rsidR="00886F11" w:rsidRPr="00FA0C3A" w:rsidRDefault="00886F11" w:rsidP="00886F11">
      <w:pPr>
        <w:ind w:left="851"/>
        <w:rPr>
          <w:sz w:val="24"/>
          <w:szCs w:val="24"/>
          <w:u w:val="single"/>
        </w:rPr>
      </w:pPr>
      <w:r w:rsidRPr="00FA0C3A">
        <w:rPr>
          <w:sz w:val="24"/>
          <w:szCs w:val="24"/>
          <w:u w:val="single"/>
        </w:rPr>
        <w:t>Absorption</w:t>
      </w:r>
    </w:p>
    <w:p w14:paraId="6CDB4827" w14:textId="524686B2" w:rsidR="00886F11" w:rsidRPr="00FA0C3A" w:rsidRDefault="00886F11" w:rsidP="00886F11">
      <w:pPr>
        <w:ind w:left="851" w:hanging="851"/>
        <w:rPr>
          <w:sz w:val="24"/>
          <w:szCs w:val="24"/>
        </w:rPr>
      </w:pPr>
      <w:r w:rsidRPr="00FA0C3A">
        <w:rPr>
          <w:sz w:val="24"/>
          <w:szCs w:val="24"/>
        </w:rPr>
        <w:tab/>
        <w:t xml:space="preserve">Efter oral administration sker der en hurtig og omfattende absorption af </w:t>
      </w:r>
      <w:proofErr w:type="spellStart"/>
      <w:r w:rsidRPr="00FA0C3A">
        <w:rPr>
          <w:sz w:val="24"/>
          <w:szCs w:val="24"/>
        </w:rPr>
        <w:t>mycophenolat</w:t>
      </w:r>
      <w:r w:rsidR="008D3E9F" w:rsidRPr="00FA0C3A">
        <w:rPr>
          <w:sz w:val="24"/>
          <w:szCs w:val="24"/>
        </w:rPr>
        <w:softHyphen/>
      </w:r>
      <w:r w:rsidRPr="00FA0C3A">
        <w:rPr>
          <w:sz w:val="24"/>
          <w:szCs w:val="24"/>
        </w:rPr>
        <w:t>mofetil</w:t>
      </w:r>
      <w:proofErr w:type="spellEnd"/>
      <w:r w:rsidRPr="00FA0C3A">
        <w:rPr>
          <w:sz w:val="24"/>
          <w:szCs w:val="24"/>
        </w:rPr>
        <w:t xml:space="preserve"> og en komplet præsystemisk </w:t>
      </w:r>
      <w:proofErr w:type="spellStart"/>
      <w:r w:rsidRPr="00FA0C3A">
        <w:rPr>
          <w:sz w:val="24"/>
          <w:szCs w:val="24"/>
        </w:rPr>
        <w:t>metabolisering</w:t>
      </w:r>
      <w:proofErr w:type="spellEnd"/>
      <w:r w:rsidRPr="00FA0C3A">
        <w:rPr>
          <w:sz w:val="24"/>
          <w:szCs w:val="24"/>
        </w:rPr>
        <w:t xml:space="preserve"> til den aktive metabolit, MPA. Som det ses ved undertrykkelse af akut afstødning efter nyretransplantation, er den </w:t>
      </w:r>
      <w:proofErr w:type="spellStart"/>
      <w:r w:rsidRPr="00FA0C3A">
        <w:rPr>
          <w:sz w:val="24"/>
          <w:szCs w:val="24"/>
        </w:rPr>
        <w:t>immunosuppressive</w:t>
      </w:r>
      <w:proofErr w:type="spellEnd"/>
      <w:r w:rsidRPr="00FA0C3A">
        <w:rPr>
          <w:sz w:val="24"/>
          <w:szCs w:val="24"/>
        </w:rPr>
        <w:t xml:space="preserve"> aktivitet af </w:t>
      </w:r>
      <w:proofErr w:type="spellStart"/>
      <w:r w:rsidRPr="00FA0C3A">
        <w:rPr>
          <w:sz w:val="24"/>
          <w:szCs w:val="24"/>
        </w:rPr>
        <w:t>mycophenolatmofetil</w:t>
      </w:r>
      <w:proofErr w:type="spellEnd"/>
      <w:r w:rsidRPr="00FA0C3A">
        <w:rPr>
          <w:sz w:val="24"/>
          <w:szCs w:val="24"/>
        </w:rPr>
        <w:t xml:space="preserve"> korreleret med koncentrationen af MPA. Den gennemsnitlige biotilgængelighed af oralt </w:t>
      </w:r>
      <w:proofErr w:type="spellStart"/>
      <w:r w:rsidRPr="00FA0C3A">
        <w:rPr>
          <w:sz w:val="24"/>
          <w:szCs w:val="24"/>
        </w:rPr>
        <w:t>mycophenolatmofetil</w:t>
      </w:r>
      <w:proofErr w:type="spellEnd"/>
      <w:r w:rsidRPr="00FA0C3A">
        <w:rPr>
          <w:sz w:val="24"/>
          <w:szCs w:val="24"/>
        </w:rPr>
        <w:t xml:space="preserve"> baseret på AUC over MPA er 94 % i forhold til intravenøst </w:t>
      </w:r>
      <w:proofErr w:type="spellStart"/>
      <w:r w:rsidRPr="00FA0C3A">
        <w:rPr>
          <w:sz w:val="24"/>
          <w:szCs w:val="24"/>
        </w:rPr>
        <w:t>mycophenolatmofetil</w:t>
      </w:r>
      <w:proofErr w:type="spellEnd"/>
      <w:r w:rsidRPr="00FA0C3A">
        <w:rPr>
          <w:sz w:val="24"/>
          <w:szCs w:val="24"/>
        </w:rPr>
        <w:t>. Mad har ingen effekt på omfanget af absorptionen (</w:t>
      </w:r>
      <w:proofErr w:type="spellStart"/>
      <w:r w:rsidRPr="00FA0C3A">
        <w:rPr>
          <w:sz w:val="24"/>
          <w:szCs w:val="24"/>
        </w:rPr>
        <w:t>MPA’s</w:t>
      </w:r>
      <w:proofErr w:type="spellEnd"/>
      <w:r w:rsidRPr="00FA0C3A">
        <w:rPr>
          <w:sz w:val="24"/>
          <w:szCs w:val="24"/>
        </w:rPr>
        <w:t xml:space="preserve"> AUC) af </w:t>
      </w:r>
      <w:proofErr w:type="spellStart"/>
      <w:r w:rsidRPr="00FA0C3A">
        <w:rPr>
          <w:sz w:val="24"/>
          <w:szCs w:val="24"/>
        </w:rPr>
        <w:t>mycophenolatmofetil</w:t>
      </w:r>
      <w:proofErr w:type="spellEnd"/>
      <w:r w:rsidRPr="00FA0C3A">
        <w:rPr>
          <w:sz w:val="24"/>
          <w:szCs w:val="24"/>
        </w:rPr>
        <w:t xml:space="preserve">, når det administreres i doser på 1,5 g to gange daglig til nyretransplanterede patienter. </w:t>
      </w:r>
      <w:proofErr w:type="spellStart"/>
      <w:r w:rsidRPr="00FA0C3A">
        <w:rPr>
          <w:sz w:val="24"/>
          <w:szCs w:val="24"/>
        </w:rPr>
        <w:t>C</w:t>
      </w:r>
      <w:r w:rsidRPr="00FA0C3A">
        <w:rPr>
          <w:sz w:val="24"/>
          <w:szCs w:val="24"/>
          <w:vertAlign w:val="subscript"/>
        </w:rPr>
        <w:t>max</w:t>
      </w:r>
      <w:proofErr w:type="spellEnd"/>
      <w:r w:rsidRPr="00FA0C3A">
        <w:rPr>
          <w:sz w:val="24"/>
          <w:szCs w:val="24"/>
        </w:rPr>
        <w:t xml:space="preserve"> af MPA faldt imidlertid med 40 % ved samtidig indtagelse af mad.</w:t>
      </w:r>
    </w:p>
    <w:p w14:paraId="336BF7E8"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kan ikke måles systemisk i plasma efter </w:t>
      </w:r>
      <w:proofErr w:type="spellStart"/>
      <w:r w:rsidRPr="00FA0C3A">
        <w:rPr>
          <w:sz w:val="24"/>
          <w:szCs w:val="24"/>
        </w:rPr>
        <w:t>roral</w:t>
      </w:r>
      <w:proofErr w:type="spellEnd"/>
      <w:r w:rsidRPr="00FA0C3A">
        <w:rPr>
          <w:sz w:val="24"/>
          <w:szCs w:val="24"/>
        </w:rPr>
        <w:t xml:space="preserve"> administration. </w:t>
      </w:r>
    </w:p>
    <w:p w14:paraId="50123CF2" w14:textId="77777777" w:rsidR="00886F11" w:rsidRPr="00FA0C3A" w:rsidRDefault="00886F11" w:rsidP="00886F11">
      <w:pPr>
        <w:ind w:left="851"/>
        <w:rPr>
          <w:sz w:val="24"/>
          <w:szCs w:val="24"/>
        </w:rPr>
      </w:pPr>
    </w:p>
    <w:p w14:paraId="66B8FC8F" w14:textId="77777777" w:rsidR="00886F11" w:rsidRPr="00FA0C3A" w:rsidRDefault="00886F11" w:rsidP="00886F11">
      <w:pPr>
        <w:ind w:left="851"/>
        <w:rPr>
          <w:sz w:val="24"/>
          <w:szCs w:val="24"/>
        </w:rPr>
      </w:pPr>
      <w:r w:rsidRPr="00FA0C3A">
        <w:rPr>
          <w:sz w:val="24"/>
          <w:szCs w:val="24"/>
          <w:u w:val="single"/>
        </w:rPr>
        <w:t>Fordeling</w:t>
      </w:r>
      <w:r w:rsidRPr="00FA0C3A">
        <w:rPr>
          <w:sz w:val="24"/>
          <w:szCs w:val="24"/>
          <w:u w:val="single"/>
        </w:rPr>
        <w:br/>
      </w:r>
      <w:r w:rsidRPr="00FA0C3A">
        <w:rPr>
          <w:sz w:val="24"/>
          <w:szCs w:val="24"/>
        </w:rPr>
        <w:t xml:space="preserve">Som følge af </w:t>
      </w:r>
      <w:proofErr w:type="spellStart"/>
      <w:r w:rsidRPr="00FA0C3A">
        <w:rPr>
          <w:sz w:val="24"/>
          <w:szCs w:val="24"/>
        </w:rPr>
        <w:t>enterohepatisk</w:t>
      </w:r>
      <w:proofErr w:type="spellEnd"/>
      <w:r w:rsidRPr="00FA0C3A">
        <w:rPr>
          <w:sz w:val="24"/>
          <w:szCs w:val="24"/>
        </w:rPr>
        <w:t xml:space="preserve"> recirkulation observeres der normalt sekundære stigninger i plasmakoncentrationen af MPA ca. 6-12 timer efter dosisadministration. Samtidig administration af </w:t>
      </w:r>
      <w:proofErr w:type="spellStart"/>
      <w:r w:rsidRPr="00FA0C3A">
        <w:rPr>
          <w:sz w:val="24"/>
          <w:szCs w:val="24"/>
        </w:rPr>
        <w:t>colestyramin</w:t>
      </w:r>
      <w:proofErr w:type="spellEnd"/>
      <w:r w:rsidRPr="00FA0C3A">
        <w:rPr>
          <w:sz w:val="24"/>
          <w:szCs w:val="24"/>
        </w:rPr>
        <w:t xml:space="preserve"> (4 g tre gange daglig) er forbundet med en reduktion i </w:t>
      </w:r>
    </w:p>
    <w:p w14:paraId="61BDE253" w14:textId="77777777" w:rsidR="00886F11" w:rsidRPr="00FA0C3A" w:rsidRDefault="00886F11" w:rsidP="00886F11">
      <w:pPr>
        <w:ind w:left="851"/>
        <w:rPr>
          <w:sz w:val="24"/>
          <w:szCs w:val="24"/>
        </w:rPr>
      </w:pPr>
      <w:proofErr w:type="spellStart"/>
      <w:r w:rsidRPr="00FA0C3A">
        <w:rPr>
          <w:sz w:val="24"/>
          <w:szCs w:val="24"/>
        </w:rPr>
        <w:t>MPA’s</w:t>
      </w:r>
      <w:proofErr w:type="spellEnd"/>
      <w:r w:rsidRPr="00FA0C3A">
        <w:rPr>
          <w:sz w:val="24"/>
          <w:szCs w:val="24"/>
        </w:rPr>
        <w:t xml:space="preserve"> AUC på ca. 40 %, hvilket tyder på, at der er en væsentlig </w:t>
      </w:r>
      <w:proofErr w:type="spellStart"/>
      <w:r w:rsidRPr="00FA0C3A">
        <w:rPr>
          <w:sz w:val="24"/>
          <w:szCs w:val="24"/>
        </w:rPr>
        <w:t>enterohepatisk</w:t>
      </w:r>
      <w:proofErr w:type="spellEnd"/>
      <w:r w:rsidRPr="00FA0C3A">
        <w:rPr>
          <w:sz w:val="24"/>
          <w:szCs w:val="24"/>
        </w:rPr>
        <w:t xml:space="preserve"> recirkulation. MPA er ved klinisk relevante koncentrationer 97 % bundet til plasmaalbumin.</w:t>
      </w:r>
    </w:p>
    <w:p w14:paraId="4CA064F7" w14:textId="77777777" w:rsidR="00886F11" w:rsidRPr="00FA0C3A" w:rsidRDefault="00886F11" w:rsidP="00886F11">
      <w:pPr>
        <w:ind w:left="851"/>
        <w:rPr>
          <w:sz w:val="24"/>
          <w:szCs w:val="24"/>
        </w:rPr>
      </w:pPr>
      <w:r w:rsidRPr="00FA0C3A">
        <w:rPr>
          <w:sz w:val="24"/>
          <w:szCs w:val="24"/>
        </w:rPr>
        <w:t xml:space="preserve">I den tidlige posttransplantationsperiode (&lt; 40 dage efter transplantationen) var den gennemsnitlige MPA-AUC hos nyre-, hjerte- og levertransplanterede patienter ca. 30 % lavere og </w:t>
      </w:r>
      <w:proofErr w:type="spellStart"/>
      <w:r w:rsidRPr="00FA0C3A">
        <w:rPr>
          <w:sz w:val="24"/>
          <w:szCs w:val="24"/>
        </w:rPr>
        <w:t>C</w:t>
      </w:r>
      <w:r w:rsidRPr="00FA0C3A">
        <w:rPr>
          <w:sz w:val="24"/>
          <w:szCs w:val="24"/>
          <w:vertAlign w:val="subscript"/>
        </w:rPr>
        <w:t>max</w:t>
      </w:r>
      <w:proofErr w:type="spellEnd"/>
      <w:r w:rsidRPr="00FA0C3A">
        <w:rPr>
          <w:sz w:val="24"/>
          <w:szCs w:val="24"/>
        </w:rPr>
        <w:t xml:space="preserve"> ca. 40 % lavere sammenlignet med den sene posttransplantationsperiode (3–6 måneder efter transplantationen).</w:t>
      </w:r>
    </w:p>
    <w:p w14:paraId="404E3744" w14:textId="77777777" w:rsidR="00886F11" w:rsidRPr="00FA0C3A" w:rsidRDefault="00886F11" w:rsidP="00886F11">
      <w:pPr>
        <w:ind w:left="851"/>
        <w:rPr>
          <w:sz w:val="24"/>
          <w:szCs w:val="24"/>
        </w:rPr>
      </w:pPr>
    </w:p>
    <w:p w14:paraId="13AAF5E3" w14:textId="77777777" w:rsidR="00886F11" w:rsidRPr="00FA0C3A" w:rsidRDefault="00886F11" w:rsidP="00886F11">
      <w:pPr>
        <w:ind w:left="851"/>
        <w:rPr>
          <w:sz w:val="24"/>
          <w:szCs w:val="24"/>
          <w:u w:val="single"/>
        </w:rPr>
      </w:pPr>
      <w:r w:rsidRPr="00FA0C3A">
        <w:rPr>
          <w:sz w:val="24"/>
          <w:szCs w:val="24"/>
          <w:u w:val="single"/>
        </w:rPr>
        <w:t>Biotransformation</w:t>
      </w:r>
    </w:p>
    <w:p w14:paraId="20A7B233" w14:textId="77777777" w:rsidR="00886F11" w:rsidRPr="00FA0C3A" w:rsidRDefault="00886F11" w:rsidP="00886F11">
      <w:pPr>
        <w:ind w:left="851"/>
        <w:rPr>
          <w:sz w:val="24"/>
          <w:szCs w:val="24"/>
        </w:rPr>
      </w:pPr>
      <w:r w:rsidRPr="00FA0C3A">
        <w:rPr>
          <w:sz w:val="24"/>
          <w:szCs w:val="24"/>
        </w:rPr>
        <w:t xml:space="preserve">MPA </w:t>
      </w:r>
      <w:proofErr w:type="spellStart"/>
      <w:r w:rsidRPr="00FA0C3A">
        <w:rPr>
          <w:sz w:val="24"/>
          <w:szCs w:val="24"/>
        </w:rPr>
        <w:t>metaboliseres</w:t>
      </w:r>
      <w:proofErr w:type="spellEnd"/>
      <w:r w:rsidRPr="00FA0C3A">
        <w:rPr>
          <w:sz w:val="24"/>
          <w:szCs w:val="24"/>
        </w:rPr>
        <w:t xml:space="preserve"> hovedsageligt af </w:t>
      </w:r>
      <w:proofErr w:type="spellStart"/>
      <w:r w:rsidRPr="00FA0C3A">
        <w:rPr>
          <w:sz w:val="24"/>
          <w:szCs w:val="24"/>
        </w:rPr>
        <w:t>glucuronyltransferase</w:t>
      </w:r>
      <w:proofErr w:type="spellEnd"/>
      <w:r w:rsidRPr="00FA0C3A">
        <w:rPr>
          <w:sz w:val="24"/>
          <w:szCs w:val="24"/>
        </w:rPr>
        <w:t xml:space="preserve"> (</w:t>
      </w:r>
      <w:proofErr w:type="spellStart"/>
      <w:r w:rsidRPr="00FA0C3A">
        <w:rPr>
          <w:sz w:val="24"/>
          <w:szCs w:val="24"/>
        </w:rPr>
        <w:t>isoform</w:t>
      </w:r>
      <w:proofErr w:type="spellEnd"/>
      <w:r w:rsidRPr="00FA0C3A">
        <w:rPr>
          <w:sz w:val="24"/>
          <w:szCs w:val="24"/>
        </w:rPr>
        <w:t xml:space="preserve"> UGT1A9) og omdannes til det inaktive </w:t>
      </w:r>
      <w:proofErr w:type="spellStart"/>
      <w:r w:rsidRPr="00FA0C3A">
        <w:rPr>
          <w:sz w:val="24"/>
          <w:szCs w:val="24"/>
        </w:rPr>
        <w:t>phenolglucuronid</w:t>
      </w:r>
      <w:proofErr w:type="spellEnd"/>
      <w:r w:rsidRPr="00FA0C3A">
        <w:rPr>
          <w:sz w:val="24"/>
          <w:szCs w:val="24"/>
        </w:rPr>
        <w:t xml:space="preserve"> af MPA (MPAG). </w:t>
      </w:r>
      <w:r w:rsidRPr="00FA0C3A">
        <w:rPr>
          <w:i/>
          <w:sz w:val="24"/>
          <w:szCs w:val="24"/>
        </w:rPr>
        <w:t xml:space="preserve">In </w:t>
      </w:r>
      <w:proofErr w:type="spellStart"/>
      <w:r w:rsidRPr="00FA0C3A">
        <w:rPr>
          <w:i/>
          <w:sz w:val="24"/>
          <w:szCs w:val="24"/>
        </w:rPr>
        <w:t>vivo</w:t>
      </w:r>
      <w:proofErr w:type="spellEnd"/>
      <w:r w:rsidRPr="00FA0C3A">
        <w:rPr>
          <w:sz w:val="24"/>
          <w:szCs w:val="24"/>
        </w:rPr>
        <w:t xml:space="preserve"> omdannes MPAG tilbage til fri MPA via </w:t>
      </w:r>
      <w:proofErr w:type="spellStart"/>
      <w:r w:rsidRPr="00FA0C3A">
        <w:rPr>
          <w:sz w:val="24"/>
          <w:szCs w:val="24"/>
        </w:rPr>
        <w:t>enterohepatisk</w:t>
      </w:r>
      <w:proofErr w:type="spellEnd"/>
      <w:r w:rsidRPr="00FA0C3A">
        <w:rPr>
          <w:sz w:val="24"/>
          <w:szCs w:val="24"/>
        </w:rPr>
        <w:t xml:space="preserve"> recirkulation. Der dannes også et mindre </w:t>
      </w:r>
      <w:proofErr w:type="spellStart"/>
      <w:r w:rsidRPr="00FA0C3A">
        <w:rPr>
          <w:sz w:val="24"/>
          <w:szCs w:val="24"/>
        </w:rPr>
        <w:t>acylglucuronid</w:t>
      </w:r>
      <w:proofErr w:type="spellEnd"/>
      <w:r w:rsidRPr="00FA0C3A">
        <w:rPr>
          <w:sz w:val="24"/>
          <w:szCs w:val="24"/>
        </w:rPr>
        <w:t xml:space="preserve"> (</w:t>
      </w:r>
      <w:proofErr w:type="spellStart"/>
      <w:r w:rsidRPr="00FA0C3A">
        <w:rPr>
          <w:sz w:val="24"/>
          <w:szCs w:val="24"/>
        </w:rPr>
        <w:t>AcMPAG</w:t>
      </w:r>
      <w:proofErr w:type="spellEnd"/>
      <w:r w:rsidRPr="00FA0C3A">
        <w:rPr>
          <w:sz w:val="24"/>
          <w:szCs w:val="24"/>
        </w:rPr>
        <w:t xml:space="preserve">). </w:t>
      </w:r>
      <w:proofErr w:type="spellStart"/>
      <w:r w:rsidRPr="00FA0C3A">
        <w:rPr>
          <w:sz w:val="24"/>
          <w:szCs w:val="24"/>
        </w:rPr>
        <w:t>AcMPAG</w:t>
      </w:r>
      <w:proofErr w:type="spellEnd"/>
      <w:r w:rsidRPr="00FA0C3A">
        <w:rPr>
          <w:sz w:val="24"/>
          <w:szCs w:val="24"/>
        </w:rPr>
        <w:t xml:space="preserve"> er farmakologisk aktiv og formodes at forårsage nogle af bivirkningerne ved MMF (diarré, </w:t>
      </w:r>
      <w:proofErr w:type="spellStart"/>
      <w:r w:rsidRPr="00FA0C3A">
        <w:rPr>
          <w:sz w:val="24"/>
          <w:szCs w:val="24"/>
        </w:rPr>
        <w:t>leukopeni</w:t>
      </w:r>
      <w:proofErr w:type="spellEnd"/>
      <w:r w:rsidRPr="00FA0C3A">
        <w:rPr>
          <w:sz w:val="24"/>
          <w:szCs w:val="24"/>
        </w:rPr>
        <w:t>).</w:t>
      </w:r>
    </w:p>
    <w:p w14:paraId="5C6C12DC" w14:textId="77777777" w:rsidR="00886F11" w:rsidRPr="00FA0C3A" w:rsidRDefault="00886F11" w:rsidP="00886F11">
      <w:pPr>
        <w:ind w:left="851"/>
        <w:rPr>
          <w:sz w:val="24"/>
          <w:szCs w:val="24"/>
        </w:rPr>
      </w:pPr>
    </w:p>
    <w:p w14:paraId="391C74F0" w14:textId="77777777" w:rsidR="00886F11" w:rsidRPr="00FA0C3A" w:rsidRDefault="00886F11" w:rsidP="00886F11">
      <w:pPr>
        <w:autoSpaceDE w:val="0"/>
        <w:autoSpaceDN w:val="0"/>
        <w:adjustRightInd w:val="0"/>
        <w:ind w:left="851"/>
        <w:rPr>
          <w:sz w:val="24"/>
          <w:szCs w:val="24"/>
          <w:u w:val="single"/>
        </w:rPr>
      </w:pPr>
      <w:r w:rsidRPr="00FA0C3A">
        <w:rPr>
          <w:sz w:val="24"/>
          <w:szCs w:val="24"/>
          <w:u w:val="single"/>
        </w:rPr>
        <w:t>Elimination</w:t>
      </w:r>
    </w:p>
    <w:p w14:paraId="13BEEE10" w14:textId="7B1485E0" w:rsidR="00886F11" w:rsidRPr="00FA0C3A" w:rsidRDefault="00886F11" w:rsidP="00886F11">
      <w:pPr>
        <w:autoSpaceDE w:val="0"/>
        <w:autoSpaceDN w:val="0"/>
        <w:adjustRightInd w:val="0"/>
        <w:ind w:left="851"/>
        <w:rPr>
          <w:sz w:val="24"/>
          <w:szCs w:val="24"/>
        </w:rPr>
      </w:pPr>
      <w:r w:rsidRPr="00FA0C3A">
        <w:rPr>
          <w:sz w:val="24"/>
          <w:szCs w:val="24"/>
        </w:rPr>
        <w:t xml:space="preserve">En ubetydelig mængde af stoffet udskilles som MPA (&lt; 1 % af dosen) i urinen. Oral administration af radioaktivt mærket </w:t>
      </w:r>
      <w:proofErr w:type="spellStart"/>
      <w:r w:rsidRPr="00FA0C3A">
        <w:rPr>
          <w:sz w:val="24"/>
          <w:szCs w:val="24"/>
        </w:rPr>
        <w:t>mycophenolatmofetil</w:t>
      </w:r>
      <w:proofErr w:type="spellEnd"/>
      <w:r w:rsidRPr="00FA0C3A">
        <w:rPr>
          <w:sz w:val="24"/>
          <w:szCs w:val="24"/>
        </w:rPr>
        <w:t xml:space="preserve"> resulterer i komplet genvinding af den administrerede dosis, hvor 93 % af den administrerede dosis genfindes i urinen, og 6</w:t>
      </w:r>
      <w:r w:rsidR="008D3E9F" w:rsidRPr="00FA0C3A">
        <w:rPr>
          <w:sz w:val="24"/>
          <w:szCs w:val="24"/>
        </w:rPr>
        <w:t> </w:t>
      </w:r>
      <w:r w:rsidRPr="00FA0C3A">
        <w:rPr>
          <w:sz w:val="24"/>
          <w:szCs w:val="24"/>
        </w:rPr>
        <w:t>% genfindes i fæces. Størstedelen (ca. 87 %) af den administrerede dosis udskilles i urinen som MPAG.</w:t>
      </w:r>
    </w:p>
    <w:p w14:paraId="1EBF8B3F" w14:textId="77777777" w:rsidR="00886F11" w:rsidRPr="00FA0C3A" w:rsidRDefault="00886F11" w:rsidP="00725D71">
      <w:pPr>
        <w:autoSpaceDE w:val="0"/>
        <w:autoSpaceDN w:val="0"/>
        <w:adjustRightInd w:val="0"/>
        <w:ind w:left="851"/>
        <w:rPr>
          <w:sz w:val="24"/>
          <w:szCs w:val="24"/>
        </w:rPr>
      </w:pPr>
    </w:p>
    <w:p w14:paraId="354DA28A" w14:textId="4B6BBF5C" w:rsidR="00886F11" w:rsidRPr="00FA0C3A" w:rsidRDefault="00886F11" w:rsidP="00886F11">
      <w:pPr>
        <w:ind w:left="851"/>
        <w:rPr>
          <w:sz w:val="24"/>
          <w:szCs w:val="24"/>
        </w:rPr>
      </w:pPr>
      <w:r w:rsidRPr="00FA0C3A">
        <w:rPr>
          <w:sz w:val="24"/>
          <w:szCs w:val="24"/>
        </w:rPr>
        <w:t>MPA og MPAG fjernes ikke ved hæmodialyse ved de klinisk anvendte koncentrationer. Der fjernes dog små mængder MPAG ved høje plasmakoncentrationer af MPAG (&gt;</w:t>
      </w:r>
      <w:r w:rsidR="008D3E9F" w:rsidRPr="00FA0C3A">
        <w:rPr>
          <w:sz w:val="24"/>
          <w:szCs w:val="24"/>
        </w:rPr>
        <w:t> </w:t>
      </w:r>
      <w:r w:rsidRPr="00FA0C3A">
        <w:rPr>
          <w:sz w:val="24"/>
          <w:szCs w:val="24"/>
        </w:rPr>
        <w:t>100</w:t>
      </w:r>
      <w:r w:rsidR="008D3E9F" w:rsidRPr="00FA0C3A">
        <w:rPr>
          <w:sz w:val="24"/>
          <w:szCs w:val="24"/>
        </w:rPr>
        <w:t> </w:t>
      </w:r>
      <w:r w:rsidRPr="00FA0C3A">
        <w:rPr>
          <w:sz w:val="24"/>
          <w:szCs w:val="24"/>
        </w:rPr>
        <w:t xml:space="preserve">µg/ml). Ved at påvirke lægemidlets </w:t>
      </w:r>
      <w:proofErr w:type="spellStart"/>
      <w:r w:rsidRPr="00FA0C3A">
        <w:rPr>
          <w:sz w:val="24"/>
          <w:szCs w:val="24"/>
        </w:rPr>
        <w:t>enterohepatiske</w:t>
      </w:r>
      <w:proofErr w:type="spellEnd"/>
      <w:r w:rsidRPr="00FA0C3A">
        <w:rPr>
          <w:sz w:val="24"/>
          <w:szCs w:val="24"/>
        </w:rPr>
        <w:t xml:space="preserve"> recirkulation reducerer galdesyrebindende midler, som f.eks. </w:t>
      </w:r>
      <w:proofErr w:type="spellStart"/>
      <w:r w:rsidRPr="00FA0C3A">
        <w:rPr>
          <w:sz w:val="24"/>
          <w:szCs w:val="24"/>
        </w:rPr>
        <w:t>colestyramin</w:t>
      </w:r>
      <w:proofErr w:type="spellEnd"/>
      <w:r w:rsidRPr="00FA0C3A">
        <w:rPr>
          <w:sz w:val="24"/>
          <w:szCs w:val="24"/>
        </w:rPr>
        <w:t xml:space="preserve">, </w:t>
      </w:r>
      <w:proofErr w:type="spellStart"/>
      <w:r w:rsidRPr="00FA0C3A">
        <w:rPr>
          <w:sz w:val="24"/>
          <w:szCs w:val="24"/>
        </w:rPr>
        <w:t>MPA’s</w:t>
      </w:r>
      <w:proofErr w:type="spellEnd"/>
      <w:r w:rsidRPr="00FA0C3A">
        <w:rPr>
          <w:sz w:val="24"/>
          <w:szCs w:val="24"/>
        </w:rPr>
        <w:t xml:space="preserve"> AUC (se pkt. 4.9).</w:t>
      </w:r>
    </w:p>
    <w:p w14:paraId="7E6159E0" w14:textId="77777777" w:rsidR="00886F11" w:rsidRPr="00FA0C3A" w:rsidRDefault="00886F11" w:rsidP="00886F11">
      <w:pPr>
        <w:ind w:left="851"/>
        <w:rPr>
          <w:sz w:val="24"/>
          <w:szCs w:val="24"/>
        </w:rPr>
      </w:pPr>
    </w:p>
    <w:p w14:paraId="77C1ED18" w14:textId="77777777" w:rsidR="00886F11" w:rsidRPr="00FA0C3A" w:rsidRDefault="00886F11" w:rsidP="00886F11">
      <w:pPr>
        <w:autoSpaceDE w:val="0"/>
        <w:autoSpaceDN w:val="0"/>
        <w:adjustRightInd w:val="0"/>
        <w:ind w:left="851"/>
        <w:rPr>
          <w:sz w:val="24"/>
          <w:szCs w:val="24"/>
        </w:rPr>
      </w:pPr>
      <w:proofErr w:type="spellStart"/>
      <w:r w:rsidRPr="00FA0C3A">
        <w:rPr>
          <w:sz w:val="24"/>
          <w:szCs w:val="24"/>
        </w:rPr>
        <w:t>MPA’s</w:t>
      </w:r>
      <w:proofErr w:type="spellEnd"/>
      <w:r w:rsidRPr="00FA0C3A">
        <w:rPr>
          <w:sz w:val="24"/>
          <w:szCs w:val="24"/>
        </w:rPr>
        <w:t xml:space="preserve"> fordeling afhænger af flere transportører. Organiske anion</w:t>
      </w:r>
      <w:r w:rsidRPr="00FA0C3A">
        <w:rPr>
          <w:sz w:val="24"/>
          <w:szCs w:val="24"/>
        </w:rPr>
        <w:noBreakHyphen/>
        <w:t>transporterende polypeptider (</w:t>
      </w:r>
      <w:proofErr w:type="spellStart"/>
      <w:r w:rsidRPr="00FA0C3A">
        <w:rPr>
          <w:sz w:val="24"/>
          <w:szCs w:val="24"/>
        </w:rPr>
        <w:t>OATP’er</w:t>
      </w:r>
      <w:proofErr w:type="spellEnd"/>
      <w:r w:rsidRPr="00FA0C3A">
        <w:rPr>
          <w:sz w:val="24"/>
          <w:szCs w:val="24"/>
        </w:rPr>
        <w:t xml:space="preserve">) og "multidrug </w:t>
      </w:r>
      <w:proofErr w:type="spellStart"/>
      <w:r w:rsidRPr="00FA0C3A">
        <w:rPr>
          <w:sz w:val="24"/>
          <w:szCs w:val="24"/>
        </w:rPr>
        <w:t>resistance-associated</w:t>
      </w:r>
      <w:proofErr w:type="spellEnd"/>
      <w:r w:rsidRPr="00FA0C3A">
        <w:rPr>
          <w:sz w:val="24"/>
          <w:szCs w:val="24"/>
        </w:rPr>
        <w:t xml:space="preserve"> protein 2" (MRP2) er involverede i fordelingen af MPA; OATP-</w:t>
      </w:r>
      <w:proofErr w:type="spellStart"/>
      <w:r w:rsidRPr="00FA0C3A">
        <w:rPr>
          <w:sz w:val="24"/>
          <w:szCs w:val="24"/>
        </w:rPr>
        <w:t>isoformer</w:t>
      </w:r>
      <w:proofErr w:type="spellEnd"/>
      <w:r w:rsidRPr="00FA0C3A">
        <w:rPr>
          <w:sz w:val="24"/>
          <w:szCs w:val="24"/>
        </w:rPr>
        <w:t xml:space="preserve">, MRP2 og brystcancer-resistent protein (BCRP) er transportører, som er forbundet med </w:t>
      </w:r>
      <w:proofErr w:type="spellStart"/>
      <w:r w:rsidRPr="00FA0C3A">
        <w:rPr>
          <w:sz w:val="24"/>
          <w:szCs w:val="24"/>
        </w:rPr>
        <w:t>glukoronidernes</w:t>
      </w:r>
      <w:proofErr w:type="spellEnd"/>
      <w:r w:rsidRPr="00FA0C3A">
        <w:rPr>
          <w:sz w:val="24"/>
          <w:szCs w:val="24"/>
        </w:rPr>
        <w:t xml:space="preserve"> udskillelse via galdevejene. "Multidrug </w:t>
      </w:r>
      <w:proofErr w:type="spellStart"/>
      <w:r w:rsidRPr="00FA0C3A">
        <w:rPr>
          <w:sz w:val="24"/>
          <w:szCs w:val="24"/>
        </w:rPr>
        <w:t>resistance</w:t>
      </w:r>
      <w:proofErr w:type="spellEnd"/>
      <w:r w:rsidRPr="00FA0C3A">
        <w:rPr>
          <w:sz w:val="24"/>
          <w:szCs w:val="24"/>
        </w:rPr>
        <w:t xml:space="preserve"> protein 1" (MRP1) er ligeledes i stand til at transportere MPA, men dets bidrag synes at være begrænset til absorptionsprocessen. I nyrerne kan MPA og dets metabolitter i vidt omfang interagere med </w:t>
      </w:r>
      <w:proofErr w:type="spellStart"/>
      <w:r w:rsidRPr="00FA0C3A">
        <w:rPr>
          <w:sz w:val="24"/>
          <w:szCs w:val="24"/>
        </w:rPr>
        <w:t>renale</w:t>
      </w:r>
      <w:proofErr w:type="spellEnd"/>
      <w:r w:rsidRPr="00FA0C3A">
        <w:rPr>
          <w:sz w:val="24"/>
          <w:szCs w:val="24"/>
        </w:rPr>
        <w:t xml:space="preserve"> organiske </w:t>
      </w:r>
      <w:proofErr w:type="spellStart"/>
      <w:r w:rsidRPr="00FA0C3A">
        <w:rPr>
          <w:sz w:val="24"/>
          <w:szCs w:val="24"/>
        </w:rPr>
        <w:t>aniontransportører</w:t>
      </w:r>
      <w:proofErr w:type="spellEnd"/>
      <w:r w:rsidRPr="00FA0C3A">
        <w:rPr>
          <w:sz w:val="24"/>
          <w:szCs w:val="24"/>
        </w:rPr>
        <w:t xml:space="preserve">. </w:t>
      </w:r>
    </w:p>
    <w:p w14:paraId="65B1A256" w14:textId="77777777" w:rsidR="00886F11" w:rsidRPr="00FA0C3A" w:rsidRDefault="00886F11" w:rsidP="00725D71">
      <w:pPr>
        <w:autoSpaceDE w:val="0"/>
        <w:autoSpaceDN w:val="0"/>
        <w:adjustRightInd w:val="0"/>
        <w:ind w:left="851"/>
        <w:rPr>
          <w:sz w:val="24"/>
          <w:szCs w:val="24"/>
          <w:highlight w:val="yellow"/>
        </w:rPr>
      </w:pPr>
    </w:p>
    <w:p w14:paraId="6AAD9761" w14:textId="25D14AA7" w:rsidR="00886F11" w:rsidRPr="00FA0C3A" w:rsidRDefault="00886F11" w:rsidP="00886F11">
      <w:pPr>
        <w:autoSpaceDE w:val="0"/>
        <w:autoSpaceDN w:val="0"/>
        <w:adjustRightInd w:val="0"/>
        <w:ind w:left="851"/>
        <w:rPr>
          <w:sz w:val="24"/>
          <w:szCs w:val="24"/>
        </w:rPr>
      </w:pPr>
      <w:proofErr w:type="spellStart"/>
      <w:r w:rsidRPr="00FA0C3A">
        <w:rPr>
          <w:sz w:val="24"/>
          <w:szCs w:val="24"/>
        </w:rPr>
        <w:t>Enterohepatiske</w:t>
      </w:r>
      <w:proofErr w:type="spellEnd"/>
      <w:r w:rsidRPr="00FA0C3A">
        <w:rPr>
          <w:sz w:val="24"/>
          <w:szCs w:val="24"/>
        </w:rPr>
        <w:t xml:space="preserve"> recirkulation </w:t>
      </w:r>
      <w:proofErr w:type="spellStart"/>
      <w:r w:rsidRPr="00FA0C3A">
        <w:rPr>
          <w:sz w:val="24"/>
          <w:szCs w:val="24"/>
        </w:rPr>
        <w:t>intefererer</w:t>
      </w:r>
      <w:proofErr w:type="spellEnd"/>
      <w:r w:rsidRPr="00FA0C3A">
        <w:rPr>
          <w:sz w:val="24"/>
          <w:szCs w:val="24"/>
        </w:rPr>
        <w:t xml:space="preserve"> med nøjagtig bestemmelse af </w:t>
      </w:r>
      <w:proofErr w:type="spellStart"/>
      <w:r w:rsidRPr="00FA0C3A">
        <w:rPr>
          <w:sz w:val="24"/>
          <w:szCs w:val="24"/>
        </w:rPr>
        <w:t>MPA's</w:t>
      </w:r>
      <w:proofErr w:type="spellEnd"/>
      <w:r w:rsidRPr="00FA0C3A">
        <w:rPr>
          <w:sz w:val="24"/>
          <w:szCs w:val="24"/>
        </w:rPr>
        <w:t xml:space="preserve"> dispositionsparametre, der kan kun angives tilsyneladende værdier. Hos raske frivillige og patienter med autoimmune sygdomme blev der set omtrentlige </w:t>
      </w:r>
      <w:proofErr w:type="spellStart"/>
      <w:r w:rsidRPr="00FA0C3A">
        <w:rPr>
          <w:sz w:val="24"/>
          <w:szCs w:val="24"/>
        </w:rPr>
        <w:t>clearance</w:t>
      </w:r>
      <w:proofErr w:type="spellEnd"/>
      <w:r w:rsidRPr="00FA0C3A">
        <w:rPr>
          <w:sz w:val="24"/>
          <w:szCs w:val="24"/>
        </w:rPr>
        <w:t xml:space="preserve"> værdier på henholdsvis 10,6 l/time og 8,27 l/time og værdier for halveringstid på 17 timer. Hos transplantationspatienter var den gennemsnitlige </w:t>
      </w:r>
      <w:proofErr w:type="spellStart"/>
      <w:r w:rsidRPr="00FA0C3A">
        <w:rPr>
          <w:sz w:val="24"/>
          <w:szCs w:val="24"/>
        </w:rPr>
        <w:t>clearance</w:t>
      </w:r>
      <w:proofErr w:type="spellEnd"/>
      <w:r w:rsidRPr="00FA0C3A">
        <w:rPr>
          <w:sz w:val="24"/>
          <w:szCs w:val="24"/>
        </w:rPr>
        <w:t xml:space="preserve"> højere (interval fra 11,9-34,9</w:t>
      </w:r>
      <w:r w:rsidR="008D3E9F" w:rsidRPr="00FA0C3A">
        <w:rPr>
          <w:sz w:val="24"/>
          <w:szCs w:val="24"/>
        </w:rPr>
        <w:t> </w:t>
      </w:r>
      <w:r w:rsidRPr="00FA0C3A">
        <w:rPr>
          <w:sz w:val="24"/>
          <w:szCs w:val="24"/>
        </w:rPr>
        <w:t xml:space="preserve">l/time) og de gennemsnitlige værdier for halveringstid var kortere (5-11 timer) med en lille forskel mellem nyre-, lever- eller hjertetransplantationspatienter. Hos de enkelte patienter varierede disse eliminationsparametre baseret på typen af </w:t>
      </w:r>
      <w:proofErr w:type="spellStart"/>
      <w:r w:rsidRPr="00FA0C3A">
        <w:rPr>
          <w:sz w:val="24"/>
          <w:szCs w:val="24"/>
        </w:rPr>
        <w:t>immunsuppressiva</w:t>
      </w:r>
      <w:proofErr w:type="spellEnd"/>
      <w:r w:rsidRPr="00FA0C3A">
        <w:rPr>
          <w:sz w:val="24"/>
          <w:szCs w:val="24"/>
        </w:rPr>
        <w:t xml:space="preserve">, der blev givet samtidig, tid efter transplantation, plasmakoncentration af albumin og nyrefunktion. Disse faktorer forklarer, hvorfor nedsat eksponering ses, når </w:t>
      </w:r>
      <w:proofErr w:type="spellStart"/>
      <w:r w:rsidRPr="00FA0C3A">
        <w:rPr>
          <w:sz w:val="24"/>
          <w:szCs w:val="24"/>
        </w:rPr>
        <w:t>mycophenolatmofetil</w:t>
      </w:r>
      <w:proofErr w:type="spellEnd"/>
      <w:r w:rsidRPr="00FA0C3A">
        <w:rPr>
          <w:sz w:val="24"/>
          <w:szCs w:val="24"/>
        </w:rPr>
        <w:t xml:space="preserve"> administreres sammen med </w:t>
      </w:r>
      <w:proofErr w:type="spellStart"/>
      <w:r w:rsidRPr="00FA0C3A">
        <w:rPr>
          <w:sz w:val="24"/>
          <w:szCs w:val="24"/>
        </w:rPr>
        <w:t>ciclosporin</w:t>
      </w:r>
      <w:proofErr w:type="spellEnd"/>
      <w:r w:rsidRPr="00FA0C3A">
        <w:rPr>
          <w:sz w:val="24"/>
          <w:szCs w:val="24"/>
        </w:rPr>
        <w:t xml:space="preserve"> (se pkt. 4.5), og hvorfor plasmakoncentrationer har tendens til at stige over tid sammenlignet med, hvad der observeres umiddelbart efter transplantation.</w:t>
      </w:r>
    </w:p>
    <w:p w14:paraId="209551C9" w14:textId="77777777" w:rsidR="00886F11" w:rsidRPr="00FA0C3A" w:rsidRDefault="00886F11" w:rsidP="00886F11">
      <w:pPr>
        <w:autoSpaceDE w:val="0"/>
        <w:autoSpaceDN w:val="0"/>
        <w:adjustRightInd w:val="0"/>
        <w:ind w:left="851" w:hanging="851"/>
        <w:rPr>
          <w:sz w:val="24"/>
          <w:szCs w:val="24"/>
        </w:rPr>
      </w:pPr>
    </w:p>
    <w:p w14:paraId="1B6F54ED" w14:textId="77777777" w:rsidR="00886F11" w:rsidRPr="00FA0C3A" w:rsidRDefault="00886F11" w:rsidP="00725D71">
      <w:pPr>
        <w:ind w:left="851"/>
        <w:rPr>
          <w:sz w:val="24"/>
          <w:szCs w:val="24"/>
          <w:u w:val="single"/>
        </w:rPr>
      </w:pPr>
      <w:r w:rsidRPr="00FA0C3A">
        <w:rPr>
          <w:sz w:val="24"/>
          <w:szCs w:val="24"/>
          <w:u w:val="single"/>
        </w:rPr>
        <w:t>Særlige populationer</w:t>
      </w:r>
    </w:p>
    <w:p w14:paraId="1919D7D3" w14:textId="77777777" w:rsidR="00886F11" w:rsidRPr="00FA0C3A" w:rsidRDefault="00886F11" w:rsidP="00725D71">
      <w:pPr>
        <w:ind w:left="851"/>
        <w:rPr>
          <w:sz w:val="24"/>
          <w:szCs w:val="24"/>
        </w:rPr>
      </w:pPr>
    </w:p>
    <w:p w14:paraId="0F797752" w14:textId="77777777" w:rsidR="00886F11" w:rsidRPr="00FA0C3A" w:rsidRDefault="00886F11" w:rsidP="00725D71">
      <w:pPr>
        <w:ind w:left="851"/>
        <w:rPr>
          <w:i/>
          <w:sz w:val="24"/>
          <w:szCs w:val="24"/>
        </w:rPr>
      </w:pPr>
      <w:r w:rsidRPr="00FA0C3A">
        <w:rPr>
          <w:i/>
          <w:sz w:val="24"/>
          <w:szCs w:val="24"/>
        </w:rPr>
        <w:t>Nedsat nyrefunktion</w:t>
      </w:r>
    </w:p>
    <w:p w14:paraId="41E34B12" w14:textId="77777777" w:rsidR="00886F11" w:rsidRPr="00FA0C3A" w:rsidRDefault="00886F11" w:rsidP="00886F11">
      <w:pPr>
        <w:autoSpaceDE w:val="0"/>
        <w:autoSpaceDN w:val="0"/>
        <w:adjustRightInd w:val="0"/>
        <w:ind w:left="851"/>
        <w:rPr>
          <w:sz w:val="24"/>
          <w:szCs w:val="24"/>
        </w:rPr>
      </w:pPr>
      <w:r w:rsidRPr="00FA0C3A">
        <w:rPr>
          <w:sz w:val="24"/>
          <w:szCs w:val="24"/>
        </w:rPr>
        <w:t>I et studie med enkeltdoser (6 forsøgspersoner/gruppe) var det observerede gennemsnitlige AUC over MPA i plasma hos forsøgspersoner med svær kronisk nyreinsufficiens (</w:t>
      </w:r>
      <w:proofErr w:type="spellStart"/>
      <w:r w:rsidRPr="00FA0C3A">
        <w:rPr>
          <w:sz w:val="24"/>
          <w:szCs w:val="24"/>
        </w:rPr>
        <w:t>glomerulær</w:t>
      </w:r>
      <w:proofErr w:type="spellEnd"/>
      <w:r w:rsidRPr="00FA0C3A">
        <w:rPr>
          <w:sz w:val="24"/>
          <w:szCs w:val="24"/>
        </w:rPr>
        <w:t xml:space="preserve"> filtrationshastighed på &lt; 25 ml/min./1,73 m</w:t>
      </w:r>
      <w:r w:rsidRPr="00FA0C3A">
        <w:rPr>
          <w:sz w:val="24"/>
          <w:szCs w:val="24"/>
          <w:vertAlign w:val="superscript"/>
        </w:rPr>
        <w:t>2</w:t>
      </w:r>
      <w:r w:rsidRPr="00FA0C3A">
        <w:rPr>
          <w:sz w:val="24"/>
          <w:szCs w:val="24"/>
        </w:rPr>
        <w:t xml:space="preserve">) 28-75 % større end det observerede gennemsnit hos normale raske forsøgspersoner eller forsøgspersoner med mindre udtalt nyreinsufficiens. Det gennemsnitlige </w:t>
      </w:r>
      <w:proofErr w:type="spellStart"/>
      <w:r w:rsidRPr="00FA0C3A">
        <w:rPr>
          <w:sz w:val="24"/>
          <w:szCs w:val="24"/>
        </w:rPr>
        <w:t>MPAG’s</w:t>
      </w:r>
      <w:proofErr w:type="spellEnd"/>
      <w:r w:rsidRPr="00FA0C3A">
        <w:rPr>
          <w:sz w:val="24"/>
          <w:szCs w:val="24"/>
        </w:rPr>
        <w:t xml:space="preserve"> AUC ved enkeltdoser var 3-6 gange større hos forsøgspersoner med svær nyreinsufficiens end hos forsøgspersoner med mild nyreinsufficiens eller normale raske forsøgspersoner, hvilket stemmer overens med den kendte </w:t>
      </w:r>
      <w:proofErr w:type="spellStart"/>
      <w:r w:rsidRPr="00FA0C3A">
        <w:rPr>
          <w:sz w:val="24"/>
          <w:szCs w:val="24"/>
        </w:rPr>
        <w:t>renale</w:t>
      </w:r>
      <w:proofErr w:type="spellEnd"/>
      <w:r w:rsidRPr="00FA0C3A">
        <w:rPr>
          <w:sz w:val="24"/>
          <w:szCs w:val="24"/>
        </w:rPr>
        <w:t xml:space="preserve"> elimination af MPAG. Gentagen dosering med </w:t>
      </w:r>
      <w:proofErr w:type="spellStart"/>
      <w:r w:rsidRPr="00FA0C3A">
        <w:rPr>
          <w:sz w:val="24"/>
          <w:szCs w:val="24"/>
        </w:rPr>
        <w:t>mycophenolatmofetil</w:t>
      </w:r>
      <w:proofErr w:type="spellEnd"/>
      <w:r w:rsidRPr="00FA0C3A">
        <w:rPr>
          <w:sz w:val="24"/>
          <w:szCs w:val="24"/>
        </w:rPr>
        <w:t xml:space="preserve"> hos patienter med svær kronisk nyreinsufficiens er ikke blevet undersøgt. Der foreligger ingen data om hjerte- eller levertransplanterede patienter med svær kronisk nyreinsufficiens.</w:t>
      </w:r>
    </w:p>
    <w:p w14:paraId="47C3D9EA" w14:textId="77777777" w:rsidR="00886F11" w:rsidRPr="00FA0C3A" w:rsidRDefault="00886F11" w:rsidP="00886F11">
      <w:pPr>
        <w:autoSpaceDE w:val="0"/>
        <w:autoSpaceDN w:val="0"/>
        <w:adjustRightInd w:val="0"/>
        <w:ind w:left="851" w:hanging="851"/>
        <w:rPr>
          <w:sz w:val="24"/>
          <w:szCs w:val="24"/>
          <w:highlight w:val="yellow"/>
        </w:rPr>
      </w:pPr>
    </w:p>
    <w:p w14:paraId="3F8BC0D2" w14:textId="77777777" w:rsidR="00886F11" w:rsidRPr="00FA0C3A" w:rsidRDefault="00886F11" w:rsidP="00886F11">
      <w:pPr>
        <w:autoSpaceDE w:val="0"/>
        <w:autoSpaceDN w:val="0"/>
        <w:adjustRightInd w:val="0"/>
        <w:ind w:left="851"/>
        <w:rPr>
          <w:i/>
          <w:sz w:val="24"/>
          <w:szCs w:val="24"/>
        </w:rPr>
      </w:pPr>
      <w:r w:rsidRPr="00FA0C3A">
        <w:rPr>
          <w:i/>
          <w:sz w:val="24"/>
          <w:szCs w:val="24"/>
        </w:rPr>
        <w:t>Forsinket graftfunktion efter nyretransplantation</w:t>
      </w:r>
    </w:p>
    <w:p w14:paraId="6F7117D2" w14:textId="77777777" w:rsidR="00886F11" w:rsidRPr="00FA0C3A" w:rsidRDefault="00886F11" w:rsidP="00886F11">
      <w:pPr>
        <w:autoSpaceDE w:val="0"/>
        <w:autoSpaceDN w:val="0"/>
        <w:adjustRightInd w:val="0"/>
        <w:ind w:left="851"/>
        <w:rPr>
          <w:sz w:val="24"/>
          <w:szCs w:val="24"/>
        </w:rPr>
      </w:pPr>
      <w:r w:rsidRPr="00FA0C3A">
        <w:rPr>
          <w:sz w:val="24"/>
          <w:szCs w:val="24"/>
        </w:rPr>
        <w:t xml:space="preserve">Hos patienter med forsinket graftfunktion efter nyretransplantation var det gennemsnitlige </w:t>
      </w:r>
      <w:proofErr w:type="spellStart"/>
      <w:r w:rsidRPr="00FA0C3A">
        <w:rPr>
          <w:sz w:val="24"/>
          <w:szCs w:val="24"/>
        </w:rPr>
        <w:t>MPA’s</w:t>
      </w:r>
      <w:proofErr w:type="spellEnd"/>
      <w:r w:rsidRPr="00FA0C3A">
        <w:rPr>
          <w:sz w:val="24"/>
          <w:szCs w:val="24"/>
        </w:rPr>
        <w:t xml:space="preserve"> AUC </w:t>
      </w:r>
      <w:r w:rsidRPr="00FA0C3A">
        <w:rPr>
          <w:sz w:val="24"/>
          <w:szCs w:val="24"/>
          <w:vertAlign w:val="subscript"/>
        </w:rPr>
        <w:t>(0-12 t.)</w:t>
      </w:r>
      <w:r w:rsidRPr="00FA0C3A">
        <w:rPr>
          <w:sz w:val="24"/>
          <w:szCs w:val="24"/>
        </w:rPr>
        <w:t xml:space="preserve"> af samme størrelsesorden som det, der blev set hos patienter uden forsinket graftfunktion efter nyretransplantation. Det gennemsnitlige </w:t>
      </w:r>
      <w:proofErr w:type="spellStart"/>
      <w:r w:rsidRPr="00FA0C3A">
        <w:rPr>
          <w:sz w:val="24"/>
          <w:szCs w:val="24"/>
        </w:rPr>
        <w:t>MPAG’s</w:t>
      </w:r>
      <w:proofErr w:type="spellEnd"/>
      <w:r w:rsidRPr="00FA0C3A">
        <w:rPr>
          <w:sz w:val="24"/>
          <w:szCs w:val="24"/>
        </w:rPr>
        <w:t xml:space="preserve"> </w:t>
      </w:r>
      <w:proofErr w:type="gramStart"/>
      <w:r w:rsidRPr="00FA0C3A">
        <w:rPr>
          <w:sz w:val="24"/>
          <w:szCs w:val="24"/>
        </w:rPr>
        <w:t>AUC</w:t>
      </w:r>
      <w:r w:rsidRPr="00FA0C3A">
        <w:rPr>
          <w:sz w:val="24"/>
          <w:szCs w:val="24"/>
          <w:vertAlign w:val="subscript"/>
        </w:rPr>
        <w:t>(</w:t>
      </w:r>
      <w:proofErr w:type="gramEnd"/>
      <w:r w:rsidRPr="00FA0C3A">
        <w:rPr>
          <w:sz w:val="24"/>
          <w:szCs w:val="24"/>
          <w:vertAlign w:val="subscript"/>
        </w:rPr>
        <w:t>0-12 t.)</w:t>
      </w:r>
      <w:r w:rsidRPr="00FA0C3A">
        <w:rPr>
          <w:sz w:val="24"/>
          <w:szCs w:val="24"/>
        </w:rPr>
        <w:t xml:space="preserve"> i plasma var 2-3 gange større end hos patienter uden forsinket graftfunktion efter nyretransplantation. Der kan ske en forbigående stigning i den frie fraktion og plasmakoncentrationen af MPA hos patienter med forsinket graftfunktion efter nyretransplantation. Det synes ikke at være nødvendigt at justere dosen af </w:t>
      </w:r>
      <w:proofErr w:type="spellStart"/>
      <w:r w:rsidRPr="00FA0C3A">
        <w:rPr>
          <w:sz w:val="24"/>
          <w:szCs w:val="24"/>
        </w:rPr>
        <w:t>mycophenolatmofetil</w:t>
      </w:r>
      <w:proofErr w:type="spellEnd"/>
      <w:r w:rsidRPr="00FA0C3A">
        <w:rPr>
          <w:sz w:val="24"/>
          <w:szCs w:val="24"/>
        </w:rPr>
        <w:t>.</w:t>
      </w:r>
    </w:p>
    <w:p w14:paraId="60ABC3D4" w14:textId="77777777" w:rsidR="00886F11" w:rsidRPr="00FA0C3A" w:rsidRDefault="00886F11" w:rsidP="00886F11">
      <w:pPr>
        <w:autoSpaceDE w:val="0"/>
        <w:autoSpaceDN w:val="0"/>
        <w:adjustRightInd w:val="0"/>
        <w:ind w:left="851" w:hanging="851"/>
        <w:rPr>
          <w:sz w:val="24"/>
          <w:szCs w:val="24"/>
        </w:rPr>
      </w:pPr>
    </w:p>
    <w:p w14:paraId="388495A0" w14:textId="77777777" w:rsidR="00886F11" w:rsidRPr="00FA0C3A" w:rsidRDefault="00886F11" w:rsidP="00886F11">
      <w:pPr>
        <w:autoSpaceDE w:val="0"/>
        <w:autoSpaceDN w:val="0"/>
        <w:adjustRightInd w:val="0"/>
        <w:ind w:left="851"/>
        <w:rPr>
          <w:i/>
          <w:sz w:val="24"/>
          <w:szCs w:val="24"/>
        </w:rPr>
      </w:pPr>
      <w:r w:rsidRPr="00FA0C3A">
        <w:rPr>
          <w:i/>
          <w:sz w:val="24"/>
          <w:szCs w:val="24"/>
        </w:rPr>
        <w:t>Nedsat leverfunktion</w:t>
      </w:r>
    </w:p>
    <w:p w14:paraId="516CED65" w14:textId="77777777" w:rsidR="00886F11" w:rsidRPr="00FA0C3A" w:rsidRDefault="00886F11" w:rsidP="00886F11">
      <w:pPr>
        <w:autoSpaceDE w:val="0"/>
        <w:autoSpaceDN w:val="0"/>
        <w:adjustRightInd w:val="0"/>
        <w:ind w:left="851"/>
        <w:rPr>
          <w:sz w:val="24"/>
          <w:szCs w:val="24"/>
        </w:rPr>
      </w:pPr>
      <w:r w:rsidRPr="00FA0C3A">
        <w:rPr>
          <w:sz w:val="24"/>
          <w:szCs w:val="24"/>
        </w:rPr>
        <w:t xml:space="preserve">Hos frivillige med alkoholforårsaget cirrose var </w:t>
      </w:r>
      <w:proofErr w:type="spellStart"/>
      <w:r w:rsidRPr="00FA0C3A">
        <w:rPr>
          <w:sz w:val="24"/>
          <w:szCs w:val="24"/>
        </w:rPr>
        <w:t>glucuronideringen</w:t>
      </w:r>
      <w:proofErr w:type="spellEnd"/>
      <w:r w:rsidRPr="00FA0C3A">
        <w:rPr>
          <w:sz w:val="24"/>
          <w:szCs w:val="24"/>
        </w:rPr>
        <w:t xml:space="preserve"> af MPA i leveren relativt upåvirket af </w:t>
      </w:r>
      <w:proofErr w:type="spellStart"/>
      <w:r w:rsidRPr="00FA0C3A">
        <w:rPr>
          <w:sz w:val="24"/>
          <w:szCs w:val="24"/>
        </w:rPr>
        <w:t>parenkymatøs</w:t>
      </w:r>
      <w:proofErr w:type="spellEnd"/>
      <w:r w:rsidRPr="00FA0C3A">
        <w:rPr>
          <w:sz w:val="24"/>
          <w:szCs w:val="24"/>
        </w:rPr>
        <w:t xml:space="preserve"> leversygdom. Effekten af leversygdom på denne proces afhænger sandsynligvis af den givne sygdom. Leversygdom med overvejende biliær skade, f.eks. primær biliær cirrose, kan imidlertid bevirke en anden effekt.</w:t>
      </w:r>
    </w:p>
    <w:p w14:paraId="5ADC2677" w14:textId="77777777" w:rsidR="00886F11" w:rsidRPr="00FA0C3A" w:rsidRDefault="00886F11" w:rsidP="00886F11">
      <w:pPr>
        <w:autoSpaceDE w:val="0"/>
        <w:autoSpaceDN w:val="0"/>
        <w:adjustRightInd w:val="0"/>
        <w:ind w:left="851" w:hanging="851"/>
        <w:rPr>
          <w:sz w:val="24"/>
          <w:szCs w:val="24"/>
          <w:highlight w:val="yellow"/>
        </w:rPr>
      </w:pPr>
    </w:p>
    <w:p w14:paraId="4ABC76DA" w14:textId="77777777" w:rsidR="00886F11" w:rsidRPr="00FA0C3A" w:rsidRDefault="00886F11" w:rsidP="00886F11">
      <w:pPr>
        <w:autoSpaceDE w:val="0"/>
        <w:autoSpaceDN w:val="0"/>
        <w:adjustRightInd w:val="0"/>
        <w:ind w:left="851"/>
        <w:rPr>
          <w:i/>
          <w:sz w:val="24"/>
          <w:szCs w:val="24"/>
        </w:rPr>
      </w:pPr>
      <w:r w:rsidRPr="00FA0C3A">
        <w:rPr>
          <w:i/>
          <w:sz w:val="24"/>
          <w:szCs w:val="24"/>
        </w:rPr>
        <w:t xml:space="preserve">Pædiatrisk population </w:t>
      </w:r>
    </w:p>
    <w:p w14:paraId="3B2857F2" w14:textId="6929AD60" w:rsidR="00886F11" w:rsidRPr="00FA0C3A" w:rsidRDefault="00886F11" w:rsidP="00886F11">
      <w:pPr>
        <w:autoSpaceDE w:val="0"/>
        <w:autoSpaceDN w:val="0"/>
        <w:adjustRightInd w:val="0"/>
        <w:ind w:left="851"/>
        <w:rPr>
          <w:sz w:val="24"/>
          <w:szCs w:val="24"/>
        </w:rPr>
      </w:pPr>
      <w:r w:rsidRPr="00FA0C3A">
        <w:rPr>
          <w:sz w:val="24"/>
          <w:szCs w:val="24"/>
        </w:rPr>
        <w:t xml:space="preserve">De </w:t>
      </w:r>
      <w:proofErr w:type="spellStart"/>
      <w:r w:rsidRPr="00FA0C3A">
        <w:rPr>
          <w:sz w:val="24"/>
          <w:szCs w:val="24"/>
        </w:rPr>
        <w:t>farmakokinetiske</w:t>
      </w:r>
      <w:proofErr w:type="spellEnd"/>
      <w:r w:rsidRPr="00FA0C3A">
        <w:rPr>
          <w:sz w:val="24"/>
          <w:szCs w:val="24"/>
        </w:rPr>
        <w:t xml:space="preserve"> parametre blev evalueret hos 49 nyretransplanterede børn og unge (i alderen 2-18 år), som fik en oral dosis </w:t>
      </w:r>
      <w:proofErr w:type="spellStart"/>
      <w:r w:rsidRPr="00FA0C3A">
        <w:rPr>
          <w:sz w:val="24"/>
          <w:szCs w:val="24"/>
        </w:rPr>
        <w:t>mycophenolatmofetil</w:t>
      </w:r>
      <w:proofErr w:type="spellEnd"/>
      <w:r w:rsidRPr="00FA0C3A">
        <w:rPr>
          <w:sz w:val="24"/>
          <w:szCs w:val="24"/>
        </w:rPr>
        <w:t xml:space="preserve"> på 600 mg/m</w:t>
      </w:r>
      <w:r w:rsidRPr="00FA0C3A">
        <w:rPr>
          <w:sz w:val="24"/>
          <w:szCs w:val="24"/>
          <w:vertAlign w:val="superscript"/>
        </w:rPr>
        <w:t>2</w:t>
      </w:r>
      <w:r w:rsidRPr="00FA0C3A">
        <w:rPr>
          <w:sz w:val="24"/>
          <w:szCs w:val="24"/>
        </w:rPr>
        <w:t xml:space="preserve"> to gange daglig. Med denne dosis blev der opnået AUC-værdier af MPA af samme størrelsesorden som de værdier, der blev set hos voksne nyretransplanterede patienter, som fik </w:t>
      </w:r>
      <w:proofErr w:type="spellStart"/>
      <w:r w:rsidRPr="00FA0C3A">
        <w:rPr>
          <w:sz w:val="24"/>
          <w:szCs w:val="24"/>
        </w:rPr>
        <w:t>mycophenolat</w:t>
      </w:r>
      <w:r w:rsidR="008D3E9F" w:rsidRPr="00FA0C3A">
        <w:rPr>
          <w:sz w:val="24"/>
          <w:szCs w:val="24"/>
        </w:rPr>
        <w:softHyphen/>
      </w:r>
      <w:r w:rsidRPr="00FA0C3A">
        <w:rPr>
          <w:sz w:val="24"/>
          <w:szCs w:val="24"/>
        </w:rPr>
        <w:t>mofetil</w:t>
      </w:r>
      <w:proofErr w:type="spellEnd"/>
      <w:r w:rsidRPr="00FA0C3A">
        <w:rPr>
          <w:sz w:val="24"/>
          <w:szCs w:val="24"/>
        </w:rPr>
        <w:t xml:space="preserve"> i en dosis på 1 g to gange daglig kort efter og længere tid efter transplantationen. AUC-værdierne af MPA på tværs af aldersgrupperne var af samme størrelsesorden kort efter og længere tid efter transplantationen.</w:t>
      </w:r>
    </w:p>
    <w:p w14:paraId="15C2B516" w14:textId="77777777" w:rsidR="00886F11" w:rsidRPr="00FA0C3A" w:rsidRDefault="00886F11" w:rsidP="00886F11">
      <w:pPr>
        <w:autoSpaceDE w:val="0"/>
        <w:autoSpaceDN w:val="0"/>
        <w:adjustRightInd w:val="0"/>
        <w:ind w:left="851" w:hanging="851"/>
        <w:rPr>
          <w:sz w:val="24"/>
          <w:szCs w:val="24"/>
        </w:rPr>
      </w:pPr>
    </w:p>
    <w:p w14:paraId="69A9BC1F" w14:textId="77777777" w:rsidR="00886F11" w:rsidRPr="00FA0C3A" w:rsidRDefault="00886F11" w:rsidP="00886F11">
      <w:pPr>
        <w:autoSpaceDE w:val="0"/>
        <w:autoSpaceDN w:val="0"/>
        <w:adjustRightInd w:val="0"/>
        <w:ind w:left="851"/>
        <w:rPr>
          <w:i/>
          <w:sz w:val="24"/>
          <w:szCs w:val="24"/>
        </w:rPr>
      </w:pPr>
      <w:r w:rsidRPr="00FA0C3A">
        <w:rPr>
          <w:i/>
          <w:sz w:val="24"/>
          <w:szCs w:val="24"/>
        </w:rPr>
        <w:t xml:space="preserve">Ældre </w:t>
      </w:r>
    </w:p>
    <w:p w14:paraId="2FA2D4C5" w14:textId="77777777" w:rsidR="00886F11" w:rsidRPr="00FA0C3A" w:rsidRDefault="00886F11" w:rsidP="00886F11">
      <w:pPr>
        <w:autoSpaceDE w:val="0"/>
        <w:autoSpaceDN w:val="0"/>
        <w:adjustRightInd w:val="0"/>
        <w:ind w:left="851"/>
        <w:rPr>
          <w:sz w:val="24"/>
          <w:szCs w:val="24"/>
        </w:rPr>
      </w:pPr>
      <w:r w:rsidRPr="00FA0C3A">
        <w:rPr>
          <w:sz w:val="24"/>
          <w:szCs w:val="24"/>
        </w:rPr>
        <w:t xml:space="preserve">Farmakokinetikken af </w:t>
      </w:r>
      <w:proofErr w:type="spellStart"/>
      <w:r w:rsidRPr="00FA0C3A">
        <w:rPr>
          <w:sz w:val="24"/>
          <w:szCs w:val="24"/>
        </w:rPr>
        <w:t>mycophenolatmofetil</w:t>
      </w:r>
      <w:proofErr w:type="spellEnd"/>
      <w:r w:rsidRPr="00FA0C3A">
        <w:rPr>
          <w:sz w:val="24"/>
          <w:szCs w:val="24"/>
        </w:rPr>
        <w:t xml:space="preserve"> og dets metabolitter er ikke observeret at være anderledes hos ældre patienter (≥ 65 år) sammenlignet med yngre transplanterede patienter.</w:t>
      </w:r>
    </w:p>
    <w:p w14:paraId="14C94570" w14:textId="77777777" w:rsidR="00886F11" w:rsidRPr="00FA0C3A" w:rsidRDefault="00886F11" w:rsidP="00886F11">
      <w:pPr>
        <w:autoSpaceDE w:val="0"/>
        <w:autoSpaceDN w:val="0"/>
        <w:adjustRightInd w:val="0"/>
        <w:ind w:left="851"/>
        <w:rPr>
          <w:sz w:val="24"/>
          <w:szCs w:val="24"/>
          <w:u w:val="single"/>
        </w:rPr>
      </w:pPr>
    </w:p>
    <w:p w14:paraId="08799230" w14:textId="77777777" w:rsidR="00886F11" w:rsidRPr="00FA0C3A" w:rsidRDefault="00886F11" w:rsidP="00886F11">
      <w:pPr>
        <w:autoSpaceDE w:val="0"/>
        <w:autoSpaceDN w:val="0"/>
        <w:adjustRightInd w:val="0"/>
        <w:ind w:left="851"/>
        <w:rPr>
          <w:i/>
          <w:sz w:val="24"/>
          <w:szCs w:val="24"/>
        </w:rPr>
      </w:pPr>
      <w:r w:rsidRPr="00FA0C3A">
        <w:rPr>
          <w:i/>
          <w:sz w:val="24"/>
          <w:szCs w:val="24"/>
        </w:rPr>
        <w:t xml:space="preserve">Patienter, der tager orale </w:t>
      </w:r>
      <w:proofErr w:type="spellStart"/>
      <w:r w:rsidRPr="00FA0C3A">
        <w:rPr>
          <w:i/>
          <w:sz w:val="24"/>
          <w:szCs w:val="24"/>
        </w:rPr>
        <w:t>kontraceptiva</w:t>
      </w:r>
      <w:proofErr w:type="spellEnd"/>
    </w:p>
    <w:p w14:paraId="3AE9ED44" w14:textId="77777777" w:rsidR="00886F11" w:rsidRPr="00FA0C3A" w:rsidRDefault="00886F11" w:rsidP="00886F11">
      <w:pPr>
        <w:autoSpaceDE w:val="0"/>
        <w:autoSpaceDN w:val="0"/>
        <w:adjustRightInd w:val="0"/>
        <w:ind w:left="851"/>
        <w:rPr>
          <w:sz w:val="24"/>
          <w:szCs w:val="24"/>
        </w:rPr>
      </w:pPr>
      <w:r w:rsidRPr="00FA0C3A">
        <w:rPr>
          <w:sz w:val="24"/>
          <w:szCs w:val="24"/>
        </w:rPr>
        <w:t xml:space="preserve">Et studie med samtidig administration af </w:t>
      </w:r>
      <w:proofErr w:type="spellStart"/>
      <w:r w:rsidRPr="00FA0C3A">
        <w:rPr>
          <w:sz w:val="24"/>
          <w:szCs w:val="24"/>
        </w:rPr>
        <w:t>mycophenolatmofetil</w:t>
      </w:r>
      <w:proofErr w:type="spellEnd"/>
      <w:r w:rsidRPr="00FA0C3A">
        <w:rPr>
          <w:sz w:val="24"/>
          <w:szCs w:val="24"/>
        </w:rPr>
        <w:t xml:space="preserve"> (1 g to gange dagligt) og kombinations-p-piller med </w:t>
      </w:r>
      <w:proofErr w:type="spellStart"/>
      <w:r w:rsidRPr="00FA0C3A">
        <w:rPr>
          <w:sz w:val="24"/>
          <w:szCs w:val="24"/>
        </w:rPr>
        <w:t>ethinylestradiol</w:t>
      </w:r>
      <w:proofErr w:type="spellEnd"/>
      <w:r w:rsidRPr="00FA0C3A">
        <w:rPr>
          <w:sz w:val="24"/>
          <w:szCs w:val="24"/>
        </w:rPr>
        <w:t xml:space="preserve"> (0,02 mg til 0,04 mg) og </w:t>
      </w:r>
      <w:proofErr w:type="spellStart"/>
      <w:r w:rsidRPr="00FA0C3A">
        <w:rPr>
          <w:sz w:val="24"/>
          <w:szCs w:val="24"/>
        </w:rPr>
        <w:t>levonorgestrel</w:t>
      </w:r>
      <w:proofErr w:type="spellEnd"/>
      <w:r w:rsidRPr="00FA0C3A">
        <w:rPr>
          <w:sz w:val="24"/>
          <w:szCs w:val="24"/>
        </w:rPr>
        <w:t xml:space="preserve"> (0,05 mg til 0,2 mg), </w:t>
      </w:r>
      <w:proofErr w:type="spellStart"/>
      <w:r w:rsidRPr="00FA0C3A">
        <w:rPr>
          <w:sz w:val="24"/>
          <w:szCs w:val="24"/>
        </w:rPr>
        <w:t>desogestrel</w:t>
      </w:r>
      <w:proofErr w:type="spellEnd"/>
      <w:r w:rsidRPr="00FA0C3A">
        <w:rPr>
          <w:sz w:val="24"/>
          <w:szCs w:val="24"/>
        </w:rPr>
        <w:t xml:space="preserve"> (0,15 mg) eller gestoden (0,05 mg til 0,10 mg), der blev udført hos 18 ikke-transplanterede kvinder (som ikke tog andre </w:t>
      </w:r>
      <w:proofErr w:type="spellStart"/>
      <w:r w:rsidRPr="00FA0C3A">
        <w:rPr>
          <w:sz w:val="24"/>
          <w:szCs w:val="24"/>
        </w:rPr>
        <w:t>immunosuppressiva</w:t>
      </w:r>
      <w:proofErr w:type="spellEnd"/>
      <w:r w:rsidRPr="00FA0C3A">
        <w:rPr>
          <w:sz w:val="24"/>
          <w:szCs w:val="24"/>
        </w:rPr>
        <w:t xml:space="preserve">) over 3 menstruationscyklusser i træk, viste, at </w:t>
      </w:r>
      <w:proofErr w:type="spellStart"/>
      <w:r w:rsidRPr="00FA0C3A">
        <w:rPr>
          <w:sz w:val="24"/>
          <w:szCs w:val="24"/>
        </w:rPr>
        <w:t>mycophenolat</w:t>
      </w:r>
      <w:proofErr w:type="spellEnd"/>
      <w:r w:rsidRPr="00FA0C3A">
        <w:rPr>
          <w:sz w:val="24"/>
          <w:szCs w:val="24"/>
        </w:rPr>
        <w:t xml:space="preserve"> ikke havde nogen klinisk relevant indflydelse på p-pillernes ovulationsundertrykkende effekt. Serumniveauet af LH, FSH og progesteron blev ikke påvirket i signifikant grad. Farmakokinetikken af orale </w:t>
      </w:r>
      <w:proofErr w:type="spellStart"/>
      <w:r w:rsidRPr="00FA0C3A">
        <w:rPr>
          <w:sz w:val="24"/>
          <w:szCs w:val="24"/>
        </w:rPr>
        <w:t>kontraceptiva</w:t>
      </w:r>
      <w:proofErr w:type="spellEnd"/>
      <w:r w:rsidRPr="00FA0C3A">
        <w:rPr>
          <w:sz w:val="24"/>
          <w:szCs w:val="24"/>
        </w:rPr>
        <w:t xml:space="preserve"> påvirkedes ikke af samtidig administration af </w:t>
      </w:r>
      <w:proofErr w:type="spellStart"/>
      <w:r w:rsidRPr="00FA0C3A">
        <w:rPr>
          <w:sz w:val="24"/>
          <w:szCs w:val="24"/>
        </w:rPr>
        <w:t>mycophanolatmofetil</w:t>
      </w:r>
      <w:proofErr w:type="spellEnd"/>
      <w:r w:rsidRPr="00FA0C3A">
        <w:rPr>
          <w:sz w:val="24"/>
          <w:szCs w:val="24"/>
        </w:rPr>
        <w:t xml:space="preserve"> (se også pkt. 4.5).</w:t>
      </w:r>
    </w:p>
    <w:p w14:paraId="3185655F" w14:textId="77777777" w:rsidR="009260DE" w:rsidRPr="00FA0C3A" w:rsidRDefault="009260DE" w:rsidP="009260DE">
      <w:pPr>
        <w:tabs>
          <w:tab w:val="left" w:pos="851"/>
        </w:tabs>
        <w:ind w:left="851"/>
        <w:rPr>
          <w:sz w:val="24"/>
          <w:szCs w:val="24"/>
        </w:rPr>
      </w:pPr>
    </w:p>
    <w:p w14:paraId="658EC8D9" w14:textId="77777777" w:rsidR="009260DE" w:rsidRPr="00FA0C3A" w:rsidRDefault="009260DE" w:rsidP="009260DE">
      <w:pPr>
        <w:tabs>
          <w:tab w:val="left" w:pos="851"/>
        </w:tabs>
        <w:ind w:left="851" w:hanging="851"/>
        <w:rPr>
          <w:b/>
          <w:sz w:val="24"/>
          <w:szCs w:val="24"/>
        </w:rPr>
      </w:pPr>
      <w:r w:rsidRPr="00FA0C3A">
        <w:rPr>
          <w:b/>
          <w:sz w:val="24"/>
          <w:szCs w:val="24"/>
        </w:rPr>
        <w:t>5.3</w:t>
      </w:r>
      <w:r w:rsidRPr="00FA0C3A">
        <w:rPr>
          <w:b/>
          <w:sz w:val="24"/>
          <w:szCs w:val="24"/>
        </w:rPr>
        <w:tab/>
      </w:r>
      <w:r w:rsidR="00BD7931" w:rsidRPr="00FA0C3A">
        <w:rPr>
          <w:b/>
          <w:sz w:val="24"/>
          <w:szCs w:val="24"/>
        </w:rPr>
        <w:t>Non-</w:t>
      </w:r>
      <w:r w:rsidRPr="00FA0C3A">
        <w:rPr>
          <w:b/>
          <w:sz w:val="24"/>
          <w:szCs w:val="24"/>
        </w:rPr>
        <w:t>kliniske sikkerhedsdata</w:t>
      </w:r>
    </w:p>
    <w:p w14:paraId="2B698383" w14:textId="77777777" w:rsidR="00886F11" w:rsidRPr="00FA0C3A" w:rsidRDefault="00886F11" w:rsidP="00886F11">
      <w:pPr>
        <w:ind w:left="851"/>
        <w:rPr>
          <w:sz w:val="24"/>
          <w:szCs w:val="24"/>
        </w:rPr>
      </w:pPr>
      <w:proofErr w:type="spellStart"/>
      <w:r w:rsidRPr="00FA0C3A">
        <w:rPr>
          <w:sz w:val="24"/>
          <w:szCs w:val="24"/>
        </w:rPr>
        <w:t>Mycophenolatmofetil</w:t>
      </w:r>
      <w:proofErr w:type="spellEnd"/>
      <w:r w:rsidRPr="00FA0C3A">
        <w:rPr>
          <w:sz w:val="24"/>
          <w:szCs w:val="24"/>
        </w:rPr>
        <w:t xml:space="preserve"> havde ingen </w:t>
      </w:r>
      <w:proofErr w:type="spellStart"/>
      <w:r w:rsidRPr="00FA0C3A">
        <w:rPr>
          <w:sz w:val="24"/>
          <w:szCs w:val="24"/>
        </w:rPr>
        <w:t>tumorigen</w:t>
      </w:r>
      <w:proofErr w:type="spellEnd"/>
      <w:r w:rsidRPr="00FA0C3A">
        <w:rPr>
          <w:sz w:val="24"/>
          <w:szCs w:val="24"/>
        </w:rPr>
        <w:t xml:space="preserve"> effekt i eksperimentelle modeller. Den højeste dosis, som er undersøgt i dyreforsøg vedrørende </w:t>
      </w:r>
      <w:proofErr w:type="spellStart"/>
      <w:r w:rsidRPr="00FA0C3A">
        <w:rPr>
          <w:sz w:val="24"/>
          <w:szCs w:val="24"/>
        </w:rPr>
        <w:t>karcinogenicitet</w:t>
      </w:r>
      <w:proofErr w:type="spellEnd"/>
      <w:r w:rsidRPr="00FA0C3A">
        <w:rPr>
          <w:sz w:val="24"/>
          <w:szCs w:val="24"/>
        </w:rPr>
        <w:t xml:space="preserve">, resulterede i ca. 2-3 gange den systemiske eksponering (AUC eller </w:t>
      </w:r>
      <w:proofErr w:type="spellStart"/>
      <w:r w:rsidRPr="00FA0C3A">
        <w:rPr>
          <w:sz w:val="24"/>
          <w:szCs w:val="24"/>
        </w:rPr>
        <w:t>C</w:t>
      </w:r>
      <w:r w:rsidRPr="00FA0C3A">
        <w:rPr>
          <w:sz w:val="24"/>
          <w:szCs w:val="24"/>
          <w:vertAlign w:val="subscript"/>
        </w:rPr>
        <w:t>max</w:t>
      </w:r>
      <w:proofErr w:type="spellEnd"/>
      <w:r w:rsidRPr="00FA0C3A">
        <w:rPr>
          <w:sz w:val="24"/>
          <w:szCs w:val="24"/>
        </w:rPr>
        <w:t xml:space="preserve">), der blev observeret hos nyretransplanterede patienter ved den anbefalede kliniske dosis på 2 g/dag, og 1,3-2 gange den systemiske eksponering (AUC eller </w:t>
      </w:r>
      <w:proofErr w:type="spellStart"/>
      <w:r w:rsidRPr="00FA0C3A">
        <w:rPr>
          <w:sz w:val="24"/>
          <w:szCs w:val="24"/>
        </w:rPr>
        <w:t>C</w:t>
      </w:r>
      <w:r w:rsidRPr="00FA0C3A">
        <w:rPr>
          <w:sz w:val="24"/>
          <w:szCs w:val="24"/>
          <w:vertAlign w:val="subscript"/>
        </w:rPr>
        <w:t>max</w:t>
      </w:r>
      <w:proofErr w:type="spellEnd"/>
      <w:r w:rsidRPr="00FA0C3A">
        <w:rPr>
          <w:sz w:val="24"/>
          <w:szCs w:val="24"/>
        </w:rPr>
        <w:t>), der blev observeret hos hjertetransplanterede patienter ved den anbefalede kliniske dosis på 3 g/dag.</w:t>
      </w:r>
    </w:p>
    <w:p w14:paraId="09E6F6B6" w14:textId="77777777" w:rsidR="00886F11" w:rsidRPr="00FA0C3A" w:rsidRDefault="00886F11" w:rsidP="00886F11">
      <w:pPr>
        <w:ind w:left="851"/>
        <w:rPr>
          <w:sz w:val="24"/>
          <w:szCs w:val="24"/>
        </w:rPr>
      </w:pPr>
    </w:p>
    <w:p w14:paraId="7C93477B" w14:textId="77777777" w:rsidR="00886F11" w:rsidRPr="00FA0C3A" w:rsidRDefault="00886F11" w:rsidP="00886F11">
      <w:pPr>
        <w:ind w:left="851"/>
        <w:rPr>
          <w:sz w:val="24"/>
          <w:szCs w:val="24"/>
        </w:rPr>
      </w:pPr>
      <w:r w:rsidRPr="00FA0C3A">
        <w:rPr>
          <w:sz w:val="24"/>
          <w:szCs w:val="24"/>
        </w:rPr>
        <w:t xml:space="preserve">To </w:t>
      </w:r>
      <w:proofErr w:type="spellStart"/>
      <w:r w:rsidRPr="00FA0C3A">
        <w:rPr>
          <w:sz w:val="24"/>
          <w:szCs w:val="24"/>
        </w:rPr>
        <w:t>genotoksicitetsanalyser</w:t>
      </w:r>
      <w:proofErr w:type="spellEnd"/>
      <w:r w:rsidRPr="00FA0C3A">
        <w:rPr>
          <w:sz w:val="24"/>
          <w:szCs w:val="24"/>
        </w:rPr>
        <w:t xml:space="preserve"> (</w:t>
      </w:r>
      <w:r w:rsidRPr="00FA0C3A">
        <w:rPr>
          <w:i/>
          <w:sz w:val="24"/>
          <w:szCs w:val="24"/>
        </w:rPr>
        <w:t xml:space="preserve">in </w:t>
      </w:r>
      <w:proofErr w:type="spellStart"/>
      <w:r w:rsidRPr="00FA0C3A">
        <w:rPr>
          <w:i/>
          <w:sz w:val="24"/>
          <w:szCs w:val="24"/>
        </w:rPr>
        <w:t>vitro</w:t>
      </w:r>
      <w:proofErr w:type="spellEnd"/>
      <w:r w:rsidRPr="00FA0C3A">
        <w:rPr>
          <w:sz w:val="24"/>
          <w:szCs w:val="24"/>
        </w:rPr>
        <w:t xml:space="preserve">-analyse af </w:t>
      </w:r>
      <w:proofErr w:type="spellStart"/>
      <w:r w:rsidRPr="00FA0C3A">
        <w:rPr>
          <w:sz w:val="24"/>
          <w:szCs w:val="24"/>
        </w:rPr>
        <w:t>lymfomer</w:t>
      </w:r>
      <w:proofErr w:type="spellEnd"/>
      <w:r w:rsidRPr="00FA0C3A">
        <w:rPr>
          <w:sz w:val="24"/>
          <w:szCs w:val="24"/>
        </w:rPr>
        <w:t xml:space="preserve"> fra mus og </w:t>
      </w:r>
      <w:r w:rsidRPr="00FA0C3A">
        <w:rPr>
          <w:i/>
          <w:sz w:val="24"/>
          <w:szCs w:val="24"/>
        </w:rPr>
        <w:t xml:space="preserve">in </w:t>
      </w:r>
      <w:proofErr w:type="spellStart"/>
      <w:r w:rsidRPr="00FA0C3A">
        <w:rPr>
          <w:i/>
          <w:sz w:val="24"/>
          <w:szCs w:val="24"/>
        </w:rPr>
        <w:t>vivo</w:t>
      </w:r>
      <w:r w:rsidRPr="00FA0C3A">
        <w:rPr>
          <w:sz w:val="24"/>
          <w:szCs w:val="24"/>
        </w:rPr>
        <w:t>-mikronukleustest</w:t>
      </w:r>
      <w:proofErr w:type="spellEnd"/>
      <w:r w:rsidRPr="00FA0C3A">
        <w:rPr>
          <w:sz w:val="24"/>
          <w:szCs w:val="24"/>
        </w:rPr>
        <w:t xml:space="preserve"> af knoglemarv fra mus) viste, at </w:t>
      </w:r>
      <w:proofErr w:type="spellStart"/>
      <w:r w:rsidRPr="00FA0C3A">
        <w:rPr>
          <w:sz w:val="24"/>
          <w:szCs w:val="24"/>
        </w:rPr>
        <w:t>mycophenolatmofetil</w:t>
      </w:r>
      <w:proofErr w:type="spellEnd"/>
      <w:r w:rsidRPr="00FA0C3A">
        <w:rPr>
          <w:sz w:val="24"/>
          <w:szCs w:val="24"/>
        </w:rPr>
        <w:t xml:space="preserve"> havde potentiale til at forårsage kromosomaberrationer. Disse effekter kan relateres til den </w:t>
      </w:r>
      <w:proofErr w:type="spellStart"/>
      <w:r w:rsidRPr="00FA0C3A">
        <w:rPr>
          <w:sz w:val="24"/>
          <w:szCs w:val="24"/>
        </w:rPr>
        <w:t>farmakodynamiske</w:t>
      </w:r>
      <w:proofErr w:type="spellEnd"/>
      <w:r w:rsidRPr="00FA0C3A">
        <w:rPr>
          <w:sz w:val="24"/>
          <w:szCs w:val="24"/>
        </w:rPr>
        <w:t xml:space="preserve"> virkningsmekanisme, dvs. hæmning af nukleotidsyntesen i følsomme celler. Der blev ikke påvist genotoksisk aktivitet i andre </w:t>
      </w:r>
      <w:r w:rsidRPr="00FA0C3A">
        <w:rPr>
          <w:i/>
          <w:sz w:val="24"/>
          <w:szCs w:val="24"/>
        </w:rPr>
        <w:t xml:space="preserve">in </w:t>
      </w:r>
      <w:proofErr w:type="spellStart"/>
      <w:r w:rsidRPr="00FA0C3A">
        <w:rPr>
          <w:i/>
          <w:sz w:val="24"/>
          <w:szCs w:val="24"/>
        </w:rPr>
        <w:t>vitro</w:t>
      </w:r>
      <w:proofErr w:type="spellEnd"/>
      <w:r w:rsidRPr="00FA0C3A">
        <w:rPr>
          <w:sz w:val="24"/>
          <w:szCs w:val="24"/>
        </w:rPr>
        <w:t>-analyser til sporing af genmutation.</w:t>
      </w:r>
    </w:p>
    <w:p w14:paraId="392A2FB2" w14:textId="77777777" w:rsidR="00886F11" w:rsidRPr="00FA0C3A" w:rsidRDefault="00886F11" w:rsidP="00725D71">
      <w:pPr>
        <w:ind w:left="851"/>
        <w:rPr>
          <w:sz w:val="24"/>
          <w:szCs w:val="24"/>
        </w:rPr>
      </w:pPr>
    </w:p>
    <w:p w14:paraId="22749CCD" w14:textId="77777777" w:rsidR="00886F11" w:rsidRPr="00FA0C3A" w:rsidRDefault="00886F11" w:rsidP="00725D71">
      <w:pPr>
        <w:pStyle w:val="Sidehoved"/>
        <w:ind w:left="851"/>
        <w:rPr>
          <w:szCs w:val="24"/>
        </w:rPr>
      </w:pPr>
      <w:r w:rsidRPr="00FA0C3A">
        <w:rPr>
          <w:szCs w:val="24"/>
        </w:rPr>
        <w:tab/>
        <w:t xml:space="preserve">I dyreforsøg vedrørende </w:t>
      </w:r>
      <w:proofErr w:type="spellStart"/>
      <w:r w:rsidRPr="00FA0C3A">
        <w:rPr>
          <w:szCs w:val="24"/>
        </w:rPr>
        <w:t>teratologi</w:t>
      </w:r>
      <w:proofErr w:type="spellEnd"/>
      <w:r w:rsidRPr="00FA0C3A">
        <w:rPr>
          <w:szCs w:val="24"/>
        </w:rPr>
        <w:t xml:space="preserve"> hos rotter og kaniner forekom der fosterresorption og </w:t>
      </w:r>
      <w:r w:rsidRPr="00FA0C3A">
        <w:rPr>
          <w:szCs w:val="24"/>
        </w:rPr>
        <w:noBreakHyphen/>
        <w:t xml:space="preserve">misdannelser hos rotter ved brug af 6 mg/kg/dag (herunder </w:t>
      </w:r>
      <w:proofErr w:type="spellStart"/>
      <w:r w:rsidRPr="00FA0C3A">
        <w:rPr>
          <w:szCs w:val="24"/>
        </w:rPr>
        <w:t>anoftalmi</w:t>
      </w:r>
      <w:proofErr w:type="spellEnd"/>
      <w:r w:rsidRPr="00FA0C3A">
        <w:rPr>
          <w:szCs w:val="24"/>
        </w:rPr>
        <w:t xml:space="preserve">, </w:t>
      </w:r>
      <w:proofErr w:type="spellStart"/>
      <w:r w:rsidRPr="00FA0C3A">
        <w:rPr>
          <w:szCs w:val="24"/>
        </w:rPr>
        <w:t>agnati</w:t>
      </w:r>
      <w:proofErr w:type="spellEnd"/>
      <w:r w:rsidRPr="00FA0C3A">
        <w:rPr>
          <w:szCs w:val="24"/>
        </w:rPr>
        <w:t xml:space="preserve"> og </w:t>
      </w:r>
      <w:proofErr w:type="spellStart"/>
      <w:r w:rsidRPr="00FA0C3A">
        <w:rPr>
          <w:szCs w:val="24"/>
        </w:rPr>
        <w:t>hydrocefalus</w:t>
      </w:r>
      <w:proofErr w:type="spellEnd"/>
      <w:r w:rsidRPr="00FA0C3A">
        <w:rPr>
          <w:szCs w:val="24"/>
        </w:rPr>
        <w:t xml:space="preserve">) og hos kaniner ved brug af 90 mg/kg/dag (herunder </w:t>
      </w:r>
      <w:proofErr w:type="spellStart"/>
      <w:r w:rsidRPr="00FA0C3A">
        <w:rPr>
          <w:szCs w:val="24"/>
        </w:rPr>
        <w:t>kardiovaskulære</w:t>
      </w:r>
      <w:proofErr w:type="spellEnd"/>
      <w:r w:rsidRPr="00FA0C3A">
        <w:rPr>
          <w:szCs w:val="24"/>
        </w:rPr>
        <w:t xml:space="preserve"> og </w:t>
      </w:r>
      <w:proofErr w:type="spellStart"/>
      <w:r w:rsidRPr="00FA0C3A">
        <w:rPr>
          <w:szCs w:val="24"/>
        </w:rPr>
        <w:t>renale</w:t>
      </w:r>
      <w:proofErr w:type="spellEnd"/>
      <w:r w:rsidRPr="00FA0C3A">
        <w:rPr>
          <w:szCs w:val="24"/>
        </w:rPr>
        <w:t xml:space="preserve"> abnormiteter som </w:t>
      </w:r>
      <w:proofErr w:type="spellStart"/>
      <w:r w:rsidRPr="00FA0C3A">
        <w:rPr>
          <w:szCs w:val="24"/>
        </w:rPr>
        <w:t>ektokardi</w:t>
      </w:r>
      <w:proofErr w:type="spellEnd"/>
      <w:r w:rsidRPr="00FA0C3A">
        <w:rPr>
          <w:szCs w:val="24"/>
        </w:rPr>
        <w:t xml:space="preserve"> og </w:t>
      </w:r>
      <w:proofErr w:type="spellStart"/>
      <w:r w:rsidRPr="00FA0C3A">
        <w:rPr>
          <w:szCs w:val="24"/>
        </w:rPr>
        <w:t>ektopiske</w:t>
      </w:r>
      <w:proofErr w:type="spellEnd"/>
      <w:r w:rsidRPr="00FA0C3A">
        <w:rPr>
          <w:szCs w:val="24"/>
        </w:rPr>
        <w:t xml:space="preserve"> nyrer samt mellemgulvs- og navlebrok), mens der ikke sås </w:t>
      </w:r>
      <w:proofErr w:type="spellStart"/>
      <w:r w:rsidRPr="00FA0C3A">
        <w:rPr>
          <w:szCs w:val="24"/>
        </w:rPr>
        <w:t>maternel</w:t>
      </w:r>
      <w:proofErr w:type="spellEnd"/>
      <w:r w:rsidRPr="00FA0C3A">
        <w:rPr>
          <w:szCs w:val="24"/>
        </w:rPr>
        <w:t xml:space="preserve"> toksicitet. Den systemiske eksponering ved disse niveauer svarer omtrent til eller er lavere end 0,5 gange den kliniske eksponering ved den anbefalede kliniske dosis på 2 g/dag hos nyretransplanterede patienter og ca. 0,3 gange den kliniske eksponering ved den anbefalede kliniske dosis på 3 g/dag hos hjertetransplanterede patienter (se pkt. 4.6).</w:t>
      </w:r>
    </w:p>
    <w:p w14:paraId="6EB035D8" w14:textId="77777777" w:rsidR="00886F11" w:rsidRPr="00FA0C3A" w:rsidRDefault="00886F11" w:rsidP="00886F11">
      <w:pPr>
        <w:ind w:left="851"/>
        <w:rPr>
          <w:sz w:val="24"/>
          <w:szCs w:val="24"/>
        </w:rPr>
      </w:pPr>
    </w:p>
    <w:p w14:paraId="790E8358" w14:textId="77777777" w:rsidR="00886F11" w:rsidRPr="00FA0C3A" w:rsidRDefault="00886F11" w:rsidP="00886F11">
      <w:pPr>
        <w:ind w:left="851"/>
        <w:rPr>
          <w:sz w:val="24"/>
          <w:szCs w:val="24"/>
        </w:rPr>
      </w:pPr>
      <w:r w:rsidRPr="00FA0C3A">
        <w:rPr>
          <w:sz w:val="24"/>
          <w:szCs w:val="24"/>
        </w:rPr>
        <w:t xml:space="preserve">Det </w:t>
      </w:r>
      <w:proofErr w:type="spellStart"/>
      <w:r w:rsidRPr="00FA0C3A">
        <w:rPr>
          <w:sz w:val="24"/>
          <w:szCs w:val="24"/>
        </w:rPr>
        <w:t>hæmopoietiske</w:t>
      </w:r>
      <w:proofErr w:type="spellEnd"/>
      <w:r w:rsidRPr="00FA0C3A">
        <w:rPr>
          <w:sz w:val="24"/>
          <w:szCs w:val="24"/>
        </w:rPr>
        <w:t xml:space="preserve"> og det lymfatiske system var de organer, der primært blev påvirket i toksikologiske dyreforsøg, hvor der blev administreret </w:t>
      </w:r>
      <w:proofErr w:type="spellStart"/>
      <w:r w:rsidRPr="00FA0C3A">
        <w:rPr>
          <w:sz w:val="24"/>
          <w:szCs w:val="24"/>
        </w:rPr>
        <w:t>mycophenolatmofetil</w:t>
      </w:r>
      <w:proofErr w:type="spellEnd"/>
      <w:r w:rsidRPr="00FA0C3A">
        <w:rPr>
          <w:sz w:val="24"/>
          <w:szCs w:val="24"/>
        </w:rPr>
        <w:t xml:space="preserve"> til rotter, mus, hunde og aber. Disse effekter forekom ved niveauer af systemisk eksponering, som svarer til eller er lavere end den kliniske eksponering ved den anbefalede dosis på 2 g/dag hos nyretransplanterede patienter. Der blev observeret </w:t>
      </w:r>
      <w:proofErr w:type="spellStart"/>
      <w:r w:rsidRPr="00FA0C3A">
        <w:rPr>
          <w:sz w:val="24"/>
          <w:szCs w:val="24"/>
        </w:rPr>
        <w:t>gastrointestinale</w:t>
      </w:r>
      <w:proofErr w:type="spellEnd"/>
      <w:r w:rsidRPr="00FA0C3A">
        <w:rPr>
          <w:sz w:val="24"/>
          <w:szCs w:val="24"/>
        </w:rPr>
        <w:t xml:space="preserve"> effekter hos hunde ved niveauer af systemisk eksponering, som svarede til eller var lavere end den kliniske eksponering ved den anbefalede dosis. Ved den højeste dosis blev der hos aber også observeret </w:t>
      </w:r>
      <w:proofErr w:type="spellStart"/>
      <w:r w:rsidRPr="00FA0C3A">
        <w:rPr>
          <w:sz w:val="24"/>
          <w:szCs w:val="24"/>
        </w:rPr>
        <w:t>gastrointestinale</w:t>
      </w:r>
      <w:proofErr w:type="spellEnd"/>
      <w:r w:rsidRPr="00FA0C3A">
        <w:rPr>
          <w:sz w:val="24"/>
          <w:szCs w:val="24"/>
        </w:rPr>
        <w:t xml:space="preserve"> og </w:t>
      </w:r>
      <w:proofErr w:type="spellStart"/>
      <w:r w:rsidRPr="00FA0C3A">
        <w:rPr>
          <w:sz w:val="24"/>
          <w:szCs w:val="24"/>
        </w:rPr>
        <w:t>renale</w:t>
      </w:r>
      <w:proofErr w:type="spellEnd"/>
      <w:r w:rsidRPr="00FA0C3A">
        <w:rPr>
          <w:sz w:val="24"/>
          <w:szCs w:val="24"/>
        </w:rPr>
        <w:t xml:space="preserve"> effekter svarende til dehydrering (niveauer af systemisk eksponering, som svarede til eller var højere end den kliniske eksponering). </w:t>
      </w:r>
      <w:proofErr w:type="spellStart"/>
      <w:r w:rsidRPr="00FA0C3A">
        <w:rPr>
          <w:sz w:val="24"/>
          <w:szCs w:val="24"/>
        </w:rPr>
        <w:t>Mycophenolatmofetils</w:t>
      </w:r>
      <w:proofErr w:type="spellEnd"/>
      <w:r w:rsidRPr="00FA0C3A">
        <w:rPr>
          <w:sz w:val="24"/>
          <w:szCs w:val="24"/>
        </w:rPr>
        <w:t xml:space="preserve"> ikke-kliniske toksicitetsprofil synes at stemme overens med de hændelser, der er observeret i kliniske forsøg hos mennesker, hvorfra der nu frembringes sikkerhedsdata af større relevans for patientpopulationen (se pkt. 4.8).</w:t>
      </w:r>
    </w:p>
    <w:p w14:paraId="31BC16C8" w14:textId="319139F7" w:rsidR="009260DE" w:rsidRPr="00FA0C3A" w:rsidRDefault="009260DE" w:rsidP="009260DE">
      <w:pPr>
        <w:tabs>
          <w:tab w:val="left" w:pos="851"/>
        </w:tabs>
        <w:ind w:left="851"/>
        <w:rPr>
          <w:sz w:val="24"/>
          <w:szCs w:val="24"/>
        </w:rPr>
      </w:pPr>
    </w:p>
    <w:p w14:paraId="26D9B46A" w14:textId="77777777" w:rsidR="009260DE" w:rsidRPr="00FA0C3A" w:rsidRDefault="009260DE" w:rsidP="009260DE">
      <w:pPr>
        <w:tabs>
          <w:tab w:val="left" w:pos="851"/>
        </w:tabs>
        <w:ind w:left="851"/>
        <w:rPr>
          <w:sz w:val="24"/>
          <w:szCs w:val="24"/>
        </w:rPr>
      </w:pPr>
    </w:p>
    <w:p w14:paraId="08EB188F" w14:textId="77777777" w:rsidR="009260DE" w:rsidRPr="00FA0C3A" w:rsidRDefault="009260DE" w:rsidP="009260DE">
      <w:pPr>
        <w:tabs>
          <w:tab w:val="left" w:pos="851"/>
        </w:tabs>
        <w:ind w:left="851" w:hanging="851"/>
        <w:rPr>
          <w:b/>
          <w:sz w:val="24"/>
          <w:szCs w:val="24"/>
        </w:rPr>
      </w:pPr>
      <w:r w:rsidRPr="00FA0C3A">
        <w:rPr>
          <w:b/>
          <w:sz w:val="24"/>
          <w:szCs w:val="24"/>
        </w:rPr>
        <w:t>6.</w:t>
      </w:r>
      <w:r w:rsidRPr="00FA0C3A">
        <w:rPr>
          <w:b/>
          <w:sz w:val="24"/>
          <w:szCs w:val="24"/>
        </w:rPr>
        <w:tab/>
        <w:t>FARMACEUTISKE OPLYSNINGER</w:t>
      </w:r>
    </w:p>
    <w:p w14:paraId="3E19D574" w14:textId="77777777" w:rsidR="009260DE" w:rsidRPr="00FA0C3A" w:rsidRDefault="009260DE" w:rsidP="009260DE">
      <w:pPr>
        <w:tabs>
          <w:tab w:val="left" w:pos="851"/>
        </w:tabs>
        <w:ind w:left="851"/>
        <w:rPr>
          <w:sz w:val="24"/>
          <w:szCs w:val="24"/>
        </w:rPr>
      </w:pPr>
    </w:p>
    <w:p w14:paraId="001EA321" w14:textId="77777777" w:rsidR="009260DE" w:rsidRPr="00FA0C3A" w:rsidRDefault="009260DE" w:rsidP="009260DE">
      <w:pPr>
        <w:tabs>
          <w:tab w:val="left" w:pos="851"/>
        </w:tabs>
        <w:ind w:left="851" w:hanging="851"/>
        <w:rPr>
          <w:b/>
          <w:sz w:val="24"/>
          <w:szCs w:val="24"/>
        </w:rPr>
      </w:pPr>
      <w:r w:rsidRPr="00FA0C3A">
        <w:rPr>
          <w:b/>
          <w:sz w:val="24"/>
          <w:szCs w:val="24"/>
        </w:rPr>
        <w:t>6.1</w:t>
      </w:r>
      <w:r w:rsidRPr="00FA0C3A">
        <w:rPr>
          <w:b/>
          <w:sz w:val="24"/>
          <w:szCs w:val="24"/>
        </w:rPr>
        <w:tab/>
        <w:t>Hjælpestoffer</w:t>
      </w:r>
    </w:p>
    <w:p w14:paraId="6485F04D" w14:textId="77777777" w:rsidR="00725D71" w:rsidRPr="00FA0C3A" w:rsidRDefault="00725D71" w:rsidP="00886F11">
      <w:pPr>
        <w:ind w:left="851"/>
        <w:rPr>
          <w:i/>
          <w:sz w:val="24"/>
          <w:szCs w:val="24"/>
        </w:rPr>
      </w:pPr>
    </w:p>
    <w:p w14:paraId="20E1AB5E" w14:textId="589EF0BA" w:rsidR="00886F11" w:rsidRPr="00FA0C3A" w:rsidRDefault="00886F11" w:rsidP="00886F11">
      <w:pPr>
        <w:ind w:left="851"/>
        <w:rPr>
          <w:i/>
          <w:sz w:val="24"/>
          <w:szCs w:val="24"/>
          <w:lang w:val="es-ES_tradnl"/>
        </w:rPr>
      </w:pPr>
      <w:r w:rsidRPr="00FA0C3A">
        <w:rPr>
          <w:i/>
          <w:sz w:val="24"/>
          <w:szCs w:val="24"/>
        </w:rPr>
        <w:t>Kapselindhold:</w:t>
      </w:r>
    </w:p>
    <w:p w14:paraId="0C77F2E5" w14:textId="77777777" w:rsidR="00886F11" w:rsidRPr="00FA0C3A" w:rsidRDefault="00886F11" w:rsidP="00886F11">
      <w:pPr>
        <w:ind w:left="851"/>
        <w:rPr>
          <w:sz w:val="24"/>
          <w:szCs w:val="24"/>
        </w:rPr>
      </w:pPr>
      <w:r w:rsidRPr="00FA0C3A">
        <w:rPr>
          <w:sz w:val="24"/>
          <w:szCs w:val="24"/>
        </w:rPr>
        <w:t>Mikrokrystallinsk cellulose (E 460)</w:t>
      </w:r>
    </w:p>
    <w:p w14:paraId="70ADE214" w14:textId="77777777" w:rsidR="00886F11" w:rsidRPr="00FA0C3A" w:rsidRDefault="00886F11" w:rsidP="00886F11">
      <w:pPr>
        <w:ind w:left="851"/>
        <w:rPr>
          <w:sz w:val="24"/>
          <w:szCs w:val="24"/>
          <w:lang w:val="es-ES_tradnl"/>
        </w:rPr>
      </w:pPr>
      <w:r w:rsidRPr="00FA0C3A">
        <w:rPr>
          <w:sz w:val="24"/>
          <w:szCs w:val="24"/>
          <w:lang w:val="es-ES_tradnl"/>
        </w:rPr>
        <w:t>Hydroxypropylcellulose (E 463)</w:t>
      </w:r>
    </w:p>
    <w:p w14:paraId="59C6FD85" w14:textId="77777777" w:rsidR="00886F11" w:rsidRPr="00FA0C3A" w:rsidRDefault="00886F11" w:rsidP="00886F11">
      <w:pPr>
        <w:ind w:left="851"/>
        <w:rPr>
          <w:sz w:val="24"/>
          <w:szCs w:val="24"/>
          <w:lang w:val="en-US"/>
        </w:rPr>
      </w:pPr>
      <w:proofErr w:type="spellStart"/>
      <w:r w:rsidRPr="00FA0C3A">
        <w:rPr>
          <w:sz w:val="24"/>
          <w:szCs w:val="24"/>
          <w:lang w:val="en-US"/>
        </w:rPr>
        <w:t>Povidon</w:t>
      </w:r>
      <w:proofErr w:type="spellEnd"/>
      <w:r w:rsidRPr="00FA0C3A">
        <w:rPr>
          <w:sz w:val="24"/>
          <w:szCs w:val="24"/>
          <w:lang w:val="en-US"/>
        </w:rPr>
        <w:t xml:space="preserve"> (E 1201)</w:t>
      </w:r>
    </w:p>
    <w:p w14:paraId="41F8B2A7" w14:textId="77777777" w:rsidR="00886F11" w:rsidRPr="00FA0C3A" w:rsidRDefault="00886F11" w:rsidP="00886F11">
      <w:pPr>
        <w:ind w:left="851"/>
        <w:rPr>
          <w:sz w:val="24"/>
          <w:szCs w:val="24"/>
          <w:lang w:val="es-ES_tradnl"/>
        </w:rPr>
      </w:pPr>
      <w:proofErr w:type="spellStart"/>
      <w:r w:rsidRPr="00FA0C3A">
        <w:rPr>
          <w:sz w:val="24"/>
          <w:szCs w:val="24"/>
          <w:lang w:val="en-US"/>
        </w:rPr>
        <w:t>Croscarmellosenatrium</w:t>
      </w:r>
      <w:proofErr w:type="spellEnd"/>
      <w:r w:rsidRPr="00FA0C3A">
        <w:rPr>
          <w:sz w:val="24"/>
          <w:szCs w:val="24"/>
          <w:lang w:val="en-US"/>
        </w:rPr>
        <w:t xml:space="preserve"> (E 468)</w:t>
      </w:r>
    </w:p>
    <w:p w14:paraId="7CEA9A9D" w14:textId="77777777" w:rsidR="00886F11" w:rsidRPr="00FA0C3A" w:rsidRDefault="00886F11" w:rsidP="00886F11">
      <w:pPr>
        <w:ind w:left="851"/>
        <w:rPr>
          <w:sz w:val="24"/>
          <w:szCs w:val="24"/>
          <w:lang w:val="en-US"/>
        </w:rPr>
      </w:pPr>
      <w:r w:rsidRPr="00FA0C3A">
        <w:rPr>
          <w:sz w:val="24"/>
          <w:szCs w:val="24"/>
          <w:lang w:val="en-US"/>
        </w:rPr>
        <w:t>Talcum (E 553B)</w:t>
      </w:r>
    </w:p>
    <w:p w14:paraId="4F3A7318" w14:textId="77777777" w:rsidR="00886F11" w:rsidRPr="00FA0C3A" w:rsidRDefault="00886F11" w:rsidP="00886F11">
      <w:pPr>
        <w:ind w:left="851"/>
        <w:rPr>
          <w:sz w:val="24"/>
          <w:szCs w:val="24"/>
          <w:lang w:val="en-US"/>
        </w:rPr>
      </w:pPr>
      <w:proofErr w:type="spellStart"/>
      <w:r w:rsidRPr="00FA0C3A">
        <w:rPr>
          <w:sz w:val="24"/>
          <w:szCs w:val="24"/>
          <w:lang w:val="en-US"/>
        </w:rPr>
        <w:t>Magnesiumstearat</w:t>
      </w:r>
      <w:proofErr w:type="spellEnd"/>
      <w:r w:rsidRPr="00FA0C3A">
        <w:rPr>
          <w:sz w:val="24"/>
          <w:szCs w:val="24"/>
          <w:lang w:val="en-US"/>
        </w:rPr>
        <w:t xml:space="preserve"> (E 470B)</w:t>
      </w:r>
    </w:p>
    <w:p w14:paraId="105E3584" w14:textId="77777777" w:rsidR="00886F11" w:rsidRPr="00FA0C3A" w:rsidRDefault="00886F11" w:rsidP="00725D71">
      <w:pPr>
        <w:ind w:left="851"/>
        <w:rPr>
          <w:sz w:val="24"/>
          <w:szCs w:val="24"/>
          <w:lang w:val="es-ES_tradnl"/>
        </w:rPr>
      </w:pPr>
    </w:p>
    <w:p w14:paraId="0937BB9C" w14:textId="77777777" w:rsidR="00886F11" w:rsidRPr="00FA0C3A" w:rsidRDefault="00886F11" w:rsidP="00886F11">
      <w:pPr>
        <w:ind w:left="851"/>
        <w:rPr>
          <w:i/>
          <w:sz w:val="24"/>
          <w:szCs w:val="24"/>
          <w:lang w:val="es-ES_tradnl"/>
        </w:rPr>
      </w:pPr>
      <w:r w:rsidRPr="00FA0C3A">
        <w:rPr>
          <w:i/>
          <w:sz w:val="24"/>
          <w:szCs w:val="24"/>
          <w:lang w:val="es-ES_tradnl"/>
        </w:rPr>
        <w:t>Kapseloverdel:</w:t>
      </w:r>
    </w:p>
    <w:p w14:paraId="3A24FB0E" w14:textId="77777777" w:rsidR="00886F11" w:rsidRPr="00FA0C3A" w:rsidRDefault="00886F11" w:rsidP="00886F11">
      <w:pPr>
        <w:ind w:left="851"/>
        <w:rPr>
          <w:sz w:val="24"/>
          <w:szCs w:val="24"/>
          <w:lang w:val="es-ES_tradnl"/>
        </w:rPr>
      </w:pPr>
      <w:r w:rsidRPr="00FA0C3A">
        <w:rPr>
          <w:sz w:val="24"/>
          <w:szCs w:val="24"/>
          <w:lang w:val="es-ES_tradnl"/>
        </w:rPr>
        <w:t>Gelatine</w:t>
      </w:r>
    </w:p>
    <w:p w14:paraId="37C02872" w14:textId="77777777" w:rsidR="00886F11" w:rsidRPr="00FA0C3A" w:rsidRDefault="00886F11" w:rsidP="00886F11">
      <w:pPr>
        <w:ind w:left="851"/>
        <w:rPr>
          <w:sz w:val="24"/>
          <w:szCs w:val="24"/>
          <w:lang w:val="es-ES_tradnl"/>
        </w:rPr>
      </w:pPr>
      <w:r w:rsidRPr="00FA0C3A">
        <w:rPr>
          <w:sz w:val="24"/>
          <w:szCs w:val="24"/>
          <w:lang w:val="es-ES_tradnl"/>
        </w:rPr>
        <w:t xml:space="preserve">Natriumlaurilsulfat </w:t>
      </w:r>
    </w:p>
    <w:p w14:paraId="61DC6784" w14:textId="77777777" w:rsidR="00886F11" w:rsidRPr="00FA0C3A" w:rsidRDefault="00886F11" w:rsidP="00886F11">
      <w:pPr>
        <w:ind w:left="851"/>
        <w:rPr>
          <w:sz w:val="24"/>
          <w:szCs w:val="24"/>
          <w:lang w:val="es-ES_tradnl"/>
        </w:rPr>
      </w:pPr>
      <w:r w:rsidRPr="00FA0C3A">
        <w:rPr>
          <w:sz w:val="24"/>
          <w:szCs w:val="24"/>
          <w:lang w:val="es-ES_tradnl"/>
        </w:rPr>
        <w:t>Indigocarmin (E 132)</w:t>
      </w:r>
    </w:p>
    <w:p w14:paraId="5F7C2571" w14:textId="77777777" w:rsidR="00886F11" w:rsidRPr="00FA0C3A" w:rsidRDefault="00886F11" w:rsidP="00886F11">
      <w:pPr>
        <w:ind w:left="851"/>
        <w:rPr>
          <w:sz w:val="24"/>
          <w:szCs w:val="24"/>
          <w:lang w:val="es-ES_tradnl"/>
        </w:rPr>
      </w:pPr>
      <w:r w:rsidRPr="00FA0C3A">
        <w:rPr>
          <w:sz w:val="24"/>
          <w:szCs w:val="24"/>
          <w:lang w:val="es-ES_tradnl"/>
        </w:rPr>
        <w:t>Titandioxid (E 171)</w:t>
      </w:r>
    </w:p>
    <w:p w14:paraId="38B54EDF" w14:textId="77777777" w:rsidR="00886F11" w:rsidRPr="00FA0C3A" w:rsidRDefault="00886F11" w:rsidP="00886F11">
      <w:pPr>
        <w:ind w:left="851"/>
        <w:rPr>
          <w:sz w:val="24"/>
          <w:szCs w:val="24"/>
          <w:lang w:val="es-ES_tradnl"/>
        </w:rPr>
      </w:pPr>
    </w:p>
    <w:p w14:paraId="1E9F8D4B" w14:textId="77777777" w:rsidR="00886F11" w:rsidRPr="00FA0C3A" w:rsidRDefault="00886F11" w:rsidP="00886F11">
      <w:pPr>
        <w:ind w:left="851"/>
        <w:rPr>
          <w:i/>
          <w:sz w:val="24"/>
          <w:szCs w:val="24"/>
          <w:lang w:val="es-ES_tradnl"/>
        </w:rPr>
      </w:pPr>
      <w:r w:rsidRPr="00FA0C3A">
        <w:rPr>
          <w:i/>
          <w:sz w:val="24"/>
          <w:szCs w:val="24"/>
          <w:lang w:val="es-ES_tradnl"/>
        </w:rPr>
        <w:t>Kapselkrop:</w:t>
      </w:r>
    </w:p>
    <w:p w14:paraId="69FC2646" w14:textId="77777777" w:rsidR="00886F11" w:rsidRPr="00FA0C3A" w:rsidRDefault="00886F11" w:rsidP="00886F11">
      <w:pPr>
        <w:ind w:left="851"/>
        <w:rPr>
          <w:sz w:val="24"/>
          <w:szCs w:val="24"/>
          <w:lang w:val="es-ES_tradnl"/>
        </w:rPr>
      </w:pPr>
      <w:r w:rsidRPr="00FA0C3A">
        <w:rPr>
          <w:sz w:val="24"/>
          <w:szCs w:val="24"/>
          <w:lang w:val="es-ES_tradnl"/>
        </w:rPr>
        <w:t>Gelatine</w:t>
      </w:r>
    </w:p>
    <w:p w14:paraId="095535D5" w14:textId="77777777" w:rsidR="00886F11" w:rsidRPr="00FA0C3A" w:rsidRDefault="00886F11" w:rsidP="00886F11">
      <w:pPr>
        <w:ind w:left="851"/>
        <w:rPr>
          <w:sz w:val="24"/>
          <w:szCs w:val="24"/>
          <w:lang w:val="es-ES_tradnl"/>
        </w:rPr>
      </w:pPr>
      <w:r w:rsidRPr="00FA0C3A">
        <w:rPr>
          <w:sz w:val="24"/>
          <w:szCs w:val="24"/>
          <w:lang w:val="es-ES_tradnl"/>
        </w:rPr>
        <w:t>Natriumlaurilsulfat</w:t>
      </w:r>
    </w:p>
    <w:p w14:paraId="24FEDD29" w14:textId="77777777" w:rsidR="00886F11" w:rsidRPr="00FA0C3A" w:rsidRDefault="00886F11" w:rsidP="00886F11">
      <w:pPr>
        <w:ind w:left="851"/>
        <w:rPr>
          <w:sz w:val="24"/>
          <w:szCs w:val="24"/>
          <w:lang w:val="es-ES_tradnl"/>
        </w:rPr>
      </w:pPr>
      <w:r w:rsidRPr="00FA0C3A">
        <w:rPr>
          <w:sz w:val="24"/>
          <w:szCs w:val="24"/>
          <w:lang w:val="es-ES_tradnl"/>
        </w:rPr>
        <w:t>Rød jernoxid (E 172)</w:t>
      </w:r>
    </w:p>
    <w:p w14:paraId="60772AE2" w14:textId="77777777" w:rsidR="00886F11" w:rsidRPr="00FA0C3A" w:rsidRDefault="00886F11" w:rsidP="00886F11">
      <w:pPr>
        <w:ind w:left="851"/>
        <w:rPr>
          <w:sz w:val="24"/>
          <w:szCs w:val="24"/>
          <w:lang w:val="es-ES_tradnl"/>
        </w:rPr>
      </w:pPr>
      <w:r w:rsidRPr="00FA0C3A">
        <w:rPr>
          <w:sz w:val="24"/>
          <w:szCs w:val="24"/>
          <w:lang w:val="es-ES_tradnl"/>
        </w:rPr>
        <w:t>Gul jernoxid (E 172)</w:t>
      </w:r>
    </w:p>
    <w:p w14:paraId="56B51AC2" w14:textId="77777777" w:rsidR="00886F11" w:rsidRPr="00FA0C3A" w:rsidRDefault="00886F11" w:rsidP="00886F11">
      <w:pPr>
        <w:ind w:left="851"/>
        <w:rPr>
          <w:sz w:val="24"/>
          <w:szCs w:val="24"/>
          <w:lang w:val="es-ES_tradnl"/>
        </w:rPr>
      </w:pPr>
      <w:r w:rsidRPr="00FA0C3A">
        <w:rPr>
          <w:sz w:val="24"/>
          <w:szCs w:val="24"/>
          <w:lang w:val="es-ES_tradnl"/>
        </w:rPr>
        <w:t>Titandioxid (E 171)</w:t>
      </w:r>
    </w:p>
    <w:p w14:paraId="7CD06B93" w14:textId="77777777" w:rsidR="00886F11" w:rsidRPr="00FA0C3A" w:rsidRDefault="00886F11" w:rsidP="00886F11">
      <w:pPr>
        <w:ind w:left="851"/>
        <w:rPr>
          <w:sz w:val="24"/>
          <w:szCs w:val="24"/>
          <w:lang w:val="es-ES_tradnl"/>
        </w:rPr>
      </w:pPr>
    </w:p>
    <w:p w14:paraId="62BBE435" w14:textId="77777777" w:rsidR="00886F11" w:rsidRPr="00FA0C3A" w:rsidRDefault="00886F11" w:rsidP="00886F11">
      <w:pPr>
        <w:ind w:left="851"/>
        <w:rPr>
          <w:sz w:val="24"/>
          <w:szCs w:val="24"/>
          <w:lang w:val="es-ES_tradnl"/>
        </w:rPr>
      </w:pPr>
      <w:r w:rsidRPr="00FA0C3A">
        <w:rPr>
          <w:i/>
          <w:sz w:val="24"/>
          <w:szCs w:val="24"/>
          <w:lang w:val="es-ES_tradnl"/>
        </w:rPr>
        <w:t>Sort blæk:</w:t>
      </w:r>
      <w:r w:rsidRPr="00FA0C3A">
        <w:rPr>
          <w:sz w:val="24"/>
          <w:szCs w:val="24"/>
          <w:lang w:val="es-ES_tradnl"/>
        </w:rPr>
        <w:t xml:space="preserve"> </w:t>
      </w:r>
    </w:p>
    <w:p w14:paraId="5D2E9E31" w14:textId="77777777" w:rsidR="00886F11" w:rsidRPr="00FA0C3A" w:rsidRDefault="00886F11" w:rsidP="00886F11">
      <w:pPr>
        <w:ind w:left="851"/>
        <w:rPr>
          <w:sz w:val="24"/>
          <w:szCs w:val="24"/>
          <w:lang w:val="es-ES_tradnl"/>
        </w:rPr>
      </w:pPr>
      <w:r w:rsidRPr="00FA0C3A">
        <w:rPr>
          <w:sz w:val="24"/>
          <w:szCs w:val="24"/>
          <w:lang w:val="es-ES_tradnl"/>
        </w:rPr>
        <w:t>Shellac (E 904)</w:t>
      </w:r>
    </w:p>
    <w:p w14:paraId="6077AEF1" w14:textId="77777777" w:rsidR="00886F11" w:rsidRPr="00FA0C3A" w:rsidRDefault="00886F11" w:rsidP="00886F11">
      <w:pPr>
        <w:ind w:left="851"/>
        <w:rPr>
          <w:sz w:val="24"/>
          <w:szCs w:val="24"/>
          <w:lang w:val="es-ES_tradnl"/>
        </w:rPr>
      </w:pPr>
      <w:r w:rsidRPr="00FA0C3A">
        <w:rPr>
          <w:sz w:val="24"/>
          <w:szCs w:val="24"/>
          <w:lang w:val="es-ES_tradnl"/>
        </w:rPr>
        <w:t>Sort jernoxid (E 172)</w:t>
      </w:r>
    </w:p>
    <w:p w14:paraId="6A7F3807" w14:textId="77777777" w:rsidR="00886F11" w:rsidRPr="00FA0C3A" w:rsidRDefault="00886F11" w:rsidP="00886F11">
      <w:pPr>
        <w:ind w:left="851"/>
        <w:rPr>
          <w:sz w:val="24"/>
          <w:szCs w:val="24"/>
          <w:lang w:val="es-ES_tradnl"/>
        </w:rPr>
      </w:pPr>
      <w:r w:rsidRPr="00FA0C3A">
        <w:rPr>
          <w:sz w:val="24"/>
          <w:szCs w:val="24"/>
          <w:lang w:val="es-ES_tradnl"/>
        </w:rPr>
        <w:t>Kaliumhydroxid (E 525)</w:t>
      </w:r>
    </w:p>
    <w:p w14:paraId="609607FB" w14:textId="77777777" w:rsidR="009260DE" w:rsidRPr="00FA0C3A" w:rsidRDefault="009260DE" w:rsidP="009260DE">
      <w:pPr>
        <w:tabs>
          <w:tab w:val="left" w:pos="851"/>
        </w:tabs>
        <w:ind w:left="851"/>
        <w:rPr>
          <w:sz w:val="24"/>
          <w:szCs w:val="24"/>
        </w:rPr>
      </w:pPr>
    </w:p>
    <w:p w14:paraId="76BD2383" w14:textId="77777777" w:rsidR="009260DE" w:rsidRPr="00FA0C3A" w:rsidRDefault="009260DE" w:rsidP="009260DE">
      <w:pPr>
        <w:tabs>
          <w:tab w:val="left" w:pos="851"/>
        </w:tabs>
        <w:ind w:left="851" w:hanging="851"/>
        <w:rPr>
          <w:b/>
          <w:sz w:val="24"/>
          <w:szCs w:val="24"/>
        </w:rPr>
      </w:pPr>
      <w:r w:rsidRPr="00FA0C3A">
        <w:rPr>
          <w:b/>
          <w:sz w:val="24"/>
          <w:szCs w:val="24"/>
        </w:rPr>
        <w:t>6.2</w:t>
      </w:r>
      <w:r w:rsidRPr="00FA0C3A">
        <w:rPr>
          <w:b/>
          <w:sz w:val="24"/>
          <w:szCs w:val="24"/>
        </w:rPr>
        <w:tab/>
        <w:t>Uforligeligheder</w:t>
      </w:r>
    </w:p>
    <w:p w14:paraId="2E12ADB1" w14:textId="77777777" w:rsidR="00886F11" w:rsidRPr="00FA0C3A" w:rsidRDefault="00886F11" w:rsidP="00886F11">
      <w:pPr>
        <w:ind w:left="851"/>
        <w:rPr>
          <w:sz w:val="24"/>
          <w:szCs w:val="24"/>
        </w:rPr>
      </w:pPr>
      <w:r w:rsidRPr="00FA0C3A">
        <w:rPr>
          <w:sz w:val="24"/>
          <w:szCs w:val="24"/>
        </w:rPr>
        <w:t>Ikke relevant.</w:t>
      </w:r>
    </w:p>
    <w:p w14:paraId="482676C9" w14:textId="77777777" w:rsidR="009260DE" w:rsidRPr="00FA0C3A" w:rsidRDefault="009260DE" w:rsidP="009260DE">
      <w:pPr>
        <w:tabs>
          <w:tab w:val="left" w:pos="851"/>
        </w:tabs>
        <w:ind w:left="851"/>
        <w:rPr>
          <w:sz w:val="24"/>
          <w:szCs w:val="24"/>
        </w:rPr>
      </w:pPr>
    </w:p>
    <w:p w14:paraId="06A7E03A" w14:textId="77777777" w:rsidR="009260DE" w:rsidRPr="00FA0C3A" w:rsidRDefault="009260DE" w:rsidP="009260DE">
      <w:pPr>
        <w:tabs>
          <w:tab w:val="left" w:pos="851"/>
        </w:tabs>
        <w:ind w:left="851" w:hanging="851"/>
        <w:rPr>
          <w:b/>
          <w:sz w:val="24"/>
          <w:szCs w:val="24"/>
        </w:rPr>
      </w:pPr>
      <w:r w:rsidRPr="00FA0C3A">
        <w:rPr>
          <w:b/>
          <w:sz w:val="24"/>
          <w:szCs w:val="24"/>
        </w:rPr>
        <w:t>6.3</w:t>
      </w:r>
      <w:r w:rsidRPr="00FA0C3A">
        <w:rPr>
          <w:b/>
          <w:sz w:val="24"/>
          <w:szCs w:val="24"/>
        </w:rPr>
        <w:tab/>
        <w:t>Opbevaringstid</w:t>
      </w:r>
    </w:p>
    <w:p w14:paraId="7399B8ED" w14:textId="77777777" w:rsidR="00886F11" w:rsidRPr="00FA0C3A" w:rsidRDefault="00886F11" w:rsidP="00886F11">
      <w:pPr>
        <w:ind w:left="851"/>
        <w:rPr>
          <w:sz w:val="24"/>
          <w:szCs w:val="24"/>
        </w:rPr>
      </w:pPr>
      <w:r w:rsidRPr="00FA0C3A">
        <w:rPr>
          <w:sz w:val="24"/>
          <w:szCs w:val="24"/>
        </w:rPr>
        <w:t>3 år.</w:t>
      </w:r>
    </w:p>
    <w:p w14:paraId="6BC25FF0" w14:textId="77777777" w:rsidR="009260DE" w:rsidRPr="00FA0C3A" w:rsidRDefault="009260DE" w:rsidP="009260DE">
      <w:pPr>
        <w:tabs>
          <w:tab w:val="left" w:pos="851"/>
        </w:tabs>
        <w:ind w:left="851"/>
        <w:rPr>
          <w:sz w:val="24"/>
          <w:szCs w:val="24"/>
        </w:rPr>
      </w:pPr>
    </w:p>
    <w:p w14:paraId="1AE77765" w14:textId="77777777" w:rsidR="009260DE" w:rsidRPr="00FA0C3A" w:rsidRDefault="009260DE" w:rsidP="009260DE">
      <w:pPr>
        <w:tabs>
          <w:tab w:val="left" w:pos="851"/>
        </w:tabs>
        <w:ind w:left="851" w:hanging="851"/>
        <w:rPr>
          <w:b/>
          <w:sz w:val="24"/>
          <w:szCs w:val="24"/>
        </w:rPr>
      </w:pPr>
      <w:r w:rsidRPr="00FA0C3A">
        <w:rPr>
          <w:b/>
          <w:sz w:val="24"/>
          <w:szCs w:val="24"/>
        </w:rPr>
        <w:t>6.4</w:t>
      </w:r>
      <w:r w:rsidRPr="00FA0C3A">
        <w:rPr>
          <w:b/>
          <w:sz w:val="24"/>
          <w:szCs w:val="24"/>
        </w:rPr>
        <w:tab/>
        <w:t>Særlige opbevaringsforhold</w:t>
      </w:r>
    </w:p>
    <w:p w14:paraId="38ECFF64" w14:textId="77777777" w:rsidR="00886F11" w:rsidRPr="00FA0C3A" w:rsidRDefault="00886F11" w:rsidP="00886F11">
      <w:pPr>
        <w:ind w:left="855"/>
        <w:rPr>
          <w:sz w:val="24"/>
          <w:szCs w:val="24"/>
        </w:rPr>
      </w:pPr>
      <w:r w:rsidRPr="00FA0C3A">
        <w:rPr>
          <w:sz w:val="24"/>
          <w:szCs w:val="24"/>
        </w:rPr>
        <w:t>Må ikke opbevares ved temperaturer over 30 °C.</w:t>
      </w:r>
    </w:p>
    <w:p w14:paraId="648DCDA2" w14:textId="77777777" w:rsidR="009260DE" w:rsidRPr="00FA0C3A" w:rsidRDefault="009260DE" w:rsidP="009260DE">
      <w:pPr>
        <w:tabs>
          <w:tab w:val="left" w:pos="851"/>
        </w:tabs>
        <w:ind w:left="851"/>
        <w:rPr>
          <w:sz w:val="24"/>
          <w:szCs w:val="24"/>
        </w:rPr>
      </w:pPr>
    </w:p>
    <w:p w14:paraId="2F16A156" w14:textId="77777777" w:rsidR="009260DE" w:rsidRPr="00FA0C3A" w:rsidRDefault="009260DE" w:rsidP="009260DE">
      <w:pPr>
        <w:tabs>
          <w:tab w:val="left" w:pos="851"/>
        </w:tabs>
        <w:ind w:left="851" w:hanging="851"/>
        <w:rPr>
          <w:b/>
          <w:sz w:val="24"/>
          <w:szCs w:val="24"/>
        </w:rPr>
      </w:pPr>
      <w:r w:rsidRPr="00FA0C3A">
        <w:rPr>
          <w:b/>
          <w:sz w:val="24"/>
          <w:szCs w:val="24"/>
        </w:rPr>
        <w:t>6.5</w:t>
      </w:r>
      <w:r w:rsidRPr="00FA0C3A">
        <w:rPr>
          <w:b/>
          <w:sz w:val="24"/>
          <w:szCs w:val="24"/>
        </w:rPr>
        <w:tab/>
        <w:t>Emballagetype og pakningsstørrelser</w:t>
      </w:r>
    </w:p>
    <w:p w14:paraId="3AFC16E6" w14:textId="77777777" w:rsidR="00725D71" w:rsidRPr="00FA0C3A" w:rsidRDefault="00725D71" w:rsidP="00886F11">
      <w:pPr>
        <w:ind w:left="851"/>
        <w:rPr>
          <w:sz w:val="24"/>
          <w:szCs w:val="24"/>
          <w:u w:val="single"/>
        </w:rPr>
      </w:pPr>
    </w:p>
    <w:p w14:paraId="6693BFA7" w14:textId="42330964" w:rsidR="00886F11" w:rsidRPr="00FA0C3A" w:rsidRDefault="00886F11" w:rsidP="00886F11">
      <w:pPr>
        <w:ind w:left="851"/>
        <w:rPr>
          <w:sz w:val="24"/>
          <w:szCs w:val="24"/>
          <w:u w:val="single"/>
        </w:rPr>
      </w:pPr>
      <w:r w:rsidRPr="00FA0C3A">
        <w:rPr>
          <w:sz w:val="24"/>
          <w:szCs w:val="24"/>
          <w:u w:val="single"/>
        </w:rPr>
        <w:t>Hvid ugennemsigtig PVC/</w:t>
      </w:r>
      <w:proofErr w:type="spellStart"/>
      <w:r w:rsidRPr="00FA0C3A">
        <w:rPr>
          <w:sz w:val="24"/>
          <w:szCs w:val="24"/>
          <w:u w:val="single"/>
        </w:rPr>
        <w:t>PVdC</w:t>
      </w:r>
      <w:proofErr w:type="spellEnd"/>
      <w:r w:rsidRPr="00FA0C3A">
        <w:rPr>
          <w:sz w:val="24"/>
          <w:szCs w:val="24"/>
          <w:u w:val="single"/>
        </w:rPr>
        <w:t>/</w:t>
      </w:r>
      <w:proofErr w:type="spellStart"/>
      <w:r w:rsidRPr="00FA0C3A">
        <w:rPr>
          <w:sz w:val="24"/>
          <w:szCs w:val="24"/>
          <w:u w:val="single"/>
        </w:rPr>
        <w:t>Alu</w:t>
      </w:r>
      <w:proofErr w:type="spellEnd"/>
      <w:r w:rsidRPr="00FA0C3A">
        <w:rPr>
          <w:sz w:val="24"/>
          <w:szCs w:val="24"/>
          <w:u w:val="single"/>
        </w:rPr>
        <w:t>-blisterpakning</w:t>
      </w:r>
    </w:p>
    <w:p w14:paraId="4D2C4A1A" w14:textId="77777777" w:rsidR="00886F11" w:rsidRPr="00FA0C3A" w:rsidRDefault="00886F11" w:rsidP="00886F11">
      <w:pPr>
        <w:ind w:left="851"/>
        <w:rPr>
          <w:sz w:val="24"/>
          <w:szCs w:val="24"/>
        </w:rPr>
      </w:pPr>
      <w:r w:rsidRPr="00FA0C3A">
        <w:rPr>
          <w:sz w:val="24"/>
          <w:szCs w:val="24"/>
        </w:rPr>
        <w:t>Pakningsstørrelser: 100 kapsler.</w:t>
      </w:r>
    </w:p>
    <w:p w14:paraId="0E2816B3" w14:textId="7975E506" w:rsidR="009260DE" w:rsidRPr="00FA0C3A" w:rsidRDefault="009260DE" w:rsidP="00FA0C3A">
      <w:pPr>
        <w:ind w:left="851"/>
        <w:rPr>
          <w:sz w:val="24"/>
          <w:szCs w:val="24"/>
        </w:rPr>
      </w:pPr>
    </w:p>
    <w:p w14:paraId="41DC9D20" w14:textId="77777777" w:rsidR="00FA0C3A" w:rsidRPr="00FA0C3A" w:rsidRDefault="00FA0C3A" w:rsidP="00FA0C3A">
      <w:pPr>
        <w:ind w:left="851"/>
        <w:rPr>
          <w:sz w:val="24"/>
          <w:szCs w:val="24"/>
        </w:rPr>
      </w:pPr>
      <w:r w:rsidRPr="00FA0C3A">
        <w:rPr>
          <w:sz w:val="24"/>
          <w:szCs w:val="24"/>
        </w:rPr>
        <w:t>Ikke alle pakningsstørrelser er nødvendigvis markedsført.</w:t>
      </w:r>
    </w:p>
    <w:p w14:paraId="3AE016EF" w14:textId="77777777" w:rsidR="00FA0C3A" w:rsidRPr="00FA0C3A" w:rsidRDefault="00FA0C3A" w:rsidP="009260DE">
      <w:pPr>
        <w:tabs>
          <w:tab w:val="left" w:pos="851"/>
        </w:tabs>
        <w:ind w:left="851"/>
        <w:rPr>
          <w:sz w:val="24"/>
          <w:szCs w:val="24"/>
        </w:rPr>
      </w:pPr>
    </w:p>
    <w:p w14:paraId="32FB78BE" w14:textId="77777777" w:rsidR="009260DE" w:rsidRPr="00FA0C3A" w:rsidRDefault="009260DE" w:rsidP="009260DE">
      <w:pPr>
        <w:tabs>
          <w:tab w:val="left" w:pos="851"/>
        </w:tabs>
        <w:ind w:left="851" w:hanging="851"/>
        <w:rPr>
          <w:b/>
          <w:sz w:val="24"/>
          <w:szCs w:val="24"/>
        </w:rPr>
      </w:pPr>
      <w:r w:rsidRPr="00FA0C3A">
        <w:rPr>
          <w:b/>
          <w:sz w:val="24"/>
          <w:szCs w:val="24"/>
        </w:rPr>
        <w:t>6.6</w:t>
      </w:r>
      <w:r w:rsidRPr="00FA0C3A">
        <w:rPr>
          <w:b/>
          <w:sz w:val="24"/>
          <w:szCs w:val="24"/>
        </w:rPr>
        <w:tab/>
        <w:t xml:space="preserve">Regler for </w:t>
      </w:r>
      <w:r w:rsidR="00BD7931" w:rsidRPr="00FA0C3A">
        <w:rPr>
          <w:b/>
          <w:sz w:val="24"/>
          <w:szCs w:val="24"/>
        </w:rPr>
        <w:t>bortskaffelse</w:t>
      </w:r>
      <w:r w:rsidRPr="00FA0C3A">
        <w:rPr>
          <w:b/>
          <w:sz w:val="24"/>
          <w:szCs w:val="24"/>
        </w:rPr>
        <w:t xml:space="preserve"> og anden håndtering</w:t>
      </w:r>
    </w:p>
    <w:p w14:paraId="37CA464E" w14:textId="77777777" w:rsidR="00886F11" w:rsidRPr="00FA0C3A" w:rsidRDefault="00886F11" w:rsidP="00886F11">
      <w:pPr>
        <w:ind w:left="851" w:hanging="851"/>
        <w:rPr>
          <w:sz w:val="24"/>
          <w:szCs w:val="24"/>
        </w:rPr>
      </w:pPr>
      <w:r w:rsidRPr="00FA0C3A">
        <w:rPr>
          <w:sz w:val="24"/>
          <w:szCs w:val="24"/>
        </w:rPr>
        <w:tab/>
        <w:t>Ikke anvendt lægemiddel samt affald heraf skal bortskaffes i henhold til lokale retningslinjer.</w:t>
      </w:r>
    </w:p>
    <w:p w14:paraId="4E32E253" w14:textId="77777777" w:rsidR="009260DE" w:rsidRPr="00FA0C3A" w:rsidRDefault="009260DE" w:rsidP="000730CA">
      <w:pPr>
        <w:tabs>
          <w:tab w:val="left" w:pos="851"/>
        </w:tabs>
        <w:ind w:left="851"/>
        <w:rPr>
          <w:sz w:val="24"/>
          <w:szCs w:val="24"/>
        </w:rPr>
      </w:pPr>
    </w:p>
    <w:p w14:paraId="11216A4A" w14:textId="77777777" w:rsidR="009260DE" w:rsidRPr="00FA0C3A" w:rsidRDefault="009260DE" w:rsidP="009260DE">
      <w:pPr>
        <w:tabs>
          <w:tab w:val="left" w:pos="851"/>
        </w:tabs>
        <w:ind w:left="851" w:hanging="851"/>
        <w:rPr>
          <w:b/>
          <w:sz w:val="24"/>
          <w:szCs w:val="24"/>
        </w:rPr>
      </w:pPr>
      <w:r w:rsidRPr="00FA0C3A">
        <w:rPr>
          <w:b/>
          <w:sz w:val="24"/>
          <w:szCs w:val="24"/>
        </w:rPr>
        <w:t>7.</w:t>
      </w:r>
      <w:r w:rsidRPr="00FA0C3A">
        <w:rPr>
          <w:b/>
          <w:sz w:val="24"/>
          <w:szCs w:val="24"/>
        </w:rPr>
        <w:tab/>
        <w:t>INDEHAVER AF MARKEDSFØRINGSTILLADELSEN</w:t>
      </w:r>
    </w:p>
    <w:p w14:paraId="1EFE1050" w14:textId="77777777" w:rsidR="00886F11" w:rsidRPr="00FA0C3A" w:rsidRDefault="00886F11" w:rsidP="00725D71">
      <w:pPr>
        <w:ind w:left="851"/>
        <w:rPr>
          <w:sz w:val="24"/>
          <w:szCs w:val="24"/>
        </w:rPr>
      </w:pPr>
      <w:proofErr w:type="spellStart"/>
      <w:r w:rsidRPr="00FA0C3A">
        <w:rPr>
          <w:sz w:val="24"/>
          <w:szCs w:val="24"/>
        </w:rPr>
        <w:t>Hexal</w:t>
      </w:r>
      <w:proofErr w:type="spellEnd"/>
      <w:r w:rsidRPr="00FA0C3A">
        <w:rPr>
          <w:sz w:val="24"/>
          <w:szCs w:val="24"/>
        </w:rPr>
        <w:t xml:space="preserve"> A/S</w:t>
      </w:r>
    </w:p>
    <w:p w14:paraId="13C497EB" w14:textId="77777777" w:rsidR="00886F11" w:rsidRPr="00FA0C3A" w:rsidRDefault="00886F11" w:rsidP="00725D71">
      <w:pPr>
        <w:ind w:left="851"/>
        <w:rPr>
          <w:sz w:val="24"/>
          <w:szCs w:val="24"/>
        </w:rPr>
      </w:pPr>
      <w:r w:rsidRPr="00FA0C3A">
        <w:rPr>
          <w:sz w:val="24"/>
          <w:szCs w:val="24"/>
        </w:rPr>
        <w:t>Edvard Thomsens Vej 14</w:t>
      </w:r>
    </w:p>
    <w:p w14:paraId="7804D774" w14:textId="77777777" w:rsidR="00886F11" w:rsidRPr="00FA0C3A" w:rsidRDefault="00886F11" w:rsidP="00725D71">
      <w:pPr>
        <w:ind w:left="851"/>
        <w:rPr>
          <w:sz w:val="24"/>
          <w:szCs w:val="24"/>
        </w:rPr>
      </w:pPr>
      <w:r w:rsidRPr="00FA0C3A">
        <w:rPr>
          <w:sz w:val="24"/>
          <w:szCs w:val="24"/>
        </w:rPr>
        <w:t>2300 København S</w:t>
      </w:r>
    </w:p>
    <w:p w14:paraId="2F7B541F" w14:textId="77777777" w:rsidR="009260DE" w:rsidRPr="00FA0C3A" w:rsidRDefault="009260DE" w:rsidP="00725D71">
      <w:pPr>
        <w:ind w:left="851"/>
        <w:rPr>
          <w:sz w:val="24"/>
          <w:szCs w:val="24"/>
        </w:rPr>
      </w:pPr>
    </w:p>
    <w:p w14:paraId="2956F098" w14:textId="77777777" w:rsidR="00641C65" w:rsidRPr="00FA0C3A" w:rsidRDefault="00641C65" w:rsidP="00725D71">
      <w:pPr>
        <w:ind w:left="851"/>
        <w:rPr>
          <w:sz w:val="24"/>
          <w:szCs w:val="24"/>
        </w:rPr>
      </w:pPr>
      <w:r w:rsidRPr="00FA0C3A">
        <w:rPr>
          <w:b/>
          <w:sz w:val="24"/>
          <w:szCs w:val="24"/>
        </w:rPr>
        <w:t>Repræsentant</w:t>
      </w:r>
    </w:p>
    <w:p w14:paraId="7563B0F7" w14:textId="71FEDB39" w:rsidR="00670896" w:rsidRPr="00FA0C3A" w:rsidRDefault="00670896" w:rsidP="00725D71">
      <w:pPr>
        <w:ind w:left="851"/>
        <w:rPr>
          <w:sz w:val="24"/>
          <w:szCs w:val="24"/>
          <w:lang w:val="en-US"/>
        </w:rPr>
      </w:pPr>
      <w:r w:rsidRPr="00FA0C3A">
        <w:rPr>
          <w:sz w:val="24"/>
          <w:szCs w:val="24"/>
          <w:lang w:val="en-US"/>
        </w:rPr>
        <w:t>Sandoz A/S</w:t>
      </w:r>
    </w:p>
    <w:p w14:paraId="0C88DCEF" w14:textId="77777777" w:rsidR="00670896" w:rsidRPr="00FA0C3A" w:rsidRDefault="00670896" w:rsidP="00725D71">
      <w:pPr>
        <w:ind w:left="851"/>
        <w:rPr>
          <w:sz w:val="24"/>
          <w:szCs w:val="24"/>
          <w:lang w:val="en-US"/>
        </w:rPr>
      </w:pPr>
      <w:r w:rsidRPr="00FA0C3A">
        <w:rPr>
          <w:sz w:val="24"/>
          <w:szCs w:val="24"/>
          <w:lang w:val="en-US"/>
        </w:rPr>
        <w:t xml:space="preserve">Edvard </w:t>
      </w:r>
      <w:proofErr w:type="spellStart"/>
      <w:r w:rsidRPr="00FA0C3A">
        <w:rPr>
          <w:sz w:val="24"/>
          <w:szCs w:val="24"/>
          <w:lang w:val="en-US"/>
        </w:rPr>
        <w:t>Thomsens</w:t>
      </w:r>
      <w:proofErr w:type="spellEnd"/>
      <w:r w:rsidRPr="00FA0C3A">
        <w:rPr>
          <w:sz w:val="24"/>
          <w:szCs w:val="24"/>
          <w:lang w:val="en-US"/>
        </w:rPr>
        <w:t xml:space="preserve"> </w:t>
      </w:r>
      <w:proofErr w:type="spellStart"/>
      <w:r w:rsidRPr="00FA0C3A">
        <w:rPr>
          <w:sz w:val="24"/>
          <w:szCs w:val="24"/>
          <w:lang w:val="en-US"/>
        </w:rPr>
        <w:t>Vej</w:t>
      </w:r>
      <w:proofErr w:type="spellEnd"/>
      <w:r w:rsidRPr="00FA0C3A">
        <w:rPr>
          <w:sz w:val="24"/>
          <w:szCs w:val="24"/>
          <w:lang w:val="en-US"/>
        </w:rPr>
        <w:t xml:space="preserve"> 14</w:t>
      </w:r>
    </w:p>
    <w:p w14:paraId="0758CE10" w14:textId="79907CBC" w:rsidR="00641C65" w:rsidRPr="00FA0C3A" w:rsidRDefault="00670896" w:rsidP="00725D71">
      <w:pPr>
        <w:ind w:left="851"/>
        <w:rPr>
          <w:sz w:val="24"/>
          <w:szCs w:val="24"/>
        </w:rPr>
      </w:pPr>
      <w:r w:rsidRPr="00FA0C3A">
        <w:rPr>
          <w:sz w:val="24"/>
          <w:szCs w:val="24"/>
        </w:rPr>
        <w:t>2300 København S</w:t>
      </w:r>
    </w:p>
    <w:p w14:paraId="74E6034B" w14:textId="77777777" w:rsidR="00641C65" w:rsidRPr="00FA0C3A" w:rsidRDefault="00641C65" w:rsidP="009260DE">
      <w:pPr>
        <w:tabs>
          <w:tab w:val="left" w:pos="851"/>
        </w:tabs>
        <w:ind w:left="851"/>
        <w:rPr>
          <w:sz w:val="24"/>
          <w:szCs w:val="24"/>
        </w:rPr>
      </w:pPr>
    </w:p>
    <w:p w14:paraId="37193907" w14:textId="77777777" w:rsidR="009260DE" w:rsidRPr="00FA0C3A" w:rsidRDefault="009260DE" w:rsidP="009260DE">
      <w:pPr>
        <w:tabs>
          <w:tab w:val="left" w:pos="851"/>
        </w:tabs>
        <w:ind w:left="851" w:hanging="851"/>
        <w:rPr>
          <w:b/>
          <w:sz w:val="24"/>
          <w:szCs w:val="24"/>
        </w:rPr>
      </w:pPr>
      <w:r w:rsidRPr="00FA0C3A">
        <w:rPr>
          <w:b/>
          <w:sz w:val="24"/>
          <w:szCs w:val="24"/>
        </w:rPr>
        <w:t>8.</w:t>
      </w:r>
      <w:r w:rsidRPr="00FA0C3A">
        <w:rPr>
          <w:b/>
          <w:sz w:val="24"/>
          <w:szCs w:val="24"/>
        </w:rPr>
        <w:tab/>
        <w:t>MARKEDSFØRINGSTILLADELSESNUMMER (</w:t>
      </w:r>
      <w:r w:rsidR="00BF6243" w:rsidRPr="00FA0C3A">
        <w:rPr>
          <w:b/>
          <w:sz w:val="24"/>
          <w:szCs w:val="24"/>
        </w:rPr>
        <w:t>-</w:t>
      </w:r>
      <w:r w:rsidRPr="00FA0C3A">
        <w:rPr>
          <w:b/>
          <w:sz w:val="24"/>
          <w:szCs w:val="24"/>
        </w:rPr>
        <w:t>NUMRE)</w:t>
      </w:r>
    </w:p>
    <w:p w14:paraId="5DAD80DB" w14:textId="5F74C7B7" w:rsidR="009260DE" w:rsidRPr="00FA0C3A" w:rsidRDefault="00886F11" w:rsidP="009260DE">
      <w:pPr>
        <w:tabs>
          <w:tab w:val="left" w:pos="851"/>
        </w:tabs>
        <w:ind w:left="851"/>
        <w:rPr>
          <w:sz w:val="24"/>
          <w:szCs w:val="24"/>
        </w:rPr>
      </w:pPr>
      <w:r w:rsidRPr="00FA0C3A">
        <w:rPr>
          <w:sz w:val="24"/>
          <w:szCs w:val="24"/>
        </w:rPr>
        <w:t>67628</w:t>
      </w:r>
    </w:p>
    <w:p w14:paraId="64353E0E" w14:textId="77777777" w:rsidR="009260DE" w:rsidRPr="00FA0C3A" w:rsidRDefault="009260DE" w:rsidP="009260DE">
      <w:pPr>
        <w:tabs>
          <w:tab w:val="left" w:pos="851"/>
        </w:tabs>
        <w:ind w:left="851"/>
        <w:jc w:val="both"/>
        <w:rPr>
          <w:sz w:val="24"/>
          <w:szCs w:val="24"/>
        </w:rPr>
      </w:pPr>
    </w:p>
    <w:p w14:paraId="699A7986" w14:textId="77777777" w:rsidR="009260DE" w:rsidRPr="00FA0C3A" w:rsidRDefault="009260DE" w:rsidP="009260DE">
      <w:pPr>
        <w:tabs>
          <w:tab w:val="left" w:pos="851"/>
        </w:tabs>
        <w:ind w:left="851" w:hanging="851"/>
        <w:rPr>
          <w:b/>
          <w:sz w:val="24"/>
          <w:szCs w:val="24"/>
        </w:rPr>
      </w:pPr>
      <w:r w:rsidRPr="00FA0C3A">
        <w:rPr>
          <w:b/>
          <w:sz w:val="24"/>
          <w:szCs w:val="24"/>
        </w:rPr>
        <w:t>9.</w:t>
      </w:r>
      <w:r w:rsidRPr="00FA0C3A">
        <w:rPr>
          <w:b/>
          <w:sz w:val="24"/>
          <w:szCs w:val="24"/>
        </w:rPr>
        <w:tab/>
        <w:t>DATO FOR FØRSTE MARKEDSFØRINGSTILLADELSE</w:t>
      </w:r>
    </w:p>
    <w:p w14:paraId="6634ECBC" w14:textId="5237D899" w:rsidR="009260DE" w:rsidRPr="00FA0C3A" w:rsidRDefault="000D7946" w:rsidP="009260DE">
      <w:pPr>
        <w:tabs>
          <w:tab w:val="left" w:pos="851"/>
        </w:tabs>
        <w:ind w:left="851"/>
        <w:rPr>
          <w:sz w:val="24"/>
          <w:szCs w:val="24"/>
        </w:rPr>
      </w:pPr>
      <w:r>
        <w:rPr>
          <w:sz w:val="24"/>
          <w:szCs w:val="24"/>
        </w:rPr>
        <w:t>25. januar 2024</w:t>
      </w:r>
    </w:p>
    <w:p w14:paraId="176AC715" w14:textId="77777777" w:rsidR="009260DE" w:rsidRPr="00FA0C3A" w:rsidRDefault="009260DE" w:rsidP="009260DE">
      <w:pPr>
        <w:tabs>
          <w:tab w:val="left" w:pos="851"/>
        </w:tabs>
        <w:ind w:left="851"/>
        <w:rPr>
          <w:sz w:val="24"/>
          <w:szCs w:val="24"/>
        </w:rPr>
      </w:pPr>
    </w:p>
    <w:p w14:paraId="766441D9" w14:textId="77777777" w:rsidR="009260DE" w:rsidRPr="00FA0C3A" w:rsidRDefault="009260DE" w:rsidP="009260DE">
      <w:pPr>
        <w:tabs>
          <w:tab w:val="left" w:pos="851"/>
        </w:tabs>
        <w:ind w:left="851" w:hanging="851"/>
        <w:rPr>
          <w:b/>
          <w:sz w:val="24"/>
          <w:szCs w:val="24"/>
        </w:rPr>
      </w:pPr>
      <w:r w:rsidRPr="00FA0C3A">
        <w:rPr>
          <w:b/>
          <w:sz w:val="24"/>
          <w:szCs w:val="24"/>
        </w:rPr>
        <w:t>10.</w:t>
      </w:r>
      <w:r w:rsidRPr="00FA0C3A">
        <w:rPr>
          <w:b/>
          <w:sz w:val="24"/>
          <w:szCs w:val="24"/>
        </w:rPr>
        <w:tab/>
        <w:t>DATO FOR ÆNDRING AF TEKSTEN</w:t>
      </w:r>
    </w:p>
    <w:p w14:paraId="7F3F1E22" w14:textId="4D4C931A" w:rsidR="009260DE" w:rsidRPr="00FA0C3A" w:rsidRDefault="006E72DB" w:rsidP="009260DE">
      <w:pPr>
        <w:tabs>
          <w:tab w:val="left" w:pos="851"/>
        </w:tabs>
        <w:ind w:left="851"/>
        <w:rPr>
          <w:sz w:val="24"/>
          <w:szCs w:val="24"/>
        </w:rPr>
      </w:pPr>
      <w:r>
        <w:rPr>
          <w:sz w:val="24"/>
          <w:szCs w:val="24"/>
        </w:rPr>
        <w:t>16. januar 2025</w:t>
      </w:r>
    </w:p>
    <w:sectPr w:rsidR="009260DE" w:rsidRPr="00FA0C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E2B5" w14:textId="77777777" w:rsidR="001145A2" w:rsidRDefault="001145A2">
      <w:r>
        <w:separator/>
      </w:r>
    </w:p>
  </w:endnote>
  <w:endnote w:type="continuationSeparator" w:id="0">
    <w:p w14:paraId="503B7EB0" w14:textId="77777777" w:rsidR="001145A2" w:rsidRDefault="0011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B8F1" w14:textId="77777777" w:rsidR="001145A2" w:rsidRDefault="001145A2">
    <w:pPr>
      <w:pStyle w:val="Sidefod"/>
      <w:pBdr>
        <w:bottom w:val="single" w:sz="6" w:space="1" w:color="auto"/>
      </w:pBdr>
    </w:pPr>
  </w:p>
  <w:p w14:paraId="211FCC52" w14:textId="77777777" w:rsidR="001145A2" w:rsidRDefault="001145A2" w:rsidP="00C42586">
    <w:pPr>
      <w:pStyle w:val="Sidefod"/>
      <w:tabs>
        <w:tab w:val="clear" w:pos="4819"/>
        <w:tab w:val="left" w:pos="8505"/>
      </w:tabs>
      <w:rPr>
        <w:i/>
        <w:sz w:val="18"/>
        <w:szCs w:val="18"/>
      </w:rPr>
    </w:pPr>
  </w:p>
  <w:p w14:paraId="5BEE264D" w14:textId="5A6B6823" w:rsidR="001145A2" w:rsidRPr="00B373D7" w:rsidRDefault="001145A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7946">
      <w:rPr>
        <w:i/>
        <w:noProof/>
        <w:sz w:val="18"/>
        <w:szCs w:val="18"/>
      </w:rPr>
      <w:t>Mycophenolate mofetil Hexal, hårde kapsler 250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697B" w14:textId="77777777" w:rsidR="001145A2" w:rsidRDefault="001145A2">
      <w:r>
        <w:separator/>
      </w:r>
    </w:p>
  </w:footnote>
  <w:footnote w:type="continuationSeparator" w:id="0">
    <w:p w14:paraId="5D7D88B8" w14:textId="77777777" w:rsidR="001145A2" w:rsidRDefault="0011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E69"/>
    <w:multiLevelType w:val="hybridMultilevel"/>
    <w:tmpl w:val="F6B06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A3640E"/>
    <w:multiLevelType w:val="hybridMultilevel"/>
    <w:tmpl w:val="5F98C47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8"/>
    <w:rsid w:val="000259B9"/>
    <w:rsid w:val="00041491"/>
    <w:rsid w:val="00042DFD"/>
    <w:rsid w:val="00050D16"/>
    <w:rsid w:val="000730CA"/>
    <w:rsid w:val="00074F2A"/>
    <w:rsid w:val="000A1CA8"/>
    <w:rsid w:val="000A466B"/>
    <w:rsid w:val="000B058C"/>
    <w:rsid w:val="000C41F8"/>
    <w:rsid w:val="000D68B0"/>
    <w:rsid w:val="000D7946"/>
    <w:rsid w:val="000E4EE6"/>
    <w:rsid w:val="001145A2"/>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66A24"/>
    <w:rsid w:val="00594A86"/>
    <w:rsid w:val="00596D86"/>
    <w:rsid w:val="0063588A"/>
    <w:rsid w:val="00637F5A"/>
    <w:rsid w:val="00641C65"/>
    <w:rsid w:val="006560B1"/>
    <w:rsid w:val="00670896"/>
    <w:rsid w:val="006756DD"/>
    <w:rsid w:val="0067745D"/>
    <w:rsid w:val="006E72DB"/>
    <w:rsid w:val="0071241E"/>
    <w:rsid w:val="00725D71"/>
    <w:rsid w:val="00737275"/>
    <w:rsid w:val="00740EEC"/>
    <w:rsid w:val="0078011A"/>
    <w:rsid w:val="00782AF4"/>
    <w:rsid w:val="00790EE7"/>
    <w:rsid w:val="007B6649"/>
    <w:rsid w:val="0082576E"/>
    <w:rsid w:val="00886F11"/>
    <w:rsid w:val="0089346F"/>
    <w:rsid w:val="008D3E9F"/>
    <w:rsid w:val="00907F75"/>
    <w:rsid w:val="009260DE"/>
    <w:rsid w:val="0093258A"/>
    <w:rsid w:val="009C7BA3"/>
    <w:rsid w:val="009D1F5A"/>
    <w:rsid w:val="009F4E9B"/>
    <w:rsid w:val="00A10294"/>
    <w:rsid w:val="00B003BF"/>
    <w:rsid w:val="00B373D7"/>
    <w:rsid w:val="00B55271"/>
    <w:rsid w:val="00BD7931"/>
    <w:rsid w:val="00BF6243"/>
    <w:rsid w:val="00C36276"/>
    <w:rsid w:val="00C42586"/>
    <w:rsid w:val="00C45F6B"/>
    <w:rsid w:val="00C60CCD"/>
    <w:rsid w:val="00C84483"/>
    <w:rsid w:val="00C90F4F"/>
    <w:rsid w:val="00C95551"/>
    <w:rsid w:val="00CB20D7"/>
    <w:rsid w:val="00D020B0"/>
    <w:rsid w:val="00D11748"/>
    <w:rsid w:val="00D237F6"/>
    <w:rsid w:val="00D34D98"/>
    <w:rsid w:val="00D366CF"/>
    <w:rsid w:val="00D93992"/>
    <w:rsid w:val="00E108AA"/>
    <w:rsid w:val="00E3546B"/>
    <w:rsid w:val="00E3749A"/>
    <w:rsid w:val="00E7437F"/>
    <w:rsid w:val="00E865B8"/>
    <w:rsid w:val="00EC0B9B"/>
    <w:rsid w:val="00ED5E9F"/>
    <w:rsid w:val="00F66D4F"/>
    <w:rsid w:val="00FA0C3A"/>
    <w:rsid w:val="00FA22A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AD92"/>
  <w15:chartTrackingRefBased/>
  <w15:docId w15:val="{7B18402F-6CB2-49A0-8334-BAB15E67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86F11"/>
    <w:pPr>
      <w:autoSpaceDE w:val="0"/>
      <w:autoSpaceDN w:val="0"/>
      <w:adjustRightInd w:val="0"/>
    </w:pPr>
    <w:rPr>
      <w:color w:val="000000"/>
      <w:sz w:val="24"/>
      <w:szCs w:val="24"/>
    </w:rPr>
  </w:style>
  <w:style w:type="paragraph" w:styleId="Listeafsnit">
    <w:name w:val="List Paragraph"/>
    <w:basedOn w:val="Normal"/>
    <w:uiPriority w:val="34"/>
    <w:qFormat/>
    <w:rsid w:val="00886F11"/>
    <w:pPr>
      <w:ind w:left="720"/>
      <w:contextualSpacing/>
    </w:pPr>
  </w:style>
  <w:style w:type="paragraph" w:styleId="NormalWeb">
    <w:name w:val="Normal (Web)"/>
    <w:basedOn w:val="Normal"/>
    <w:uiPriority w:val="99"/>
    <w:unhideWhenUsed/>
    <w:rsid w:val="00FA0C3A"/>
    <w:pPr>
      <w:spacing w:before="100" w:beforeAutospacing="1" w:after="100" w:afterAutospacing="1"/>
    </w:pPr>
    <w:rPr>
      <w:rFonts w:eastAsiaTheme="minorHAnsi"/>
      <w:sz w:val="24"/>
      <w:szCs w:val="24"/>
      <w:lang w:eastAsia="da-DK"/>
    </w:rPr>
  </w:style>
  <w:style w:type="character" w:styleId="Hyperlink">
    <w:name w:val="Hyperlink"/>
    <w:basedOn w:val="Standardskrifttypeiafsnit"/>
    <w:uiPriority w:val="99"/>
    <w:unhideWhenUsed/>
    <w:rsid w:val="006E72DB"/>
    <w:rPr>
      <w:color w:val="0563C1" w:themeColor="hyperlink"/>
      <w:u w:val="single"/>
    </w:rPr>
  </w:style>
  <w:style w:type="character" w:styleId="Ulstomtale">
    <w:name w:val="Unresolved Mention"/>
    <w:basedOn w:val="Standardskrifttypeiafsnit"/>
    <w:uiPriority w:val="99"/>
    <w:semiHidden/>
    <w:unhideWhenUsed/>
    <w:rsid w:val="006E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2441">
      <w:bodyDiv w:val="1"/>
      <w:marLeft w:val="0"/>
      <w:marRight w:val="0"/>
      <w:marTop w:val="0"/>
      <w:marBottom w:val="0"/>
      <w:divBdr>
        <w:top w:val="none" w:sz="0" w:space="0" w:color="auto"/>
        <w:left w:val="none" w:sz="0" w:space="0" w:color="auto"/>
        <w:bottom w:val="none" w:sz="0" w:space="0" w:color="auto"/>
        <w:right w:val="none" w:sz="0" w:space="0" w:color="auto"/>
      </w:divBdr>
    </w:div>
    <w:div w:id="1487195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236510">
      <w:bodyDiv w:val="1"/>
      <w:marLeft w:val="0"/>
      <w:marRight w:val="0"/>
      <w:marTop w:val="0"/>
      <w:marBottom w:val="0"/>
      <w:divBdr>
        <w:top w:val="none" w:sz="0" w:space="0" w:color="auto"/>
        <w:left w:val="none" w:sz="0" w:space="0" w:color="auto"/>
        <w:bottom w:val="none" w:sz="0" w:space="0" w:color="auto"/>
        <w:right w:val="none" w:sz="0" w:space="0" w:color="auto"/>
      </w:divBdr>
    </w:div>
    <w:div w:id="202795663">
      <w:bodyDiv w:val="1"/>
      <w:marLeft w:val="0"/>
      <w:marRight w:val="0"/>
      <w:marTop w:val="0"/>
      <w:marBottom w:val="0"/>
      <w:divBdr>
        <w:top w:val="none" w:sz="0" w:space="0" w:color="auto"/>
        <w:left w:val="none" w:sz="0" w:space="0" w:color="auto"/>
        <w:bottom w:val="none" w:sz="0" w:space="0" w:color="auto"/>
        <w:right w:val="none" w:sz="0" w:space="0" w:color="auto"/>
      </w:divBdr>
    </w:div>
    <w:div w:id="264658047">
      <w:bodyDiv w:val="1"/>
      <w:marLeft w:val="0"/>
      <w:marRight w:val="0"/>
      <w:marTop w:val="0"/>
      <w:marBottom w:val="0"/>
      <w:divBdr>
        <w:top w:val="none" w:sz="0" w:space="0" w:color="auto"/>
        <w:left w:val="none" w:sz="0" w:space="0" w:color="auto"/>
        <w:bottom w:val="none" w:sz="0" w:space="0" w:color="auto"/>
        <w:right w:val="none" w:sz="0" w:space="0" w:color="auto"/>
      </w:divBdr>
    </w:div>
    <w:div w:id="291063625">
      <w:bodyDiv w:val="1"/>
      <w:marLeft w:val="0"/>
      <w:marRight w:val="0"/>
      <w:marTop w:val="0"/>
      <w:marBottom w:val="0"/>
      <w:divBdr>
        <w:top w:val="none" w:sz="0" w:space="0" w:color="auto"/>
        <w:left w:val="none" w:sz="0" w:space="0" w:color="auto"/>
        <w:bottom w:val="none" w:sz="0" w:space="0" w:color="auto"/>
        <w:right w:val="none" w:sz="0" w:space="0" w:color="auto"/>
      </w:divBdr>
    </w:div>
    <w:div w:id="357850819">
      <w:bodyDiv w:val="1"/>
      <w:marLeft w:val="0"/>
      <w:marRight w:val="0"/>
      <w:marTop w:val="0"/>
      <w:marBottom w:val="0"/>
      <w:divBdr>
        <w:top w:val="none" w:sz="0" w:space="0" w:color="auto"/>
        <w:left w:val="none" w:sz="0" w:space="0" w:color="auto"/>
        <w:bottom w:val="none" w:sz="0" w:space="0" w:color="auto"/>
        <w:right w:val="none" w:sz="0" w:space="0" w:color="auto"/>
      </w:divBdr>
    </w:div>
    <w:div w:id="413162023">
      <w:bodyDiv w:val="1"/>
      <w:marLeft w:val="0"/>
      <w:marRight w:val="0"/>
      <w:marTop w:val="0"/>
      <w:marBottom w:val="0"/>
      <w:divBdr>
        <w:top w:val="none" w:sz="0" w:space="0" w:color="auto"/>
        <w:left w:val="none" w:sz="0" w:space="0" w:color="auto"/>
        <w:bottom w:val="none" w:sz="0" w:space="0" w:color="auto"/>
        <w:right w:val="none" w:sz="0" w:space="0" w:color="auto"/>
      </w:divBdr>
    </w:div>
    <w:div w:id="440804552">
      <w:bodyDiv w:val="1"/>
      <w:marLeft w:val="0"/>
      <w:marRight w:val="0"/>
      <w:marTop w:val="0"/>
      <w:marBottom w:val="0"/>
      <w:divBdr>
        <w:top w:val="none" w:sz="0" w:space="0" w:color="auto"/>
        <w:left w:val="none" w:sz="0" w:space="0" w:color="auto"/>
        <w:bottom w:val="none" w:sz="0" w:space="0" w:color="auto"/>
        <w:right w:val="none" w:sz="0" w:space="0" w:color="auto"/>
      </w:divBdr>
    </w:div>
    <w:div w:id="870263075">
      <w:bodyDiv w:val="1"/>
      <w:marLeft w:val="0"/>
      <w:marRight w:val="0"/>
      <w:marTop w:val="0"/>
      <w:marBottom w:val="0"/>
      <w:divBdr>
        <w:top w:val="none" w:sz="0" w:space="0" w:color="auto"/>
        <w:left w:val="none" w:sz="0" w:space="0" w:color="auto"/>
        <w:bottom w:val="none" w:sz="0" w:space="0" w:color="auto"/>
        <w:right w:val="none" w:sz="0" w:space="0" w:color="auto"/>
      </w:divBdr>
    </w:div>
    <w:div w:id="1133406308">
      <w:bodyDiv w:val="1"/>
      <w:marLeft w:val="0"/>
      <w:marRight w:val="0"/>
      <w:marTop w:val="0"/>
      <w:marBottom w:val="0"/>
      <w:divBdr>
        <w:top w:val="none" w:sz="0" w:space="0" w:color="auto"/>
        <w:left w:val="none" w:sz="0" w:space="0" w:color="auto"/>
        <w:bottom w:val="none" w:sz="0" w:space="0" w:color="auto"/>
        <w:right w:val="none" w:sz="0" w:space="0" w:color="auto"/>
      </w:divBdr>
    </w:div>
    <w:div w:id="1260984619">
      <w:bodyDiv w:val="1"/>
      <w:marLeft w:val="0"/>
      <w:marRight w:val="0"/>
      <w:marTop w:val="0"/>
      <w:marBottom w:val="0"/>
      <w:divBdr>
        <w:top w:val="none" w:sz="0" w:space="0" w:color="auto"/>
        <w:left w:val="none" w:sz="0" w:space="0" w:color="auto"/>
        <w:bottom w:val="none" w:sz="0" w:space="0" w:color="auto"/>
        <w:right w:val="none" w:sz="0" w:space="0" w:color="auto"/>
      </w:divBdr>
    </w:div>
    <w:div w:id="1292784122">
      <w:bodyDiv w:val="1"/>
      <w:marLeft w:val="0"/>
      <w:marRight w:val="0"/>
      <w:marTop w:val="0"/>
      <w:marBottom w:val="0"/>
      <w:divBdr>
        <w:top w:val="none" w:sz="0" w:space="0" w:color="auto"/>
        <w:left w:val="none" w:sz="0" w:space="0" w:color="auto"/>
        <w:bottom w:val="none" w:sz="0" w:space="0" w:color="auto"/>
        <w:right w:val="none" w:sz="0" w:space="0" w:color="auto"/>
      </w:divBdr>
    </w:div>
    <w:div w:id="1296716396">
      <w:bodyDiv w:val="1"/>
      <w:marLeft w:val="0"/>
      <w:marRight w:val="0"/>
      <w:marTop w:val="0"/>
      <w:marBottom w:val="0"/>
      <w:divBdr>
        <w:top w:val="none" w:sz="0" w:space="0" w:color="auto"/>
        <w:left w:val="none" w:sz="0" w:space="0" w:color="auto"/>
        <w:bottom w:val="none" w:sz="0" w:space="0" w:color="auto"/>
        <w:right w:val="none" w:sz="0" w:space="0" w:color="auto"/>
      </w:divBdr>
    </w:div>
    <w:div w:id="1332223228">
      <w:bodyDiv w:val="1"/>
      <w:marLeft w:val="0"/>
      <w:marRight w:val="0"/>
      <w:marTop w:val="0"/>
      <w:marBottom w:val="0"/>
      <w:divBdr>
        <w:top w:val="none" w:sz="0" w:space="0" w:color="auto"/>
        <w:left w:val="none" w:sz="0" w:space="0" w:color="auto"/>
        <w:bottom w:val="none" w:sz="0" w:space="0" w:color="auto"/>
        <w:right w:val="none" w:sz="0" w:space="0" w:color="auto"/>
      </w:divBdr>
    </w:div>
    <w:div w:id="1431973872">
      <w:bodyDiv w:val="1"/>
      <w:marLeft w:val="0"/>
      <w:marRight w:val="0"/>
      <w:marTop w:val="0"/>
      <w:marBottom w:val="0"/>
      <w:divBdr>
        <w:top w:val="none" w:sz="0" w:space="0" w:color="auto"/>
        <w:left w:val="none" w:sz="0" w:space="0" w:color="auto"/>
        <w:bottom w:val="none" w:sz="0" w:space="0" w:color="auto"/>
        <w:right w:val="none" w:sz="0" w:space="0" w:color="auto"/>
      </w:divBdr>
    </w:div>
    <w:div w:id="1444425774">
      <w:bodyDiv w:val="1"/>
      <w:marLeft w:val="0"/>
      <w:marRight w:val="0"/>
      <w:marTop w:val="0"/>
      <w:marBottom w:val="0"/>
      <w:divBdr>
        <w:top w:val="none" w:sz="0" w:space="0" w:color="auto"/>
        <w:left w:val="none" w:sz="0" w:space="0" w:color="auto"/>
        <w:bottom w:val="none" w:sz="0" w:space="0" w:color="auto"/>
        <w:right w:val="none" w:sz="0" w:space="0" w:color="auto"/>
      </w:divBdr>
    </w:div>
    <w:div w:id="1519545111">
      <w:bodyDiv w:val="1"/>
      <w:marLeft w:val="0"/>
      <w:marRight w:val="0"/>
      <w:marTop w:val="0"/>
      <w:marBottom w:val="0"/>
      <w:divBdr>
        <w:top w:val="none" w:sz="0" w:space="0" w:color="auto"/>
        <w:left w:val="none" w:sz="0" w:space="0" w:color="auto"/>
        <w:bottom w:val="none" w:sz="0" w:space="0" w:color="auto"/>
        <w:right w:val="none" w:sz="0" w:space="0" w:color="auto"/>
      </w:divBdr>
    </w:div>
    <w:div w:id="1548225594">
      <w:bodyDiv w:val="1"/>
      <w:marLeft w:val="0"/>
      <w:marRight w:val="0"/>
      <w:marTop w:val="0"/>
      <w:marBottom w:val="0"/>
      <w:divBdr>
        <w:top w:val="none" w:sz="0" w:space="0" w:color="auto"/>
        <w:left w:val="none" w:sz="0" w:space="0" w:color="auto"/>
        <w:bottom w:val="none" w:sz="0" w:space="0" w:color="auto"/>
        <w:right w:val="none" w:sz="0" w:space="0" w:color="auto"/>
      </w:divBdr>
    </w:div>
    <w:div w:id="1578830823">
      <w:bodyDiv w:val="1"/>
      <w:marLeft w:val="0"/>
      <w:marRight w:val="0"/>
      <w:marTop w:val="0"/>
      <w:marBottom w:val="0"/>
      <w:divBdr>
        <w:top w:val="none" w:sz="0" w:space="0" w:color="auto"/>
        <w:left w:val="none" w:sz="0" w:space="0" w:color="auto"/>
        <w:bottom w:val="none" w:sz="0" w:space="0" w:color="auto"/>
        <w:right w:val="none" w:sz="0" w:space="0" w:color="auto"/>
      </w:divBdr>
    </w:div>
    <w:div w:id="1671446609">
      <w:bodyDiv w:val="1"/>
      <w:marLeft w:val="0"/>
      <w:marRight w:val="0"/>
      <w:marTop w:val="0"/>
      <w:marBottom w:val="0"/>
      <w:divBdr>
        <w:top w:val="none" w:sz="0" w:space="0" w:color="auto"/>
        <w:left w:val="none" w:sz="0" w:space="0" w:color="auto"/>
        <w:bottom w:val="none" w:sz="0" w:space="0" w:color="auto"/>
        <w:right w:val="none" w:sz="0" w:space="0" w:color="auto"/>
      </w:divBdr>
    </w:div>
    <w:div w:id="17893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22</Pages>
  <Words>7347</Words>
  <Characters>50872</Characters>
  <Application>Microsoft Office Word</Application>
  <DocSecurity>0</DocSecurity>
  <Lines>423</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2024042275  - pkt. 4.6</dc:description>
  <cp:lastModifiedBy>Line Aaboe Würtz</cp:lastModifiedBy>
  <cp:revision>3</cp:revision>
  <cp:lastPrinted>2012-08-22T08:53:00Z</cp:lastPrinted>
  <dcterms:created xsi:type="dcterms:W3CDTF">2025-01-16T06:03:00Z</dcterms:created>
  <dcterms:modified xsi:type="dcterms:W3CDTF">2025-01-16T06:06:00Z</dcterms:modified>
</cp:coreProperties>
</file>