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5AB" w:rsidRPr="007205D5" w:rsidRDefault="00B065AB" w:rsidP="00B065AB">
      <w:pPr>
        <w:rPr>
          <w:sz w:val="24"/>
          <w:szCs w:val="24"/>
        </w:rPr>
      </w:pPr>
      <w:r w:rsidRPr="007205D5">
        <w:rPr>
          <w:noProof/>
          <w:sz w:val="24"/>
          <w:szCs w:val="24"/>
          <w:lang w:eastAsia="da-DK"/>
        </w:rPr>
        <w:drawing>
          <wp:inline distT="0" distB="0" distL="0" distR="0" wp14:anchorId="7DE0D857" wp14:editId="35D8870E">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65AB" w:rsidRPr="007205D5" w:rsidRDefault="00B065AB" w:rsidP="00B065AB">
      <w:pPr>
        <w:pStyle w:val="Titel"/>
        <w:tabs>
          <w:tab w:val="right" w:pos="9356"/>
        </w:tabs>
        <w:jc w:val="left"/>
        <w:rPr>
          <w:b w:val="0"/>
          <w:szCs w:val="24"/>
          <w:lang w:eastAsia="en-US"/>
        </w:rPr>
      </w:pPr>
    </w:p>
    <w:p w:rsidR="00B065AB" w:rsidRPr="00FF3B8D" w:rsidRDefault="00B065AB" w:rsidP="00B065AB">
      <w:pPr>
        <w:pStyle w:val="Titel"/>
        <w:tabs>
          <w:tab w:val="right" w:pos="9356"/>
        </w:tabs>
        <w:jc w:val="left"/>
        <w:rPr>
          <w:szCs w:val="24"/>
        </w:rPr>
      </w:pPr>
      <w:r w:rsidRPr="007205D5">
        <w:rPr>
          <w:b w:val="0"/>
          <w:szCs w:val="24"/>
          <w:lang w:eastAsia="en-US"/>
        </w:rPr>
        <w:tab/>
      </w:r>
      <w:r w:rsidR="00FF3B8D" w:rsidRPr="00FF3B8D">
        <w:rPr>
          <w:szCs w:val="24"/>
          <w:lang w:eastAsia="en-US"/>
        </w:rPr>
        <w:t>1</w:t>
      </w:r>
      <w:r w:rsidR="000D4A80">
        <w:rPr>
          <w:szCs w:val="24"/>
          <w:lang w:eastAsia="en-US"/>
        </w:rPr>
        <w:t>9</w:t>
      </w:r>
      <w:r w:rsidR="00FF3B8D" w:rsidRPr="00FF3B8D">
        <w:rPr>
          <w:szCs w:val="24"/>
          <w:lang w:eastAsia="en-US"/>
        </w:rPr>
        <w:t>. november 2024</w:t>
      </w:r>
    </w:p>
    <w:p w:rsidR="00B065AB" w:rsidRPr="007205D5" w:rsidRDefault="00B065AB" w:rsidP="00B065AB">
      <w:pPr>
        <w:pStyle w:val="Titel"/>
        <w:tabs>
          <w:tab w:val="right" w:pos="9356"/>
        </w:tabs>
        <w:jc w:val="left"/>
        <w:rPr>
          <w:szCs w:val="24"/>
        </w:rPr>
      </w:pPr>
    </w:p>
    <w:p w:rsidR="00DC528A" w:rsidRDefault="00DC528A" w:rsidP="00B065AB">
      <w:pPr>
        <w:jc w:val="center"/>
        <w:rPr>
          <w:b/>
          <w:sz w:val="24"/>
          <w:szCs w:val="24"/>
        </w:rPr>
      </w:pPr>
    </w:p>
    <w:p w:rsidR="00B065AB" w:rsidRPr="007205D5" w:rsidRDefault="00B065AB" w:rsidP="00B065AB">
      <w:pPr>
        <w:jc w:val="center"/>
        <w:rPr>
          <w:b/>
          <w:sz w:val="24"/>
          <w:szCs w:val="24"/>
        </w:rPr>
      </w:pPr>
      <w:r w:rsidRPr="007205D5">
        <w:rPr>
          <w:b/>
          <w:sz w:val="24"/>
          <w:szCs w:val="24"/>
        </w:rPr>
        <w:t>PRODUKTRESUMÉ</w:t>
      </w:r>
    </w:p>
    <w:p w:rsidR="00215A67" w:rsidRPr="007205D5" w:rsidRDefault="00215A67" w:rsidP="00215A67">
      <w:pPr>
        <w:rPr>
          <w:b/>
          <w:sz w:val="24"/>
          <w:szCs w:val="24"/>
        </w:rPr>
      </w:pPr>
    </w:p>
    <w:p w:rsidR="00B065AB" w:rsidRPr="007205D5" w:rsidRDefault="00B065AB" w:rsidP="00B065AB">
      <w:pPr>
        <w:jc w:val="center"/>
        <w:rPr>
          <w:b/>
          <w:sz w:val="24"/>
          <w:szCs w:val="24"/>
        </w:rPr>
      </w:pPr>
      <w:r w:rsidRPr="007205D5">
        <w:rPr>
          <w:b/>
          <w:sz w:val="24"/>
          <w:szCs w:val="24"/>
        </w:rPr>
        <w:t>for</w:t>
      </w:r>
    </w:p>
    <w:p w:rsidR="00B065AB" w:rsidRPr="007205D5" w:rsidRDefault="00B065AB" w:rsidP="00B065AB">
      <w:pPr>
        <w:jc w:val="center"/>
        <w:rPr>
          <w:b/>
          <w:sz w:val="24"/>
          <w:szCs w:val="24"/>
        </w:rPr>
      </w:pPr>
    </w:p>
    <w:p w:rsidR="00B065AB" w:rsidRDefault="00B065AB" w:rsidP="00B065AB">
      <w:pPr>
        <w:jc w:val="center"/>
        <w:rPr>
          <w:b/>
          <w:sz w:val="24"/>
          <w:szCs w:val="24"/>
        </w:rPr>
      </w:pPr>
      <w:proofErr w:type="spellStart"/>
      <w:r w:rsidRPr="007205D5">
        <w:rPr>
          <w:b/>
          <w:sz w:val="24"/>
          <w:szCs w:val="24"/>
        </w:rPr>
        <w:t>Mycophenolatmofetil</w:t>
      </w:r>
      <w:proofErr w:type="spellEnd"/>
      <w:r w:rsidRPr="007205D5">
        <w:rPr>
          <w:b/>
          <w:sz w:val="24"/>
          <w:szCs w:val="24"/>
        </w:rPr>
        <w:t xml:space="preserve"> "</w:t>
      </w:r>
      <w:proofErr w:type="spellStart"/>
      <w:r w:rsidRPr="007205D5">
        <w:rPr>
          <w:b/>
          <w:sz w:val="24"/>
          <w:szCs w:val="24"/>
        </w:rPr>
        <w:t>Accord</w:t>
      </w:r>
      <w:proofErr w:type="spellEnd"/>
      <w:r w:rsidRPr="007205D5">
        <w:rPr>
          <w:b/>
          <w:sz w:val="24"/>
          <w:szCs w:val="24"/>
        </w:rPr>
        <w:t>"</w:t>
      </w:r>
      <w:r>
        <w:rPr>
          <w:b/>
          <w:sz w:val="24"/>
          <w:szCs w:val="24"/>
        </w:rPr>
        <w:t>,</w:t>
      </w:r>
    </w:p>
    <w:p w:rsidR="00B065AB" w:rsidRPr="007205D5" w:rsidRDefault="00B065AB" w:rsidP="00B065AB">
      <w:pPr>
        <w:jc w:val="center"/>
        <w:rPr>
          <w:b/>
          <w:sz w:val="24"/>
          <w:szCs w:val="24"/>
        </w:rPr>
      </w:pPr>
      <w:r w:rsidRPr="007205D5">
        <w:rPr>
          <w:b/>
          <w:sz w:val="24"/>
          <w:szCs w:val="24"/>
        </w:rPr>
        <w:t>pulver til koncentrat til infusionsvæske, opløsning</w:t>
      </w:r>
    </w:p>
    <w:p w:rsidR="00B065AB" w:rsidRPr="007205D5" w:rsidRDefault="00B065AB" w:rsidP="00B065AB">
      <w:pPr>
        <w:jc w:val="both"/>
        <w:rPr>
          <w:sz w:val="24"/>
          <w:szCs w:val="24"/>
        </w:rPr>
      </w:pPr>
    </w:p>
    <w:p w:rsidR="00B065AB" w:rsidRPr="007205D5" w:rsidRDefault="00B065AB" w:rsidP="00B065AB">
      <w:pPr>
        <w:ind w:left="851" w:hanging="851"/>
        <w:jc w:val="both"/>
        <w:rPr>
          <w:sz w:val="24"/>
          <w:szCs w:val="24"/>
        </w:rPr>
      </w:pPr>
    </w:p>
    <w:p w:rsidR="00B065AB" w:rsidRPr="007205D5" w:rsidRDefault="00B065AB" w:rsidP="00B065AB">
      <w:pPr>
        <w:ind w:left="851" w:hanging="851"/>
        <w:rPr>
          <w:b/>
          <w:sz w:val="24"/>
          <w:szCs w:val="24"/>
        </w:rPr>
      </w:pPr>
      <w:r w:rsidRPr="007205D5">
        <w:rPr>
          <w:b/>
          <w:sz w:val="24"/>
          <w:szCs w:val="24"/>
        </w:rPr>
        <w:t>0.</w:t>
      </w:r>
      <w:r w:rsidRPr="007205D5">
        <w:rPr>
          <w:b/>
          <w:sz w:val="24"/>
          <w:szCs w:val="24"/>
        </w:rPr>
        <w:tab/>
        <w:t>D.SP.NR.</w:t>
      </w:r>
    </w:p>
    <w:p w:rsidR="00B065AB" w:rsidRPr="007205D5" w:rsidRDefault="00B065AB" w:rsidP="00B065AB">
      <w:pPr>
        <w:ind w:left="851" w:hanging="851"/>
        <w:rPr>
          <w:sz w:val="24"/>
          <w:szCs w:val="24"/>
        </w:rPr>
      </w:pPr>
      <w:r w:rsidRPr="007205D5">
        <w:rPr>
          <w:sz w:val="24"/>
          <w:szCs w:val="24"/>
        </w:rPr>
        <w:tab/>
        <w:t>24953</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1.</w:t>
      </w:r>
      <w:r w:rsidRPr="007205D5">
        <w:rPr>
          <w:b/>
          <w:sz w:val="24"/>
          <w:szCs w:val="24"/>
        </w:rPr>
        <w:tab/>
        <w:t>LÆGEMIDLETS NAVN</w:t>
      </w:r>
    </w:p>
    <w:p w:rsidR="00B065AB" w:rsidRPr="007205D5" w:rsidRDefault="00B065AB" w:rsidP="00B065AB">
      <w:pPr>
        <w:ind w:left="851" w:hanging="851"/>
        <w:rPr>
          <w:sz w:val="24"/>
          <w:szCs w:val="24"/>
        </w:rPr>
      </w:pPr>
      <w:r w:rsidRPr="007205D5">
        <w:rPr>
          <w:sz w:val="24"/>
          <w:szCs w:val="24"/>
        </w:rPr>
        <w:tab/>
      </w:r>
      <w:proofErr w:type="spellStart"/>
      <w:r w:rsidRPr="007205D5">
        <w:rPr>
          <w:sz w:val="24"/>
          <w:szCs w:val="24"/>
        </w:rPr>
        <w:t>Mycophenolatmofetil</w:t>
      </w:r>
      <w:proofErr w:type="spellEnd"/>
      <w:r w:rsidRPr="007205D5">
        <w:rPr>
          <w:sz w:val="24"/>
          <w:szCs w:val="24"/>
        </w:rPr>
        <w:t xml:space="preserve"> "</w:t>
      </w:r>
      <w:proofErr w:type="spellStart"/>
      <w:r w:rsidRPr="007205D5">
        <w:rPr>
          <w:sz w:val="24"/>
          <w:szCs w:val="24"/>
        </w:rPr>
        <w:t>Accord</w:t>
      </w:r>
      <w:proofErr w:type="spellEnd"/>
      <w:r w:rsidRPr="007205D5">
        <w:rPr>
          <w:sz w:val="24"/>
          <w:szCs w:val="24"/>
        </w:rPr>
        <w:t>"</w:t>
      </w:r>
    </w:p>
    <w:p w:rsidR="00B065AB" w:rsidRPr="007205D5" w:rsidRDefault="00B065AB" w:rsidP="00B065AB">
      <w:pPr>
        <w:ind w:left="851" w:hanging="851"/>
        <w:rPr>
          <w:sz w:val="24"/>
          <w:szCs w:val="24"/>
        </w:rPr>
      </w:pPr>
      <w:r w:rsidRPr="007205D5">
        <w:rPr>
          <w:sz w:val="24"/>
          <w:szCs w:val="24"/>
        </w:rPr>
        <w:tab/>
      </w:r>
    </w:p>
    <w:p w:rsidR="00B065AB" w:rsidRPr="007205D5" w:rsidRDefault="00B065AB" w:rsidP="00B065AB">
      <w:pPr>
        <w:ind w:left="851" w:hanging="851"/>
        <w:rPr>
          <w:b/>
          <w:sz w:val="24"/>
          <w:szCs w:val="24"/>
        </w:rPr>
      </w:pPr>
      <w:r w:rsidRPr="007205D5">
        <w:rPr>
          <w:b/>
          <w:sz w:val="24"/>
          <w:szCs w:val="24"/>
        </w:rPr>
        <w:t>2.</w:t>
      </w:r>
      <w:r w:rsidRPr="007205D5">
        <w:rPr>
          <w:b/>
          <w:sz w:val="24"/>
          <w:szCs w:val="24"/>
        </w:rPr>
        <w:tab/>
        <w:t>KVALITATIV OG KVANTITATIV SAMMENSÆTNING</w:t>
      </w:r>
    </w:p>
    <w:p w:rsidR="00B065AB" w:rsidRPr="007205D5" w:rsidRDefault="00B065AB" w:rsidP="00B065AB">
      <w:pPr>
        <w:autoSpaceDE w:val="0"/>
        <w:autoSpaceDN w:val="0"/>
        <w:adjustRightInd w:val="0"/>
        <w:ind w:left="851" w:hanging="851"/>
        <w:rPr>
          <w:color w:val="000000"/>
          <w:sz w:val="24"/>
          <w:szCs w:val="24"/>
        </w:rPr>
      </w:pPr>
      <w:r w:rsidRPr="007205D5">
        <w:rPr>
          <w:sz w:val="24"/>
          <w:szCs w:val="24"/>
        </w:rPr>
        <w:tab/>
      </w:r>
      <w:r w:rsidRPr="007205D5">
        <w:rPr>
          <w:color w:val="000000"/>
          <w:sz w:val="24"/>
          <w:szCs w:val="24"/>
        </w:rPr>
        <w:t xml:space="preserve">Hvert hætteglas indeholder, hvad der svarer til 500 mg </w:t>
      </w:r>
      <w:proofErr w:type="spellStart"/>
      <w:r w:rsidRPr="007205D5">
        <w:rPr>
          <w:color w:val="000000"/>
          <w:sz w:val="24"/>
          <w:szCs w:val="24"/>
        </w:rPr>
        <w:t>mycophenolatmofetil</w:t>
      </w:r>
      <w:proofErr w:type="spellEnd"/>
      <w:r w:rsidRPr="007205D5">
        <w:rPr>
          <w:color w:val="000000"/>
          <w:sz w:val="24"/>
          <w:szCs w:val="24"/>
        </w:rPr>
        <w:t xml:space="preserve"> (som </w:t>
      </w:r>
      <w:proofErr w:type="spellStart"/>
      <w:r w:rsidRPr="007205D5">
        <w:rPr>
          <w:color w:val="000000"/>
          <w:sz w:val="24"/>
          <w:szCs w:val="24"/>
        </w:rPr>
        <w:t>hydrochloridsalt</w:t>
      </w:r>
      <w:proofErr w:type="spellEnd"/>
      <w:r w:rsidRPr="007205D5">
        <w:rPr>
          <w:color w:val="000000"/>
          <w:sz w:val="24"/>
          <w:szCs w:val="24"/>
        </w:rPr>
        <w:t>).</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Alle hjælpestoffer er anført under pkt. 6.1.</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3.</w:t>
      </w:r>
      <w:r w:rsidRPr="007205D5">
        <w:rPr>
          <w:b/>
          <w:sz w:val="24"/>
          <w:szCs w:val="24"/>
        </w:rPr>
        <w:tab/>
        <w:t>LÆGEMIDDELFORM</w:t>
      </w:r>
    </w:p>
    <w:p w:rsidR="00B065AB" w:rsidRPr="007205D5" w:rsidRDefault="00B065AB" w:rsidP="00B065AB">
      <w:pPr>
        <w:autoSpaceDE w:val="0"/>
        <w:autoSpaceDN w:val="0"/>
        <w:adjustRightInd w:val="0"/>
        <w:ind w:left="851" w:hanging="851"/>
        <w:rPr>
          <w:color w:val="000000"/>
          <w:sz w:val="24"/>
          <w:szCs w:val="24"/>
        </w:rPr>
      </w:pPr>
      <w:r w:rsidRPr="007205D5">
        <w:rPr>
          <w:sz w:val="24"/>
          <w:szCs w:val="24"/>
        </w:rPr>
        <w:tab/>
      </w:r>
      <w:r w:rsidRPr="007205D5">
        <w:rPr>
          <w:color w:val="000000"/>
          <w:sz w:val="24"/>
          <w:szCs w:val="24"/>
        </w:rPr>
        <w:t>Pulver til koncentrat til infusionsvæske, opløsning</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color w:val="000000"/>
          <w:sz w:val="24"/>
          <w:szCs w:val="24"/>
        </w:rPr>
      </w:pPr>
      <w:bookmarkStart w:id="0" w:name="_DV_C5"/>
      <w:r w:rsidRPr="007205D5">
        <w:rPr>
          <w:color w:val="000000"/>
          <w:sz w:val="24"/>
          <w:szCs w:val="24"/>
        </w:rPr>
        <w:t xml:space="preserve">Hvidt til offwhite, </w:t>
      </w:r>
      <w:proofErr w:type="spellStart"/>
      <w:r w:rsidRPr="007205D5">
        <w:rPr>
          <w:color w:val="000000"/>
          <w:sz w:val="24"/>
          <w:szCs w:val="24"/>
        </w:rPr>
        <w:t>lyofiliseret</w:t>
      </w:r>
      <w:proofErr w:type="spellEnd"/>
      <w:r w:rsidRPr="007205D5">
        <w:rPr>
          <w:color w:val="000000"/>
          <w:sz w:val="24"/>
          <w:szCs w:val="24"/>
        </w:rPr>
        <w:t xml:space="preserve"> pulver med en pH-værdi på ca. 2,4 til 4,1 og en </w:t>
      </w:r>
      <w:proofErr w:type="spellStart"/>
      <w:r w:rsidRPr="007205D5">
        <w:rPr>
          <w:color w:val="000000"/>
          <w:sz w:val="24"/>
          <w:szCs w:val="24"/>
        </w:rPr>
        <w:t>osmolalitet</w:t>
      </w:r>
      <w:proofErr w:type="spellEnd"/>
      <w:r w:rsidRPr="007205D5">
        <w:rPr>
          <w:color w:val="000000"/>
          <w:sz w:val="24"/>
          <w:szCs w:val="24"/>
        </w:rPr>
        <w:t xml:space="preserve"> i intervallet ca. 300 til 340 </w:t>
      </w:r>
      <w:proofErr w:type="spellStart"/>
      <w:r w:rsidRPr="007205D5">
        <w:rPr>
          <w:color w:val="000000"/>
          <w:sz w:val="24"/>
          <w:szCs w:val="24"/>
        </w:rPr>
        <w:t>mOsmol</w:t>
      </w:r>
      <w:proofErr w:type="spellEnd"/>
      <w:r w:rsidRPr="007205D5">
        <w:rPr>
          <w:color w:val="000000"/>
          <w:sz w:val="24"/>
          <w:szCs w:val="24"/>
        </w:rPr>
        <w:t xml:space="preserve">/kg efter </w:t>
      </w:r>
      <w:proofErr w:type="spellStart"/>
      <w:r w:rsidRPr="007205D5">
        <w:rPr>
          <w:color w:val="000000"/>
          <w:sz w:val="24"/>
          <w:szCs w:val="24"/>
        </w:rPr>
        <w:t>rekonstritution</w:t>
      </w:r>
      <w:proofErr w:type="spellEnd"/>
      <w:r w:rsidRPr="007205D5">
        <w:rPr>
          <w:color w:val="000000"/>
          <w:sz w:val="24"/>
          <w:szCs w:val="24"/>
        </w:rPr>
        <w:t xml:space="preserve"> og fortynding med 5 % </w:t>
      </w:r>
      <w:proofErr w:type="spellStart"/>
      <w:r w:rsidRPr="007205D5">
        <w:rPr>
          <w:color w:val="000000"/>
          <w:sz w:val="24"/>
          <w:szCs w:val="24"/>
        </w:rPr>
        <w:t>glucose</w:t>
      </w:r>
      <w:proofErr w:type="spellEnd"/>
      <w:r w:rsidRPr="007205D5">
        <w:rPr>
          <w:color w:val="000000"/>
          <w:sz w:val="24"/>
          <w:szCs w:val="24"/>
        </w:rPr>
        <w:t xml:space="preserve"> til opløsning til intravenøs infusion til en koncentration på 6 mg/ml.</w:t>
      </w:r>
      <w:bookmarkEnd w:id="0"/>
    </w:p>
    <w:p w:rsidR="00B065AB" w:rsidRPr="007205D5" w:rsidRDefault="00B065AB" w:rsidP="00B065AB">
      <w:pPr>
        <w:ind w:left="851" w:hanging="851"/>
        <w:rPr>
          <w:sz w:val="24"/>
          <w:szCs w:val="24"/>
        </w:rPr>
      </w:pP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4.</w:t>
      </w:r>
      <w:r w:rsidRPr="007205D5">
        <w:rPr>
          <w:b/>
          <w:sz w:val="24"/>
          <w:szCs w:val="24"/>
        </w:rPr>
        <w:tab/>
        <w:t>KLINISKE OPLYSNINGER</w:t>
      </w:r>
    </w:p>
    <w:p w:rsidR="00B065AB" w:rsidRPr="007205D5" w:rsidRDefault="00B065AB" w:rsidP="00B065AB">
      <w:pPr>
        <w:ind w:left="851" w:hanging="851"/>
        <w:rPr>
          <w:b/>
          <w:sz w:val="24"/>
          <w:szCs w:val="24"/>
        </w:rPr>
      </w:pPr>
    </w:p>
    <w:p w:rsidR="00B065AB" w:rsidRPr="007205D5" w:rsidRDefault="00B065AB" w:rsidP="00B065AB">
      <w:pPr>
        <w:ind w:left="851" w:hanging="851"/>
        <w:rPr>
          <w:b/>
          <w:sz w:val="24"/>
          <w:szCs w:val="24"/>
          <w:u w:val="single"/>
        </w:rPr>
      </w:pPr>
      <w:r w:rsidRPr="007205D5">
        <w:rPr>
          <w:b/>
          <w:sz w:val="24"/>
          <w:szCs w:val="24"/>
        </w:rPr>
        <w:t>4.1</w:t>
      </w:r>
      <w:r w:rsidRPr="007205D5">
        <w:rPr>
          <w:b/>
          <w:sz w:val="24"/>
          <w:szCs w:val="24"/>
        </w:rPr>
        <w:tab/>
        <w:t>Terapeutiske indikationer</w:t>
      </w:r>
    </w:p>
    <w:p w:rsidR="00B065AB" w:rsidRPr="007205D5" w:rsidRDefault="00B065AB" w:rsidP="00B065AB">
      <w:pPr>
        <w:pStyle w:val="Brdtekst3"/>
        <w:ind w:left="851" w:hanging="851"/>
        <w:jc w:val="left"/>
        <w:rPr>
          <w:rFonts w:ascii="Times New Roman" w:hAnsi="Times New Roman" w:cs="Times New Roman"/>
          <w:szCs w:val="24"/>
          <w:lang w:val="da-DK"/>
        </w:rPr>
      </w:pPr>
      <w:r w:rsidRPr="007205D5">
        <w:rPr>
          <w:rFonts w:ascii="Times New Roman" w:hAnsi="Times New Roman" w:cs="Times New Roman"/>
          <w:szCs w:val="24"/>
          <w:lang w:val="da-DK"/>
        </w:rPr>
        <w:tab/>
      </w:r>
      <w:proofErr w:type="spellStart"/>
      <w:r w:rsidRPr="007205D5">
        <w:rPr>
          <w:rFonts w:ascii="Times New Roman" w:hAnsi="Times New Roman" w:cs="Times New Roman"/>
          <w:color w:val="000000"/>
          <w:szCs w:val="24"/>
          <w:lang w:val="da-DK"/>
        </w:rPr>
        <w:t>Mycophenolatmofetil</w:t>
      </w:r>
      <w:proofErr w:type="spellEnd"/>
      <w:r w:rsidRPr="007205D5">
        <w:rPr>
          <w:rFonts w:ascii="Times New Roman" w:hAnsi="Times New Roman" w:cs="Times New Roman"/>
          <w:color w:val="000000"/>
          <w:szCs w:val="24"/>
          <w:lang w:val="da-DK"/>
        </w:rPr>
        <w:t xml:space="preserve"> "</w:t>
      </w:r>
      <w:proofErr w:type="spellStart"/>
      <w:r w:rsidRPr="007205D5">
        <w:rPr>
          <w:rFonts w:ascii="Times New Roman" w:hAnsi="Times New Roman" w:cs="Times New Roman"/>
          <w:color w:val="000000"/>
          <w:szCs w:val="24"/>
          <w:lang w:val="da-DK"/>
        </w:rPr>
        <w:t>Accord</w:t>
      </w:r>
      <w:proofErr w:type="spellEnd"/>
      <w:r w:rsidRPr="007205D5">
        <w:rPr>
          <w:rFonts w:ascii="Times New Roman" w:hAnsi="Times New Roman" w:cs="Times New Roman"/>
          <w:color w:val="000000"/>
          <w:szCs w:val="24"/>
          <w:lang w:val="da-DK"/>
        </w:rPr>
        <w:t xml:space="preserve">" er </w:t>
      </w:r>
      <w:r w:rsidRPr="007205D5">
        <w:rPr>
          <w:rFonts w:ascii="Times New Roman" w:hAnsi="Times New Roman" w:cs="Times New Roman"/>
          <w:szCs w:val="24"/>
          <w:lang w:val="da-DK"/>
        </w:rPr>
        <w:t xml:space="preserve">i kombination med </w:t>
      </w:r>
      <w:proofErr w:type="spellStart"/>
      <w:r w:rsidRPr="007205D5">
        <w:rPr>
          <w:rFonts w:ascii="Times New Roman" w:hAnsi="Times New Roman" w:cs="Times New Roman"/>
          <w:szCs w:val="24"/>
          <w:lang w:val="da-DK"/>
        </w:rPr>
        <w:t>ciclosporin</w:t>
      </w:r>
      <w:proofErr w:type="spellEnd"/>
      <w:r w:rsidRPr="007205D5">
        <w:rPr>
          <w:rFonts w:ascii="Times New Roman" w:hAnsi="Times New Roman" w:cs="Times New Roman"/>
          <w:szCs w:val="24"/>
          <w:lang w:val="da-DK"/>
        </w:rPr>
        <w:t xml:space="preserve"> og </w:t>
      </w:r>
      <w:proofErr w:type="spellStart"/>
      <w:r w:rsidRPr="007205D5">
        <w:rPr>
          <w:rFonts w:ascii="Times New Roman" w:hAnsi="Times New Roman" w:cs="Times New Roman"/>
          <w:szCs w:val="24"/>
          <w:lang w:val="da-DK"/>
        </w:rPr>
        <w:t>kortikosteroider</w:t>
      </w:r>
      <w:proofErr w:type="spellEnd"/>
      <w:r w:rsidRPr="007205D5">
        <w:rPr>
          <w:rFonts w:ascii="Times New Roman" w:hAnsi="Times New Roman" w:cs="Times New Roman"/>
          <w:szCs w:val="24"/>
          <w:lang w:val="da-DK"/>
        </w:rPr>
        <w:t xml:space="preserve"> indiceret til forebyggelse af akut transplantatafstødning hos patienter, som modtager </w:t>
      </w:r>
      <w:proofErr w:type="spellStart"/>
      <w:r w:rsidRPr="007205D5">
        <w:rPr>
          <w:rFonts w:ascii="Times New Roman" w:hAnsi="Times New Roman" w:cs="Times New Roman"/>
          <w:szCs w:val="24"/>
          <w:lang w:val="da-DK"/>
        </w:rPr>
        <w:t>allogene</w:t>
      </w:r>
      <w:proofErr w:type="spellEnd"/>
      <w:r w:rsidRPr="007205D5">
        <w:rPr>
          <w:rFonts w:ascii="Times New Roman" w:hAnsi="Times New Roman" w:cs="Times New Roman"/>
          <w:szCs w:val="24"/>
          <w:lang w:val="da-DK"/>
        </w:rPr>
        <w:t xml:space="preserve"> nyre- eller levertransplantater.</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4.2</w:t>
      </w:r>
      <w:r w:rsidRPr="007205D5">
        <w:rPr>
          <w:b/>
          <w:sz w:val="24"/>
          <w:szCs w:val="24"/>
        </w:rPr>
        <w:tab/>
        <w:t xml:space="preserve">Dosering og </w:t>
      </w:r>
      <w:r w:rsidR="00481458">
        <w:rPr>
          <w:b/>
          <w:sz w:val="24"/>
          <w:szCs w:val="24"/>
        </w:rPr>
        <w:t xml:space="preserve">administration </w:t>
      </w:r>
    </w:p>
    <w:p w:rsidR="00B065AB" w:rsidRPr="007205D5" w:rsidRDefault="00B065AB" w:rsidP="00B065AB">
      <w:pPr>
        <w:pStyle w:val="Brdtekst3"/>
        <w:ind w:left="851" w:hanging="851"/>
        <w:jc w:val="left"/>
        <w:rPr>
          <w:rFonts w:ascii="Times New Roman" w:hAnsi="Times New Roman" w:cs="Times New Roman"/>
          <w:szCs w:val="24"/>
          <w:lang w:val="da-DK"/>
        </w:rPr>
      </w:pPr>
      <w:r w:rsidRPr="007205D5">
        <w:rPr>
          <w:rFonts w:ascii="Times New Roman" w:hAnsi="Times New Roman" w:cs="Times New Roman"/>
          <w:szCs w:val="24"/>
          <w:lang w:val="da-DK"/>
        </w:rPr>
        <w:tab/>
        <w:t xml:space="preserve">Behandling med </w:t>
      </w:r>
      <w:proofErr w:type="spellStart"/>
      <w:r w:rsidRPr="007205D5">
        <w:rPr>
          <w:rFonts w:ascii="Times New Roman" w:hAnsi="Times New Roman" w:cs="Times New Roman"/>
          <w:color w:val="000000"/>
          <w:szCs w:val="24"/>
          <w:lang w:val="da-DK"/>
        </w:rPr>
        <w:t>Mycophenolatmofetil</w:t>
      </w:r>
      <w:proofErr w:type="spellEnd"/>
      <w:r w:rsidRPr="007205D5">
        <w:rPr>
          <w:rFonts w:ascii="Times New Roman" w:hAnsi="Times New Roman" w:cs="Times New Roman"/>
          <w:color w:val="000000"/>
          <w:szCs w:val="24"/>
          <w:lang w:val="da-DK"/>
        </w:rPr>
        <w:t xml:space="preserve"> "</w:t>
      </w:r>
      <w:proofErr w:type="spellStart"/>
      <w:r w:rsidRPr="007205D5">
        <w:rPr>
          <w:rFonts w:ascii="Times New Roman" w:hAnsi="Times New Roman" w:cs="Times New Roman"/>
          <w:color w:val="000000"/>
          <w:szCs w:val="24"/>
          <w:lang w:val="da-DK"/>
        </w:rPr>
        <w:t>Accord</w:t>
      </w:r>
      <w:proofErr w:type="spellEnd"/>
      <w:r w:rsidRPr="007205D5">
        <w:rPr>
          <w:rFonts w:ascii="Times New Roman" w:hAnsi="Times New Roman" w:cs="Times New Roman"/>
          <w:color w:val="000000"/>
          <w:szCs w:val="24"/>
          <w:lang w:val="da-DK"/>
        </w:rPr>
        <w:t>"</w:t>
      </w:r>
      <w:r w:rsidRPr="007205D5">
        <w:rPr>
          <w:rFonts w:ascii="Times New Roman" w:hAnsi="Times New Roman" w:cs="Times New Roman"/>
          <w:szCs w:val="24"/>
          <w:lang w:val="da-DK"/>
        </w:rPr>
        <w:t xml:space="preserve"> bør påbegyndes og fortsættes af transplantationsspecialister med passende kvalifikationer.</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b/>
          <w:bCs/>
          <w:color w:val="000000"/>
          <w:sz w:val="24"/>
          <w:szCs w:val="24"/>
        </w:rPr>
      </w:pPr>
      <w:r w:rsidRPr="007205D5">
        <w:rPr>
          <w:b/>
          <w:bCs/>
          <w:color w:val="000000"/>
          <w:sz w:val="24"/>
          <w:szCs w:val="24"/>
        </w:rPr>
        <w:t xml:space="preserve">ADVARSEL: </w:t>
      </w:r>
      <w:proofErr w:type="spellStart"/>
      <w:r w:rsidRPr="007205D5">
        <w:rPr>
          <w:b/>
          <w:bCs/>
          <w:color w:val="000000"/>
          <w:sz w:val="24"/>
          <w:szCs w:val="24"/>
        </w:rPr>
        <w:t>Mycophenolatmofetil</w:t>
      </w:r>
      <w:proofErr w:type="spellEnd"/>
      <w:r w:rsidRPr="007205D5">
        <w:rPr>
          <w:b/>
          <w:bCs/>
          <w:color w:val="000000"/>
          <w:sz w:val="24"/>
          <w:szCs w:val="24"/>
        </w:rPr>
        <w:t xml:space="preserve"> til opløsning til</w:t>
      </w:r>
      <w:r>
        <w:rPr>
          <w:b/>
          <w:bCs/>
          <w:color w:val="000000"/>
          <w:sz w:val="24"/>
          <w:szCs w:val="24"/>
        </w:rPr>
        <w:t xml:space="preserve"> intravenøs infusion må aldrig </w:t>
      </w:r>
      <w:r w:rsidRPr="007205D5">
        <w:rPr>
          <w:b/>
          <w:bCs/>
          <w:color w:val="000000"/>
          <w:sz w:val="24"/>
          <w:szCs w:val="24"/>
        </w:rPr>
        <w:t xml:space="preserve">indgives som hurtig injektion eller intravenøs </w:t>
      </w:r>
      <w:proofErr w:type="spellStart"/>
      <w:r w:rsidRPr="007205D5">
        <w:rPr>
          <w:b/>
          <w:bCs/>
          <w:color w:val="000000"/>
          <w:sz w:val="24"/>
          <w:szCs w:val="24"/>
        </w:rPr>
        <w:t>bolusinjektion</w:t>
      </w:r>
      <w:proofErr w:type="spellEnd"/>
      <w:r w:rsidRPr="007205D5">
        <w:rPr>
          <w:b/>
          <w:bCs/>
          <w:color w:val="000000"/>
          <w:sz w:val="24"/>
          <w:szCs w:val="24"/>
        </w:rPr>
        <w:t>.</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firstLine="851"/>
        <w:rPr>
          <w:b/>
          <w:color w:val="000000"/>
          <w:sz w:val="24"/>
          <w:szCs w:val="24"/>
        </w:rPr>
      </w:pPr>
      <w:r w:rsidRPr="007205D5">
        <w:rPr>
          <w:b/>
          <w:color w:val="000000"/>
          <w:sz w:val="24"/>
          <w:szCs w:val="24"/>
        </w:rPr>
        <w:lastRenderedPageBreak/>
        <w:t>Dosering</w:t>
      </w:r>
    </w:p>
    <w:p w:rsidR="00B065AB" w:rsidRPr="007205D5" w:rsidRDefault="00B065AB" w:rsidP="00B065AB">
      <w:pPr>
        <w:autoSpaceDE w:val="0"/>
        <w:autoSpaceDN w:val="0"/>
        <w:adjustRightInd w:val="0"/>
        <w:ind w:left="851"/>
        <w:rPr>
          <w:color w:val="000000"/>
          <w:sz w:val="24"/>
          <w:szCs w:val="24"/>
        </w:rPr>
      </w:pP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er et doseringsalternativ til </w:t>
      </w:r>
      <w:proofErr w:type="spellStart"/>
      <w:r w:rsidRPr="007205D5">
        <w:rPr>
          <w:color w:val="000000"/>
          <w:sz w:val="24"/>
          <w:szCs w:val="24"/>
        </w:rPr>
        <w:t>mycophenolatmofetil</w:t>
      </w:r>
      <w:proofErr w:type="spellEnd"/>
      <w:r w:rsidRPr="007205D5">
        <w:rPr>
          <w:color w:val="000000"/>
          <w:sz w:val="24"/>
          <w:szCs w:val="24"/>
        </w:rPr>
        <w:t xml:space="preserve"> i orale former (kapsler, tabletter og pulver til oral suspension) og kan administreres i op til 14 dage. Den første dosis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skal gives inden for 24 timer efter transplantationen.</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u w:val="single"/>
        </w:rPr>
      </w:pPr>
      <w:r w:rsidRPr="007205D5">
        <w:rPr>
          <w:color w:val="000000"/>
          <w:sz w:val="24"/>
          <w:szCs w:val="24"/>
          <w:u w:val="single"/>
        </w:rPr>
        <w:t>Nyretransplanterede patienter</w:t>
      </w: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Den anbefalede dosis til nyretransplanterede patienter er 1 g administreret to gange daglig (en daglig dosis på 2 g).</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u w:val="single"/>
        </w:rPr>
      </w:pPr>
      <w:r w:rsidRPr="007205D5">
        <w:rPr>
          <w:color w:val="000000"/>
          <w:sz w:val="24"/>
          <w:szCs w:val="24"/>
          <w:u w:val="single"/>
        </w:rPr>
        <w:t>Levertransplanterede patienter</w:t>
      </w: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Den anbefalede dosis af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til levertransplanterede patienter er 1 g administreret to gange daglig (en daglig dosis på 2 g).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skal gives intravenøst i de første 4 dage efter levertransplantation, og oral </w:t>
      </w:r>
      <w:proofErr w:type="spellStart"/>
      <w:r w:rsidRPr="007205D5">
        <w:rPr>
          <w:color w:val="000000"/>
          <w:sz w:val="24"/>
          <w:szCs w:val="24"/>
        </w:rPr>
        <w:t>mycophenolatmofetil</w:t>
      </w:r>
      <w:proofErr w:type="spellEnd"/>
      <w:r w:rsidRPr="007205D5">
        <w:rPr>
          <w:color w:val="000000"/>
          <w:sz w:val="24"/>
          <w:szCs w:val="24"/>
        </w:rPr>
        <w:t xml:space="preserve"> skal initieres, så snart det kan tolereres. Den anbefalede dosis oral </w:t>
      </w:r>
      <w:proofErr w:type="spellStart"/>
      <w:r w:rsidRPr="007205D5">
        <w:rPr>
          <w:color w:val="000000"/>
          <w:sz w:val="24"/>
          <w:szCs w:val="24"/>
        </w:rPr>
        <w:t>mycophenolatmofetil</w:t>
      </w:r>
      <w:proofErr w:type="spellEnd"/>
      <w:r w:rsidRPr="007205D5">
        <w:rPr>
          <w:color w:val="000000"/>
          <w:sz w:val="24"/>
          <w:szCs w:val="24"/>
        </w:rPr>
        <w:t xml:space="preserve"> til levertransplanterede patienter er 1,5 g administreret to gange daglig (en daglig dosis på 3 g).</w:t>
      </w:r>
    </w:p>
    <w:p w:rsidR="00B065AB" w:rsidRPr="007205D5" w:rsidRDefault="00B065AB" w:rsidP="00B065AB">
      <w:pPr>
        <w:autoSpaceDE w:val="0"/>
        <w:autoSpaceDN w:val="0"/>
        <w:adjustRightInd w:val="0"/>
        <w:ind w:left="851"/>
        <w:rPr>
          <w:color w:val="000000"/>
          <w:sz w:val="24"/>
          <w:szCs w:val="24"/>
          <w:highlight w:val="green"/>
        </w:rPr>
      </w:pPr>
    </w:p>
    <w:p w:rsidR="00B065AB" w:rsidRPr="007205D5" w:rsidRDefault="00B065AB" w:rsidP="00B065AB">
      <w:pPr>
        <w:autoSpaceDE w:val="0"/>
        <w:autoSpaceDN w:val="0"/>
        <w:adjustRightInd w:val="0"/>
        <w:ind w:firstLine="851"/>
        <w:rPr>
          <w:color w:val="000000"/>
          <w:sz w:val="24"/>
          <w:szCs w:val="24"/>
          <w:u w:val="single"/>
          <w:lang w:val="nb-NO"/>
        </w:rPr>
      </w:pPr>
      <w:r w:rsidRPr="007205D5">
        <w:rPr>
          <w:color w:val="000000"/>
          <w:sz w:val="24"/>
          <w:szCs w:val="24"/>
          <w:u w:val="single"/>
          <w:lang w:val="nb-NO"/>
        </w:rPr>
        <w:t>Anvendelse til særlige populationer</w:t>
      </w:r>
    </w:p>
    <w:p w:rsidR="00B065AB" w:rsidRPr="00DC528A" w:rsidRDefault="00B065AB" w:rsidP="00B065AB">
      <w:pPr>
        <w:autoSpaceDE w:val="0"/>
        <w:autoSpaceDN w:val="0"/>
        <w:adjustRightInd w:val="0"/>
        <w:ind w:left="851"/>
        <w:rPr>
          <w:color w:val="000000"/>
          <w:sz w:val="24"/>
          <w:szCs w:val="24"/>
          <w:highlight w:val="green"/>
        </w:rPr>
      </w:pPr>
    </w:p>
    <w:p w:rsidR="00DC528A" w:rsidRPr="00DC528A" w:rsidRDefault="00DC528A" w:rsidP="00DC528A">
      <w:pPr>
        <w:autoSpaceDE w:val="0"/>
        <w:autoSpaceDN w:val="0"/>
        <w:adjustRightInd w:val="0"/>
        <w:ind w:left="851"/>
        <w:rPr>
          <w:i/>
          <w:color w:val="000000"/>
          <w:sz w:val="24"/>
          <w:szCs w:val="24"/>
        </w:rPr>
      </w:pPr>
      <w:r w:rsidRPr="00DC528A">
        <w:rPr>
          <w:i/>
          <w:color w:val="000000"/>
          <w:sz w:val="24"/>
          <w:szCs w:val="24"/>
        </w:rPr>
        <w:t>Pædiatrisk population</w:t>
      </w:r>
    </w:p>
    <w:p w:rsidR="00DC528A" w:rsidRPr="00DC528A" w:rsidRDefault="00DC528A" w:rsidP="00DC528A">
      <w:pPr>
        <w:autoSpaceDE w:val="0"/>
        <w:autoSpaceDN w:val="0"/>
        <w:adjustRightInd w:val="0"/>
        <w:ind w:left="851"/>
        <w:rPr>
          <w:color w:val="000000"/>
          <w:sz w:val="24"/>
          <w:szCs w:val="24"/>
        </w:rPr>
      </w:pPr>
      <w:r w:rsidRPr="00DC528A">
        <w:rPr>
          <w:color w:val="000000"/>
          <w:sz w:val="24"/>
          <w:szCs w:val="24"/>
        </w:rPr>
        <w:t xml:space="preserve">Sikkerhed og effekt af </w:t>
      </w:r>
      <w:proofErr w:type="spellStart"/>
      <w:r w:rsidRPr="00DC528A">
        <w:rPr>
          <w:color w:val="000000"/>
          <w:sz w:val="24"/>
          <w:szCs w:val="24"/>
        </w:rPr>
        <w:t>mycophenolatmofetil</w:t>
      </w:r>
      <w:proofErr w:type="spellEnd"/>
      <w:r w:rsidRPr="00DC528A">
        <w:rPr>
          <w:color w:val="000000"/>
          <w:sz w:val="24"/>
          <w:szCs w:val="24"/>
        </w:rPr>
        <w:t xml:space="preserve"> hos pædiatriske patienter er ikke blevet fastslået. Der foreligger ingen </w:t>
      </w:r>
      <w:proofErr w:type="spellStart"/>
      <w:r w:rsidRPr="00DC528A">
        <w:rPr>
          <w:color w:val="000000"/>
          <w:sz w:val="24"/>
          <w:szCs w:val="24"/>
        </w:rPr>
        <w:t>farmakokinetiske</w:t>
      </w:r>
      <w:proofErr w:type="spellEnd"/>
      <w:r w:rsidRPr="00DC528A">
        <w:rPr>
          <w:color w:val="000000"/>
          <w:sz w:val="24"/>
          <w:szCs w:val="24"/>
        </w:rPr>
        <w:t xml:space="preserve"> data vedrørende </w:t>
      </w:r>
      <w:proofErr w:type="spellStart"/>
      <w:r w:rsidRPr="00DC528A">
        <w:rPr>
          <w:color w:val="000000"/>
          <w:sz w:val="24"/>
          <w:szCs w:val="24"/>
        </w:rPr>
        <w:t>mycophenolatmofetil</w:t>
      </w:r>
      <w:proofErr w:type="spellEnd"/>
      <w:r w:rsidRPr="00DC528A">
        <w:rPr>
          <w:color w:val="000000"/>
          <w:sz w:val="24"/>
          <w:szCs w:val="24"/>
        </w:rPr>
        <w:t xml:space="preserve"> til pædiatriske nyretransplanterede patienter. Der foreligger ingen </w:t>
      </w:r>
      <w:proofErr w:type="spellStart"/>
      <w:r w:rsidRPr="00DC528A">
        <w:rPr>
          <w:color w:val="000000"/>
          <w:sz w:val="24"/>
          <w:szCs w:val="24"/>
        </w:rPr>
        <w:t>farmakokinetiske</w:t>
      </w:r>
      <w:proofErr w:type="spellEnd"/>
      <w:r w:rsidRPr="00DC528A">
        <w:rPr>
          <w:color w:val="000000"/>
          <w:sz w:val="24"/>
          <w:szCs w:val="24"/>
        </w:rPr>
        <w:t xml:space="preserve"> data vedrørende pædiatriske patienter efter levertransplantation.</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i/>
          <w:color w:val="000000"/>
          <w:sz w:val="24"/>
          <w:szCs w:val="24"/>
        </w:rPr>
      </w:pPr>
      <w:r w:rsidRPr="007205D5">
        <w:rPr>
          <w:i/>
          <w:color w:val="000000"/>
          <w:sz w:val="24"/>
          <w:szCs w:val="24"/>
        </w:rPr>
        <w:t>Ældre</w:t>
      </w:r>
    </w:p>
    <w:p w:rsidR="00B065AB" w:rsidRPr="007205D5" w:rsidRDefault="00B065AB" w:rsidP="00B065AB">
      <w:pPr>
        <w:autoSpaceDE w:val="0"/>
        <w:autoSpaceDN w:val="0"/>
        <w:adjustRightInd w:val="0"/>
        <w:ind w:left="851"/>
        <w:rPr>
          <w:color w:val="000000"/>
          <w:sz w:val="24"/>
          <w:szCs w:val="24"/>
          <w:highlight w:val="green"/>
          <w:u w:val="single"/>
        </w:rPr>
      </w:pPr>
      <w:r w:rsidRPr="007205D5">
        <w:rPr>
          <w:color w:val="000000"/>
          <w:sz w:val="24"/>
          <w:szCs w:val="24"/>
        </w:rPr>
        <w:t>Den anbefalede dosis på 1 g administreret to gange daglig til nyre- eller levertransplanterede patienter er passende til ældre.</w:t>
      </w:r>
    </w:p>
    <w:p w:rsidR="00B065AB" w:rsidRPr="007205D5" w:rsidRDefault="00B065AB" w:rsidP="00B065AB">
      <w:pPr>
        <w:autoSpaceDE w:val="0"/>
        <w:autoSpaceDN w:val="0"/>
        <w:adjustRightInd w:val="0"/>
        <w:ind w:left="851"/>
        <w:rPr>
          <w:color w:val="000000"/>
          <w:sz w:val="24"/>
          <w:szCs w:val="24"/>
          <w:highlight w:val="green"/>
          <w:u w:val="single"/>
        </w:rPr>
      </w:pPr>
    </w:p>
    <w:p w:rsidR="00B065AB" w:rsidRPr="007205D5" w:rsidRDefault="00B065AB" w:rsidP="00B065AB">
      <w:pPr>
        <w:autoSpaceDE w:val="0"/>
        <w:autoSpaceDN w:val="0"/>
        <w:adjustRightInd w:val="0"/>
        <w:ind w:left="851"/>
        <w:rPr>
          <w:i/>
          <w:color w:val="000000"/>
          <w:sz w:val="24"/>
          <w:szCs w:val="24"/>
        </w:rPr>
      </w:pPr>
      <w:r w:rsidRPr="007205D5">
        <w:rPr>
          <w:i/>
          <w:color w:val="000000"/>
          <w:sz w:val="24"/>
          <w:szCs w:val="24"/>
        </w:rPr>
        <w:t>Nyreinsufficiens</w:t>
      </w:r>
    </w:p>
    <w:p w:rsidR="008071DB" w:rsidRPr="007205D5" w:rsidRDefault="008071DB" w:rsidP="008071DB">
      <w:pPr>
        <w:autoSpaceDE w:val="0"/>
        <w:autoSpaceDN w:val="0"/>
        <w:adjustRightInd w:val="0"/>
        <w:ind w:left="851"/>
        <w:rPr>
          <w:color w:val="000000"/>
          <w:sz w:val="24"/>
          <w:szCs w:val="24"/>
          <w:highlight w:val="green"/>
        </w:rPr>
      </w:pPr>
      <w:r w:rsidRPr="007205D5">
        <w:rPr>
          <w:color w:val="000000"/>
          <w:sz w:val="24"/>
          <w:szCs w:val="24"/>
        </w:rPr>
        <w:t>Hos nyretransplanterede patienter med svær, kronisk nyreinsufficiens (</w:t>
      </w:r>
      <w:proofErr w:type="spellStart"/>
      <w:r w:rsidRPr="007205D5">
        <w:rPr>
          <w:color w:val="000000"/>
          <w:sz w:val="24"/>
          <w:szCs w:val="24"/>
        </w:rPr>
        <w:t>glomerulær</w:t>
      </w:r>
      <w:proofErr w:type="spellEnd"/>
      <w:r w:rsidRPr="007205D5">
        <w:rPr>
          <w:color w:val="000000"/>
          <w:sz w:val="24"/>
          <w:szCs w:val="24"/>
        </w:rPr>
        <w:t xml:space="preserve"> filtration &lt; 25 ml</w:t>
      </w:r>
      <w:r>
        <w:rPr>
          <w:color w:val="000000"/>
          <w:sz w:val="24"/>
          <w:szCs w:val="24"/>
        </w:rPr>
        <w:t>/</w:t>
      </w:r>
      <w:r w:rsidRPr="007205D5">
        <w:rPr>
          <w:color w:val="000000"/>
          <w:sz w:val="24"/>
          <w:szCs w:val="24"/>
        </w:rPr>
        <w:t>min</w:t>
      </w:r>
      <w:r>
        <w:rPr>
          <w:color w:val="000000"/>
          <w:sz w:val="24"/>
          <w:szCs w:val="24"/>
        </w:rPr>
        <w:t>/</w:t>
      </w:r>
      <w:r w:rsidRPr="007205D5">
        <w:rPr>
          <w:color w:val="000000"/>
          <w:sz w:val="24"/>
          <w:szCs w:val="24"/>
        </w:rPr>
        <w:t>1,73 m</w:t>
      </w:r>
      <w:r w:rsidRPr="007205D5">
        <w:rPr>
          <w:color w:val="000000"/>
          <w:sz w:val="24"/>
          <w:szCs w:val="24"/>
          <w:vertAlign w:val="superscript"/>
        </w:rPr>
        <w:t>2</w:t>
      </w:r>
      <w:r w:rsidRPr="007205D5">
        <w:rPr>
          <w:color w:val="000000"/>
          <w:sz w:val="24"/>
          <w:szCs w:val="24"/>
        </w:rPr>
        <w:t>), bør doser på mere end 1 g administreret to gange dagligt undgås, bortset fra i den umiddelbare post-transplantationsperiode. Desuden skal disse patienter observeres omhyggeligt. Dosisjustering er ikke nødvendig hos patienter, som oplever forsinket nyretransplantatfunktion post-operativt (se pkt. 5.2). Der findes ingen tilgængelige data for eller levertransplanterede patienter med svær, kronisk nyreinsufficiens.</w:t>
      </w:r>
    </w:p>
    <w:p w:rsidR="00B065AB" w:rsidRPr="007205D5" w:rsidRDefault="00B065AB" w:rsidP="00B065AB">
      <w:pPr>
        <w:autoSpaceDE w:val="0"/>
        <w:autoSpaceDN w:val="0"/>
        <w:adjustRightInd w:val="0"/>
        <w:ind w:left="851"/>
        <w:rPr>
          <w:color w:val="000000"/>
          <w:sz w:val="24"/>
          <w:szCs w:val="24"/>
          <w:highlight w:val="green"/>
          <w:u w:val="single"/>
        </w:rPr>
      </w:pPr>
    </w:p>
    <w:p w:rsidR="00B065AB" w:rsidRPr="007205D5" w:rsidRDefault="00B065AB" w:rsidP="00B065AB">
      <w:pPr>
        <w:autoSpaceDE w:val="0"/>
        <w:autoSpaceDN w:val="0"/>
        <w:adjustRightInd w:val="0"/>
        <w:ind w:left="851"/>
        <w:rPr>
          <w:i/>
          <w:color w:val="000000"/>
          <w:sz w:val="24"/>
          <w:szCs w:val="24"/>
        </w:rPr>
      </w:pPr>
      <w:r>
        <w:rPr>
          <w:i/>
          <w:color w:val="000000"/>
          <w:sz w:val="24"/>
          <w:szCs w:val="24"/>
        </w:rPr>
        <w:t>Svært nedsat leverfunktion</w:t>
      </w: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Det er ikke nødvendigt at justere dosis til patienter med svær </w:t>
      </w:r>
      <w:proofErr w:type="spellStart"/>
      <w:r w:rsidRPr="007205D5">
        <w:rPr>
          <w:color w:val="000000"/>
          <w:sz w:val="24"/>
          <w:szCs w:val="24"/>
        </w:rPr>
        <w:t>leverparenchymlidelse</w:t>
      </w:r>
      <w:proofErr w:type="spellEnd"/>
      <w:r w:rsidRPr="007205D5">
        <w:rPr>
          <w:color w:val="000000"/>
          <w:sz w:val="24"/>
          <w:szCs w:val="24"/>
        </w:rPr>
        <w:t>.</w:t>
      </w:r>
    </w:p>
    <w:p w:rsidR="00B065AB" w:rsidRPr="007205D5" w:rsidRDefault="00B065AB" w:rsidP="00B065AB">
      <w:pPr>
        <w:autoSpaceDE w:val="0"/>
        <w:autoSpaceDN w:val="0"/>
        <w:adjustRightInd w:val="0"/>
        <w:ind w:left="851"/>
        <w:rPr>
          <w:color w:val="000000"/>
          <w:sz w:val="24"/>
          <w:szCs w:val="24"/>
          <w:highlight w:val="green"/>
          <w:u w:val="single"/>
        </w:rPr>
      </w:pPr>
    </w:p>
    <w:p w:rsidR="00B065AB" w:rsidRPr="007205D5" w:rsidRDefault="00B065AB" w:rsidP="00B065AB">
      <w:pPr>
        <w:autoSpaceDE w:val="0"/>
        <w:autoSpaceDN w:val="0"/>
        <w:adjustRightInd w:val="0"/>
        <w:ind w:left="851"/>
        <w:rPr>
          <w:i/>
          <w:color w:val="000000"/>
          <w:sz w:val="24"/>
          <w:szCs w:val="24"/>
        </w:rPr>
      </w:pPr>
      <w:r w:rsidRPr="007205D5">
        <w:rPr>
          <w:i/>
          <w:color w:val="000000"/>
          <w:sz w:val="24"/>
          <w:szCs w:val="24"/>
        </w:rPr>
        <w:t>Behand</w:t>
      </w:r>
      <w:r>
        <w:rPr>
          <w:i/>
          <w:color w:val="000000"/>
          <w:sz w:val="24"/>
          <w:szCs w:val="24"/>
        </w:rPr>
        <w:t>ling under afstødningsepisoder</w:t>
      </w:r>
    </w:p>
    <w:p w:rsidR="008071DB" w:rsidRDefault="008071DB" w:rsidP="008071DB">
      <w:pPr>
        <w:autoSpaceDE w:val="0"/>
        <w:autoSpaceDN w:val="0"/>
        <w:adjustRightInd w:val="0"/>
        <w:ind w:left="851"/>
        <w:rPr>
          <w:color w:val="000000"/>
          <w:sz w:val="24"/>
          <w:szCs w:val="24"/>
        </w:rPr>
      </w:pPr>
      <w:proofErr w:type="spellStart"/>
      <w:r>
        <w:rPr>
          <w:color w:val="000000"/>
          <w:sz w:val="24"/>
          <w:szCs w:val="24"/>
        </w:rPr>
        <w:t>M</w:t>
      </w:r>
      <w:r w:rsidRPr="007205D5">
        <w:rPr>
          <w:color w:val="000000"/>
          <w:sz w:val="24"/>
          <w:szCs w:val="24"/>
        </w:rPr>
        <w:t>ycophenolsyre</w:t>
      </w:r>
      <w:proofErr w:type="spellEnd"/>
      <w:r>
        <w:rPr>
          <w:color w:val="000000"/>
          <w:sz w:val="24"/>
          <w:szCs w:val="24"/>
        </w:rPr>
        <w:t xml:space="preserve"> (MPA</w:t>
      </w:r>
      <w:r w:rsidRPr="007205D5">
        <w:rPr>
          <w:color w:val="000000"/>
          <w:sz w:val="24"/>
          <w:szCs w:val="24"/>
        </w:rPr>
        <w:t xml:space="preserve">) er </w:t>
      </w:r>
      <w:proofErr w:type="spellStart"/>
      <w:r w:rsidRPr="007205D5">
        <w:rPr>
          <w:color w:val="000000"/>
          <w:sz w:val="24"/>
          <w:szCs w:val="24"/>
        </w:rPr>
        <w:t>mycophenolatmofetils</w:t>
      </w:r>
      <w:proofErr w:type="spellEnd"/>
      <w:r w:rsidRPr="007205D5">
        <w:rPr>
          <w:color w:val="000000"/>
          <w:sz w:val="24"/>
          <w:szCs w:val="24"/>
        </w:rPr>
        <w:t xml:space="preserve"> aktive metabolit. Nyretransplantatafstødning medfører ingen ændringer af </w:t>
      </w:r>
      <w:proofErr w:type="spellStart"/>
      <w:r w:rsidRPr="007205D5">
        <w:rPr>
          <w:color w:val="000000"/>
          <w:sz w:val="24"/>
          <w:szCs w:val="24"/>
        </w:rPr>
        <w:t>MPA’s</w:t>
      </w:r>
      <w:proofErr w:type="spellEnd"/>
      <w:r w:rsidRPr="007205D5">
        <w:rPr>
          <w:color w:val="000000"/>
          <w:sz w:val="24"/>
          <w:szCs w:val="24"/>
        </w:rPr>
        <w:t xml:space="preserve"> farmakokinetik; dosisreduktion eller </w:t>
      </w:r>
      <w:proofErr w:type="spellStart"/>
      <w:r w:rsidRPr="007205D5">
        <w:rPr>
          <w:color w:val="000000"/>
          <w:sz w:val="24"/>
          <w:szCs w:val="24"/>
        </w:rPr>
        <w:t>seponering</w:t>
      </w:r>
      <w:proofErr w:type="spellEnd"/>
      <w:r w:rsidRPr="007205D5">
        <w:rPr>
          <w:color w:val="000000"/>
          <w:sz w:val="24"/>
          <w:szCs w:val="24"/>
        </w:rPr>
        <w:t xml:space="preserve"> af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er ikke nødvendig. Der findes ingen </w:t>
      </w:r>
      <w:proofErr w:type="spellStart"/>
      <w:r w:rsidRPr="007205D5">
        <w:rPr>
          <w:color w:val="000000"/>
          <w:sz w:val="24"/>
          <w:szCs w:val="24"/>
        </w:rPr>
        <w:t>farmakokinetiske</w:t>
      </w:r>
      <w:proofErr w:type="spellEnd"/>
      <w:r w:rsidRPr="007205D5">
        <w:rPr>
          <w:color w:val="000000"/>
          <w:sz w:val="24"/>
          <w:szCs w:val="24"/>
        </w:rPr>
        <w:t xml:space="preserve"> data for afstødning af levertransplantat.</w:t>
      </w:r>
    </w:p>
    <w:p w:rsidR="00DC528A" w:rsidRPr="007205D5" w:rsidRDefault="00DC528A" w:rsidP="00B065AB">
      <w:pPr>
        <w:autoSpaceDE w:val="0"/>
        <w:autoSpaceDN w:val="0"/>
        <w:adjustRightInd w:val="0"/>
        <w:ind w:left="851"/>
        <w:rPr>
          <w:color w:val="000000"/>
          <w:sz w:val="24"/>
          <w:szCs w:val="24"/>
        </w:rPr>
      </w:pPr>
    </w:p>
    <w:p w:rsidR="00DC528A" w:rsidRPr="00DC528A" w:rsidRDefault="00DC528A" w:rsidP="00DC528A">
      <w:pPr>
        <w:ind w:left="851"/>
        <w:rPr>
          <w:i/>
          <w:iCs/>
          <w:color w:val="000000"/>
          <w:sz w:val="24"/>
          <w:szCs w:val="24"/>
          <w:lang w:eastAsia="da-DK"/>
        </w:rPr>
      </w:pPr>
      <w:r w:rsidRPr="00DC528A">
        <w:rPr>
          <w:i/>
          <w:iCs/>
          <w:color w:val="000000"/>
          <w:sz w:val="24"/>
          <w:szCs w:val="24"/>
          <w:lang w:eastAsia="da-DK"/>
        </w:rPr>
        <w:t>Pædiatrisk population</w:t>
      </w:r>
    </w:p>
    <w:p w:rsidR="00DC528A" w:rsidRPr="00DC528A" w:rsidRDefault="00DC528A" w:rsidP="00DC528A">
      <w:pPr>
        <w:pStyle w:val="Brdtekst"/>
        <w:spacing w:before="1"/>
        <w:ind w:left="851" w:hanging="1"/>
        <w:rPr>
          <w:color w:val="000000"/>
          <w:sz w:val="24"/>
          <w:szCs w:val="24"/>
          <w:lang w:eastAsia="da-DK"/>
        </w:rPr>
      </w:pPr>
      <w:r w:rsidRPr="00DC528A">
        <w:rPr>
          <w:color w:val="000000"/>
          <w:sz w:val="24"/>
          <w:szCs w:val="24"/>
          <w:lang w:eastAsia="da-DK"/>
        </w:rPr>
        <w:t>Der er ingen data vedrørende behandling af førstegangs- eller recidiverende afstødning hos pædiatriske transplanterede patienter.</w:t>
      </w:r>
    </w:p>
    <w:p w:rsidR="00B065AB" w:rsidRPr="007205D5" w:rsidRDefault="00B065AB" w:rsidP="0081004B">
      <w:pPr>
        <w:autoSpaceDE w:val="0"/>
        <w:autoSpaceDN w:val="0"/>
        <w:adjustRightInd w:val="0"/>
        <w:rPr>
          <w:color w:val="000000"/>
          <w:sz w:val="24"/>
          <w:szCs w:val="24"/>
          <w:highlight w:val="green"/>
        </w:rPr>
      </w:pPr>
    </w:p>
    <w:p w:rsidR="00B065AB" w:rsidRPr="007205D5" w:rsidRDefault="00B065AB" w:rsidP="00B065AB">
      <w:pPr>
        <w:autoSpaceDE w:val="0"/>
        <w:autoSpaceDN w:val="0"/>
        <w:adjustRightInd w:val="0"/>
        <w:ind w:left="851"/>
        <w:rPr>
          <w:b/>
          <w:color w:val="000000"/>
          <w:sz w:val="24"/>
          <w:szCs w:val="24"/>
        </w:rPr>
      </w:pPr>
      <w:r w:rsidRPr="007205D5">
        <w:rPr>
          <w:b/>
          <w:color w:val="000000"/>
          <w:sz w:val="24"/>
          <w:szCs w:val="24"/>
        </w:rPr>
        <w:t>Administration</w:t>
      </w:r>
    </w:p>
    <w:p w:rsidR="008071DB" w:rsidRPr="007205D5" w:rsidRDefault="008071DB" w:rsidP="008071DB">
      <w:pPr>
        <w:autoSpaceDE w:val="0"/>
        <w:autoSpaceDN w:val="0"/>
        <w:adjustRightInd w:val="0"/>
        <w:ind w:left="851"/>
        <w:rPr>
          <w:color w:val="000000"/>
          <w:sz w:val="24"/>
          <w:szCs w:val="24"/>
        </w:rPr>
      </w:pPr>
      <w:r w:rsidRPr="007205D5">
        <w:rPr>
          <w:color w:val="000000"/>
          <w:sz w:val="24"/>
          <w:szCs w:val="24"/>
        </w:rPr>
        <w:t xml:space="preserve">Efter </w:t>
      </w:r>
      <w:proofErr w:type="spellStart"/>
      <w:r w:rsidRPr="007205D5">
        <w:rPr>
          <w:color w:val="000000"/>
          <w:sz w:val="24"/>
          <w:szCs w:val="24"/>
        </w:rPr>
        <w:t>rekonstitution</w:t>
      </w:r>
      <w:proofErr w:type="spellEnd"/>
      <w:r w:rsidRPr="007205D5">
        <w:rPr>
          <w:color w:val="000000"/>
          <w:sz w:val="24"/>
          <w:szCs w:val="24"/>
        </w:rPr>
        <w:t xml:space="preserve"> til en koncentration på 6 mg/ml skal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administreres som langsom intravenøs infusion over en periode på 2 timer, enten via en perifer eller en central vene (se pkt. 6.6).</w:t>
      </w:r>
    </w:p>
    <w:p w:rsidR="008071DB" w:rsidRPr="007205D5" w:rsidRDefault="008071DB" w:rsidP="008071DB">
      <w:pPr>
        <w:autoSpaceDE w:val="0"/>
        <w:autoSpaceDN w:val="0"/>
        <w:adjustRightInd w:val="0"/>
        <w:ind w:left="851"/>
        <w:rPr>
          <w:color w:val="000000"/>
          <w:sz w:val="24"/>
          <w:szCs w:val="24"/>
        </w:rPr>
      </w:pPr>
    </w:p>
    <w:p w:rsidR="008071DB" w:rsidRPr="00385952" w:rsidRDefault="008071DB" w:rsidP="008071DB">
      <w:pPr>
        <w:autoSpaceDE w:val="0"/>
        <w:autoSpaceDN w:val="0"/>
        <w:adjustRightInd w:val="0"/>
        <w:ind w:left="851"/>
        <w:rPr>
          <w:color w:val="000000"/>
          <w:sz w:val="24"/>
          <w:szCs w:val="24"/>
          <w:u w:val="single"/>
        </w:rPr>
      </w:pPr>
      <w:r w:rsidRPr="00385952">
        <w:rPr>
          <w:color w:val="000000"/>
          <w:sz w:val="24"/>
          <w:szCs w:val="24"/>
          <w:u w:val="single"/>
        </w:rPr>
        <w:t>Sikkerhedsforanstaltninger, der skal tages før håndtering eller administration af lægemidlet</w:t>
      </w:r>
    </w:p>
    <w:p w:rsidR="008071DB" w:rsidRPr="007205D5" w:rsidRDefault="008071DB" w:rsidP="008071DB">
      <w:pPr>
        <w:autoSpaceDE w:val="0"/>
        <w:autoSpaceDN w:val="0"/>
        <w:adjustRightInd w:val="0"/>
        <w:ind w:left="851"/>
        <w:rPr>
          <w:color w:val="000000"/>
          <w:sz w:val="24"/>
          <w:szCs w:val="24"/>
          <w:highlight w:val="green"/>
        </w:rPr>
      </w:pPr>
      <w:r w:rsidRPr="007205D5">
        <w:rPr>
          <w:color w:val="000000"/>
          <w:sz w:val="24"/>
          <w:szCs w:val="24"/>
        </w:rPr>
        <w:t xml:space="preserve">Da </w:t>
      </w:r>
      <w:proofErr w:type="spellStart"/>
      <w:r w:rsidRPr="007205D5">
        <w:rPr>
          <w:color w:val="000000"/>
          <w:sz w:val="24"/>
          <w:szCs w:val="24"/>
        </w:rPr>
        <w:t>mycophenolatmofetil</w:t>
      </w:r>
      <w:proofErr w:type="spellEnd"/>
      <w:r w:rsidRPr="007205D5">
        <w:rPr>
          <w:color w:val="000000"/>
          <w:sz w:val="24"/>
          <w:szCs w:val="24"/>
        </w:rPr>
        <w:t xml:space="preserve"> har udvist </w:t>
      </w:r>
      <w:proofErr w:type="spellStart"/>
      <w:r w:rsidRPr="007205D5">
        <w:rPr>
          <w:color w:val="000000"/>
          <w:sz w:val="24"/>
          <w:szCs w:val="24"/>
        </w:rPr>
        <w:t>teratogene</w:t>
      </w:r>
      <w:proofErr w:type="spellEnd"/>
      <w:r w:rsidRPr="007205D5">
        <w:rPr>
          <w:color w:val="000000"/>
          <w:sz w:val="24"/>
          <w:szCs w:val="24"/>
        </w:rPr>
        <w:t xml:space="preserve"> virkninger hos rotter og kaniner, skal direkte kontakt mellem hud eller slimhinder og tørt pulver eller opløsninger af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proofErr w:type="gramStart"/>
      <w:r w:rsidRPr="007205D5">
        <w:rPr>
          <w:color w:val="000000"/>
          <w:sz w:val="24"/>
          <w:szCs w:val="24"/>
        </w:rPr>
        <w:t>"  undgås</w:t>
      </w:r>
      <w:proofErr w:type="gramEnd"/>
      <w:r w:rsidRPr="007205D5">
        <w:rPr>
          <w:color w:val="000000"/>
          <w:sz w:val="24"/>
          <w:szCs w:val="24"/>
        </w:rPr>
        <w:t>. Hvis en sådan kontakt forekommer, skal der vaskes grundigt med sæbe og vand. Øjnene skylles med rent vand.</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Se pkt. 6.6 for instruktioner vedrørende </w:t>
      </w:r>
      <w:proofErr w:type="spellStart"/>
      <w:r w:rsidRPr="007205D5">
        <w:rPr>
          <w:color w:val="000000"/>
          <w:sz w:val="24"/>
          <w:szCs w:val="24"/>
        </w:rPr>
        <w:t>rekonstitution</w:t>
      </w:r>
      <w:proofErr w:type="spellEnd"/>
      <w:r w:rsidRPr="007205D5">
        <w:rPr>
          <w:color w:val="000000"/>
          <w:sz w:val="24"/>
          <w:szCs w:val="24"/>
        </w:rPr>
        <w:t xml:space="preserve"> og fortynding af lægemidlet før administration.</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4.3</w:t>
      </w:r>
      <w:r w:rsidRPr="007205D5">
        <w:rPr>
          <w:b/>
          <w:sz w:val="24"/>
          <w:szCs w:val="24"/>
        </w:rPr>
        <w:tab/>
        <w:t>Kontraindikationer</w:t>
      </w:r>
    </w:p>
    <w:p w:rsidR="00B065AB" w:rsidRPr="007205D5" w:rsidRDefault="00B065AB" w:rsidP="00B065AB">
      <w:pPr>
        <w:autoSpaceDE w:val="0"/>
        <w:autoSpaceDN w:val="0"/>
        <w:adjustRightInd w:val="0"/>
        <w:ind w:left="851" w:hanging="851"/>
        <w:rPr>
          <w:sz w:val="24"/>
          <w:szCs w:val="24"/>
        </w:rPr>
      </w:pPr>
      <w:r w:rsidRPr="007205D5">
        <w:rPr>
          <w:sz w:val="24"/>
          <w:szCs w:val="24"/>
        </w:rPr>
        <w:tab/>
      </w:r>
      <w:proofErr w:type="spellStart"/>
      <w:r>
        <w:rPr>
          <w:sz w:val="24"/>
          <w:szCs w:val="24"/>
        </w:rPr>
        <w:t>Mycophenolatmofetil</w:t>
      </w:r>
      <w:proofErr w:type="spellEnd"/>
      <w:r>
        <w:rPr>
          <w:sz w:val="24"/>
          <w:szCs w:val="24"/>
        </w:rPr>
        <w:t xml:space="preserve"> "</w:t>
      </w:r>
      <w:proofErr w:type="spellStart"/>
      <w:r>
        <w:rPr>
          <w:sz w:val="24"/>
          <w:szCs w:val="24"/>
        </w:rPr>
        <w:t>Accord</w:t>
      </w:r>
      <w:proofErr w:type="spellEnd"/>
      <w:r>
        <w:rPr>
          <w:sz w:val="24"/>
          <w:szCs w:val="24"/>
        </w:rPr>
        <w:t>"</w:t>
      </w:r>
      <w:r w:rsidRPr="007205D5">
        <w:rPr>
          <w:sz w:val="24"/>
          <w:szCs w:val="24"/>
        </w:rPr>
        <w:t xml:space="preserve"> må ikke anvendes til patienter med overfølsomhed over for </w:t>
      </w:r>
      <w:proofErr w:type="spellStart"/>
      <w:r w:rsidRPr="007205D5">
        <w:rPr>
          <w:sz w:val="24"/>
          <w:szCs w:val="24"/>
        </w:rPr>
        <w:t>mycophenolatmofetil</w:t>
      </w:r>
      <w:proofErr w:type="spellEnd"/>
      <w:r w:rsidRPr="007205D5">
        <w:rPr>
          <w:sz w:val="24"/>
          <w:szCs w:val="24"/>
        </w:rPr>
        <w:t xml:space="preserve">, </w:t>
      </w:r>
      <w:proofErr w:type="spellStart"/>
      <w:r w:rsidRPr="007205D5">
        <w:rPr>
          <w:sz w:val="24"/>
          <w:szCs w:val="24"/>
        </w:rPr>
        <w:t>mycophenolsyre</w:t>
      </w:r>
      <w:proofErr w:type="spellEnd"/>
      <w:r w:rsidRPr="007205D5">
        <w:rPr>
          <w:sz w:val="24"/>
          <w:szCs w:val="24"/>
        </w:rPr>
        <w:t xml:space="preserve"> eller et eller flere af hjælpestofferne anført i pkt. 6.1 Der er observeret overfølsomhedsreaktioner over for </w:t>
      </w:r>
      <w:proofErr w:type="spellStart"/>
      <w:r w:rsidRPr="007205D5">
        <w:rPr>
          <w:sz w:val="24"/>
          <w:szCs w:val="24"/>
        </w:rPr>
        <w:t>Mycophenolatmofetil</w:t>
      </w:r>
      <w:proofErr w:type="spellEnd"/>
      <w:r w:rsidRPr="007205D5">
        <w:rPr>
          <w:sz w:val="24"/>
          <w:szCs w:val="24"/>
        </w:rPr>
        <w:t xml:space="preserve"> "</w:t>
      </w:r>
      <w:proofErr w:type="spellStart"/>
      <w:r w:rsidRPr="007205D5">
        <w:rPr>
          <w:sz w:val="24"/>
          <w:szCs w:val="24"/>
        </w:rPr>
        <w:t>Accord</w:t>
      </w:r>
      <w:proofErr w:type="spellEnd"/>
      <w:r w:rsidRPr="007205D5">
        <w:rPr>
          <w:sz w:val="24"/>
          <w:szCs w:val="24"/>
        </w:rPr>
        <w:t>" (se pkt. 4.8)</w:t>
      </w:r>
    </w:p>
    <w:p w:rsidR="00B065AB" w:rsidRPr="007205D5" w:rsidRDefault="00B065AB" w:rsidP="00B065AB">
      <w:pPr>
        <w:autoSpaceDE w:val="0"/>
        <w:autoSpaceDN w:val="0"/>
        <w:adjustRightInd w:val="0"/>
        <w:ind w:left="851" w:hanging="851"/>
        <w:rPr>
          <w:color w:val="000000"/>
          <w:sz w:val="24"/>
          <w:szCs w:val="24"/>
        </w:rPr>
      </w:pPr>
      <w:r w:rsidRPr="007205D5">
        <w:rPr>
          <w:sz w:val="24"/>
          <w:szCs w:val="24"/>
        </w:rPr>
        <w:tab/>
      </w:r>
    </w:p>
    <w:p w:rsidR="00B065AB" w:rsidRPr="007205D5" w:rsidRDefault="00B065AB" w:rsidP="00B065AB">
      <w:pPr>
        <w:autoSpaceDE w:val="0"/>
        <w:autoSpaceDN w:val="0"/>
        <w:adjustRightInd w:val="0"/>
        <w:ind w:left="851"/>
        <w:rPr>
          <w:color w:val="000000"/>
          <w:sz w:val="24"/>
          <w:szCs w:val="24"/>
        </w:rPr>
      </w:pP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er kontraindiceret til patienter, der er allergiske over for </w:t>
      </w:r>
      <w:proofErr w:type="spellStart"/>
      <w:r w:rsidRPr="007205D5">
        <w:rPr>
          <w:color w:val="000000"/>
          <w:sz w:val="24"/>
          <w:szCs w:val="24"/>
        </w:rPr>
        <w:t>polysorbat</w:t>
      </w:r>
      <w:proofErr w:type="spellEnd"/>
      <w:r w:rsidRPr="007205D5">
        <w:rPr>
          <w:color w:val="000000"/>
          <w:sz w:val="24"/>
          <w:szCs w:val="24"/>
        </w:rPr>
        <w:t xml:space="preserve"> 80.</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rPr>
      </w:pP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må ikke anvendes hos fertile kvinder, der ikke anvender højeffektiv </w:t>
      </w:r>
      <w:proofErr w:type="spellStart"/>
      <w:r w:rsidRPr="007205D5">
        <w:rPr>
          <w:color w:val="000000"/>
          <w:sz w:val="24"/>
          <w:szCs w:val="24"/>
        </w:rPr>
        <w:t>kontraception</w:t>
      </w:r>
      <w:proofErr w:type="spellEnd"/>
      <w:r w:rsidRPr="007205D5">
        <w:rPr>
          <w:color w:val="000000"/>
          <w:sz w:val="24"/>
          <w:szCs w:val="24"/>
        </w:rPr>
        <w:t xml:space="preserve"> (se </w:t>
      </w:r>
      <w:proofErr w:type="spellStart"/>
      <w:r w:rsidRPr="007205D5">
        <w:rPr>
          <w:color w:val="000000"/>
          <w:sz w:val="24"/>
          <w:szCs w:val="24"/>
        </w:rPr>
        <w:t>ptkt</w:t>
      </w:r>
      <w:proofErr w:type="spellEnd"/>
      <w:r w:rsidRPr="007205D5">
        <w:rPr>
          <w:color w:val="000000"/>
          <w:sz w:val="24"/>
          <w:szCs w:val="24"/>
        </w:rPr>
        <w:t>. 4.6).</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Behandling med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må ikke påbegyndes hos fertile kvinder, medmindre der foreligger en negativ graviditetstest, så uønsket anvendelse under graviditet udelukkes (se pkt. 4.6).</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rPr>
      </w:pP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bør ikke anvendes under graviditet, medmindre der ikke findes passende behandlingsalternativer, der kan forhindre afstødning af transplantatet (se pkt. 4.6).</w:t>
      </w:r>
    </w:p>
    <w:p w:rsidR="00B065AB" w:rsidRPr="007205D5" w:rsidRDefault="00B065AB" w:rsidP="00B065AB">
      <w:pPr>
        <w:autoSpaceDE w:val="0"/>
        <w:autoSpaceDN w:val="0"/>
        <w:adjustRightInd w:val="0"/>
        <w:ind w:left="851" w:hanging="851"/>
        <w:rPr>
          <w:color w:val="000000"/>
          <w:sz w:val="24"/>
          <w:szCs w:val="24"/>
        </w:rPr>
      </w:pPr>
    </w:p>
    <w:p w:rsidR="00B065AB" w:rsidRDefault="00B065AB" w:rsidP="00B065AB">
      <w:pPr>
        <w:autoSpaceDE w:val="0"/>
        <w:autoSpaceDN w:val="0"/>
        <w:adjustRightInd w:val="0"/>
        <w:ind w:left="851"/>
        <w:rPr>
          <w:color w:val="000000"/>
          <w:sz w:val="24"/>
          <w:szCs w:val="24"/>
        </w:rPr>
      </w:pPr>
      <w:proofErr w:type="spellStart"/>
      <w:r>
        <w:rPr>
          <w:color w:val="000000"/>
          <w:sz w:val="24"/>
          <w:szCs w:val="24"/>
        </w:rPr>
        <w:t>Mycophenolatmofetil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bør ikke anvendes til kvinder, der ammer (se pkt. 4.6).</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ind w:left="851" w:hanging="851"/>
        <w:rPr>
          <w:b/>
          <w:sz w:val="24"/>
          <w:szCs w:val="24"/>
        </w:rPr>
      </w:pPr>
      <w:r w:rsidRPr="007205D5">
        <w:rPr>
          <w:b/>
          <w:sz w:val="24"/>
          <w:szCs w:val="24"/>
        </w:rPr>
        <w:t>4.4</w:t>
      </w:r>
      <w:r w:rsidRPr="007205D5">
        <w:rPr>
          <w:b/>
          <w:sz w:val="24"/>
          <w:szCs w:val="24"/>
        </w:rPr>
        <w:tab/>
        <w:t>Særlige advarsler og forsigtighedsregler vedrørende brugen</w:t>
      </w:r>
    </w:p>
    <w:p w:rsidR="00B065AB" w:rsidRDefault="00B065AB" w:rsidP="00B065AB">
      <w:pPr>
        <w:ind w:left="851" w:hanging="851"/>
        <w:rPr>
          <w:b/>
          <w:sz w:val="24"/>
          <w:szCs w:val="24"/>
        </w:rPr>
      </w:pPr>
      <w:r w:rsidRPr="007205D5">
        <w:rPr>
          <w:b/>
          <w:sz w:val="24"/>
          <w:szCs w:val="24"/>
        </w:rPr>
        <w:tab/>
      </w:r>
    </w:p>
    <w:p w:rsidR="00B065AB" w:rsidRPr="001C70B4" w:rsidRDefault="00B065AB" w:rsidP="00B065AB">
      <w:pPr>
        <w:ind w:left="851"/>
        <w:rPr>
          <w:sz w:val="24"/>
          <w:szCs w:val="24"/>
          <w:u w:val="single"/>
        </w:rPr>
      </w:pPr>
      <w:r w:rsidRPr="001C70B4">
        <w:rPr>
          <w:sz w:val="24"/>
          <w:szCs w:val="24"/>
          <w:u w:val="single"/>
        </w:rPr>
        <w:t>Neoplasmer</w:t>
      </w: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Patienter, som får </w:t>
      </w:r>
      <w:proofErr w:type="spellStart"/>
      <w:r w:rsidRPr="007205D5">
        <w:rPr>
          <w:color w:val="000000"/>
          <w:sz w:val="24"/>
          <w:szCs w:val="24"/>
        </w:rPr>
        <w:t>immunosuppressiv</w:t>
      </w:r>
      <w:proofErr w:type="spellEnd"/>
      <w:r w:rsidRPr="007205D5">
        <w:rPr>
          <w:color w:val="000000"/>
          <w:sz w:val="24"/>
          <w:szCs w:val="24"/>
        </w:rPr>
        <w:t xml:space="preserve"> behandling med kombinationer af lægemidler, der inkluderer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har forøget risiko for at udvikle </w:t>
      </w:r>
      <w:proofErr w:type="spellStart"/>
      <w:r w:rsidRPr="007205D5">
        <w:rPr>
          <w:color w:val="000000"/>
          <w:sz w:val="24"/>
          <w:szCs w:val="24"/>
        </w:rPr>
        <w:t>lymfomer</w:t>
      </w:r>
      <w:proofErr w:type="spellEnd"/>
      <w:r w:rsidRPr="007205D5">
        <w:rPr>
          <w:color w:val="000000"/>
          <w:sz w:val="24"/>
          <w:szCs w:val="24"/>
        </w:rPr>
        <w:t xml:space="preserve"> og andre maligne lidelser, især i huden (se pkt. 4.8). Risikoen synes at være relateret til intensiteten og varigheden af </w:t>
      </w:r>
      <w:proofErr w:type="spellStart"/>
      <w:r w:rsidRPr="007205D5">
        <w:rPr>
          <w:color w:val="000000"/>
          <w:sz w:val="24"/>
          <w:szCs w:val="24"/>
        </w:rPr>
        <w:t>immunosuppression</w:t>
      </w:r>
      <w:proofErr w:type="spellEnd"/>
      <w:r w:rsidRPr="007205D5">
        <w:rPr>
          <w:color w:val="000000"/>
          <w:sz w:val="24"/>
          <w:szCs w:val="24"/>
        </w:rPr>
        <w:t xml:space="preserve"> snarere end til brugen af et bestemt stof. For at minimere risikoen for hudkræft må det generelt tilrådes, at udsættelse for sollys og ultraviolet lys begrænses ved, at der bæres beskyttende beklædning, og ved at der anvendes en solcreme med en høj beskyttelsesfaktor.</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u w:val="single"/>
        </w:rPr>
      </w:pPr>
      <w:r w:rsidRPr="007205D5">
        <w:rPr>
          <w:color w:val="000000"/>
          <w:sz w:val="24"/>
          <w:szCs w:val="24"/>
          <w:u w:val="single"/>
        </w:rPr>
        <w:t>Infektioner</w:t>
      </w:r>
    </w:p>
    <w:p w:rsidR="00B065AB" w:rsidRDefault="00B065AB" w:rsidP="00B065AB">
      <w:pPr>
        <w:autoSpaceDE w:val="0"/>
        <w:autoSpaceDN w:val="0"/>
        <w:adjustRightInd w:val="0"/>
        <w:ind w:left="851"/>
        <w:rPr>
          <w:color w:val="000000"/>
          <w:sz w:val="24"/>
          <w:szCs w:val="24"/>
        </w:rPr>
      </w:pPr>
      <w:r w:rsidRPr="007205D5">
        <w:rPr>
          <w:color w:val="000000"/>
          <w:sz w:val="24"/>
          <w:szCs w:val="24"/>
        </w:rPr>
        <w:t xml:space="preserve">Patienter, som behandles med </w:t>
      </w:r>
      <w:proofErr w:type="spellStart"/>
      <w:r w:rsidRPr="007205D5">
        <w:rPr>
          <w:color w:val="000000"/>
          <w:sz w:val="24"/>
          <w:szCs w:val="24"/>
        </w:rPr>
        <w:t>immunosuppressiva</w:t>
      </w:r>
      <w:proofErr w:type="spellEnd"/>
      <w:r w:rsidRPr="007205D5">
        <w:rPr>
          <w:color w:val="000000"/>
          <w:sz w:val="24"/>
          <w:szCs w:val="24"/>
        </w:rPr>
        <w:t xml:space="preserve">, herunder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har øget risiko for at få opportunistiske infektioner (bakterielle, </w:t>
      </w:r>
      <w:proofErr w:type="spellStart"/>
      <w:r w:rsidRPr="007205D5">
        <w:rPr>
          <w:color w:val="000000"/>
          <w:sz w:val="24"/>
          <w:szCs w:val="24"/>
        </w:rPr>
        <w:t>fungale</w:t>
      </w:r>
      <w:proofErr w:type="spellEnd"/>
      <w:r w:rsidRPr="007205D5">
        <w:rPr>
          <w:color w:val="000000"/>
          <w:sz w:val="24"/>
          <w:szCs w:val="24"/>
        </w:rPr>
        <w:t xml:space="preserve">, virale </w:t>
      </w:r>
      <w:r w:rsidRPr="007205D5">
        <w:rPr>
          <w:color w:val="000000"/>
          <w:sz w:val="24"/>
          <w:szCs w:val="24"/>
        </w:rPr>
        <w:lastRenderedPageBreak/>
        <w:t xml:space="preserve">og protozoale), fatale infektioner og sepsis (se pkt. 4.8). Sådanne infektioner inkluderer latent viral reaktivering, såsom hepatitis B- eller hepatitis C-reaktivering og infektioner forårsaget af </w:t>
      </w:r>
      <w:proofErr w:type="spellStart"/>
      <w:r w:rsidRPr="007205D5">
        <w:rPr>
          <w:color w:val="000000"/>
          <w:sz w:val="24"/>
          <w:szCs w:val="24"/>
        </w:rPr>
        <w:t>polyomavira</w:t>
      </w:r>
      <w:proofErr w:type="spellEnd"/>
      <w:r w:rsidRPr="007205D5">
        <w:rPr>
          <w:color w:val="000000"/>
          <w:sz w:val="24"/>
          <w:szCs w:val="24"/>
        </w:rPr>
        <w:t xml:space="preserve"> (BK-virus associeret med </w:t>
      </w:r>
      <w:proofErr w:type="spellStart"/>
      <w:r w:rsidRPr="007205D5">
        <w:rPr>
          <w:color w:val="000000"/>
          <w:sz w:val="24"/>
          <w:szCs w:val="24"/>
        </w:rPr>
        <w:t>nefropati</w:t>
      </w:r>
      <w:proofErr w:type="spellEnd"/>
      <w:r w:rsidRPr="007205D5">
        <w:rPr>
          <w:color w:val="000000"/>
          <w:sz w:val="24"/>
          <w:szCs w:val="24"/>
        </w:rPr>
        <w:t xml:space="preserve">, JC-virusassocieret med progressiv multifokal </w:t>
      </w:r>
      <w:proofErr w:type="spellStart"/>
      <w:r w:rsidRPr="007205D5">
        <w:rPr>
          <w:color w:val="000000"/>
          <w:sz w:val="24"/>
          <w:szCs w:val="24"/>
        </w:rPr>
        <w:t>leukoencefalopati</w:t>
      </w:r>
      <w:proofErr w:type="spellEnd"/>
      <w:r w:rsidRPr="007205D5">
        <w:rPr>
          <w:color w:val="000000"/>
          <w:sz w:val="24"/>
          <w:szCs w:val="24"/>
        </w:rPr>
        <w:t xml:space="preserve"> PML). Tilfælde af hepatitis som følge af reaktivering af hepatitis B eller hepatitis C er rapporteret hos smittebærere behandlet med </w:t>
      </w:r>
      <w:proofErr w:type="spellStart"/>
      <w:r w:rsidRPr="007205D5">
        <w:rPr>
          <w:color w:val="000000"/>
          <w:sz w:val="24"/>
          <w:szCs w:val="24"/>
        </w:rPr>
        <w:t>immunosuppressiva</w:t>
      </w:r>
      <w:proofErr w:type="spellEnd"/>
      <w:r w:rsidRPr="007205D5">
        <w:rPr>
          <w:color w:val="000000"/>
          <w:sz w:val="24"/>
          <w:szCs w:val="24"/>
        </w:rPr>
        <w:t xml:space="preserve">. Disse infektioner er ofte forbundet med en høj samlet </w:t>
      </w:r>
      <w:proofErr w:type="spellStart"/>
      <w:r w:rsidRPr="007205D5">
        <w:rPr>
          <w:color w:val="000000"/>
          <w:sz w:val="24"/>
          <w:szCs w:val="24"/>
        </w:rPr>
        <w:t>immunosuppressiv</w:t>
      </w:r>
      <w:proofErr w:type="spellEnd"/>
      <w:r w:rsidRPr="007205D5">
        <w:rPr>
          <w:color w:val="000000"/>
          <w:sz w:val="24"/>
          <w:szCs w:val="24"/>
        </w:rPr>
        <w:t xml:space="preserve"> byrde og kan føre til alvorlige eller fatale tilstande, som læger bør tage i betragtning i den differentielle diagnose hos </w:t>
      </w:r>
      <w:proofErr w:type="spellStart"/>
      <w:r w:rsidRPr="007205D5">
        <w:rPr>
          <w:color w:val="000000"/>
          <w:sz w:val="24"/>
          <w:szCs w:val="24"/>
        </w:rPr>
        <w:t>immunosupprimerede</w:t>
      </w:r>
      <w:proofErr w:type="spellEnd"/>
      <w:r w:rsidRPr="007205D5">
        <w:rPr>
          <w:color w:val="000000"/>
          <w:sz w:val="24"/>
          <w:szCs w:val="24"/>
        </w:rPr>
        <w:t xml:space="preserve"> patienter med nedsat nyrefunktion eller neurologiske symptomer.</w:t>
      </w:r>
    </w:p>
    <w:p w:rsidR="00481458" w:rsidRDefault="00481458" w:rsidP="00481458">
      <w:pPr>
        <w:autoSpaceDE w:val="0"/>
        <w:autoSpaceDN w:val="0"/>
        <w:adjustRightInd w:val="0"/>
        <w:ind w:left="851"/>
        <w:rPr>
          <w:color w:val="000000"/>
          <w:sz w:val="24"/>
          <w:szCs w:val="24"/>
        </w:rPr>
      </w:pPr>
      <w:proofErr w:type="spellStart"/>
      <w:r>
        <w:rPr>
          <w:color w:val="000000"/>
          <w:sz w:val="24"/>
          <w:szCs w:val="24"/>
        </w:rPr>
        <w:t>Mycophenolsyre</w:t>
      </w:r>
      <w:proofErr w:type="spellEnd"/>
      <w:r>
        <w:rPr>
          <w:color w:val="000000"/>
          <w:sz w:val="24"/>
          <w:szCs w:val="24"/>
        </w:rPr>
        <w:t xml:space="preserve"> har en </w:t>
      </w:r>
      <w:proofErr w:type="spellStart"/>
      <w:r>
        <w:rPr>
          <w:color w:val="000000"/>
          <w:sz w:val="24"/>
          <w:szCs w:val="24"/>
        </w:rPr>
        <w:t>cytostatisk</w:t>
      </w:r>
      <w:proofErr w:type="spellEnd"/>
      <w:r>
        <w:rPr>
          <w:color w:val="000000"/>
          <w:sz w:val="24"/>
          <w:szCs w:val="24"/>
        </w:rPr>
        <w:t xml:space="preserve"> virkning på B- og T-lymfocytter, og derfor kan en øget sværhedsgrad af COVID-19 forekomme, og passende kliniske tiltag skal overvejes.</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ind w:left="851"/>
        <w:rPr>
          <w:color w:val="000000"/>
          <w:sz w:val="24"/>
          <w:szCs w:val="24"/>
        </w:rPr>
      </w:pPr>
      <w:r w:rsidRPr="007205D5">
        <w:rPr>
          <w:color w:val="000000"/>
          <w:sz w:val="24"/>
          <w:szCs w:val="24"/>
        </w:rPr>
        <w:t xml:space="preserve">Der er rapporteret </w:t>
      </w:r>
      <w:proofErr w:type="spellStart"/>
      <w:r w:rsidRPr="007205D5">
        <w:rPr>
          <w:color w:val="000000"/>
          <w:sz w:val="24"/>
          <w:szCs w:val="24"/>
        </w:rPr>
        <w:t>hypogammaglobulinæmi</w:t>
      </w:r>
      <w:proofErr w:type="spellEnd"/>
      <w:r w:rsidRPr="007205D5">
        <w:rPr>
          <w:color w:val="000000"/>
          <w:sz w:val="24"/>
          <w:szCs w:val="24"/>
        </w:rPr>
        <w:t xml:space="preserve"> i forbindelse med recidiverende infektioner hos patienter behandlet med </w:t>
      </w:r>
      <w:proofErr w:type="spellStart"/>
      <w:r w:rsidRPr="007205D5">
        <w:rPr>
          <w:color w:val="000000"/>
          <w:sz w:val="24"/>
          <w:szCs w:val="24"/>
        </w:rPr>
        <w:t>mycophenolatmofetil</w:t>
      </w:r>
      <w:proofErr w:type="spellEnd"/>
      <w:r w:rsidRPr="007205D5">
        <w:rPr>
          <w:color w:val="000000"/>
          <w:sz w:val="24"/>
          <w:szCs w:val="24"/>
        </w:rPr>
        <w:t xml:space="preserve"> i kombination med andre </w:t>
      </w:r>
      <w:proofErr w:type="spellStart"/>
      <w:r w:rsidRPr="007205D5">
        <w:rPr>
          <w:color w:val="000000"/>
          <w:sz w:val="24"/>
          <w:szCs w:val="24"/>
        </w:rPr>
        <w:t>immunosuppressiva</w:t>
      </w:r>
      <w:proofErr w:type="spellEnd"/>
      <w:r w:rsidRPr="007205D5">
        <w:rPr>
          <w:color w:val="000000"/>
          <w:sz w:val="24"/>
          <w:szCs w:val="24"/>
        </w:rPr>
        <w:t xml:space="preserve">. I nogle af disse tilfælde resulterede udskiftning af </w:t>
      </w:r>
      <w:proofErr w:type="spellStart"/>
      <w:r w:rsidRPr="007205D5">
        <w:rPr>
          <w:color w:val="000000"/>
          <w:sz w:val="24"/>
          <w:szCs w:val="24"/>
        </w:rPr>
        <w:t>mycophenolatmofetil</w:t>
      </w:r>
      <w:proofErr w:type="spellEnd"/>
      <w:r w:rsidRPr="007205D5">
        <w:rPr>
          <w:color w:val="000000"/>
          <w:sz w:val="24"/>
          <w:szCs w:val="24"/>
        </w:rPr>
        <w:t xml:space="preserve"> med et andet </w:t>
      </w:r>
      <w:proofErr w:type="spellStart"/>
      <w:r w:rsidRPr="007205D5">
        <w:rPr>
          <w:color w:val="000000"/>
          <w:sz w:val="24"/>
          <w:szCs w:val="24"/>
        </w:rPr>
        <w:t>immunosuppressivum</w:t>
      </w:r>
      <w:proofErr w:type="spellEnd"/>
      <w:r w:rsidRPr="007205D5">
        <w:rPr>
          <w:color w:val="000000"/>
          <w:sz w:val="24"/>
          <w:szCs w:val="24"/>
        </w:rPr>
        <w:t xml:space="preserve"> i, at serum-</w:t>
      </w:r>
      <w:proofErr w:type="spellStart"/>
      <w:r w:rsidRPr="007205D5">
        <w:rPr>
          <w:color w:val="000000"/>
          <w:sz w:val="24"/>
          <w:szCs w:val="24"/>
        </w:rPr>
        <w:t>IgG</w:t>
      </w:r>
      <w:proofErr w:type="spellEnd"/>
      <w:r w:rsidRPr="007205D5">
        <w:rPr>
          <w:color w:val="000000"/>
          <w:sz w:val="24"/>
          <w:szCs w:val="24"/>
        </w:rPr>
        <w:t xml:space="preserve">-niveauerne normaliseredes. Patienter, der får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og udvikler recidiverende infektioner, skal have målt deres serum-</w:t>
      </w:r>
      <w:proofErr w:type="spellStart"/>
      <w:r w:rsidRPr="007205D5">
        <w:rPr>
          <w:color w:val="000000"/>
          <w:sz w:val="24"/>
          <w:szCs w:val="24"/>
        </w:rPr>
        <w:t>immunoglobuliner</w:t>
      </w:r>
      <w:proofErr w:type="spellEnd"/>
      <w:r w:rsidRPr="007205D5">
        <w:rPr>
          <w:color w:val="000000"/>
          <w:sz w:val="24"/>
          <w:szCs w:val="24"/>
        </w:rPr>
        <w:t xml:space="preserve">. I tilfælde af vedvarende, klinisk relevant </w:t>
      </w:r>
      <w:proofErr w:type="spellStart"/>
      <w:r w:rsidRPr="007205D5">
        <w:rPr>
          <w:color w:val="000000"/>
          <w:sz w:val="24"/>
          <w:szCs w:val="24"/>
        </w:rPr>
        <w:t>hypogammaglobulinæmi</w:t>
      </w:r>
      <w:proofErr w:type="spellEnd"/>
      <w:r w:rsidRPr="007205D5">
        <w:rPr>
          <w:color w:val="000000"/>
          <w:sz w:val="24"/>
          <w:szCs w:val="24"/>
        </w:rPr>
        <w:t xml:space="preserve">, skal passende kliniske tiltag overvejes, idet de potente </w:t>
      </w:r>
      <w:proofErr w:type="spellStart"/>
      <w:r w:rsidRPr="007205D5">
        <w:rPr>
          <w:color w:val="000000"/>
          <w:sz w:val="24"/>
          <w:szCs w:val="24"/>
        </w:rPr>
        <w:t>cytostatiske</w:t>
      </w:r>
      <w:proofErr w:type="spellEnd"/>
      <w:r w:rsidRPr="007205D5">
        <w:rPr>
          <w:color w:val="000000"/>
          <w:sz w:val="24"/>
          <w:szCs w:val="24"/>
        </w:rPr>
        <w:t xml:space="preserve"> effekter, som </w:t>
      </w:r>
      <w:proofErr w:type="spellStart"/>
      <w:r w:rsidRPr="007205D5">
        <w:rPr>
          <w:color w:val="000000"/>
          <w:sz w:val="24"/>
          <w:szCs w:val="24"/>
        </w:rPr>
        <w:t>mycophenolsyre</w:t>
      </w:r>
      <w:proofErr w:type="spellEnd"/>
      <w:r w:rsidRPr="007205D5">
        <w:rPr>
          <w:color w:val="000000"/>
          <w:sz w:val="24"/>
          <w:szCs w:val="24"/>
        </w:rPr>
        <w:t xml:space="preserve"> har på T- og B-lymfocytter, tages i betragtning.</w:t>
      </w:r>
    </w:p>
    <w:p w:rsidR="00B065AB" w:rsidRPr="007205D5" w:rsidRDefault="00B065AB" w:rsidP="00B065AB">
      <w:pPr>
        <w:ind w:left="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Der er publiceret rapporter om </w:t>
      </w:r>
      <w:proofErr w:type="spellStart"/>
      <w:r w:rsidRPr="007205D5">
        <w:rPr>
          <w:color w:val="000000"/>
          <w:sz w:val="24"/>
          <w:szCs w:val="24"/>
        </w:rPr>
        <w:t>bronkiektasi</w:t>
      </w:r>
      <w:proofErr w:type="spellEnd"/>
      <w:r w:rsidRPr="007205D5">
        <w:rPr>
          <w:color w:val="000000"/>
          <w:sz w:val="24"/>
          <w:szCs w:val="24"/>
        </w:rPr>
        <w:t xml:space="preserve"> hos voksne og børn behandlet med </w:t>
      </w:r>
      <w:proofErr w:type="spellStart"/>
      <w:r w:rsidRPr="007205D5">
        <w:rPr>
          <w:color w:val="000000"/>
          <w:sz w:val="24"/>
          <w:szCs w:val="24"/>
        </w:rPr>
        <w:t>mycophenolatmofetil</w:t>
      </w:r>
      <w:proofErr w:type="spellEnd"/>
      <w:r w:rsidRPr="007205D5">
        <w:rPr>
          <w:color w:val="000000"/>
          <w:sz w:val="24"/>
          <w:szCs w:val="24"/>
        </w:rPr>
        <w:t xml:space="preserve"> i kombination med andre </w:t>
      </w:r>
      <w:proofErr w:type="spellStart"/>
      <w:r w:rsidRPr="007205D5">
        <w:rPr>
          <w:color w:val="000000"/>
          <w:sz w:val="24"/>
          <w:szCs w:val="24"/>
        </w:rPr>
        <w:t>immunosuppressiva</w:t>
      </w:r>
      <w:proofErr w:type="spellEnd"/>
      <w:r w:rsidRPr="007205D5">
        <w:rPr>
          <w:color w:val="000000"/>
          <w:sz w:val="24"/>
          <w:szCs w:val="24"/>
        </w:rPr>
        <w:t xml:space="preserve">. I nogle af disse tilfælde resulterede udskiftning af </w:t>
      </w:r>
      <w:proofErr w:type="spellStart"/>
      <w:r w:rsidRPr="007205D5">
        <w:rPr>
          <w:color w:val="000000"/>
          <w:sz w:val="24"/>
          <w:szCs w:val="24"/>
        </w:rPr>
        <w:t>mycophenolatmofetil</w:t>
      </w:r>
      <w:proofErr w:type="spellEnd"/>
      <w:r w:rsidRPr="007205D5">
        <w:rPr>
          <w:color w:val="000000"/>
          <w:sz w:val="24"/>
          <w:szCs w:val="24"/>
        </w:rPr>
        <w:t xml:space="preserve"> med et andet </w:t>
      </w:r>
      <w:proofErr w:type="spellStart"/>
      <w:r w:rsidRPr="007205D5">
        <w:rPr>
          <w:color w:val="000000"/>
          <w:sz w:val="24"/>
          <w:szCs w:val="24"/>
        </w:rPr>
        <w:t>immuno</w:t>
      </w:r>
      <w:r w:rsidRPr="007205D5">
        <w:rPr>
          <w:color w:val="000000"/>
          <w:sz w:val="24"/>
          <w:szCs w:val="24"/>
        </w:rPr>
        <w:softHyphen/>
        <w:t>suppressivum</w:t>
      </w:r>
      <w:proofErr w:type="spellEnd"/>
      <w:r w:rsidRPr="007205D5">
        <w:rPr>
          <w:color w:val="000000"/>
          <w:sz w:val="24"/>
          <w:szCs w:val="24"/>
        </w:rPr>
        <w:t xml:space="preserve"> i bedring af de respiratoriske symptomer. Risikoen for </w:t>
      </w:r>
      <w:proofErr w:type="spellStart"/>
      <w:r w:rsidRPr="007205D5">
        <w:rPr>
          <w:color w:val="000000"/>
          <w:sz w:val="24"/>
          <w:szCs w:val="24"/>
        </w:rPr>
        <w:t>bronkiektasi</w:t>
      </w:r>
      <w:proofErr w:type="spellEnd"/>
      <w:r w:rsidRPr="007205D5">
        <w:rPr>
          <w:color w:val="000000"/>
          <w:sz w:val="24"/>
          <w:szCs w:val="24"/>
        </w:rPr>
        <w:t xml:space="preserve"> kan være forbundet med </w:t>
      </w:r>
      <w:proofErr w:type="spellStart"/>
      <w:r w:rsidRPr="007205D5">
        <w:rPr>
          <w:color w:val="000000"/>
          <w:sz w:val="24"/>
          <w:szCs w:val="24"/>
        </w:rPr>
        <w:t>hypogammaglobulinæmi</w:t>
      </w:r>
      <w:proofErr w:type="spellEnd"/>
      <w:r w:rsidRPr="007205D5">
        <w:rPr>
          <w:color w:val="000000"/>
          <w:sz w:val="24"/>
          <w:szCs w:val="24"/>
        </w:rPr>
        <w:t xml:space="preserve"> eller med en direkte effekt på lungerne. Der er også isolerede rapporter om </w:t>
      </w:r>
      <w:proofErr w:type="spellStart"/>
      <w:r w:rsidRPr="007205D5">
        <w:rPr>
          <w:color w:val="000000"/>
          <w:sz w:val="24"/>
          <w:szCs w:val="24"/>
        </w:rPr>
        <w:t>interstitiel</w:t>
      </w:r>
      <w:proofErr w:type="spellEnd"/>
      <w:r w:rsidRPr="007205D5">
        <w:rPr>
          <w:color w:val="000000"/>
          <w:sz w:val="24"/>
          <w:szCs w:val="24"/>
        </w:rPr>
        <w:t xml:space="preserve"> lungesygdom og </w:t>
      </w:r>
      <w:proofErr w:type="spellStart"/>
      <w:r w:rsidRPr="007205D5">
        <w:rPr>
          <w:color w:val="000000"/>
          <w:sz w:val="24"/>
          <w:szCs w:val="24"/>
        </w:rPr>
        <w:t>pulmonal</w:t>
      </w:r>
      <w:proofErr w:type="spellEnd"/>
      <w:r w:rsidRPr="007205D5">
        <w:rPr>
          <w:color w:val="000000"/>
          <w:sz w:val="24"/>
          <w:szCs w:val="24"/>
        </w:rPr>
        <w:t xml:space="preserve"> fibrose. Nogle af disse tilfælde var fatale (se pkt. 4.8). Det anbefales, at patienter, der udvikler vedvarende </w:t>
      </w:r>
      <w:proofErr w:type="spellStart"/>
      <w:r w:rsidRPr="007205D5">
        <w:rPr>
          <w:color w:val="000000"/>
          <w:sz w:val="24"/>
          <w:szCs w:val="24"/>
        </w:rPr>
        <w:t>pulmonale</w:t>
      </w:r>
      <w:proofErr w:type="spellEnd"/>
      <w:r w:rsidRPr="007205D5">
        <w:rPr>
          <w:color w:val="000000"/>
          <w:sz w:val="24"/>
          <w:szCs w:val="24"/>
        </w:rPr>
        <w:t xml:space="preserve"> symptomer såsom hoste og dyspnø, undersøges.</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u w:val="single"/>
        </w:rPr>
      </w:pPr>
      <w:r w:rsidRPr="007205D5">
        <w:rPr>
          <w:color w:val="000000"/>
          <w:sz w:val="24"/>
          <w:szCs w:val="24"/>
          <w:u w:val="single"/>
        </w:rPr>
        <w:t>Blod og immunsystem</w:t>
      </w: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Patienter, der får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bør monitoreres for </w:t>
      </w:r>
      <w:proofErr w:type="spellStart"/>
      <w:r w:rsidRPr="007205D5">
        <w:rPr>
          <w:color w:val="000000"/>
          <w:sz w:val="24"/>
          <w:szCs w:val="24"/>
        </w:rPr>
        <w:t>neutropeni</w:t>
      </w:r>
      <w:proofErr w:type="spellEnd"/>
      <w:r w:rsidRPr="007205D5">
        <w:rPr>
          <w:color w:val="000000"/>
          <w:sz w:val="24"/>
          <w:szCs w:val="24"/>
        </w:rPr>
        <w:t xml:space="preserve">, der kan være relateret til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samtidige lægemidler, virale infektioner eller en eller anden kombination af disse årsager. Patienter på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bør have foretaget fuldstændig blodtælling ugentligt den første måned, to gange om måneden den anden og tredje behandlingsmåned og derefter en gang om måneden igennem det første år. Hvis der optræder </w:t>
      </w:r>
      <w:proofErr w:type="spellStart"/>
      <w:r w:rsidRPr="007205D5">
        <w:rPr>
          <w:color w:val="000000"/>
          <w:sz w:val="24"/>
          <w:szCs w:val="24"/>
        </w:rPr>
        <w:t>neutropeni</w:t>
      </w:r>
      <w:proofErr w:type="spellEnd"/>
      <w:r w:rsidRPr="007205D5">
        <w:rPr>
          <w:color w:val="000000"/>
          <w:sz w:val="24"/>
          <w:szCs w:val="24"/>
        </w:rPr>
        <w:t xml:space="preserve"> (absolut </w:t>
      </w:r>
      <w:proofErr w:type="spellStart"/>
      <w:r w:rsidRPr="007205D5">
        <w:rPr>
          <w:color w:val="000000"/>
          <w:sz w:val="24"/>
          <w:szCs w:val="24"/>
        </w:rPr>
        <w:t>neutrofilocyttal</w:t>
      </w:r>
      <w:proofErr w:type="spellEnd"/>
      <w:r w:rsidRPr="007205D5">
        <w:rPr>
          <w:color w:val="000000"/>
          <w:sz w:val="24"/>
          <w:szCs w:val="24"/>
        </w:rPr>
        <w:t xml:space="preserve"> &lt; 1,3 x 10</w:t>
      </w:r>
      <w:r w:rsidRPr="007205D5">
        <w:rPr>
          <w:color w:val="000000"/>
          <w:sz w:val="24"/>
          <w:szCs w:val="24"/>
          <w:vertAlign w:val="superscript"/>
        </w:rPr>
        <w:t>3</w:t>
      </w:r>
      <w:r w:rsidRPr="007205D5">
        <w:rPr>
          <w:color w:val="000000"/>
          <w:sz w:val="24"/>
          <w:szCs w:val="24"/>
        </w:rPr>
        <w:t>/</w:t>
      </w:r>
      <w:proofErr w:type="spellStart"/>
      <w:r w:rsidRPr="007205D5">
        <w:rPr>
          <w:color w:val="000000"/>
          <w:sz w:val="24"/>
          <w:szCs w:val="24"/>
        </w:rPr>
        <w:t>μl</w:t>
      </w:r>
      <w:proofErr w:type="spellEnd"/>
      <w:r w:rsidRPr="007205D5">
        <w:rPr>
          <w:color w:val="000000"/>
          <w:sz w:val="24"/>
          <w:szCs w:val="24"/>
        </w:rPr>
        <w:t xml:space="preserve">), er det måske påkrævet at afbryde eller stoppe behandlingen med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Tilfælde af pure red </w:t>
      </w:r>
      <w:proofErr w:type="spellStart"/>
      <w:r w:rsidRPr="007205D5">
        <w:rPr>
          <w:color w:val="000000"/>
          <w:sz w:val="24"/>
          <w:szCs w:val="24"/>
        </w:rPr>
        <w:t>cell-aplasi</w:t>
      </w:r>
      <w:proofErr w:type="spellEnd"/>
      <w:r w:rsidRPr="007205D5">
        <w:rPr>
          <w:color w:val="000000"/>
          <w:sz w:val="24"/>
          <w:szCs w:val="24"/>
        </w:rPr>
        <w:t xml:space="preserve"> (PRCA) er blevet rapporteret hos patienter behandlet med </w:t>
      </w:r>
      <w:proofErr w:type="spellStart"/>
      <w:r w:rsidRPr="007205D5">
        <w:rPr>
          <w:color w:val="000000"/>
          <w:sz w:val="24"/>
          <w:szCs w:val="24"/>
        </w:rPr>
        <w:t>mycophenolatmofetil</w:t>
      </w:r>
      <w:proofErr w:type="spellEnd"/>
      <w:r w:rsidRPr="007205D5">
        <w:rPr>
          <w:color w:val="000000"/>
          <w:sz w:val="24"/>
          <w:szCs w:val="24"/>
        </w:rPr>
        <w:t xml:space="preserve"> i kombination med andre </w:t>
      </w:r>
      <w:proofErr w:type="spellStart"/>
      <w:r w:rsidRPr="007205D5">
        <w:rPr>
          <w:color w:val="000000"/>
          <w:sz w:val="24"/>
          <w:szCs w:val="24"/>
        </w:rPr>
        <w:t>immunosuppressiva</w:t>
      </w:r>
      <w:proofErr w:type="spellEnd"/>
      <w:r w:rsidRPr="007205D5">
        <w:rPr>
          <w:color w:val="000000"/>
          <w:sz w:val="24"/>
          <w:szCs w:val="24"/>
        </w:rPr>
        <w:t xml:space="preserve">. Mekanismen bag </w:t>
      </w:r>
      <w:proofErr w:type="spellStart"/>
      <w:r w:rsidRPr="007205D5">
        <w:rPr>
          <w:color w:val="000000"/>
          <w:sz w:val="24"/>
          <w:szCs w:val="24"/>
        </w:rPr>
        <w:t>mycophenolatmofetil</w:t>
      </w:r>
      <w:proofErr w:type="spellEnd"/>
      <w:r w:rsidRPr="007205D5">
        <w:rPr>
          <w:color w:val="000000"/>
          <w:sz w:val="24"/>
          <w:szCs w:val="24"/>
        </w:rPr>
        <w:t xml:space="preserve">-induceret PRCA kendes ikke. PRCA kan forsvinde ved dosisreduktion eller </w:t>
      </w:r>
      <w:proofErr w:type="spellStart"/>
      <w:r w:rsidRPr="007205D5">
        <w:rPr>
          <w:color w:val="000000"/>
          <w:sz w:val="24"/>
          <w:szCs w:val="24"/>
        </w:rPr>
        <w:t>seponering</w:t>
      </w:r>
      <w:proofErr w:type="spellEnd"/>
      <w:r w:rsidRPr="007205D5">
        <w:rPr>
          <w:color w:val="000000"/>
          <w:sz w:val="24"/>
          <w:szCs w:val="24"/>
        </w:rPr>
        <w:t xml:space="preserve"> af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"-behandlingen. Ændringer i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"-behandlingen bør kun ske under passende supervision hos transparente modtagere for at minimere risikoen for graftafstødning (se pkt. 4.8).</w:t>
      </w:r>
    </w:p>
    <w:p w:rsidR="00B065AB" w:rsidRPr="007205D5" w:rsidRDefault="00B065AB" w:rsidP="00B065AB">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lastRenderedPageBreak/>
        <w:t xml:space="preserve">Patienter, der får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skal informeres om, at de straks skal indberette alle tegn på infektion, uventede blodudtrædninger, blødning eller andre manifestationer på knoglemarvssvigt.</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Patienterne skal underrettes om, at vaccinationer kan være mindre effektive under behandling med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og levende svækkede vacciner bør undgås (se pkt. 4.5). Vaccination mod influenza kan være af værdi. Receptudstedere skal henholde sig til nationale retningslinjer for influenzavaccination.</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u w:val="single"/>
        </w:rPr>
        <w:t>Mave-tarm-kanalen</w:t>
      </w: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rPr>
        <w:t>Mycophenolatmofetil</w:t>
      </w:r>
      <w:proofErr w:type="spellEnd"/>
      <w:r w:rsidRPr="005A2E0C">
        <w:rPr>
          <w:color w:val="000000"/>
          <w:sz w:val="24"/>
          <w:szCs w:val="24"/>
        </w:rPr>
        <w:t xml:space="preserve"> er blevet sat i forbindelse med en øget forekomst af utilsigtede hændelser i fordøjelsessystemet inklusive sjældne tilfælde af </w:t>
      </w:r>
      <w:proofErr w:type="spellStart"/>
      <w:r w:rsidRPr="005A2E0C">
        <w:rPr>
          <w:color w:val="000000"/>
          <w:sz w:val="24"/>
          <w:szCs w:val="24"/>
        </w:rPr>
        <w:t>ulceration</w:t>
      </w:r>
      <w:proofErr w:type="spellEnd"/>
      <w:r w:rsidRPr="005A2E0C">
        <w:rPr>
          <w:color w:val="000000"/>
          <w:sz w:val="24"/>
          <w:szCs w:val="24"/>
        </w:rPr>
        <w:t xml:space="preserve">, blødning og perforation.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bør administreres med forsigtighed til patienter med aktiv alvorlig sygdom i fordøjelsessystemet.</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rPr>
        <w:t>Mycophenolatmofetil</w:t>
      </w:r>
      <w:proofErr w:type="spellEnd"/>
      <w:r w:rsidRPr="005A2E0C">
        <w:rPr>
          <w:color w:val="000000"/>
          <w:sz w:val="24"/>
          <w:szCs w:val="24"/>
        </w:rPr>
        <w:t xml:space="preserve"> er en IMPDH (</w:t>
      </w:r>
      <w:proofErr w:type="spellStart"/>
      <w:r w:rsidRPr="005A2E0C">
        <w:rPr>
          <w:color w:val="000000"/>
          <w:sz w:val="24"/>
          <w:szCs w:val="24"/>
        </w:rPr>
        <w:t>inosinmonofosfatdehydrogenase</w:t>
      </w:r>
      <w:proofErr w:type="spellEnd"/>
      <w:r w:rsidRPr="005A2E0C">
        <w:rPr>
          <w:color w:val="000000"/>
          <w:sz w:val="24"/>
          <w:szCs w:val="24"/>
        </w:rPr>
        <w:t xml:space="preserve">) hæmmer. Det bør derfor undgås til patienter med sjældne arvelig mangel på </w:t>
      </w:r>
      <w:proofErr w:type="spellStart"/>
      <w:r w:rsidRPr="005A2E0C">
        <w:rPr>
          <w:color w:val="000000"/>
          <w:sz w:val="24"/>
          <w:szCs w:val="24"/>
        </w:rPr>
        <w:t>hypoxantin</w:t>
      </w:r>
      <w:proofErr w:type="spellEnd"/>
      <w:r w:rsidRPr="005A2E0C">
        <w:rPr>
          <w:color w:val="000000"/>
          <w:sz w:val="24"/>
          <w:szCs w:val="24"/>
        </w:rPr>
        <w:t>-guanin-</w:t>
      </w:r>
      <w:proofErr w:type="spellStart"/>
      <w:r w:rsidRPr="005A2E0C">
        <w:rPr>
          <w:color w:val="000000"/>
          <w:sz w:val="24"/>
          <w:szCs w:val="24"/>
        </w:rPr>
        <w:t>fosforibosyltransferase</w:t>
      </w:r>
      <w:proofErr w:type="spellEnd"/>
      <w:r w:rsidRPr="005A2E0C">
        <w:rPr>
          <w:color w:val="000000"/>
          <w:sz w:val="24"/>
          <w:szCs w:val="24"/>
        </w:rPr>
        <w:t xml:space="preserve"> (HGPRT) såsom </w:t>
      </w:r>
      <w:proofErr w:type="spellStart"/>
      <w:r w:rsidRPr="005A2E0C">
        <w:rPr>
          <w:color w:val="000000"/>
          <w:sz w:val="24"/>
          <w:szCs w:val="24"/>
        </w:rPr>
        <w:t>Lesch-Nyhan</w:t>
      </w:r>
      <w:proofErr w:type="spellEnd"/>
      <w:r w:rsidRPr="005A2E0C">
        <w:rPr>
          <w:color w:val="000000"/>
          <w:sz w:val="24"/>
          <w:szCs w:val="24"/>
        </w:rPr>
        <w:t xml:space="preserve"> og </w:t>
      </w:r>
      <w:proofErr w:type="spellStart"/>
      <w:r w:rsidRPr="005A2E0C">
        <w:rPr>
          <w:color w:val="000000"/>
          <w:sz w:val="24"/>
          <w:szCs w:val="24"/>
        </w:rPr>
        <w:t>Kelley-Seegmiller</w:t>
      </w:r>
      <w:proofErr w:type="spellEnd"/>
      <w:r w:rsidRPr="005A2E0C">
        <w:rPr>
          <w:color w:val="000000"/>
          <w:sz w:val="24"/>
          <w:szCs w:val="24"/>
        </w:rPr>
        <w:t xml:space="preserve"> syndrom.</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u w:val="single"/>
        </w:rPr>
        <w:t>Interaktioner</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Der skal udvises forsigtighed ved skift fra kombinationsbehandling indeholdende </w:t>
      </w:r>
      <w:proofErr w:type="spellStart"/>
      <w:r w:rsidRPr="005A2E0C">
        <w:rPr>
          <w:color w:val="000000"/>
          <w:sz w:val="24"/>
          <w:szCs w:val="24"/>
        </w:rPr>
        <w:t>immunsupressiva</w:t>
      </w:r>
      <w:proofErr w:type="spellEnd"/>
      <w:r w:rsidRPr="005A2E0C">
        <w:rPr>
          <w:color w:val="000000"/>
          <w:sz w:val="24"/>
          <w:szCs w:val="24"/>
        </w:rPr>
        <w:t xml:space="preserve"> som interfererer med </w:t>
      </w:r>
      <w:proofErr w:type="spellStart"/>
      <w:r w:rsidRPr="005A2E0C">
        <w:rPr>
          <w:color w:val="000000"/>
          <w:sz w:val="24"/>
          <w:szCs w:val="24"/>
        </w:rPr>
        <w:t>MPAs</w:t>
      </w:r>
      <w:proofErr w:type="spellEnd"/>
      <w:r w:rsidRPr="005A2E0C">
        <w:rPr>
          <w:color w:val="000000"/>
          <w:sz w:val="24"/>
          <w:szCs w:val="24"/>
        </w:rPr>
        <w:t xml:space="preserve"> </w:t>
      </w:r>
      <w:proofErr w:type="spellStart"/>
      <w:r w:rsidRPr="005A2E0C">
        <w:rPr>
          <w:color w:val="000000"/>
          <w:sz w:val="24"/>
          <w:szCs w:val="24"/>
        </w:rPr>
        <w:t>enterohepatiske</w:t>
      </w:r>
      <w:proofErr w:type="spellEnd"/>
      <w:r w:rsidRPr="005A2E0C">
        <w:rPr>
          <w:color w:val="000000"/>
          <w:sz w:val="24"/>
          <w:szCs w:val="24"/>
        </w:rPr>
        <w:t xml:space="preserve"> kredsløb, f.eks. </w:t>
      </w:r>
      <w:proofErr w:type="spellStart"/>
      <w:r w:rsidRPr="005A2E0C">
        <w:rPr>
          <w:color w:val="000000"/>
          <w:sz w:val="24"/>
          <w:szCs w:val="24"/>
        </w:rPr>
        <w:t>ciclosporin</w:t>
      </w:r>
      <w:proofErr w:type="spellEnd"/>
      <w:r w:rsidRPr="005A2E0C">
        <w:rPr>
          <w:color w:val="000000"/>
          <w:sz w:val="24"/>
          <w:szCs w:val="24"/>
        </w:rPr>
        <w:t xml:space="preserve">, til andre som ikke interfererer, </w:t>
      </w:r>
      <w:proofErr w:type="spellStart"/>
      <w:r w:rsidRPr="005A2E0C">
        <w:rPr>
          <w:color w:val="000000"/>
          <w:sz w:val="24"/>
          <w:szCs w:val="24"/>
        </w:rPr>
        <w:t>f.eks</w:t>
      </w:r>
      <w:proofErr w:type="spellEnd"/>
      <w:r w:rsidRPr="005A2E0C">
        <w:rPr>
          <w:color w:val="000000"/>
          <w:sz w:val="24"/>
          <w:szCs w:val="24"/>
        </w:rPr>
        <w:t xml:space="preserve"> </w:t>
      </w:r>
      <w:proofErr w:type="spellStart"/>
      <w:r w:rsidRPr="005A2E0C">
        <w:rPr>
          <w:color w:val="000000"/>
          <w:sz w:val="24"/>
          <w:szCs w:val="24"/>
        </w:rPr>
        <w:t>tacrolimus</w:t>
      </w:r>
      <w:proofErr w:type="spellEnd"/>
      <w:r w:rsidRPr="005A2E0C">
        <w:rPr>
          <w:color w:val="000000"/>
          <w:sz w:val="24"/>
          <w:szCs w:val="24"/>
        </w:rPr>
        <w:t xml:space="preserve">, </w:t>
      </w:r>
      <w:proofErr w:type="spellStart"/>
      <w:r w:rsidRPr="005A2E0C">
        <w:rPr>
          <w:color w:val="000000"/>
          <w:sz w:val="24"/>
          <w:szCs w:val="24"/>
        </w:rPr>
        <w:t>sirolimus</w:t>
      </w:r>
      <w:proofErr w:type="spellEnd"/>
      <w:r w:rsidRPr="005A2E0C">
        <w:rPr>
          <w:color w:val="000000"/>
          <w:sz w:val="24"/>
          <w:szCs w:val="24"/>
        </w:rPr>
        <w:t xml:space="preserve">, </w:t>
      </w:r>
      <w:proofErr w:type="spellStart"/>
      <w:r w:rsidRPr="005A2E0C">
        <w:rPr>
          <w:color w:val="000000"/>
          <w:sz w:val="24"/>
          <w:szCs w:val="24"/>
        </w:rPr>
        <w:t>belatacept</w:t>
      </w:r>
      <w:proofErr w:type="spellEnd"/>
      <w:r w:rsidRPr="005A2E0C">
        <w:rPr>
          <w:color w:val="000000"/>
          <w:sz w:val="24"/>
          <w:szCs w:val="24"/>
        </w:rPr>
        <w:t xml:space="preserve">, eller omvendt, da dette kan ændre eksponeringen af MPA. Lægemidler som påvirker </w:t>
      </w:r>
      <w:proofErr w:type="spellStart"/>
      <w:r w:rsidRPr="005A2E0C">
        <w:rPr>
          <w:color w:val="000000"/>
          <w:sz w:val="24"/>
          <w:szCs w:val="24"/>
        </w:rPr>
        <w:t>MPAs</w:t>
      </w:r>
      <w:proofErr w:type="spellEnd"/>
      <w:r w:rsidRPr="005A2E0C">
        <w:rPr>
          <w:color w:val="000000"/>
          <w:sz w:val="24"/>
          <w:szCs w:val="24"/>
        </w:rPr>
        <w:t xml:space="preserve"> </w:t>
      </w:r>
      <w:proofErr w:type="spellStart"/>
      <w:r w:rsidRPr="005A2E0C">
        <w:rPr>
          <w:color w:val="000000"/>
          <w:sz w:val="24"/>
          <w:szCs w:val="24"/>
        </w:rPr>
        <w:t>enterohepatiske</w:t>
      </w:r>
      <w:proofErr w:type="spellEnd"/>
      <w:r w:rsidRPr="005A2E0C">
        <w:rPr>
          <w:color w:val="000000"/>
          <w:sz w:val="24"/>
          <w:szCs w:val="24"/>
        </w:rPr>
        <w:t xml:space="preserve"> kredsløb (f.eks. </w:t>
      </w:r>
      <w:proofErr w:type="spellStart"/>
      <w:r w:rsidRPr="005A2E0C">
        <w:rPr>
          <w:color w:val="000000"/>
          <w:sz w:val="24"/>
          <w:szCs w:val="24"/>
        </w:rPr>
        <w:t>colestyramin</w:t>
      </w:r>
      <w:proofErr w:type="spellEnd"/>
      <w:r w:rsidRPr="005A2E0C">
        <w:rPr>
          <w:color w:val="000000"/>
          <w:sz w:val="24"/>
          <w:szCs w:val="24"/>
        </w:rPr>
        <w:t xml:space="preserve">, antibiotika) bør anvendes med forsigtighed, da de potentielt kan reducere plasmaniveauet og virkningen af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(se også pkt. 4.5). En vis grad af </w:t>
      </w:r>
      <w:proofErr w:type="spellStart"/>
      <w:r w:rsidRPr="005A2E0C">
        <w:rPr>
          <w:color w:val="000000"/>
          <w:sz w:val="24"/>
          <w:szCs w:val="24"/>
        </w:rPr>
        <w:t>enterohepatisk</w:t>
      </w:r>
      <w:proofErr w:type="spellEnd"/>
      <w:r w:rsidRPr="005A2E0C">
        <w:rPr>
          <w:color w:val="000000"/>
          <w:sz w:val="24"/>
          <w:szCs w:val="24"/>
        </w:rPr>
        <w:t xml:space="preserve"> recirkulation kan forventes efter intravenøs administration af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Terapeutisk lægemiddelovervågning af MPA kan være hensigtsmæssigt ved skift i kombinationsbehandling (</w:t>
      </w:r>
      <w:proofErr w:type="spellStart"/>
      <w:r w:rsidRPr="005A2E0C">
        <w:rPr>
          <w:color w:val="000000"/>
          <w:sz w:val="24"/>
          <w:szCs w:val="24"/>
        </w:rPr>
        <w:t>f.eks</w:t>
      </w:r>
      <w:proofErr w:type="spellEnd"/>
      <w:r w:rsidRPr="005A2E0C">
        <w:rPr>
          <w:color w:val="000000"/>
          <w:sz w:val="24"/>
          <w:szCs w:val="24"/>
        </w:rPr>
        <w:t xml:space="preserve"> fra </w:t>
      </w:r>
      <w:proofErr w:type="spellStart"/>
      <w:r w:rsidRPr="005A2E0C">
        <w:rPr>
          <w:color w:val="000000"/>
          <w:sz w:val="24"/>
          <w:szCs w:val="24"/>
        </w:rPr>
        <w:t>ciclosporin</w:t>
      </w:r>
      <w:proofErr w:type="spellEnd"/>
      <w:r w:rsidRPr="005A2E0C">
        <w:rPr>
          <w:color w:val="000000"/>
          <w:sz w:val="24"/>
          <w:szCs w:val="24"/>
        </w:rPr>
        <w:t xml:space="preserve"> til </w:t>
      </w:r>
      <w:proofErr w:type="spellStart"/>
      <w:r w:rsidRPr="005A2E0C">
        <w:rPr>
          <w:color w:val="000000"/>
          <w:sz w:val="24"/>
          <w:szCs w:val="24"/>
        </w:rPr>
        <w:t>tacrolimus</w:t>
      </w:r>
      <w:proofErr w:type="spellEnd"/>
      <w:r w:rsidRPr="005A2E0C">
        <w:rPr>
          <w:color w:val="000000"/>
          <w:sz w:val="24"/>
          <w:szCs w:val="24"/>
        </w:rPr>
        <w:t xml:space="preserve"> eller omvendt) eller for at sikre tilstrækkelig </w:t>
      </w:r>
      <w:proofErr w:type="spellStart"/>
      <w:r w:rsidRPr="005A2E0C">
        <w:rPr>
          <w:color w:val="000000"/>
          <w:sz w:val="24"/>
          <w:szCs w:val="24"/>
        </w:rPr>
        <w:t>immunosuppression</w:t>
      </w:r>
      <w:proofErr w:type="spellEnd"/>
      <w:r w:rsidRPr="005A2E0C">
        <w:rPr>
          <w:color w:val="000000"/>
          <w:sz w:val="24"/>
          <w:szCs w:val="24"/>
        </w:rPr>
        <w:t xml:space="preserve"> hos patienter med høj immunologisk risiko (</w:t>
      </w:r>
      <w:proofErr w:type="spellStart"/>
      <w:r w:rsidRPr="005A2E0C">
        <w:rPr>
          <w:color w:val="000000"/>
          <w:sz w:val="24"/>
          <w:szCs w:val="24"/>
        </w:rPr>
        <w:t>f.eks</w:t>
      </w:r>
      <w:proofErr w:type="spellEnd"/>
      <w:r w:rsidRPr="005A2E0C">
        <w:rPr>
          <w:color w:val="000000"/>
          <w:sz w:val="24"/>
          <w:szCs w:val="24"/>
        </w:rPr>
        <w:t xml:space="preserve"> risiko for afstødning, behandling med antibiotika</w:t>
      </w:r>
      <w:r w:rsidRPr="005A2E0C">
        <w:rPr>
          <w:sz w:val="24"/>
          <w:szCs w:val="24"/>
        </w:rPr>
        <w:t xml:space="preserve">, tilføjelse eller </w:t>
      </w:r>
      <w:proofErr w:type="spellStart"/>
      <w:r w:rsidRPr="005A2E0C">
        <w:rPr>
          <w:sz w:val="24"/>
          <w:szCs w:val="24"/>
        </w:rPr>
        <w:t>seponering</w:t>
      </w:r>
      <w:proofErr w:type="spellEnd"/>
      <w:r w:rsidRPr="005A2E0C">
        <w:rPr>
          <w:sz w:val="24"/>
          <w:szCs w:val="24"/>
        </w:rPr>
        <w:t xml:space="preserve"> af interagerende lægemidler</w:t>
      </w:r>
      <w:r w:rsidRPr="005A2E0C">
        <w:rPr>
          <w:color w:val="000000"/>
          <w:sz w:val="24"/>
          <w:szCs w:val="24"/>
        </w:rPr>
        <w:t xml:space="preserve">). </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 </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Det frarådes, at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administreres samtidig med </w:t>
      </w:r>
      <w:proofErr w:type="spellStart"/>
      <w:r w:rsidRPr="005A2E0C">
        <w:rPr>
          <w:color w:val="000000"/>
          <w:sz w:val="24"/>
          <w:szCs w:val="24"/>
        </w:rPr>
        <w:t>azathioprin</w:t>
      </w:r>
      <w:proofErr w:type="spellEnd"/>
      <w:r w:rsidRPr="005A2E0C">
        <w:rPr>
          <w:color w:val="000000"/>
          <w:sz w:val="24"/>
          <w:szCs w:val="24"/>
        </w:rPr>
        <w:t>, da en sådan samtidig administration ikke er blevet undersøgt.</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pStyle w:val="Brdtekst3"/>
        <w:ind w:left="851"/>
        <w:jc w:val="left"/>
        <w:rPr>
          <w:rFonts w:ascii="Times New Roman" w:hAnsi="Times New Roman" w:cs="Times New Roman"/>
          <w:szCs w:val="24"/>
          <w:lang w:val="da-DK"/>
        </w:rPr>
      </w:pPr>
      <w:r w:rsidRPr="005A2E0C">
        <w:rPr>
          <w:rFonts w:ascii="Times New Roman" w:hAnsi="Times New Roman" w:cs="Times New Roman"/>
          <w:szCs w:val="24"/>
          <w:lang w:val="da-DK"/>
        </w:rPr>
        <w:t xml:space="preserve">Risk/benefit-forholdet for </w:t>
      </w:r>
      <w:proofErr w:type="spellStart"/>
      <w:r w:rsidRPr="005A2E0C">
        <w:rPr>
          <w:rFonts w:ascii="Times New Roman" w:hAnsi="Times New Roman" w:cs="Times New Roman"/>
          <w:szCs w:val="24"/>
          <w:lang w:val="da-DK"/>
        </w:rPr>
        <w:t>mycophenolatmofetil</w:t>
      </w:r>
      <w:proofErr w:type="spellEnd"/>
      <w:r w:rsidRPr="005A2E0C">
        <w:rPr>
          <w:rFonts w:ascii="Times New Roman" w:hAnsi="Times New Roman" w:cs="Times New Roman"/>
          <w:szCs w:val="24"/>
          <w:lang w:val="da-DK"/>
        </w:rPr>
        <w:t xml:space="preserve"> i kombination med </w:t>
      </w:r>
      <w:proofErr w:type="spellStart"/>
      <w:r w:rsidRPr="005A2E0C">
        <w:rPr>
          <w:rFonts w:ascii="Times New Roman" w:hAnsi="Times New Roman" w:cs="Times New Roman"/>
          <w:szCs w:val="24"/>
          <w:lang w:val="da-DK"/>
        </w:rPr>
        <w:t>sirolimus</w:t>
      </w:r>
      <w:proofErr w:type="spellEnd"/>
      <w:r w:rsidRPr="005A2E0C">
        <w:rPr>
          <w:rFonts w:ascii="Times New Roman" w:hAnsi="Times New Roman" w:cs="Times New Roman"/>
          <w:szCs w:val="24"/>
          <w:lang w:val="da-DK"/>
        </w:rPr>
        <w:t xml:space="preserve"> er ikke blevet fastslået (se pkt. 4.5).</w:t>
      </w:r>
    </w:p>
    <w:p w:rsidR="005A2E0C" w:rsidRPr="005A2E0C" w:rsidRDefault="005A2E0C" w:rsidP="005A2E0C">
      <w:pPr>
        <w:pStyle w:val="Brdtekst3"/>
        <w:ind w:left="851"/>
        <w:jc w:val="left"/>
        <w:rPr>
          <w:rFonts w:ascii="Times New Roman" w:hAnsi="Times New Roman" w:cs="Times New Roman"/>
          <w:szCs w:val="24"/>
          <w:lang w:val="da-DK"/>
        </w:rPr>
      </w:pPr>
    </w:p>
    <w:p w:rsidR="005A2E0C" w:rsidRPr="005A2E0C" w:rsidRDefault="005A2E0C" w:rsidP="005A2E0C">
      <w:pPr>
        <w:pStyle w:val="Brdtekst3"/>
        <w:ind w:left="851"/>
        <w:jc w:val="left"/>
        <w:rPr>
          <w:rFonts w:ascii="Times New Roman" w:hAnsi="Times New Roman" w:cs="Times New Roman"/>
          <w:szCs w:val="24"/>
          <w:u w:val="single"/>
          <w:lang w:val="da-DK"/>
        </w:rPr>
      </w:pPr>
      <w:r w:rsidRPr="005A2E0C">
        <w:rPr>
          <w:rFonts w:ascii="Times New Roman" w:hAnsi="Times New Roman" w:cs="Times New Roman"/>
          <w:szCs w:val="24"/>
          <w:u w:val="single"/>
          <w:lang w:val="da-DK"/>
        </w:rPr>
        <w:t>Særlige populationer</w:t>
      </w:r>
    </w:p>
    <w:p w:rsidR="005A2E0C" w:rsidRPr="005A2E0C" w:rsidRDefault="005A2E0C" w:rsidP="005A2E0C">
      <w:pPr>
        <w:pStyle w:val="Brdtekst3"/>
        <w:ind w:left="851"/>
        <w:jc w:val="left"/>
        <w:rPr>
          <w:rFonts w:ascii="Times New Roman" w:hAnsi="Times New Roman" w:cs="Times New Roman"/>
          <w:szCs w:val="24"/>
          <w:lang w:val="da-DK"/>
        </w:rPr>
      </w:pPr>
      <w:r w:rsidRPr="005A2E0C">
        <w:rPr>
          <w:rFonts w:ascii="Times New Roman" w:hAnsi="Times New Roman" w:cs="Times New Roman"/>
          <w:szCs w:val="24"/>
          <w:lang w:val="da-DK"/>
        </w:rPr>
        <w:t xml:space="preserve">Ældre patienter kan have større risiko for uønskede hændelser, såsom visse infektioner (herunder vævsinvasiv sygdom forårsaget af </w:t>
      </w:r>
      <w:proofErr w:type="spellStart"/>
      <w:r w:rsidRPr="005A2E0C">
        <w:rPr>
          <w:rFonts w:ascii="Times New Roman" w:hAnsi="Times New Roman" w:cs="Times New Roman"/>
          <w:szCs w:val="24"/>
          <w:lang w:val="da-DK"/>
        </w:rPr>
        <w:t>cytomegalovirus</w:t>
      </w:r>
      <w:proofErr w:type="spellEnd"/>
      <w:r w:rsidRPr="005A2E0C">
        <w:rPr>
          <w:rFonts w:ascii="Times New Roman" w:hAnsi="Times New Roman" w:cs="Times New Roman"/>
          <w:szCs w:val="24"/>
          <w:lang w:val="da-DK"/>
        </w:rPr>
        <w:t xml:space="preserve">) og muligvis </w:t>
      </w:r>
      <w:proofErr w:type="spellStart"/>
      <w:r w:rsidRPr="005A2E0C">
        <w:rPr>
          <w:rFonts w:ascii="Times New Roman" w:hAnsi="Times New Roman" w:cs="Times New Roman"/>
          <w:szCs w:val="24"/>
          <w:lang w:val="da-DK"/>
        </w:rPr>
        <w:t>gastrointestinal</w:t>
      </w:r>
      <w:proofErr w:type="spellEnd"/>
      <w:r w:rsidRPr="005A2E0C">
        <w:rPr>
          <w:rFonts w:ascii="Times New Roman" w:hAnsi="Times New Roman" w:cs="Times New Roman"/>
          <w:szCs w:val="24"/>
          <w:lang w:val="da-DK"/>
        </w:rPr>
        <w:t xml:space="preserve"> blødning og lungeødem, sammenlignet med yngre patienter (se pkt. 4.8).</w:t>
      </w:r>
    </w:p>
    <w:p w:rsidR="005A2E0C" w:rsidRPr="005A2E0C" w:rsidRDefault="005A2E0C" w:rsidP="005A2E0C">
      <w:pPr>
        <w:pStyle w:val="Brdtekst3"/>
        <w:ind w:left="851"/>
        <w:jc w:val="left"/>
        <w:rPr>
          <w:rFonts w:ascii="Times New Roman" w:hAnsi="Times New Roman" w:cs="Times New Roman"/>
          <w:szCs w:val="24"/>
          <w:lang w:val="da-DK"/>
        </w:rPr>
      </w:pPr>
    </w:p>
    <w:p w:rsidR="005A2E0C" w:rsidRPr="005A2E0C" w:rsidRDefault="005A2E0C" w:rsidP="005A2E0C">
      <w:pPr>
        <w:pStyle w:val="Brdtekst3"/>
        <w:ind w:left="851"/>
        <w:jc w:val="left"/>
        <w:rPr>
          <w:rFonts w:ascii="Times New Roman" w:hAnsi="Times New Roman" w:cs="Times New Roman"/>
          <w:szCs w:val="24"/>
          <w:u w:val="single"/>
          <w:lang w:val="da-DK"/>
        </w:rPr>
      </w:pPr>
      <w:proofErr w:type="spellStart"/>
      <w:r w:rsidRPr="005A2E0C">
        <w:rPr>
          <w:rFonts w:ascii="Times New Roman" w:hAnsi="Times New Roman" w:cs="Times New Roman"/>
          <w:szCs w:val="24"/>
          <w:u w:val="single"/>
          <w:lang w:val="da-DK"/>
        </w:rPr>
        <w:t>Teratogen</w:t>
      </w:r>
      <w:proofErr w:type="spellEnd"/>
      <w:r w:rsidRPr="005A2E0C">
        <w:rPr>
          <w:rFonts w:ascii="Times New Roman" w:hAnsi="Times New Roman" w:cs="Times New Roman"/>
          <w:szCs w:val="24"/>
          <w:u w:val="single"/>
          <w:lang w:val="da-DK"/>
        </w:rPr>
        <w:t xml:space="preserve"> virkning</w:t>
      </w:r>
    </w:p>
    <w:p w:rsidR="005A2E0C" w:rsidRPr="005A2E0C" w:rsidRDefault="005A2E0C" w:rsidP="005A2E0C">
      <w:pPr>
        <w:pStyle w:val="Brdtekst3"/>
        <w:ind w:left="851"/>
        <w:jc w:val="left"/>
        <w:rPr>
          <w:rFonts w:ascii="Times New Roman" w:hAnsi="Times New Roman" w:cs="Times New Roman"/>
          <w:szCs w:val="24"/>
          <w:lang w:val="da-DK"/>
        </w:rPr>
      </w:pPr>
      <w:proofErr w:type="spellStart"/>
      <w:r w:rsidRPr="005A2E0C">
        <w:rPr>
          <w:rFonts w:ascii="Times New Roman" w:hAnsi="Times New Roman" w:cs="Times New Roman"/>
          <w:szCs w:val="24"/>
          <w:lang w:val="da-DK"/>
        </w:rPr>
        <w:t>Mycophenolat</w:t>
      </w:r>
      <w:proofErr w:type="spellEnd"/>
      <w:r w:rsidRPr="005A2E0C">
        <w:rPr>
          <w:rFonts w:ascii="Times New Roman" w:hAnsi="Times New Roman" w:cs="Times New Roman"/>
          <w:szCs w:val="24"/>
          <w:lang w:val="da-DK"/>
        </w:rPr>
        <w:t xml:space="preserve"> har en potent </w:t>
      </w:r>
      <w:proofErr w:type="spellStart"/>
      <w:r w:rsidRPr="005A2E0C">
        <w:rPr>
          <w:rFonts w:ascii="Times New Roman" w:hAnsi="Times New Roman" w:cs="Times New Roman"/>
          <w:szCs w:val="24"/>
          <w:lang w:val="da-DK"/>
        </w:rPr>
        <w:t>teratogen</w:t>
      </w:r>
      <w:proofErr w:type="spellEnd"/>
      <w:r w:rsidRPr="005A2E0C">
        <w:rPr>
          <w:rFonts w:ascii="Times New Roman" w:hAnsi="Times New Roman" w:cs="Times New Roman"/>
          <w:szCs w:val="24"/>
          <w:lang w:val="da-DK"/>
        </w:rPr>
        <w:t xml:space="preserve"> virkning hos mennesker. Spontane aborter (frekvens på 45 % til 49 %) og medfødte misdannelser (anslået frekvens på 23 % til 27 %) er rapporteret efter </w:t>
      </w:r>
      <w:proofErr w:type="spellStart"/>
      <w:r w:rsidRPr="005A2E0C">
        <w:rPr>
          <w:rFonts w:ascii="Times New Roman" w:hAnsi="Times New Roman" w:cs="Times New Roman"/>
          <w:szCs w:val="24"/>
          <w:lang w:val="da-DK"/>
        </w:rPr>
        <w:t>mycophenolatmofetil</w:t>
      </w:r>
      <w:proofErr w:type="spellEnd"/>
      <w:r w:rsidRPr="005A2E0C">
        <w:rPr>
          <w:rFonts w:ascii="Times New Roman" w:hAnsi="Times New Roman" w:cs="Times New Roman"/>
          <w:szCs w:val="24"/>
          <w:lang w:val="da-DK"/>
        </w:rPr>
        <w:t xml:space="preserve"> eksponering under graviditet. Derfor er </w:t>
      </w:r>
      <w:proofErr w:type="spellStart"/>
      <w:r w:rsidRPr="005A2E0C">
        <w:rPr>
          <w:rFonts w:ascii="Times New Roman" w:hAnsi="Times New Roman" w:cs="Times New Roman"/>
          <w:szCs w:val="24"/>
          <w:lang w:val="da-DK"/>
        </w:rPr>
        <w:t>Mycophenolatmofetil</w:t>
      </w:r>
      <w:proofErr w:type="spellEnd"/>
      <w:r w:rsidRPr="005A2E0C">
        <w:rPr>
          <w:rFonts w:ascii="Times New Roman" w:hAnsi="Times New Roman" w:cs="Times New Roman"/>
          <w:szCs w:val="24"/>
          <w:lang w:val="da-DK"/>
        </w:rPr>
        <w:t xml:space="preserve"> "</w:t>
      </w:r>
      <w:proofErr w:type="spellStart"/>
      <w:r w:rsidRPr="005A2E0C">
        <w:rPr>
          <w:rFonts w:ascii="Times New Roman" w:hAnsi="Times New Roman" w:cs="Times New Roman"/>
          <w:szCs w:val="24"/>
          <w:lang w:val="da-DK"/>
        </w:rPr>
        <w:t>Accord</w:t>
      </w:r>
      <w:proofErr w:type="spellEnd"/>
      <w:r w:rsidRPr="005A2E0C">
        <w:rPr>
          <w:rFonts w:ascii="Times New Roman" w:hAnsi="Times New Roman" w:cs="Times New Roman"/>
          <w:szCs w:val="24"/>
          <w:lang w:val="da-DK"/>
        </w:rPr>
        <w:t xml:space="preserve">" kontraindiceret under graviditet, medmindre der ikke findes passende behandlingsalternativer, der kan forhindre afstødning af transplantatet. Fertile kvinder skal informeres om risiciene og følge de anbefalinger, der gives under pkt. </w:t>
      </w:r>
      <w:r w:rsidRPr="005A2E0C">
        <w:rPr>
          <w:rFonts w:ascii="Times New Roman" w:hAnsi="Times New Roman" w:cs="Times New Roman"/>
          <w:szCs w:val="24"/>
          <w:lang w:val="da-DK"/>
        </w:rPr>
        <w:lastRenderedPageBreak/>
        <w:t xml:space="preserve">4.6 (f.eks. </w:t>
      </w:r>
      <w:proofErr w:type="spellStart"/>
      <w:r w:rsidRPr="005A2E0C">
        <w:rPr>
          <w:rFonts w:ascii="Times New Roman" w:hAnsi="Times New Roman" w:cs="Times New Roman"/>
          <w:szCs w:val="24"/>
          <w:lang w:val="da-DK"/>
        </w:rPr>
        <w:t>kontraceptive</w:t>
      </w:r>
      <w:proofErr w:type="spellEnd"/>
      <w:r w:rsidRPr="005A2E0C">
        <w:rPr>
          <w:rFonts w:ascii="Times New Roman" w:hAnsi="Times New Roman" w:cs="Times New Roman"/>
          <w:szCs w:val="24"/>
          <w:lang w:val="da-DK"/>
        </w:rPr>
        <w:t xml:space="preserve"> metoder, graviditetstests) før, under og efter behandling med </w:t>
      </w:r>
      <w:proofErr w:type="spellStart"/>
      <w:r w:rsidRPr="005A2E0C">
        <w:rPr>
          <w:rFonts w:ascii="Times New Roman" w:hAnsi="Times New Roman" w:cs="Times New Roman"/>
          <w:szCs w:val="24"/>
          <w:lang w:val="da-DK"/>
        </w:rPr>
        <w:t>Mycophenolatmofetil</w:t>
      </w:r>
      <w:proofErr w:type="spellEnd"/>
      <w:r w:rsidRPr="005A2E0C">
        <w:rPr>
          <w:rFonts w:ascii="Times New Roman" w:hAnsi="Times New Roman" w:cs="Times New Roman"/>
          <w:szCs w:val="24"/>
          <w:lang w:val="da-DK"/>
        </w:rPr>
        <w:t xml:space="preserve"> "</w:t>
      </w:r>
      <w:proofErr w:type="spellStart"/>
      <w:r w:rsidRPr="005A2E0C">
        <w:rPr>
          <w:rFonts w:ascii="Times New Roman" w:hAnsi="Times New Roman" w:cs="Times New Roman"/>
          <w:szCs w:val="24"/>
          <w:lang w:val="da-DK"/>
        </w:rPr>
        <w:t>Accord</w:t>
      </w:r>
      <w:proofErr w:type="spellEnd"/>
      <w:r w:rsidRPr="005A2E0C">
        <w:rPr>
          <w:rFonts w:ascii="Times New Roman" w:hAnsi="Times New Roman" w:cs="Times New Roman"/>
          <w:szCs w:val="24"/>
          <w:lang w:val="da-DK"/>
        </w:rPr>
        <w:t xml:space="preserve">". Lægen skal sikre, at kvinder, der tager </w:t>
      </w:r>
      <w:proofErr w:type="spellStart"/>
      <w:r w:rsidRPr="005A2E0C">
        <w:rPr>
          <w:rFonts w:ascii="Times New Roman" w:hAnsi="Times New Roman" w:cs="Times New Roman"/>
          <w:szCs w:val="24"/>
          <w:lang w:val="da-DK"/>
        </w:rPr>
        <w:t>mycophenolat</w:t>
      </w:r>
      <w:proofErr w:type="spellEnd"/>
      <w:r w:rsidRPr="005A2E0C">
        <w:rPr>
          <w:rFonts w:ascii="Times New Roman" w:hAnsi="Times New Roman" w:cs="Times New Roman"/>
          <w:szCs w:val="24"/>
          <w:lang w:val="da-DK"/>
        </w:rPr>
        <w:t>, forstår risikoen for skader hos barnet, nødvendigheden af effektiv prævention og nødvendigheden af straks at kontakte lægen, hvis der er risiko for graviditet.</w:t>
      </w:r>
    </w:p>
    <w:p w:rsidR="005A2E0C" w:rsidRPr="005A2E0C" w:rsidRDefault="005A2E0C" w:rsidP="005A2E0C">
      <w:pPr>
        <w:pStyle w:val="Brdtekst3"/>
        <w:ind w:left="851"/>
        <w:jc w:val="left"/>
        <w:rPr>
          <w:rFonts w:ascii="Times New Roman" w:hAnsi="Times New Roman" w:cs="Times New Roman"/>
          <w:szCs w:val="24"/>
          <w:lang w:val="da-DK"/>
        </w:rPr>
      </w:pPr>
    </w:p>
    <w:p w:rsidR="005A2E0C" w:rsidRPr="005A2E0C" w:rsidRDefault="005A2E0C" w:rsidP="005A2E0C">
      <w:pPr>
        <w:pStyle w:val="Brdtekst3"/>
        <w:ind w:left="851"/>
        <w:jc w:val="left"/>
        <w:rPr>
          <w:rFonts w:ascii="Times New Roman" w:hAnsi="Times New Roman" w:cs="Times New Roman"/>
          <w:szCs w:val="24"/>
          <w:u w:val="single"/>
          <w:lang w:val="da-DK"/>
        </w:rPr>
      </w:pPr>
      <w:r w:rsidRPr="005A2E0C">
        <w:rPr>
          <w:rFonts w:ascii="Times New Roman" w:hAnsi="Times New Roman" w:cs="Times New Roman"/>
          <w:szCs w:val="24"/>
          <w:u w:val="single"/>
          <w:lang w:val="da-DK"/>
        </w:rPr>
        <w:t>Antikonception (se pkt. 4.6)</w:t>
      </w:r>
    </w:p>
    <w:p w:rsidR="005A2E0C" w:rsidRPr="005A2E0C" w:rsidRDefault="005A2E0C" w:rsidP="005A2E0C">
      <w:pPr>
        <w:pStyle w:val="Default"/>
        <w:ind w:left="851"/>
      </w:pPr>
      <w:r w:rsidRPr="005A2E0C">
        <w:t xml:space="preserve">På grund af robust klinisk evidens, der viser en høj risiko for abort og medfødte misdannelser, når </w:t>
      </w:r>
      <w:proofErr w:type="spellStart"/>
      <w:r w:rsidRPr="005A2E0C">
        <w:t>mycophenolatmofetil</w:t>
      </w:r>
      <w:proofErr w:type="spellEnd"/>
      <w:r w:rsidRPr="005A2E0C">
        <w:t xml:space="preserve"> anvendes under graviditet, skal graviditet under behandlingen undgås. Derfor skal fertile kvinder anvende mindst én pålidelig form for antikonception (se pkt. 4.3), inden behandling med </w:t>
      </w:r>
      <w:proofErr w:type="spellStart"/>
      <w:r w:rsidRPr="005A2E0C">
        <w:t>Mycophenolatmofetil</w:t>
      </w:r>
      <w:proofErr w:type="spellEnd"/>
      <w:r w:rsidRPr="005A2E0C">
        <w:t xml:space="preserve"> ”</w:t>
      </w:r>
      <w:proofErr w:type="spellStart"/>
      <w:r w:rsidRPr="005A2E0C">
        <w:t>Accord</w:t>
      </w:r>
      <w:proofErr w:type="spellEnd"/>
      <w:r w:rsidRPr="005A2E0C">
        <w:t xml:space="preserve">” påbegyndes, under behandlingen og i seks uger efter behandlingsophør, medmindre seksuel afholdenhed er den valgte form for prævention. </w:t>
      </w:r>
    </w:p>
    <w:p w:rsidR="005A2E0C" w:rsidRPr="005A2E0C" w:rsidRDefault="005A2E0C" w:rsidP="005A2E0C">
      <w:pPr>
        <w:pStyle w:val="Default"/>
        <w:ind w:left="851"/>
      </w:pPr>
      <w:r w:rsidRPr="005A2E0C">
        <w:t xml:space="preserve">Samtidig brug af to komplementære former for antikonception foretrækkes for at minimere risikoen for svigt i prævention og utilsigtet graviditet. </w:t>
      </w:r>
    </w:p>
    <w:p w:rsidR="005A2E0C" w:rsidRPr="005A2E0C" w:rsidRDefault="005A2E0C" w:rsidP="005A2E0C">
      <w:pPr>
        <w:pStyle w:val="Default"/>
        <w:ind w:left="851"/>
      </w:pPr>
    </w:p>
    <w:p w:rsidR="005A2E0C" w:rsidRPr="005A2E0C" w:rsidRDefault="005A2E0C" w:rsidP="005A2E0C">
      <w:pPr>
        <w:pStyle w:val="Brdtekst3"/>
        <w:ind w:left="851"/>
        <w:jc w:val="left"/>
        <w:rPr>
          <w:rFonts w:ascii="Times New Roman" w:hAnsi="Times New Roman" w:cs="Times New Roman"/>
          <w:szCs w:val="24"/>
          <w:lang w:val="da-DK"/>
        </w:rPr>
      </w:pPr>
      <w:r w:rsidRPr="005A2E0C">
        <w:rPr>
          <w:rFonts w:ascii="Times New Roman" w:hAnsi="Times New Roman" w:cs="Times New Roman"/>
          <w:szCs w:val="24"/>
          <w:lang w:val="da-DK"/>
        </w:rPr>
        <w:t>For antikonceptionelle råd til mænd, se pkt. 4.6.</w:t>
      </w:r>
    </w:p>
    <w:p w:rsidR="005A2E0C" w:rsidRPr="005A2E0C" w:rsidRDefault="005A2E0C" w:rsidP="005A2E0C">
      <w:pPr>
        <w:pStyle w:val="Brdtekst3"/>
        <w:ind w:left="851"/>
        <w:jc w:val="left"/>
        <w:rPr>
          <w:rFonts w:ascii="Times New Roman" w:hAnsi="Times New Roman" w:cs="Times New Roman"/>
          <w:szCs w:val="24"/>
          <w:lang w:val="da-DK"/>
        </w:rPr>
      </w:pPr>
    </w:p>
    <w:p w:rsidR="005A2E0C" w:rsidRPr="005A2E0C" w:rsidRDefault="005A2E0C" w:rsidP="005A2E0C">
      <w:pPr>
        <w:pStyle w:val="Brdtekst3"/>
        <w:ind w:left="851"/>
        <w:jc w:val="left"/>
        <w:rPr>
          <w:rFonts w:ascii="Times New Roman" w:hAnsi="Times New Roman" w:cs="Times New Roman"/>
          <w:szCs w:val="24"/>
          <w:u w:val="single"/>
          <w:lang w:val="da-DK"/>
        </w:rPr>
      </w:pPr>
      <w:r w:rsidRPr="005A2E0C">
        <w:rPr>
          <w:rFonts w:ascii="Times New Roman" w:hAnsi="Times New Roman" w:cs="Times New Roman"/>
          <w:szCs w:val="24"/>
          <w:u w:val="single"/>
          <w:lang w:val="da-DK"/>
        </w:rPr>
        <w:t>Uddannelsesmateriale</w:t>
      </w:r>
    </w:p>
    <w:p w:rsidR="005A2E0C" w:rsidRPr="005A2E0C" w:rsidRDefault="005A2E0C" w:rsidP="005A2E0C">
      <w:pPr>
        <w:pStyle w:val="Brdtekst3"/>
        <w:ind w:left="851"/>
        <w:jc w:val="left"/>
        <w:rPr>
          <w:rFonts w:ascii="Times New Roman" w:hAnsi="Times New Roman" w:cs="Times New Roman"/>
          <w:szCs w:val="24"/>
          <w:lang w:val="da-DK"/>
        </w:rPr>
      </w:pPr>
      <w:r w:rsidRPr="005A2E0C">
        <w:rPr>
          <w:rFonts w:ascii="Times New Roman" w:hAnsi="Times New Roman" w:cs="Times New Roman"/>
          <w:szCs w:val="24"/>
          <w:lang w:val="da-DK"/>
        </w:rPr>
        <w:t xml:space="preserve">For at hjælpe patienter med at undgå </w:t>
      </w:r>
      <w:proofErr w:type="spellStart"/>
      <w:r w:rsidRPr="005A2E0C">
        <w:rPr>
          <w:rFonts w:ascii="Times New Roman" w:hAnsi="Times New Roman" w:cs="Times New Roman"/>
          <w:szCs w:val="24"/>
          <w:lang w:val="da-DK"/>
        </w:rPr>
        <w:t>føtal</w:t>
      </w:r>
      <w:proofErr w:type="spellEnd"/>
      <w:r w:rsidRPr="005A2E0C">
        <w:rPr>
          <w:rFonts w:ascii="Times New Roman" w:hAnsi="Times New Roman" w:cs="Times New Roman"/>
          <w:szCs w:val="24"/>
          <w:lang w:val="da-DK"/>
        </w:rPr>
        <w:t xml:space="preserve"> eksponering af </w:t>
      </w:r>
      <w:proofErr w:type="spellStart"/>
      <w:r w:rsidRPr="005A2E0C">
        <w:rPr>
          <w:rFonts w:ascii="Times New Roman" w:hAnsi="Times New Roman" w:cs="Times New Roman"/>
          <w:szCs w:val="24"/>
          <w:lang w:val="da-DK"/>
        </w:rPr>
        <w:t>mycophenolat</w:t>
      </w:r>
      <w:proofErr w:type="spellEnd"/>
      <w:r w:rsidRPr="005A2E0C">
        <w:rPr>
          <w:rFonts w:ascii="Times New Roman" w:hAnsi="Times New Roman" w:cs="Times New Roman"/>
          <w:szCs w:val="24"/>
          <w:lang w:val="da-DK"/>
        </w:rPr>
        <w:t xml:space="preserve"> og for at fremskaffe yderligere vigtig sikkerhedsinformation vil indehaveren af </w:t>
      </w:r>
      <w:proofErr w:type="spellStart"/>
      <w:r w:rsidRPr="005A2E0C">
        <w:rPr>
          <w:rFonts w:ascii="Times New Roman" w:hAnsi="Times New Roman" w:cs="Times New Roman"/>
          <w:szCs w:val="24"/>
          <w:lang w:val="da-DK"/>
        </w:rPr>
        <w:t>markedføringstilladelsen</w:t>
      </w:r>
      <w:proofErr w:type="spellEnd"/>
      <w:r w:rsidRPr="005A2E0C">
        <w:rPr>
          <w:rFonts w:ascii="Times New Roman" w:hAnsi="Times New Roman" w:cs="Times New Roman"/>
          <w:szCs w:val="24"/>
          <w:lang w:val="da-DK"/>
        </w:rPr>
        <w:t xml:space="preserve"> tilvejebringe uddannelsesmateriale til sundhedspersonale. Uddannelsesmaterialet vil fremhæve advarsler vedrørende </w:t>
      </w:r>
      <w:proofErr w:type="spellStart"/>
      <w:r w:rsidRPr="005A2E0C">
        <w:rPr>
          <w:rFonts w:ascii="Times New Roman" w:hAnsi="Times New Roman" w:cs="Times New Roman"/>
          <w:szCs w:val="24"/>
          <w:lang w:val="da-DK"/>
        </w:rPr>
        <w:t>mycophenolats</w:t>
      </w:r>
      <w:proofErr w:type="spellEnd"/>
      <w:r w:rsidRPr="005A2E0C">
        <w:rPr>
          <w:rFonts w:ascii="Times New Roman" w:hAnsi="Times New Roman" w:cs="Times New Roman"/>
          <w:szCs w:val="24"/>
          <w:lang w:val="da-DK"/>
        </w:rPr>
        <w:t xml:space="preserve"> </w:t>
      </w:r>
      <w:proofErr w:type="spellStart"/>
      <w:r w:rsidRPr="005A2E0C">
        <w:rPr>
          <w:rFonts w:ascii="Times New Roman" w:hAnsi="Times New Roman" w:cs="Times New Roman"/>
          <w:szCs w:val="24"/>
          <w:lang w:val="da-DK"/>
        </w:rPr>
        <w:t>teratogenicitet</w:t>
      </w:r>
      <w:proofErr w:type="spellEnd"/>
      <w:r w:rsidRPr="005A2E0C">
        <w:rPr>
          <w:rFonts w:ascii="Times New Roman" w:hAnsi="Times New Roman" w:cs="Times New Roman"/>
          <w:szCs w:val="24"/>
          <w:lang w:val="da-DK"/>
        </w:rPr>
        <w:t xml:space="preserve">, give vejledning om antikonception inden påbegyndelse af behandlingen og vejledning i nødvendigheden af graviditetstests. Lægen skal give fertile kvinder og - hvor det er relevant - mænd udførlig information om de </w:t>
      </w:r>
      <w:proofErr w:type="spellStart"/>
      <w:r w:rsidRPr="005A2E0C">
        <w:rPr>
          <w:rFonts w:ascii="Times New Roman" w:hAnsi="Times New Roman" w:cs="Times New Roman"/>
          <w:szCs w:val="24"/>
          <w:lang w:val="da-DK"/>
        </w:rPr>
        <w:t>teratogene</w:t>
      </w:r>
      <w:proofErr w:type="spellEnd"/>
      <w:r w:rsidRPr="005A2E0C">
        <w:rPr>
          <w:rFonts w:ascii="Times New Roman" w:hAnsi="Times New Roman" w:cs="Times New Roman"/>
          <w:szCs w:val="24"/>
          <w:lang w:val="da-DK"/>
        </w:rPr>
        <w:t xml:space="preserve"> risici og forholdsregler til at forebygge graviditet.</w:t>
      </w:r>
    </w:p>
    <w:p w:rsidR="005A2E0C" w:rsidRPr="005A2E0C" w:rsidRDefault="005A2E0C" w:rsidP="005A2E0C">
      <w:pPr>
        <w:pStyle w:val="Brdtekst3"/>
        <w:ind w:left="851"/>
        <w:jc w:val="left"/>
        <w:rPr>
          <w:rFonts w:ascii="Times New Roman" w:hAnsi="Times New Roman" w:cs="Times New Roman"/>
          <w:szCs w:val="24"/>
          <w:lang w:val="da-DK"/>
        </w:rPr>
      </w:pPr>
    </w:p>
    <w:p w:rsidR="005A2E0C" w:rsidRPr="005A2E0C" w:rsidRDefault="005A2E0C" w:rsidP="005A2E0C">
      <w:pPr>
        <w:pStyle w:val="Brdtekst3"/>
        <w:ind w:left="851"/>
        <w:jc w:val="left"/>
        <w:rPr>
          <w:rFonts w:ascii="Times New Roman" w:hAnsi="Times New Roman" w:cs="Times New Roman"/>
          <w:szCs w:val="24"/>
          <w:u w:val="single"/>
          <w:lang w:val="da-DK"/>
        </w:rPr>
      </w:pPr>
      <w:r w:rsidRPr="005A2E0C">
        <w:rPr>
          <w:rFonts w:ascii="Times New Roman" w:hAnsi="Times New Roman" w:cs="Times New Roman"/>
          <w:szCs w:val="24"/>
          <w:u w:val="single"/>
          <w:lang w:val="da-DK"/>
        </w:rPr>
        <w:t>Yderligere forsigtighedsregler</w:t>
      </w:r>
    </w:p>
    <w:p w:rsidR="005A2E0C" w:rsidRDefault="005A2E0C" w:rsidP="005A2E0C">
      <w:pPr>
        <w:pStyle w:val="Brdtekst3"/>
        <w:ind w:left="851"/>
        <w:jc w:val="left"/>
        <w:rPr>
          <w:rFonts w:ascii="Times New Roman" w:hAnsi="Times New Roman" w:cs="Times New Roman"/>
          <w:szCs w:val="24"/>
          <w:lang w:val="da-DK"/>
        </w:rPr>
      </w:pPr>
      <w:r w:rsidRPr="005A2E0C">
        <w:rPr>
          <w:rFonts w:ascii="Times New Roman" w:hAnsi="Times New Roman" w:cs="Times New Roman"/>
          <w:szCs w:val="24"/>
          <w:lang w:val="da-DK"/>
        </w:rPr>
        <w:t xml:space="preserve">Patienter må ikke donere blod under behandlingen og i mindst 6 uger efter </w:t>
      </w:r>
      <w:proofErr w:type="spellStart"/>
      <w:r w:rsidRPr="005A2E0C">
        <w:rPr>
          <w:rFonts w:ascii="Times New Roman" w:hAnsi="Times New Roman" w:cs="Times New Roman"/>
          <w:szCs w:val="24"/>
          <w:lang w:val="da-DK"/>
        </w:rPr>
        <w:t>seponering</w:t>
      </w:r>
      <w:proofErr w:type="spellEnd"/>
      <w:r w:rsidRPr="005A2E0C">
        <w:rPr>
          <w:rFonts w:ascii="Times New Roman" w:hAnsi="Times New Roman" w:cs="Times New Roman"/>
          <w:szCs w:val="24"/>
          <w:lang w:val="da-DK"/>
        </w:rPr>
        <w:t xml:space="preserve"> af </w:t>
      </w:r>
      <w:proofErr w:type="spellStart"/>
      <w:r w:rsidRPr="005A2E0C">
        <w:rPr>
          <w:rFonts w:ascii="Times New Roman" w:hAnsi="Times New Roman" w:cs="Times New Roman"/>
          <w:szCs w:val="24"/>
          <w:lang w:val="da-DK"/>
        </w:rPr>
        <w:t>mycophenolat</w:t>
      </w:r>
      <w:proofErr w:type="spellEnd"/>
      <w:r w:rsidRPr="005A2E0C">
        <w:rPr>
          <w:rFonts w:ascii="Times New Roman" w:hAnsi="Times New Roman" w:cs="Times New Roman"/>
          <w:szCs w:val="24"/>
          <w:lang w:val="da-DK"/>
        </w:rPr>
        <w:t xml:space="preserve">. Mænd må ikke donere sæd under behandlingen og i 90 dage efter </w:t>
      </w:r>
      <w:proofErr w:type="spellStart"/>
      <w:r w:rsidRPr="005A2E0C">
        <w:rPr>
          <w:rFonts w:ascii="Times New Roman" w:hAnsi="Times New Roman" w:cs="Times New Roman"/>
          <w:szCs w:val="24"/>
          <w:lang w:val="da-DK"/>
        </w:rPr>
        <w:t>seponering</w:t>
      </w:r>
      <w:proofErr w:type="spellEnd"/>
      <w:r w:rsidRPr="005A2E0C">
        <w:rPr>
          <w:rFonts w:ascii="Times New Roman" w:hAnsi="Times New Roman" w:cs="Times New Roman"/>
          <w:szCs w:val="24"/>
          <w:lang w:val="da-DK"/>
        </w:rPr>
        <w:t xml:space="preserve"> af </w:t>
      </w:r>
      <w:proofErr w:type="spellStart"/>
      <w:r w:rsidRPr="005A2E0C">
        <w:rPr>
          <w:rFonts w:ascii="Times New Roman" w:hAnsi="Times New Roman" w:cs="Times New Roman"/>
          <w:szCs w:val="24"/>
          <w:lang w:val="da-DK"/>
        </w:rPr>
        <w:t>mycophenolat</w:t>
      </w:r>
      <w:proofErr w:type="spellEnd"/>
      <w:r w:rsidRPr="005A2E0C">
        <w:rPr>
          <w:rFonts w:ascii="Times New Roman" w:hAnsi="Times New Roman" w:cs="Times New Roman"/>
          <w:szCs w:val="24"/>
          <w:lang w:val="da-DK"/>
        </w:rPr>
        <w:t>.</w:t>
      </w:r>
    </w:p>
    <w:p w:rsidR="008071DB" w:rsidRDefault="008071DB" w:rsidP="005A2E0C">
      <w:pPr>
        <w:pStyle w:val="Brdtekst3"/>
        <w:ind w:left="851"/>
        <w:jc w:val="left"/>
        <w:rPr>
          <w:rFonts w:ascii="Times New Roman" w:hAnsi="Times New Roman" w:cs="Times New Roman"/>
          <w:szCs w:val="24"/>
          <w:lang w:val="da-DK"/>
        </w:rPr>
      </w:pPr>
    </w:p>
    <w:p w:rsidR="008071DB" w:rsidRPr="00147EAA" w:rsidRDefault="008071DB" w:rsidP="008071DB">
      <w:pPr>
        <w:pStyle w:val="Brdtekst3"/>
        <w:ind w:left="851"/>
        <w:rPr>
          <w:rFonts w:ascii="Times New Roman" w:hAnsi="Times New Roman" w:cs="Times New Roman"/>
          <w:szCs w:val="24"/>
          <w:u w:val="single"/>
          <w:lang w:val="da-DK"/>
        </w:rPr>
      </w:pPr>
      <w:r w:rsidRPr="00147EAA">
        <w:rPr>
          <w:rFonts w:ascii="Times New Roman" w:hAnsi="Times New Roman" w:cs="Times New Roman"/>
          <w:szCs w:val="24"/>
          <w:u w:val="single"/>
          <w:lang w:val="da-DK"/>
        </w:rPr>
        <w:t>Natriumindhold</w:t>
      </w:r>
    </w:p>
    <w:p w:rsidR="008071DB" w:rsidRPr="009C1939" w:rsidRDefault="008071DB" w:rsidP="008071DB">
      <w:pPr>
        <w:pStyle w:val="Brdtekst3"/>
        <w:ind w:left="851"/>
        <w:rPr>
          <w:rFonts w:ascii="Times New Roman" w:hAnsi="Times New Roman" w:cs="Times New Roman"/>
          <w:szCs w:val="24"/>
          <w:lang w:val="da-DK"/>
        </w:rPr>
      </w:pPr>
      <w:r w:rsidRPr="009C1939">
        <w:rPr>
          <w:rFonts w:ascii="Times New Roman" w:hAnsi="Times New Roman" w:cs="Times New Roman"/>
          <w:szCs w:val="24"/>
          <w:lang w:val="da-DK"/>
        </w:rPr>
        <w:t>Dette lægemiddel indeholder mindre end 1 mmol (23 mg) natrium pr. dosisenhed, dvs. det er i det</w:t>
      </w:r>
      <w:r>
        <w:rPr>
          <w:rFonts w:ascii="Times New Roman" w:hAnsi="Times New Roman" w:cs="Times New Roman"/>
          <w:szCs w:val="24"/>
          <w:lang w:val="da-DK"/>
        </w:rPr>
        <w:t xml:space="preserve"> </w:t>
      </w:r>
      <w:r w:rsidRPr="009C1939">
        <w:rPr>
          <w:rFonts w:ascii="Times New Roman" w:hAnsi="Times New Roman" w:cs="Times New Roman"/>
          <w:szCs w:val="24"/>
          <w:lang w:val="da-DK"/>
        </w:rPr>
        <w:t>væsentlige natriumfrit.</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4.5</w:t>
      </w:r>
      <w:r w:rsidRPr="007205D5">
        <w:rPr>
          <w:b/>
          <w:sz w:val="24"/>
          <w:szCs w:val="24"/>
        </w:rPr>
        <w:tab/>
        <w:t>Interaktion med andre lægemidler og andre former for interaktion</w:t>
      </w:r>
    </w:p>
    <w:p w:rsidR="00B065AB" w:rsidRDefault="00B065AB" w:rsidP="00B065AB">
      <w:pPr>
        <w:autoSpaceDE w:val="0"/>
        <w:autoSpaceDN w:val="0"/>
        <w:adjustRightInd w:val="0"/>
        <w:ind w:left="851"/>
        <w:rPr>
          <w:color w:val="000000"/>
          <w:sz w:val="24"/>
          <w:szCs w:val="24"/>
          <w:u w:val="single"/>
        </w:rPr>
      </w:pP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u w:val="single"/>
        </w:rPr>
        <w:t>Aciclovir</w:t>
      </w:r>
      <w:proofErr w:type="spellEnd"/>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rPr>
        <w:t xml:space="preserve">Der blev observeret højere </w:t>
      </w:r>
      <w:proofErr w:type="spellStart"/>
      <w:r w:rsidRPr="005A2E0C">
        <w:rPr>
          <w:color w:val="000000"/>
          <w:sz w:val="24"/>
          <w:szCs w:val="24"/>
        </w:rPr>
        <w:t>aciclovir</w:t>
      </w:r>
      <w:proofErr w:type="spellEnd"/>
      <w:r w:rsidRPr="005A2E0C">
        <w:rPr>
          <w:color w:val="000000"/>
          <w:sz w:val="24"/>
          <w:szCs w:val="24"/>
        </w:rPr>
        <w:t xml:space="preserve">-plasmakoncentrationer, når </w:t>
      </w:r>
      <w:proofErr w:type="spellStart"/>
      <w:r w:rsidRPr="005A2E0C">
        <w:rPr>
          <w:color w:val="000000"/>
          <w:sz w:val="24"/>
          <w:szCs w:val="24"/>
        </w:rPr>
        <w:t>mycophenolatmofetil</w:t>
      </w:r>
      <w:proofErr w:type="spellEnd"/>
      <w:r w:rsidRPr="005A2E0C">
        <w:rPr>
          <w:color w:val="000000"/>
          <w:sz w:val="24"/>
          <w:szCs w:val="24"/>
        </w:rPr>
        <w:t xml:space="preserve"> blev administreret sammen med </w:t>
      </w:r>
      <w:proofErr w:type="spellStart"/>
      <w:r w:rsidRPr="005A2E0C">
        <w:rPr>
          <w:color w:val="000000"/>
          <w:sz w:val="24"/>
          <w:szCs w:val="24"/>
        </w:rPr>
        <w:t>aciclovir</w:t>
      </w:r>
      <w:proofErr w:type="spellEnd"/>
      <w:r w:rsidRPr="005A2E0C">
        <w:rPr>
          <w:color w:val="000000"/>
          <w:sz w:val="24"/>
          <w:szCs w:val="24"/>
        </w:rPr>
        <w:t xml:space="preserve"> sammenlignet med administration af </w:t>
      </w:r>
      <w:proofErr w:type="spellStart"/>
      <w:r w:rsidRPr="005A2E0C">
        <w:rPr>
          <w:color w:val="000000"/>
          <w:sz w:val="24"/>
          <w:szCs w:val="24"/>
        </w:rPr>
        <w:t>aciclovir</w:t>
      </w:r>
      <w:proofErr w:type="spellEnd"/>
      <w:r w:rsidRPr="005A2E0C">
        <w:rPr>
          <w:color w:val="000000"/>
          <w:sz w:val="24"/>
          <w:szCs w:val="24"/>
        </w:rPr>
        <w:t xml:space="preserve"> alene. Ændringerne i </w:t>
      </w:r>
      <w:proofErr w:type="spellStart"/>
      <w:r w:rsidRPr="005A2E0C">
        <w:rPr>
          <w:color w:val="000000"/>
          <w:sz w:val="24"/>
          <w:szCs w:val="24"/>
        </w:rPr>
        <w:t>MPAG’s</w:t>
      </w:r>
      <w:proofErr w:type="spellEnd"/>
      <w:r w:rsidRPr="005A2E0C">
        <w:rPr>
          <w:color w:val="000000"/>
          <w:sz w:val="24"/>
          <w:szCs w:val="24"/>
        </w:rPr>
        <w:t xml:space="preserve"> (</w:t>
      </w:r>
      <w:proofErr w:type="spellStart"/>
      <w:r w:rsidRPr="005A2E0C">
        <w:rPr>
          <w:color w:val="000000"/>
          <w:sz w:val="24"/>
          <w:szCs w:val="24"/>
        </w:rPr>
        <w:t>MPA’s</w:t>
      </w:r>
      <w:proofErr w:type="spellEnd"/>
      <w:r w:rsidRPr="005A2E0C">
        <w:rPr>
          <w:color w:val="000000"/>
          <w:sz w:val="24"/>
          <w:szCs w:val="24"/>
        </w:rPr>
        <w:t xml:space="preserve"> </w:t>
      </w:r>
      <w:proofErr w:type="spellStart"/>
      <w:r w:rsidRPr="005A2E0C">
        <w:rPr>
          <w:color w:val="000000"/>
          <w:sz w:val="24"/>
          <w:szCs w:val="24"/>
        </w:rPr>
        <w:t>phenoliske</w:t>
      </w:r>
      <w:proofErr w:type="spellEnd"/>
      <w:r w:rsidRPr="005A2E0C">
        <w:rPr>
          <w:color w:val="000000"/>
          <w:sz w:val="24"/>
          <w:szCs w:val="24"/>
        </w:rPr>
        <w:t xml:space="preserve"> </w:t>
      </w:r>
      <w:proofErr w:type="spellStart"/>
      <w:r w:rsidRPr="005A2E0C">
        <w:rPr>
          <w:color w:val="000000"/>
          <w:sz w:val="24"/>
          <w:szCs w:val="24"/>
        </w:rPr>
        <w:t>glucuronid</w:t>
      </w:r>
      <w:proofErr w:type="spellEnd"/>
      <w:r w:rsidRPr="005A2E0C">
        <w:rPr>
          <w:color w:val="000000"/>
          <w:sz w:val="24"/>
          <w:szCs w:val="24"/>
        </w:rPr>
        <w:t xml:space="preserve">) farmakokinetik (MPAG steg med 8 %) var minimale og anses ikke for klinisk signifikante. Eftersom MPAG-plasmakoncentrationer, ligesom </w:t>
      </w:r>
      <w:proofErr w:type="spellStart"/>
      <w:r w:rsidRPr="005A2E0C">
        <w:rPr>
          <w:color w:val="000000"/>
          <w:sz w:val="24"/>
          <w:szCs w:val="24"/>
        </w:rPr>
        <w:t>aciclovir</w:t>
      </w:r>
      <w:proofErr w:type="spellEnd"/>
      <w:r w:rsidRPr="005A2E0C">
        <w:rPr>
          <w:color w:val="000000"/>
          <w:sz w:val="24"/>
          <w:szCs w:val="24"/>
        </w:rPr>
        <w:t xml:space="preserve">-koncentrationer, forhøjes ved tilstedeværelse af nyreinsufficiens, er der en mulighed for, at </w:t>
      </w:r>
      <w:proofErr w:type="spellStart"/>
      <w:r w:rsidRPr="005A2E0C">
        <w:rPr>
          <w:color w:val="000000"/>
          <w:sz w:val="24"/>
          <w:szCs w:val="24"/>
        </w:rPr>
        <w:t>mycophenolatmofetil</w:t>
      </w:r>
      <w:proofErr w:type="spellEnd"/>
      <w:r w:rsidRPr="005A2E0C">
        <w:rPr>
          <w:color w:val="000000"/>
          <w:sz w:val="24"/>
          <w:szCs w:val="24"/>
        </w:rPr>
        <w:t xml:space="preserve"> og </w:t>
      </w:r>
      <w:proofErr w:type="spellStart"/>
      <w:r w:rsidRPr="005A2E0C">
        <w:rPr>
          <w:color w:val="000000"/>
          <w:sz w:val="24"/>
          <w:szCs w:val="24"/>
        </w:rPr>
        <w:t>aciclovir</w:t>
      </w:r>
      <w:proofErr w:type="spellEnd"/>
      <w:r w:rsidRPr="005A2E0C">
        <w:rPr>
          <w:color w:val="000000"/>
          <w:sz w:val="24"/>
          <w:szCs w:val="24"/>
        </w:rPr>
        <w:t xml:space="preserve">, eller deres prodrugs, f.eks. </w:t>
      </w:r>
      <w:proofErr w:type="spellStart"/>
      <w:r w:rsidRPr="005A2E0C">
        <w:rPr>
          <w:color w:val="000000"/>
          <w:sz w:val="24"/>
          <w:szCs w:val="24"/>
        </w:rPr>
        <w:t>valaciclovir</w:t>
      </w:r>
      <w:proofErr w:type="spellEnd"/>
      <w:r w:rsidRPr="005A2E0C">
        <w:rPr>
          <w:color w:val="000000"/>
          <w:sz w:val="24"/>
          <w:szCs w:val="24"/>
        </w:rPr>
        <w:t xml:space="preserve">, vil konkurrere om den </w:t>
      </w:r>
      <w:proofErr w:type="spellStart"/>
      <w:r w:rsidRPr="005A2E0C">
        <w:rPr>
          <w:color w:val="000000"/>
          <w:sz w:val="24"/>
          <w:szCs w:val="24"/>
        </w:rPr>
        <w:t>tubulære</w:t>
      </w:r>
      <w:proofErr w:type="spellEnd"/>
      <w:r w:rsidRPr="005A2E0C">
        <w:rPr>
          <w:color w:val="000000"/>
          <w:sz w:val="24"/>
          <w:szCs w:val="24"/>
        </w:rPr>
        <w:t xml:space="preserve"> sekretion, og at der kan ske yderligere forhøjelser af koncentrationerne af begge stoffer.</w:t>
      </w:r>
    </w:p>
    <w:p w:rsidR="005A2E0C" w:rsidRPr="005A2E0C" w:rsidRDefault="005A2E0C" w:rsidP="005A2E0C">
      <w:pPr>
        <w:autoSpaceDE w:val="0"/>
        <w:autoSpaceDN w:val="0"/>
        <w:adjustRightInd w:val="0"/>
        <w:ind w:left="851"/>
        <w:rPr>
          <w:color w:val="000000"/>
          <w:sz w:val="24"/>
          <w:szCs w:val="24"/>
          <w:u w:val="single"/>
        </w:rPr>
      </w:pPr>
    </w:p>
    <w:p w:rsidR="008071DB" w:rsidRPr="00412C52" w:rsidRDefault="008071DB" w:rsidP="008071DB">
      <w:pPr>
        <w:keepNext/>
        <w:autoSpaceDE w:val="0"/>
        <w:autoSpaceDN w:val="0"/>
        <w:adjustRightInd w:val="0"/>
        <w:ind w:left="851"/>
        <w:rPr>
          <w:sz w:val="24"/>
          <w:szCs w:val="24"/>
          <w:u w:val="single"/>
        </w:rPr>
      </w:pPr>
      <w:r w:rsidRPr="005A2E0C">
        <w:rPr>
          <w:color w:val="000000"/>
          <w:sz w:val="24"/>
          <w:szCs w:val="24"/>
          <w:u w:val="single"/>
        </w:rPr>
        <w:lastRenderedPageBreak/>
        <w:t xml:space="preserve">Lægemidler, som interfererer med den </w:t>
      </w:r>
      <w:proofErr w:type="spellStart"/>
      <w:r w:rsidRPr="005A2E0C">
        <w:rPr>
          <w:color w:val="000000"/>
          <w:sz w:val="24"/>
          <w:szCs w:val="24"/>
          <w:u w:val="single"/>
        </w:rPr>
        <w:t>enterohepatiske</w:t>
      </w:r>
      <w:proofErr w:type="spellEnd"/>
      <w:r w:rsidRPr="005A2E0C">
        <w:rPr>
          <w:color w:val="000000"/>
          <w:sz w:val="24"/>
          <w:szCs w:val="24"/>
          <w:u w:val="single"/>
        </w:rPr>
        <w:t xml:space="preserve"> recirkulation </w:t>
      </w:r>
      <w:r w:rsidRPr="00412C52">
        <w:rPr>
          <w:sz w:val="24"/>
          <w:szCs w:val="24"/>
          <w:u w:val="single"/>
        </w:rPr>
        <w:t xml:space="preserve">(f.eks. </w:t>
      </w:r>
      <w:proofErr w:type="spellStart"/>
      <w:r w:rsidRPr="00412C52">
        <w:rPr>
          <w:sz w:val="24"/>
          <w:szCs w:val="24"/>
          <w:u w:val="single"/>
        </w:rPr>
        <w:t>colestyramin</w:t>
      </w:r>
      <w:proofErr w:type="spellEnd"/>
      <w:r w:rsidRPr="00412C52">
        <w:rPr>
          <w:sz w:val="24"/>
          <w:szCs w:val="24"/>
          <w:u w:val="single"/>
        </w:rPr>
        <w:t xml:space="preserve">, </w:t>
      </w:r>
      <w:proofErr w:type="spellStart"/>
      <w:r w:rsidRPr="00412C52">
        <w:rPr>
          <w:sz w:val="24"/>
          <w:szCs w:val="24"/>
          <w:u w:val="single"/>
        </w:rPr>
        <w:t>ciclosporin</w:t>
      </w:r>
      <w:proofErr w:type="spellEnd"/>
      <w:r w:rsidRPr="00412C52">
        <w:rPr>
          <w:sz w:val="24"/>
          <w:szCs w:val="24"/>
          <w:u w:val="single"/>
        </w:rPr>
        <w:t xml:space="preserve"> A, antibiotika)</w:t>
      </w:r>
      <w:r>
        <w:rPr>
          <w:sz w:val="24"/>
          <w:szCs w:val="24"/>
          <w:u w:val="single"/>
        </w:rPr>
        <w:t>:</w:t>
      </w:r>
    </w:p>
    <w:p w:rsidR="005A2E0C" w:rsidRPr="005A2E0C" w:rsidRDefault="005A2E0C" w:rsidP="005A2E0C">
      <w:pPr>
        <w:keepNext/>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Der skal udvises forsigtighed med lægemidler, som interfererer med den </w:t>
      </w:r>
      <w:proofErr w:type="spellStart"/>
      <w:r w:rsidRPr="005A2E0C">
        <w:rPr>
          <w:color w:val="000000"/>
          <w:sz w:val="24"/>
          <w:szCs w:val="24"/>
        </w:rPr>
        <w:t>enterohepatiske</w:t>
      </w:r>
      <w:proofErr w:type="spellEnd"/>
      <w:r w:rsidRPr="005A2E0C">
        <w:rPr>
          <w:color w:val="000000"/>
          <w:sz w:val="24"/>
          <w:szCs w:val="24"/>
        </w:rPr>
        <w:t xml:space="preserve"> recirkulation pga. risikoen for nedsat effekt af </w:t>
      </w:r>
      <w:proofErr w:type="spellStart"/>
      <w:r w:rsidRPr="005A2E0C">
        <w:rPr>
          <w:color w:val="000000"/>
          <w:sz w:val="24"/>
          <w:szCs w:val="24"/>
        </w:rPr>
        <w:t>mycophenolatmofetil</w:t>
      </w:r>
      <w:proofErr w:type="spellEnd"/>
      <w:r w:rsidRPr="005A2E0C">
        <w:rPr>
          <w:color w:val="000000"/>
          <w:sz w:val="24"/>
          <w:szCs w:val="24"/>
        </w:rPr>
        <w:t>.</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A77255">
      <w:pPr>
        <w:keepNext/>
        <w:autoSpaceDE w:val="0"/>
        <w:autoSpaceDN w:val="0"/>
        <w:adjustRightInd w:val="0"/>
        <w:ind w:left="851"/>
        <w:rPr>
          <w:color w:val="000000"/>
          <w:sz w:val="24"/>
          <w:szCs w:val="24"/>
        </w:rPr>
      </w:pPr>
      <w:proofErr w:type="spellStart"/>
      <w:r w:rsidRPr="005A2E0C">
        <w:rPr>
          <w:color w:val="000000"/>
          <w:sz w:val="24"/>
          <w:szCs w:val="24"/>
          <w:u w:val="single"/>
        </w:rPr>
        <w:t>Colestyramin</w:t>
      </w:r>
      <w:proofErr w:type="spellEnd"/>
      <w:r w:rsidRPr="005A2E0C">
        <w:rPr>
          <w:color w:val="000000"/>
          <w:sz w:val="24"/>
          <w:szCs w:val="24"/>
          <w:u w:val="single"/>
        </w:rPr>
        <w:t>:</w:t>
      </w:r>
    </w:p>
    <w:p w:rsidR="008071DB" w:rsidRPr="005A2E0C" w:rsidRDefault="008071DB" w:rsidP="008071DB">
      <w:pPr>
        <w:autoSpaceDE w:val="0"/>
        <w:autoSpaceDN w:val="0"/>
        <w:adjustRightInd w:val="0"/>
        <w:ind w:left="851"/>
        <w:rPr>
          <w:color w:val="000000"/>
          <w:sz w:val="24"/>
          <w:szCs w:val="24"/>
        </w:rPr>
      </w:pPr>
      <w:r w:rsidRPr="005A2E0C">
        <w:rPr>
          <w:color w:val="000000"/>
          <w:sz w:val="24"/>
          <w:szCs w:val="24"/>
        </w:rPr>
        <w:t xml:space="preserve">Efter </w:t>
      </w:r>
      <w:r>
        <w:rPr>
          <w:color w:val="000000"/>
          <w:sz w:val="24"/>
          <w:szCs w:val="24"/>
        </w:rPr>
        <w:t xml:space="preserve">oral </w:t>
      </w:r>
      <w:r w:rsidRPr="005A2E0C">
        <w:rPr>
          <w:color w:val="000000"/>
          <w:sz w:val="24"/>
          <w:szCs w:val="24"/>
        </w:rPr>
        <w:t xml:space="preserve">enkeltdosis-administration af 1,5 g </w:t>
      </w:r>
      <w:proofErr w:type="spellStart"/>
      <w:r w:rsidRPr="005A2E0C">
        <w:rPr>
          <w:color w:val="000000"/>
          <w:sz w:val="24"/>
          <w:szCs w:val="24"/>
        </w:rPr>
        <w:t>mycophenolatmofetil</w:t>
      </w:r>
      <w:proofErr w:type="spellEnd"/>
      <w:r w:rsidRPr="005A2E0C">
        <w:rPr>
          <w:color w:val="000000"/>
          <w:sz w:val="24"/>
          <w:szCs w:val="24"/>
        </w:rPr>
        <w:t xml:space="preserve"> til normale, sunde personer forbehandlet med 4 g </w:t>
      </w:r>
      <w:proofErr w:type="spellStart"/>
      <w:r w:rsidRPr="005A2E0C">
        <w:rPr>
          <w:color w:val="000000"/>
          <w:sz w:val="24"/>
          <w:szCs w:val="24"/>
        </w:rPr>
        <w:t>colestyramin</w:t>
      </w:r>
      <w:proofErr w:type="spellEnd"/>
      <w:r w:rsidRPr="005A2E0C">
        <w:rPr>
          <w:color w:val="000000"/>
          <w:sz w:val="24"/>
          <w:szCs w:val="24"/>
        </w:rPr>
        <w:t xml:space="preserve"> tre gange daglig i 4 dage var der en 40 % reduktion af MPA-AUC (se pkt. 4.4 og pkt. 5.2). Der skal iagttages forsigtighed ved samtidig administration pga. muligheden for nedsat effekt af </w:t>
      </w:r>
      <w:proofErr w:type="spellStart"/>
      <w:r w:rsidRPr="005A2E0C">
        <w:rPr>
          <w:color w:val="000000"/>
          <w:sz w:val="24"/>
          <w:szCs w:val="24"/>
        </w:rPr>
        <w:t>mycophenolatmofetil</w:t>
      </w:r>
      <w:proofErr w:type="spellEnd"/>
      <w:r w:rsidRPr="005A2E0C">
        <w:rPr>
          <w:color w:val="000000"/>
          <w:sz w:val="24"/>
          <w:szCs w:val="24"/>
        </w:rPr>
        <w:t>.</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keepNext/>
        <w:autoSpaceDE w:val="0"/>
        <w:autoSpaceDN w:val="0"/>
        <w:adjustRightInd w:val="0"/>
        <w:ind w:left="851"/>
        <w:rPr>
          <w:color w:val="000000"/>
          <w:sz w:val="24"/>
          <w:szCs w:val="24"/>
        </w:rPr>
      </w:pPr>
      <w:proofErr w:type="spellStart"/>
      <w:r w:rsidRPr="005A2E0C">
        <w:rPr>
          <w:color w:val="000000"/>
          <w:sz w:val="24"/>
          <w:szCs w:val="24"/>
          <w:u w:val="single"/>
        </w:rPr>
        <w:t>Ciclosporin</w:t>
      </w:r>
      <w:proofErr w:type="spellEnd"/>
      <w:r w:rsidRPr="005A2E0C">
        <w:rPr>
          <w:color w:val="000000"/>
          <w:sz w:val="24"/>
          <w:szCs w:val="24"/>
          <w:u w:val="single"/>
        </w:rPr>
        <w:t xml:space="preserve"> A:</w:t>
      </w: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rPr>
        <w:t>Ciclosporin</w:t>
      </w:r>
      <w:proofErr w:type="spellEnd"/>
      <w:r w:rsidRPr="005A2E0C">
        <w:rPr>
          <w:color w:val="000000"/>
          <w:sz w:val="24"/>
          <w:szCs w:val="24"/>
        </w:rPr>
        <w:t xml:space="preserve"> A's (</w:t>
      </w:r>
      <w:proofErr w:type="spellStart"/>
      <w:r w:rsidRPr="005A2E0C">
        <w:rPr>
          <w:color w:val="000000"/>
          <w:sz w:val="24"/>
          <w:szCs w:val="24"/>
        </w:rPr>
        <w:t>CsA</w:t>
      </w:r>
      <w:proofErr w:type="spellEnd"/>
      <w:r w:rsidRPr="005A2E0C">
        <w:rPr>
          <w:color w:val="000000"/>
          <w:sz w:val="24"/>
          <w:szCs w:val="24"/>
        </w:rPr>
        <w:t xml:space="preserve">) farmakokinetik påvirkes ikke af </w:t>
      </w:r>
      <w:proofErr w:type="spellStart"/>
      <w:r w:rsidRPr="005A2E0C">
        <w:rPr>
          <w:color w:val="000000"/>
          <w:sz w:val="24"/>
          <w:szCs w:val="24"/>
        </w:rPr>
        <w:t>mycophenolatmofetil</w:t>
      </w:r>
      <w:proofErr w:type="spellEnd"/>
      <w:r w:rsidRPr="005A2E0C">
        <w:rPr>
          <w:color w:val="000000"/>
          <w:sz w:val="24"/>
          <w:szCs w:val="24"/>
        </w:rPr>
        <w:t>.</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Derimod må en stigning i </w:t>
      </w:r>
      <w:proofErr w:type="spellStart"/>
      <w:r w:rsidRPr="005A2E0C">
        <w:rPr>
          <w:color w:val="000000"/>
          <w:sz w:val="24"/>
          <w:szCs w:val="24"/>
        </w:rPr>
        <w:t>MPA’s</w:t>
      </w:r>
      <w:proofErr w:type="spellEnd"/>
      <w:r w:rsidRPr="005A2E0C">
        <w:rPr>
          <w:color w:val="000000"/>
          <w:sz w:val="24"/>
          <w:szCs w:val="24"/>
        </w:rPr>
        <w:t xml:space="preserve"> AUC på ca. 30 % forventes, hvis samtidig </w:t>
      </w:r>
      <w:proofErr w:type="spellStart"/>
      <w:r w:rsidRPr="005A2E0C">
        <w:rPr>
          <w:color w:val="000000"/>
          <w:sz w:val="24"/>
          <w:szCs w:val="24"/>
        </w:rPr>
        <w:t>CsA</w:t>
      </w:r>
      <w:proofErr w:type="spellEnd"/>
      <w:r w:rsidRPr="005A2E0C">
        <w:rPr>
          <w:color w:val="000000"/>
          <w:sz w:val="24"/>
          <w:szCs w:val="24"/>
        </w:rPr>
        <w:noBreakHyphen/>
        <w:t xml:space="preserve"> behandling standses. </w:t>
      </w:r>
      <w:proofErr w:type="spellStart"/>
      <w:r w:rsidRPr="005A2E0C">
        <w:rPr>
          <w:color w:val="000000"/>
          <w:sz w:val="24"/>
          <w:szCs w:val="24"/>
        </w:rPr>
        <w:t>CsA</w:t>
      </w:r>
      <w:proofErr w:type="spellEnd"/>
      <w:r w:rsidRPr="005A2E0C">
        <w:rPr>
          <w:color w:val="000000"/>
          <w:sz w:val="24"/>
          <w:szCs w:val="24"/>
        </w:rPr>
        <w:t xml:space="preserve"> interfererer med det </w:t>
      </w:r>
      <w:proofErr w:type="spellStart"/>
      <w:r w:rsidRPr="005A2E0C">
        <w:rPr>
          <w:color w:val="000000"/>
          <w:sz w:val="24"/>
          <w:szCs w:val="24"/>
        </w:rPr>
        <w:t>enterohepatiske</w:t>
      </w:r>
      <w:proofErr w:type="spellEnd"/>
      <w:r w:rsidRPr="005A2E0C">
        <w:rPr>
          <w:color w:val="000000"/>
          <w:sz w:val="24"/>
          <w:szCs w:val="24"/>
        </w:rPr>
        <w:t xml:space="preserve"> kredsløb af MPA, resulterende i en reduceret eksponering af MPA på 30-50 % hos nyretransplanterede patienter behandlet med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og </w:t>
      </w:r>
      <w:proofErr w:type="spellStart"/>
      <w:r w:rsidRPr="005A2E0C">
        <w:rPr>
          <w:color w:val="000000"/>
          <w:sz w:val="24"/>
          <w:szCs w:val="24"/>
        </w:rPr>
        <w:t>CsA</w:t>
      </w:r>
      <w:proofErr w:type="spellEnd"/>
      <w:r w:rsidRPr="005A2E0C">
        <w:rPr>
          <w:color w:val="000000"/>
          <w:sz w:val="24"/>
          <w:szCs w:val="24"/>
        </w:rPr>
        <w:t xml:space="preserve">, sammenlignet med patienter behandlet med </w:t>
      </w:r>
      <w:proofErr w:type="spellStart"/>
      <w:r w:rsidRPr="005A2E0C">
        <w:rPr>
          <w:color w:val="000000"/>
          <w:sz w:val="24"/>
          <w:szCs w:val="24"/>
        </w:rPr>
        <w:t>sirolimus</w:t>
      </w:r>
      <w:proofErr w:type="spellEnd"/>
      <w:r w:rsidRPr="005A2E0C">
        <w:rPr>
          <w:color w:val="000000"/>
          <w:sz w:val="24"/>
          <w:szCs w:val="24"/>
        </w:rPr>
        <w:t xml:space="preserve"> eller </w:t>
      </w:r>
      <w:proofErr w:type="spellStart"/>
      <w:r w:rsidRPr="005A2E0C">
        <w:rPr>
          <w:color w:val="000000"/>
          <w:sz w:val="24"/>
          <w:szCs w:val="24"/>
        </w:rPr>
        <w:t>belatacept</w:t>
      </w:r>
      <w:proofErr w:type="spellEnd"/>
      <w:r w:rsidRPr="005A2E0C">
        <w:rPr>
          <w:color w:val="000000"/>
          <w:sz w:val="24"/>
          <w:szCs w:val="24"/>
        </w:rPr>
        <w:t xml:space="preserve"> og sammenlignelige doser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(se også pkt. 4.4). Ligeledes bør der forventes ændringer i eksponeringen af MPA hos patienter, som skifter fra </w:t>
      </w:r>
      <w:proofErr w:type="spellStart"/>
      <w:r w:rsidRPr="005A2E0C">
        <w:rPr>
          <w:color w:val="000000"/>
          <w:sz w:val="24"/>
          <w:szCs w:val="24"/>
        </w:rPr>
        <w:t>CsA</w:t>
      </w:r>
      <w:proofErr w:type="spellEnd"/>
      <w:r w:rsidRPr="005A2E0C">
        <w:rPr>
          <w:color w:val="000000"/>
          <w:sz w:val="24"/>
          <w:szCs w:val="24"/>
        </w:rPr>
        <w:t xml:space="preserve"> til et af de </w:t>
      </w:r>
      <w:proofErr w:type="spellStart"/>
      <w:r w:rsidRPr="005A2E0C">
        <w:rPr>
          <w:color w:val="000000"/>
          <w:sz w:val="24"/>
          <w:szCs w:val="24"/>
        </w:rPr>
        <w:t>immunsuppressiva</w:t>
      </w:r>
      <w:proofErr w:type="spellEnd"/>
      <w:r w:rsidRPr="005A2E0C">
        <w:rPr>
          <w:color w:val="000000"/>
          <w:sz w:val="24"/>
          <w:szCs w:val="24"/>
        </w:rPr>
        <w:t xml:space="preserve">, som ikke interfererer med </w:t>
      </w:r>
      <w:proofErr w:type="spellStart"/>
      <w:r w:rsidRPr="005A2E0C">
        <w:rPr>
          <w:color w:val="000000"/>
          <w:sz w:val="24"/>
          <w:szCs w:val="24"/>
        </w:rPr>
        <w:t>MPAs</w:t>
      </w:r>
      <w:proofErr w:type="spellEnd"/>
      <w:r w:rsidRPr="005A2E0C">
        <w:rPr>
          <w:color w:val="000000"/>
          <w:sz w:val="24"/>
          <w:szCs w:val="24"/>
        </w:rPr>
        <w:t xml:space="preserve"> </w:t>
      </w:r>
      <w:proofErr w:type="spellStart"/>
      <w:r w:rsidRPr="005A2E0C">
        <w:rPr>
          <w:color w:val="000000"/>
          <w:sz w:val="24"/>
          <w:szCs w:val="24"/>
        </w:rPr>
        <w:t>enterohepatiske</w:t>
      </w:r>
      <w:proofErr w:type="spellEnd"/>
      <w:r w:rsidRPr="005A2E0C">
        <w:rPr>
          <w:color w:val="000000"/>
          <w:sz w:val="24"/>
          <w:szCs w:val="24"/>
        </w:rPr>
        <w:t xml:space="preserve"> kredsløb.</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ind w:left="851"/>
        <w:rPr>
          <w:sz w:val="24"/>
          <w:szCs w:val="24"/>
        </w:rPr>
      </w:pPr>
      <w:r w:rsidRPr="005A2E0C">
        <w:rPr>
          <w:sz w:val="24"/>
          <w:szCs w:val="24"/>
        </w:rPr>
        <w:t>Antibiotika, der eliminerer β-</w:t>
      </w:r>
      <w:proofErr w:type="spellStart"/>
      <w:r w:rsidRPr="005A2E0C">
        <w:rPr>
          <w:sz w:val="24"/>
          <w:szCs w:val="24"/>
        </w:rPr>
        <w:t>glukuronidaseproducerende</w:t>
      </w:r>
      <w:proofErr w:type="spellEnd"/>
      <w:r w:rsidRPr="005A2E0C">
        <w:rPr>
          <w:sz w:val="24"/>
          <w:szCs w:val="24"/>
        </w:rPr>
        <w:t xml:space="preserve"> bakterier i tarmen (f.eks. </w:t>
      </w:r>
      <w:proofErr w:type="spellStart"/>
      <w:r w:rsidRPr="005A2E0C">
        <w:rPr>
          <w:sz w:val="24"/>
          <w:szCs w:val="24"/>
        </w:rPr>
        <w:t>aminoglycosid</w:t>
      </w:r>
      <w:proofErr w:type="spellEnd"/>
      <w:r w:rsidRPr="005A2E0C">
        <w:rPr>
          <w:sz w:val="24"/>
          <w:szCs w:val="24"/>
        </w:rPr>
        <w:t xml:space="preserve">, </w:t>
      </w:r>
      <w:proofErr w:type="spellStart"/>
      <w:r w:rsidRPr="005A2E0C">
        <w:rPr>
          <w:sz w:val="24"/>
          <w:szCs w:val="24"/>
        </w:rPr>
        <w:t>cephalosporin</w:t>
      </w:r>
      <w:proofErr w:type="spellEnd"/>
      <w:r w:rsidRPr="005A2E0C">
        <w:rPr>
          <w:sz w:val="24"/>
          <w:szCs w:val="24"/>
        </w:rPr>
        <w:t xml:space="preserve">, </w:t>
      </w:r>
      <w:proofErr w:type="spellStart"/>
      <w:r w:rsidRPr="005A2E0C">
        <w:rPr>
          <w:sz w:val="24"/>
          <w:szCs w:val="24"/>
        </w:rPr>
        <w:t>fluorquinolon</w:t>
      </w:r>
      <w:proofErr w:type="spellEnd"/>
      <w:r w:rsidRPr="005A2E0C">
        <w:rPr>
          <w:sz w:val="24"/>
          <w:szCs w:val="24"/>
        </w:rPr>
        <w:t xml:space="preserve"> og penicillinklasser af antibiotika) kan interferere med MPAG/MPA </w:t>
      </w:r>
      <w:proofErr w:type="spellStart"/>
      <w:r w:rsidRPr="005A2E0C">
        <w:rPr>
          <w:sz w:val="24"/>
          <w:szCs w:val="24"/>
        </w:rPr>
        <w:t>enterohepatisk</w:t>
      </w:r>
      <w:proofErr w:type="spellEnd"/>
      <w:r w:rsidRPr="005A2E0C">
        <w:rPr>
          <w:sz w:val="24"/>
          <w:szCs w:val="24"/>
        </w:rPr>
        <w:t xml:space="preserve"> recirkulation, hvilket fører til reduceret systemisk MPA-eksponering. Oplysninger om følgende antibiotika er tilgængelige: </w:t>
      </w:r>
    </w:p>
    <w:p w:rsidR="005A2E0C" w:rsidRPr="005A2E0C" w:rsidRDefault="005A2E0C" w:rsidP="005A2E0C">
      <w:pPr>
        <w:ind w:left="851"/>
        <w:rPr>
          <w:color w:val="000000"/>
          <w:sz w:val="24"/>
          <w:szCs w:val="24"/>
        </w:rPr>
      </w:pPr>
    </w:p>
    <w:p w:rsidR="005A2E0C" w:rsidRPr="005A2E0C" w:rsidRDefault="005A2E0C" w:rsidP="005A2E0C">
      <w:pPr>
        <w:ind w:left="851"/>
        <w:rPr>
          <w:color w:val="000000"/>
          <w:sz w:val="24"/>
          <w:szCs w:val="24"/>
          <w:u w:val="single"/>
        </w:rPr>
      </w:pPr>
      <w:proofErr w:type="spellStart"/>
      <w:r w:rsidRPr="005A2E0C">
        <w:rPr>
          <w:color w:val="000000"/>
          <w:sz w:val="24"/>
          <w:szCs w:val="24"/>
          <w:u w:val="single"/>
        </w:rPr>
        <w:t>Ciprofloxacin</w:t>
      </w:r>
      <w:proofErr w:type="spellEnd"/>
      <w:r w:rsidRPr="005A2E0C">
        <w:rPr>
          <w:color w:val="000000"/>
          <w:sz w:val="24"/>
          <w:szCs w:val="24"/>
          <w:u w:val="single"/>
        </w:rPr>
        <w:t xml:space="preserve"> eller </w:t>
      </w:r>
      <w:proofErr w:type="spellStart"/>
      <w:r w:rsidRPr="005A2E0C">
        <w:rPr>
          <w:color w:val="000000"/>
          <w:sz w:val="24"/>
          <w:szCs w:val="24"/>
          <w:u w:val="single"/>
        </w:rPr>
        <w:t>amoxicillin</w:t>
      </w:r>
      <w:proofErr w:type="spellEnd"/>
      <w:r w:rsidRPr="005A2E0C">
        <w:rPr>
          <w:color w:val="000000"/>
          <w:sz w:val="24"/>
          <w:szCs w:val="24"/>
          <w:u w:val="single"/>
        </w:rPr>
        <w:t xml:space="preserve"> plus </w:t>
      </w:r>
      <w:proofErr w:type="spellStart"/>
      <w:r w:rsidRPr="005A2E0C">
        <w:rPr>
          <w:color w:val="000000"/>
          <w:sz w:val="24"/>
          <w:szCs w:val="24"/>
          <w:u w:val="single"/>
        </w:rPr>
        <w:t>clavulansyre</w:t>
      </w:r>
      <w:proofErr w:type="spellEnd"/>
    </w:p>
    <w:p w:rsidR="005A2E0C" w:rsidRPr="005A2E0C" w:rsidRDefault="005A2E0C" w:rsidP="005A2E0C">
      <w:pPr>
        <w:ind w:left="851"/>
        <w:rPr>
          <w:color w:val="000000"/>
          <w:sz w:val="24"/>
          <w:szCs w:val="24"/>
        </w:rPr>
      </w:pPr>
      <w:r w:rsidRPr="005A2E0C">
        <w:rPr>
          <w:color w:val="000000"/>
          <w:sz w:val="24"/>
          <w:szCs w:val="24"/>
        </w:rPr>
        <w:t xml:space="preserve">Hos nyretransplanterede patienter er der i dagene umiddelbart efter start af behandling med oral </w:t>
      </w:r>
      <w:proofErr w:type="spellStart"/>
      <w:r w:rsidRPr="005A2E0C">
        <w:rPr>
          <w:color w:val="000000"/>
          <w:sz w:val="24"/>
          <w:szCs w:val="24"/>
        </w:rPr>
        <w:t>ciprofloxacin</w:t>
      </w:r>
      <w:proofErr w:type="spellEnd"/>
      <w:r w:rsidRPr="005A2E0C">
        <w:rPr>
          <w:color w:val="000000"/>
          <w:sz w:val="24"/>
          <w:szCs w:val="24"/>
        </w:rPr>
        <w:t xml:space="preserve"> eller </w:t>
      </w:r>
      <w:proofErr w:type="spellStart"/>
      <w:r w:rsidRPr="005A2E0C">
        <w:rPr>
          <w:color w:val="000000"/>
          <w:sz w:val="24"/>
          <w:szCs w:val="24"/>
        </w:rPr>
        <w:t>amoxicillin</w:t>
      </w:r>
      <w:proofErr w:type="spellEnd"/>
      <w:r w:rsidRPr="005A2E0C">
        <w:rPr>
          <w:color w:val="000000"/>
          <w:sz w:val="24"/>
          <w:szCs w:val="24"/>
        </w:rPr>
        <w:t xml:space="preserve"> plus </w:t>
      </w:r>
      <w:proofErr w:type="spellStart"/>
      <w:r w:rsidRPr="005A2E0C">
        <w:rPr>
          <w:color w:val="000000"/>
          <w:sz w:val="24"/>
          <w:szCs w:val="24"/>
        </w:rPr>
        <w:t>clavulansyre</w:t>
      </w:r>
      <w:proofErr w:type="spellEnd"/>
      <w:r w:rsidRPr="005A2E0C">
        <w:rPr>
          <w:color w:val="000000"/>
          <w:sz w:val="24"/>
          <w:szCs w:val="24"/>
        </w:rPr>
        <w:t xml:space="preserve"> rapporteret en reduktion i præ-dosis MPA (</w:t>
      </w:r>
      <w:proofErr w:type="spellStart"/>
      <w:r w:rsidRPr="005A2E0C">
        <w:rPr>
          <w:color w:val="000000"/>
          <w:sz w:val="24"/>
          <w:szCs w:val="24"/>
        </w:rPr>
        <w:t>trough</w:t>
      </w:r>
      <w:proofErr w:type="spellEnd"/>
      <w:r w:rsidRPr="005A2E0C">
        <w:rPr>
          <w:color w:val="000000"/>
          <w:sz w:val="24"/>
          <w:szCs w:val="24"/>
        </w:rPr>
        <w:t xml:space="preserve">) koncentrationerne på ca. 50 %. Denne effekt havde tendens til at blive mindre ved fortsat brug af antibiotika og ophøre inden for få dage efter </w:t>
      </w:r>
      <w:proofErr w:type="spellStart"/>
      <w:r w:rsidRPr="005A2E0C">
        <w:rPr>
          <w:color w:val="000000"/>
          <w:sz w:val="24"/>
          <w:szCs w:val="24"/>
        </w:rPr>
        <w:t>seponering</w:t>
      </w:r>
      <w:proofErr w:type="spellEnd"/>
      <w:r w:rsidRPr="005A2E0C">
        <w:rPr>
          <w:color w:val="000000"/>
          <w:sz w:val="24"/>
          <w:szCs w:val="24"/>
        </w:rPr>
        <w:t xml:space="preserve"> af antibiotika. Ændringen i præ-dosisniveauet viser ikke nødvendigvis et præcist billede af ændringerne i den samlede MPA-eksponering. Derfor er det normalt ikke nødvendigt at ændre dosis af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hvis der ikke er klinisk evidens for dysfunktion af transplantatet. Derimod skal der foretages en nøje klinisk monitorering under behandlingskombinationen samt kort tid efter den antibiotiske behandling.</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u w:val="single"/>
        </w:rPr>
        <w:t>Norfloxacin</w:t>
      </w:r>
      <w:proofErr w:type="spellEnd"/>
      <w:r w:rsidRPr="005A2E0C">
        <w:rPr>
          <w:color w:val="000000"/>
          <w:sz w:val="24"/>
          <w:szCs w:val="24"/>
          <w:u w:val="single"/>
        </w:rPr>
        <w:t xml:space="preserve"> og </w:t>
      </w:r>
      <w:proofErr w:type="spellStart"/>
      <w:r w:rsidRPr="005A2E0C">
        <w:rPr>
          <w:color w:val="000000"/>
          <w:sz w:val="24"/>
          <w:szCs w:val="24"/>
          <w:u w:val="single"/>
        </w:rPr>
        <w:t>metronidazol</w:t>
      </w:r>
      <w:proofErr w:type="spellEnd"/>
      <w:r w:rsidRPr="005A2E0C">
        <w:rPr>
          <w:color w:val="000000"/>
          <w:sz w:val="24"/>
          <w:szCs w:val="24"/>
          <w:u w:val="single"/>
        </w:rPr>
        <w:t>:</w:t>
      </w:r>
      <w:r w:rsidRPr="005A2E0C">
        <w:rPr>
          <w:color w:val="000000"/>
          <w:sz w:val="24"/>
          <w:szCs w:val="24"/>
        </w:rPr>
        <w:t xml:space="preserve"> </w:t>
      </w:r>
    </w:p>
    <w:p w:rsidR="008071DB" w:rsidRPr="005A2E0C" w:rsidRDefault="008071DB" w:rsidP="008071DB">
      <w:pPr>
        <w:autoSpaceDE w:val="0"/>
        <w:autoSpaceDN w:val="0"/>
        <w:adjustRightInd w:val="0"/>
        <w:ind w:left="851"/>
        <w:rPr>
          <w:color w:val="000000"/>
          <w:sz w:val="24"/>
          <w:szCs w:val="24"/>
          <w:u w:val="single"/>
        </w:rPr>
      </w:pPr>
      <w:r w:rsidRPr="005A2E0C">
        <w:rPr>
          <w:color w:val="000000"/>
          <w:sz w:val="24"/>
          <w:szCs w:val="24"/>
        </w:rPr>
        <w:t xml:space="preserve">Der blev ikke observeret nogen signifikant interaktion hos raske frivillige, når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w:t>
      </w:r>
      <w:r>
        <w:rPr>
          <w:color w:val="000000"/>
          <w:sz w:val="24"/>
          <w:szCs w:val="24"/>
        </w:rPr>
        <w:t xml:space="preserve"> </w:t>
      </w:r>
      <w:r w:rsidRPr="005A2E0C">
        <w:rPr>
          <w:color w:val="000000"/>
          <w:sz w:val="24"/>
          <w:szCs w:val="24"/>
        </w:rPr>
        <w:t xml:space="preserve">blev administreret samtidigt med </w:t>
      </w:r>
      <w:proofErr w:type="spellStart"/>
      <w:r w:rsidRPr="005A2E0C">
        <w:rPr>
          <w:color w:val="000000"/>
          <w:sz w:val="24"/>
          <w:szCs w:val="24"/>
        </w:rPr>
        <w:t>norfloxacin</w:t>
      </w:r>
      <w:proofErr w:type="spellEnd"/>
      <w:r w:rsidRPr="005A2E0C">
        <w:rPr>
          <w:color w:val="000000"/>
          <w:sz w:val="24"/>
          <w:szCs w:val="24"/>
        </w:rPr>
        <w:t xml:space="preserve"> og </w:t>
      </w:r>
      <w:proofErr w:type="spellStart"/>
      <w:r w:rsidRPr="005A2E0C">
        <w:rPr>
          <w:color w:val="000000"/>
          <w:sz w:val="24"/>
          <w:szCs w:val="24"/>
        </w:rPr>
        <w:t>metronidazol</w:t>
      </w:r>
      <w:proofErr w:type="spellEnd"/>
      <w:r w:rsidRPr="005A2E0C">
        <w:rPr>
          <w:color w:val="000000"/>
          <w:sz w:val="24"/>
          <w:szCs w:val="24"/>
        </w:rPr>
        <w:t xml:space="preserve"> hver for sig. Kombinationen af </w:t>
      </w:r>
      <w:proofErr w:type="spellStart"/>
      <w:r w:rsidRPr="005A2E0C">
        <w:rPr>
          <w:color w:val="000000"/>
          <w:sz w:val="24"/>
          <w:szCs w:val="24"/>
        </w:rPr>
        <w:t>norfloxacin</w:t>
      </w:r>
      <w:proofErr w:type="spellEnd"/>
      <w:r w:rsidRPr="005A2E0C">
        <w:rPr>
          <w:color w:val="000000"/>
          <w:sz w:val="24"/>
          <w:szCs w:val="24"/>
        </w:rPr>
        <w:t xml:space="preserve"> og </w:t>
      </w:r>
      <w:proofErr w:type="spellStart"/>
      <w:r w:rsidRPr="005A2E0C">
        <w:rPr>
          <w:color w:val="000000"/>
          <w:sz w:val="24"/>
          <w:szCs w:val="24"/>
        </w:rPr>
        <w:t>metronidazol</w:t>
      </w:r>
      <w:proofErr w:type="spellEnd"/>
      <w:r w:rsidRPr="005A2E0C">
        <w:rPr>
          <w:color w:val="000000"/>
          <w:sz w:val="24"/>
          <w:szCs w:val="24"/>
        </w:rPr>
        <w:t xml:space="preserve"> reducerede imidlertid MPA-eksponeringen med ca. 30 % efter én </w:t>
      </w:r>
      <w:proofErr w:type="spellStart"/>
      <w:r w:rsidRPr="005A2E0C">
        <w:rPr>
          <w:color w:val="000000"/>
          <w:sz w:val="24"/>
          <w:szCs w:val="24"/>
        </w:rPr>
        <w:t>mycophenolatmofetil</w:t>
      </w:r>
      <w:proofErr w:type="spellEnd"/>
      <w:r w:rsidRPr="005A2E0C">
        <w:rPr>
          <w:color w:val="000000"/>
          <w:sz w:val="24"/>
          <w:szCs w:val="24"/>
        </w:rPr>
        <w:t>-dosis.</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pStyle w:val="Brdtekst3"/>
        <w:ind w:left="851"/>
        <w:jc w:val="left"/>
        <w:rPr>
          <w:rFonts w:ascii="Times New Roman" w:hAnsi="Times New Roman" w:cs="Times New Roman"/>
          <w:szCs w:val="24"/>
          <w:lang w:val="da-DK"/>
        </w:rPr>
      </w:pPr>
      <w:proofErr w:type="spellStart"/>
      <w:r w:rsidRPr="005A2E0C">
        <w:rPr>
          <w:rFonts w:ascii="Times New Roman" w:hAnsi="Times New Roman" w:cs="Times New Roman"/>
          <w:szCs w:val="24"/>
          <w:u w:val="single"/>
          <w:lang w:val="da-DK"/>
        </w:rPr>
        <w:t>Trimethoprim</w:t>
      </w:r>
      <w:proofErr w:type="spellEnd"/>
      <w:r w:rsidRPr="005A2E0C">
        <w:rPr>
          <w:rFonts w:ascii="Times New Roman" w:hAnsi="Times New Roman" w:cs="Times New Roman"/>
          <w:szCs w:val="24"/>
          <w:u w:val="single"/>
          <w:lang w:val="da-DK"/>
        </w:rPr>
        <w:t>/</w:t>
      </w:r>
      <w:proofErr w:type="spellStart"/>
      <w:r w:rsidRPr="005A2E0C">
        <w:rPr>
          <w:rFonts w:ascii="Times New Roman" w:hAnsi="Times New Roman" w:cs="Times New Roman"/>
          <w:szCs w:val="24"/>
          <w:u w:val="single"/>
          <w:lang w:val="da-DK"/>
        </w:rPr>
        <w:t>sulfamethoxazol</w:t>
      </w:r>
      <w:proofErr w:type="spellEnd"/>
      <w:r w:rsidRPr="005A2E0C">
        <w:rPr>
          <w:rFonts w:ascii="Times New Roman" w:hAnsi="Times New Roman" w:cs="Times New Roman"/>
          <w:szCs w:val="24"/>
          <w:lang w:val="da-DK"/>
        </w:rPr>
        <w:t xml:space="preserve">: </w:t>
      </w:r>
    </w:p>
    <w:p w:rsidR="005A2E0C" w:rsidRPr="005A2E0C" w:rsidRDefault="005A2E0C" w:rsidP="005A2E0C">
      <w:pPr>
        <w:pStyle w:val="Brdtekst3"/>
        <w:ind w:left="851"/>
        <w:jc w:val="left"/>
        <w:rPr>
          <w:rFonts w:ascii="Times New Roman" w:hAnsi="Times New Roman" w:cs="Times New Roman"/>
          <w:szCs w:val="24"/>
          <w:lang w:val="da-DK"/>
        </w:rPr>
      </w:pPr>
      <w:r w:rsidRPr="005A2E0C">
        <w:rPr>
          <w:rFonts w:ascii="Times New Roman" w:hAnsi="Times New Roman" w:cs="Times New Roman"/>
          <w:szCs w:val="24"/>
          <w:lang w:val="da-DK"/>
        </w:rPr>
        <w:t xml:space="preserve">Der blev ikke observeret nogen virkning på </w:t>
      </w:r>
      <w:proofErr w:type="spellStart"/>
      <w:r w:rsidRPr="005A2E0C">
        <w:rPr>
          <w:rFonts w:ascii="Times New Roman" w:hAnsi="Times New Roman" w:cs="Times New Roman"/>
          <w:szCs w:val="24"/>
          <w:lang w:val="da-DK"/>
        </w:rPr>
        <w:t>MPA's</w:t>
      </w:r>
      <w:proofErr w:type="spellEnd"/>
      <w:r w:rsidRPr="005A2E0C">
        <w:rPr>
          <w:rFonts w:ascii="Times New Roman" w:hAnsi="Times New Roman" w:cs="Times New Roman"/>
          <w:szCs w:val="24"/>
          <w:lang w:val="da-DK"/>
        </w:rPr>
        <w:t xml:space="preserve"> biotilgængelighed.</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pStyle w:val="Default"/>
        <w:keepNext/>
        <w:ind w:left="851"/>
      </w:pPr>
      <w:r w:rsidRPr="005A2E0C">
        <w:rPr>
          <w:u w:val="single"/>
        </w:rPr>
        <w:lastRenderedPageBreak/>
        <w:t xml:space="preserve">Lægemidler, der påvirker </w:t>
      </w:r>
      <w:proofErr w:type="spellStart"/>
      <w:r w:rsidRPr="005A2E0C">
        <w:rPr>
          <w:u w:val="single"/>
        </w:rPr>
        <w:t>glukuronidering</w:t>
      </w:r>
      <w:proofErr w:type="spellEnd"/>
      <w:r w:rsidRPr="005A2E0C">
        <w:t xml:space="preserve"> (f.eks. </w:t>
      </w:r>
      <w:proofErr w:type="spellStart"/>
      <w:r w:rsidRPr="005A2E0C">
        <w:t>isavuconazol</w:t>
      </w:r>
      <w:proofErr w:type="spellEnd"/>
      <w:r w:rsidRPr="005A2E0C">
        <w:t xml:space="preserve">, </w:t>
      </w:r>
      <w:proofErr w:type="spellStart"/>
      <w:r w:rsidRPr="005A2E0C">
        <w:t>telmisartan</w:t>
      </w:r>
      <w:proofErr w:type="spellEnd"/>
      <w:r w:rsidRPr="005A2E0C">
        <w:t xml:space="preserve">) </w:t>
      </w:r>
    </w:p>
    <w:p w:rsidR="005A2E0C" w:rsidRPr="005A2E0C" w:rsidRDefault="005A2E0C" w:rsidP="005A2E0C">
      <w:pPr>
        <w:autoSpaceDE w:val="0"/>
        <w:autoSpaceDN w:val="0"/>
        <w:adjustRightInd w:val="0"/>
        <w:ind w:left="851"/>
        <w:rPr>
          <w:sz w:val="24"/>
          <w:szCs w:val="24"/>
        </w:rPr>
      </w:pPr>
      <w:r w:rsidRPr="005A2E0C">
        <w:rPr>
          <w:sz w:val="24"/>
          <w:szCs w:val="24"/>
        </w:rPr>
        <w:t xml:space="preserve">Samtidig administration af lægemidler, der påvirker </w:t>
      </w:r>
      <w:proofErr w:type="spellStart"/>
      <w:r w:rsidRPr="005A2E0C">
        <w:rPr>
          <w:sz w:val="24"/>
          <w:szCs w:val="24"/>
        </w:rPr>
        <w:t>glukuronidering</w:t>
      </w:r>
      <w:proofErr w:type="spellEnd"/>
      <w:r w:rsidRPr="005A2E0C">
        <w:rPr>
          <w:sz w:val="24"/>
          <w:szCs w:val="24"/>
        </w:rPr>
        <w:t xml:space="preserve"> af MPA, kan ændre MPA-eksponeringen. Forsigtighed anbefales derfor, når disse lægemidler administreres samtidigt med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w:t>
      </w:r>
      <w:r w:rsidRPr="005A2E0C">
        <w:rPr>
          <w:sz w:val="24"/>
          <w:szCs w:val="24"/>
        </w:rPr>
        <w:t xml:space="preserve">. </w:t>
      </w:r>
    </w:p>
    <w:p w:rsidR="005A2E0C" w:rsidRPr="005A2E0C" w:rsidRDefault="005A2E0C" w:rsidP="005A2E0C">
      <w:pPr>
        <w:autoSpaceDE w:val="0"/>
        <w:autoSpaceDN w:val="0"/>
        <w:adjustRightInd w:val="0"/>
        <w:ind w:left="851"/>
        <w:rPr>
          <w:sz w:val="24"/>
          <w:szCs w:val="24"/>
        </w:rPr>
      </w:pPr>
    </w:p>
    <w:p w:rsidR="005A2E0C" w:rsidRPr="005A2E0C" w:rsidRDefault="005A2E0C" w:rsidP="005A2E0C">
      <w:pPr>
        <w:pStyle w:val="Default"/>
        <w:ind w:left="851"/>
        <w:rPr>
          <w:u w:val="single"/>
        </w:rPr>
      </w:pPr>
      <w:proofErr w:type="spellStart"/>
      <w:r w:rsidRPr="005A2E0C">
        <w:rPr>
          <w:iCs/>
          <w:u w:val="single"/>
        </w:rPr>
        <w:t>Isavuconazol</w:t>
      </w:r>
      <w:proofErr w:type="spellEnd"/>
      <w:r w:rsidRPr="005A2E0C">
        <w:rPr>
          <w:iCs/>
          <w:u w:val="single"/>
        </w:rPr>
        <w:t xml:space="preserve"> </w:t>
      </w:r>
    </w:p>
    <w:p w:rsidR="008071DB" w:rsidRPr="005A2E0C" w:rsidRDefault="008071DB" w:rsidP="008071DB">
      <w:pPr>
        <w:autoSpaceDE w:val="0"/>
        <w:autoSpaceDN w:val="0"/>
        <w:adjustRightInd w:val="0"/>
        <w:ind w:left="851"/>
        <w:rPr>
          <w:sz w:val="24"/>
          <w:szCs w:val="24"/>
        </w:rPr>
      </w:pPr>
      <w:r w:rsidRPr="005A2E0C">
        <w:rPr>
          <w:sz w:val="24"/>
          <w:szCs w:val="24"/>
        </w:rPr>
        <w:t xml:space="preserve">Ved samtidig administration af </w:t>
      </w:r>
      <w:proofErr w:type="spellStart"/>
      <w:r w:rsidRPr="005A2E0C">
        <w:rPr>
          <w:sz w:val="24"/>
          <w:szCs w:val="24"/>
        </w:rPr>
        <w:t>isavuconazol</w:t>
      </w:r>
      <w:proofErr w:type="spellEnd"/>
      <w:r w:rsidRPr="005A2E0C">
        <w:rPr>
          <w:sz w:val="24"/>
          <w:szCs w:val="24"/>
        </w:rPr>
        <w:t xml:space="preserve"> blev der observeret en stigning i MPA</w:t>
      </w:r>
      <w:r>
        <w:rPr>
          <w:sz w:val="24"/>
          <w:szCs w:val="24"/>
        </w:rPr>
        <w:t>-eksponering</w:t>
      </w:r>
      <w:r w:rsidRPr="005A2E0C">
        <w:rPr>
          <w:sz w:val="24"/>
          <w:szCs w:val="24"/>
        </w:rPr>
        <w:t xml:space="preserve"> </w:t>
      </w:r>
      <w:r>
        <w:rPr>
          <w:sz w:val="24"/>
          <w:szCs w:val="24"/>
        </w:rPr>
        <w:t>(</w:t>
      </w:r>
      <w:r w:rsidRPr="005A2E0C">
        <w:rPr>
          <w:sz w:val="24"/>
          <w:szCs w:val="24"/>
        </w:rPr>
        <w:t>AUC</w:t>
      </w:r>
      <w:r w:rsidRPr="00147EAA">
        <w:rPr>
          <w:sz w:val="24"/>
          <w:szCs w:val="24"/>
          <w:vertAlign w:val="subscript"/>
        </w:rPr>
        <w:t>0-∞</w:t>
      </w:r>
      <w:r>
        <w:rPr>
          <w:sz w:val="24"/>
          <w:szCs w:val="24"/>
        </w:rPr>
        <w:t>)</w:t>
      </w:r>
      <w:r w:rsidRPr="005A2E0C">
        <w:rPr>
          <w:sz w:val="24"/>
          <w:szCs w:val="24"/>
        </w:rPr>
        <w:t xml:space="preserve"> med 35%. </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u w:val="single"/>
        </w:rPr>
      </w:pPr>
      <w:proofErr w:type="spellStart"/>
      <w:r w:rsidRPr="005A2E0C">
        <w:rPr>
          <w:color w:val="000000"/>
          <w:sz w:val="24"/>
          <w:szCs w:val="24"/>
          <w:u w:val="single"/>
        </w:rPr>
        <w:t>Telmisartan</w:t>
      </w:r>
      <w:proofErr w:type="spellEnd"/>
    </w:p>
    <w:p w:rsidR="008071DB" w:rsidRPr="005A2E0C" w:rsidRDefault="008071DB" w:rsidP="008071DB">
      <w:pPr>
        <w:autoSpaceDE w:val="0"/>
        <w:autoSpaceDN w:val="0"/>
        <w:adjustRightInd w:val="0"/>
        <w:ind w:left="851"/>
        <w:rPr>
          <w:color w:val="000000"/>
          <w:sz w:val="24"/>
          <w:szCs w:val="24"/>
        </w:rPr>
      </w:pPr>
      <w:r w:rsidRPr="005A2E0C">
        <w:rPr>
          <w:color w:val="000000"/>
          <w:sz w:val="24"/>
          <w:szCs w:val="24"/>
        </w:rPr>
        <w:t xml:space="preserve">Samtidig administration af </w:t>
      </w:r>
      <w:proofErr w:type="spellStart"/>
      <w:r w:rsidRPr="005A2E0C">
        <w:rPr>
          <w:color w:val="000000"/>
          <w:sz w:val="24"/>
          <w:szCs w:val="24"/>
        </w:rPr>
        <w:t>telmisartan</w:t>
      </w:r>
      <w:proofErr w:type="spellEnd"/>
      <w:r w:rsidRPr="005A2E0C">
        <w:rPr>
          <w:color w:val="000000"/>
          <w:sz w:val="24"/>
          <w:szCs w:val="24"/>
        </w:rPr>
        <w:t xml:space="preserve"> og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resulterede i et fald i </w:t>
      </w:r>
      <w:proofErr w:type="gramStart"/>
      <w:r w:rsidRPr="005A2E0C">
        <w:rPr>
          <w:color w:val="000000"/>
          <w:sz w:val="24"/>
          <w:szCs w:val="24"/>
        </w:rPr>
        <w:t>MPA koncentrationerne</w:t>
      </w:r>
      <w:proofErr w:type="gramEnd"/>
      <w:r w:rsidRPr="005A2E0C">
        <w:rPr>
          <w:color w:val="000000"/>
          <w:sz w:val="24"/>
          <w:szCs w:val="24"/>
        </w:rPr>
        <w:t xml:space="preserve"> på ca. 30 %. </w:t>
      </w:r>
      <w:proofErr w:type="spellStart"/>
      <w:r w:rsidRPr="005A2E0C">
        <w:rPr>
          <w:color w:val="000000"/>
          <w:sz w:val="24"/>
          <w:szCs w:val="24"/>
        </w:rPr>
        <w:t>Telmisartan</w:t>
      </w:r>
      <w:proofErr w:type="spellEnd"/>
      <w:r w:rsidRPr="005A2E0C">
        <w:rPr>
          <w:color w:val="000000"/>
          <w:sz w:val="24"/>
          <w:szCs w:val="24"/>
        </w:rPr>
        <w:t xml:space="preserve"> ændrer eliminationen af MPA ved at øge ekspressionen af PPAR gamma (</w:t>
      </w:r>
      <w:proofErr w:type="spellStart"/>
      <w:r w:rsidRPr="005A2E0C">
        <w:rPr>
          <w:color w:val="000000"/>
          <w:sz w:val="24"/>
          <w:szCs w:val="24"/>
        </w:rPr>
        <w:t>peroxisom</w:t>
      </w:r>
      <w:proofErr w:type="spellEnd"/>
      <w:r w:rsidRPr="005A2E0C">
        <w:rPr>
          <w:color w:val="000000"/>
          <w:sz w:val="24"/>
          <w:szCs w:val="24"/>
        </w:rPr>
        <w:t>-</w:t>
      </w:r>
      <w:proofErr w:type="spellStart"/>
      <w:r w:rsidRPr="005A2E0C">
        <w:rPr>
          <w:color w:val="000000"/>
          <w:sz w:val="24"/>
          <w:szCs w:val="24"/>
        </w:rPr>
        <w:t>proliferator</w:t>
      </w:r>
      <w:proofErr w:type="spellEnd"/>
      <w:r w:rsidRPr="005A2E0C">
        <w:rPr>
          <w:color w:val="000000"/>
          <w:sz w:val="24"/>
          <w:szCs w:val="24"/>
        </w:rPr>
        <w:t xml:space="preserve">-aktiveret receptor gamma), hvilket resulterer i en øget </w:t>
      </w:r>
      <w:proofErr w:type="spellStart"/>
      <w:r w:rsidRPr="00841981">
        <w:rPr>
          <w:color w:val="000000"/>
          <w:sz w:val="24"/>
          <w:szCs w:val="24"/>
        </w:rPr>
        <w:t>uridin-diphosphat</w:t>
      </w:r>
      <w:r>
        <w:rPr>
          <w:color w:val="000000"/>
          <w:sz w:val="24"/>
          <w:szCs w:val="24"/>
        </w:rPr>
        <w:t>-</w:t>
      </w:r>
      <w:r>
        <w:t>glucuronosyltransferase</w:t>
      </w:r>
      <w:proofErr w:type="spellEnd"/>
      <w:r w:rsidRPr="005A2E0C">
        <w:rPr>
          <w:color w:val="000000"/>
          <w:sz w:val="24"/>
          <w:szCs w:val="24"/>
        </w:rPr>
        <w:t xml:space="preserve"> </w:t>
      </w:r>
      <w:proofErr w:type="spellStart"/>
      <w:r>
        <w:t>isoform</w:t>
      </w:r>
      <w:proofErr w:type="spellEnd"/>
      <w:r w:rsidRPr="00841981">
        <w:rPr>
          <w:color w:val="000000"/>
          <w:sz w:val="24"/>
          <w:szCs w:val="24"/>
        </w:rPr>
        <w:t xml:space="preserve"> 1A9</w:t>
      </w:r>
      <w:r>
        <w:rPr>
          <w:color w:val="000000"/>
          <w:sz w:val="24"/>
          <w:szCs w:val="24"/>
        </w:rPr>
        <w:t xml:space="preserve"> (</w:t>
      </w:r>
      <w:r w:rsidRPr="005A2E0C">
        <w:rPr>
          <w:color w:val="000000"/>
          <w:sz w:val="24"/>
          <w:szCs w:val="24"/>
        </w:rPr>
        <w:t>UGT1A</w:t>
      </w:r>
      <w:proofErr w:type="gramStart"/>
      <w:r w:rsidRPr="005A2E0C">
        <w:rPr>
          <w:color w:val="000000"/>
          <w:sz w:val="24"/>
          <w:szCs w:val="24"/>
        </w:rPr>
        <w:t>9</w:t>
      </w:r>
      <w:r>
        <w:rPr>
          <w:color w:val="000000"/>
          <w:sz w:val="24"/>
          <w:szCs w:val="24"/>
        </w:rPr>
        <w:t>)</w:t>
      </w:r>
      <w:r w:rsidRPr="005A2E0C">
        <w:rPr>
          <w:color w:val="000000"/>
          <w:sz w:val="24"/>
          <w:szCs w:val="24"/>
        </w:rPr>
        <w:t>-</w:t>
      </w:r>
      <w:proofErr w:type="gramEnd"/>
      <w:r w:rsidRPr="005A2E0C">
        <w:rPr>
          <w:color w:val="000000"/>
          <w:sz w:val="24"/>
          <w:szCs w:val="24"/>
        </w:rPr>
        <w:t xml:space="preserve">ekspression og -aktivitet. Der blev ikke set kliniske konsekvenser af de </w:t>
      </w:r>
      <w:proofErr w:type="spellStart"/>
      <w:r w:rsidRPr="005A2E0C">
        <w:rPr>
          <w:color w:val="000000"/>
          <w:sz w:val="24"/>
          <w:szCs w:val="24"/>
        </w:rPr>
        <w:t>farmakokinetiske</w:t>
      </w:r>
      <w:proofErr w:type="spellEnd"/>
      <w:r w:rsidRPr="005A2E0C">
        <w:rPr>
          <w:color w:val="000000"/>
          <w:sz w:val="24"/>
          <w:szCs w:val="24"/>
        </w:rPr>
        <w:t xml:space="preserve"> lægemiddelinteraktioner ved sammenligning af hyppigheden af afstødning af transplantat eller tab af transplantat eller bivirkningsprofilen mellem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"-patienter med og uden samtidig </w:t>
      </w:r>
      <w:proofErr w:type="spellStart"/>
      <w:r w:rsidRPr="005A2E0C">
        <w:rPr>
          <w:color w:val="000000"/>
          <w:sz w:val="24"/>
          <w:szCs w:val="24"/>
        </w:rPr>
        <w:t>telmisartan</w:t>
      </w:r>
      <w:proofErr w:type="spellEnd"/>
      <w:r w:rsidRPr="005A2E0C">
        <w:rPr>
          <w:color w:val="000000"/>
          <w:sz w:val="24"/>
          <w:szCs w:val="24"/>
        </w:rPr>
        <w:t>-medicinering.</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u w:val="single"/>
        </w:rPr>
        <w:t>Ganciclovir</w:t>
      </w:r>
      <w:proofErr w:type="spellEnd"/>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rPr>
        <w:t xml:space="preserve">Baseret på resultaterne fra en undersøgelse med enkelt dosis-indgift af anbefalede doser af oral </w:t>
      </w:r>
      <w:proofErr w:type="spellStart"/>
      <w:r w:rsidRPr="005A2E0C">
        <w:rPr>
          <w:color w:val="000000"/>
          <w:sz w:val="24"/>
          <w:szCs w:val="24"/>
        </w:rPr>
        <w:t>mycophenolatmofetil</w:t>
      </w:r>
      <w:proofErr w:type="spellEnd"/>
      <w:r w:rsidRPr="005A2E0C">
        <w:rPr>
          <w:color w:val="000000"/>
          <w:sz w:val="24"/>
          <w:szCs w:val="24"/>
        </w:rPr>
        <w:t xml:space="preserve"> og intravenøs </w:t>
      </w:r>
      <w:proofErr w:type="spellStart"/>
      <w:r w:rsidRPr="005A2E0C">
        <w:rPr>
          <w:color w:val="000000"/>
          <w:sz w:val="24"/>
          <w:szCs w:val="24"/>
        </w:rPr>
        <w:t>ganciclovir</w:t>
      </w:r>
      <w:proofErr w:type="spellEnd"/>
      <w:r w:rsidRPr="005A2E0C">
        <w:rPr>
          <w:color w:val="000000"/>
          <w:sz w:val="24"/>
          <w:szCs w:val="24"/>
        </w:rPr>
        <w:t xml:space="preserve"> og de kendte virkninger af nedsat nyrefunktion på </w:t>
      </w:r>
      <w:proofErr w:type="spellStart"/>
      <w:r w:rsidRPr="005A2E0C">
        <w:rPr>
          <w:color w:val="000000"/>
          <w:sz w:val="24"/>
          <w:szCs w:val="24"/>
        </w:rPr>
        <w:t>mycophenolatmofetils</w:t>
      </w:r>
      <w:proofErr w:type="spellEnd"/>
      <w:r w:rsidRPr="005A2E0C">
        <w:rPr>
          <w:color w:val="000000"/>
          <w:sz w:val="24"/>
          <w:szCs w:val="24"/>
        </w:rPr>
        <w:t xml:space="preserve"> og </w:t>
      </w:r>
      <w:proofErr w:type="spellStart"/>
      <w:r w:rsidRPr="005A2E0C">
        <w:rPr>
          <w:color w:val="000000"/>
          <w:sz w:val="24"/>
          <w:szCs w:val="24"/>
        </w:rPr>
        <w:t>ganciclovirs</w:t>
      </w:r>
      <w:proofErr w:type="spellEnd"/>
      <w:r w:rsidRPr="005A2E0C">
        <w:rPr>
          <w:color w:val="000000"/>
          <w:sz w:val="24"/>
          <w:szCs w:val="24"/>
        </w:rPr>
        <w:t xml:space="preserve"> farmakokinetik (se pkt.4.2), forudses det, at samtidig administration af disse lægemidler (som konkurrerer om den </w:t>
      </w:r>
      <w:proofErr w:type="spellStart"/>
      <w:r w:rsidRPr="005A2E0C">
        <w:rPr>
          <w:color w:val="000000"/>
          <w:sz w:val="24"/>
          <w:szCs w:val="24"/>
        </w:rPr>
        <w:t>renale</w:t>
      </w:r>
      <w:proofErr w:type="spellEnd"/>
      <w:r w:rsidRPr="005A2E0C">
        <w:rPr>
          <w:color w:val="000000"/>
          <w:sz w:val="24"/>
          <w:szCs w:val="24"/>
        </w:rPr>
        <w:t xml:space="preserve"> </w:t>
      </w:r>
      <w:proofErr w:type="spellStart"/>
      <w:r w:rsidRPr="005A2E0C">
        <w:rPr>
          <w:color w:val="000000"/>
          <w:sz w:val="24"/>
          <w:szCs w:val="24"/>
        </w:rPr>
        <w:t>tubulære</w:t>
      </w:r>
      <w:proofErr w:type="spellEnd"/>
      <w:r w:rsidRPr="005A2E0C">
        <w:rPr>
          <w:color w:val="000000"/>
          <w:sz w:val="24"/>
          <w:szCs w:val="24"/>
        </w:rPr>
        <w:t xml:space="preserve"> </w:t>
      </w:r>
      <w:proofErr w:type="spellStart"/>
      <w:r w:rsidRPr="005A2E0C">
        <w:rPr>
          <w:color w:val="000000"/>
          <w:sz w:val="24"/>
          <w:szCs w:val="24"/>
        </w:rPr>
        <w:t>ekskretionsmekanisme</w:t>
      </w:r>
      <w:proofErr w:type="spellEnd"/>
      <w:r w:rsidRPr="005A2E0C">
        <w:rPr>
          <w:color w:val="000000"/>
          <w:sz w:val="24"/>
          <w:szCs w:val="24"/>
        </w:rPr>
        <w:t xml:space="preserve">) vil medføre forhøjelser af MPAG og </w:t>
      </w:r>
      <w:proofErr w:type="spellStart"/>
      <w:r w:rsidRPr="005A2E0C">
        <w:rPr>
          <w:color w:val="000000"/>
          <w:sz w:val="24"/>
          <w:szCs w:val="24"/>
        </w:rPr>
        <w:t>ganciclovir</w:t>
      </w:r>
      <w:proofErr w:type="spellEnd"/>
      <w:r w:rsidRPr="005A2E0C">
        <w:rPr>
          <w:color w:val="000000"/>
          <w:sz w:val="24"/>
          <w:szCs w:val="24"/>
        </w:rPr>
        <w:t xml:space="preserve">-koncentrationerne. Der forudses ingen væsentlig ændring af </w:t>
      </w:r>
      <w:proofErr w:type="spellStart"/>
      <w:r w:rsidRPr="005A2E0C">
        <w:rPr>
          <w:color w:val="000000"/>
          <w:sz w:val="24"/>
          <w:szCs w:val="24"/>
        </w:rPr>
        <w:t>MPA’s</w:t>
      </w:r>
      <w:proofErr w:type="spellEnd"/>
      <w:r w:rsidRPr="005A2E0C">
        <w:rPr>
          <w:color w:val="000000"/>
          <w:sz w:val="24"/>
          <w:szCs w:val="24"/>
        </w:rPr>
        <w:t xml:space="preserve"> farmakokinetik, og dosisjustering af </w:t>
      </w:r>
      <w:proofErr w:type="spellStart"/>
      <w:r w:rsidRPr="005A2E0C">
        <w:rPr>
          <w:color w:val="000000"/>
          <w:sz w:val="24"/>
          <w:szCs w:val="24"/>
        </w:rPr>
        <w:t>mycophenolatmofetil</w:t>
      </w:r>
      <w:proofErr w:type="spellEnd"/>
      <w:r w:rsidRPr="005A2E0C">
        <w:rPr>
          <w:color w:val="000000"/>
          <w:sz w:val="24"/>
          <w:szCs w:val="24"/>
        </w:rPr>
        <w:t xml:space="preserve"> er ikke nødvendig. Hos patienter med nedsat nyrefunktion, som får </w:t>
      </w:r>
      <w:proofErr w:type="spellStart"/>
      <w:r w:rsidRPr="005A2E0C">
        <w:rPr>
          <w:color w:val="000000"/>
          <w:sz w:val="24"/>
          <w:szCs w:val="24"/>
        </w:rPr>
        <w:t>mycophenolatmofetil</w:t>
      </w:r>
      <w:proofErr w:type="spellEnd"/>
      <w:r w:rsidRPr="005A2E0C">
        <w:rPr>
          <w:color w:val="000000"/>
          <w:sz w:val="24"/>
          <w:szCs w:val="24"/>
        </w:rPr>
        <w:t xml:space="preserve"> og </w:t>
      </w:r>
      <w:proofErr w:type="spellStart"/>
      <w:r w:rsidRPr="005A2E0C">
        <w:rPr>
          <w:color w:val="000000"/>
          <w:sz w:val="24"/>
          <w:szCs w:val="24"/>
        </w:rPr>
        <w:t>ganciclovir</w:t>
      </w:r>
      <w:proofErr w:type="spellEnd"/>
      <w:r w:rsidRPr="005A2E0C">
        <w:rPr>
          <w:color w:val="000000"/>
          <w:sz w:val="24"/>
          <w:szCs w:val="24"/>
        </w:rPr>
        <w:t xml:space="preserve"> eller deres prodrugs, f.eks. </w:t>
      </w:r>
      <w:proofErr w:type="spellStart"/>
      <w:r w:rsidRPr="005A2E0C">
        <w:rPr>
          <w:color w:val="000000"/>
          <w:sz w:val="24"/>
          <w:szCs w:val="24"/>
        </w:rPr>
        <w:t>valganciclovir</w:t>
      </w:r>
      <w:proofErr w:type="spellEnd"/>
      <w:r w:rsidRPr="005A2E0C">
        <w:rPr>
          <w:color w:val="000000"/>
          <w:sz w:val="24"/>
          <w:szCs w:val="24"/>
        </w:rPr>
        <w:t xml:space="preserve">, samtidig, bør dosisanbefalingerne for </w:t>
      </w:r>
      <w:proofErr w:type="spellStart"/>
      <w:r w:rsidRPr="005A2E0C">
        <w:rPr>
          <w:color w:val="000000"/>
          <w:sz w:val="24"/>
          <w:szCs w:val="24"/>
        </w:rPr>
        <w:t>ganciclovir</w:t>
      </w:r>
      <w:proofErr w:type="spellEnd"/>
      <w:r w:rsidRPr="005A2E0C">
        <w:rPr>
          <w:color w:val="000000"/>
          <w:sz w:val="24"/>
          <w:szCs w:val="24"/>
        </w:rPr>
        <w:t xml:space="preserve"> følges og patienterne monitoreres omhyggeligt.</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u w:val="single"/>
        </w:rPr>
        <w:t>Orale antikonceptionsmidler</w:t>
      </w:r>
    </w:p>
    <w:p w:rsidR="008071DB" w:rsidRPr="005A2E0C" w:rsidRDefault="008071DB" w:rsidP="008071DB">
      <w:pPr>
        <w:autoSpaceDE w:val="0"/>
        <w:autoSpaceDN w:val="0"/>
        <w:adjustRightInd w:val="0"/>
        <w:ind w:left="851"/>
        <w:rPr>
          <w:color w:val="000000"/>
          <w:sz w:val="24"/>
          <w:szCs w:val="24"/>
        </w:rPr>
      </w:pPr>
      <w:r w:rsidRPr="005A2E0C">
        <w:rPr>
          <w:color w:val="000000"/>
          <w:sz w:val="24"/>
          <w:szCs w:val="24"/>
        </w:rPr>
        <w:t xml:space="preserve">Farmakokinetikken og </w:t>
      </w:r>
      <w:proofErr w:type="spellStart"/>
      <w:r w:rsidRPr="005A2E0C">
        <w:rPr>
          <w:color w:val="000000"/>
          <w:sz w:val="24"/>
          <w:szCs w:val="24"/>
        </w:rPr>
        <w:t>farmakodynamikken</w:t>
      </w:r>
      <w:proofErr w:type="spellEnd"/>
      <w:r w:rsidRPr="005A2E0C">
        <w:rPr>
          <w:color w:val="000000"/>
          <w:sz w:val="24"/>
          <w:szCs w:val="24"/>
        </w:rPr>
        <w:t xml:space="preserve"> af orale antikonceptionsmidler </w:t>
      </w:r>
      <w:r>
        <w:rPr>
          <w:color w:val="000000"/>
          <w:sz w:val="24"/>
          <w:szCs w:val="24"/>
        </w:rPr>
        <w:t xml:space="preserve">blev ikke påvirket i klinisk relevant grad </w:t>
      </w:r>
      <w:r w:rsidRPr="005A2E0C">
        <w:rPr>
          <w:color w:val="000000"/>
          <w:sz w:val="24"/>
          <w:szCs w:val="24"/>
        </w:rPr>
        <w:t xml:space="preserve">af samtidig administration af </w:t>
      </w:r>
      <w:proofErr w:type="spellStart"/>
      <w:r w:rsidRPr="005A2E0C">
        <w:rPr>
          <w:color w:val="000000"/>
          <w:sz w:val="24"/>
          <w:szCs w:val="24"/>
        </w:rPr>
        <w:t>mycophenolatmofetil</w:t>
      </w:r>
      <w:proofErr w:type="spellEnd"/>
      <w:r w:rsidRPr="005A2E0C">
        <w:rPr>
          <w:color w:val="000000"/>
          <w:sz w:val="24"/>
          <w:szCs w:val="24"/>
        </w:rPr>
        <w:t xml:space="preserve"> (se også pkt. 5.2).</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u w:val="single"/>
        </w:rPr>
        <w:t>Rifampicin</w:t>
      </w:r>
      <w:proofErr w:type="spellEnd"/>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Hos patienter, der ikke fik </w:t>
      </w:r>
      <w:proofErr w:type="spellStart"/>
      <w:r w:rsidRPr="005A2E0C">
        <w:rPr>
          <w:color w:val="000000"/>
          <w:sz w:val="24"/>
          <w:szCs w:val="24"/>
        </w:rPr>
        <w:t>ciclosporin</w:t>
      </w:r>
      <w:proofErr w:type="spellEnd"/>
      <w:r w:rsidRPr="005A2E0C">
        <w:rPr>
          <w:color w:val="000000"/>
          <w:sz w:val="24"/>
          <w:szCs w:val="24"/>
        </w:rPr>
        <w:t xml:space="preserve">, sås ved samtidig administration af </w:t>
      </w:r>
      <w:proofErr w:type="spellStart"/>
      <w:r w:rsidRPr="005A2E0C">
        <w:rPr>
          <w:color w:val="000000"/>
          <w:sz w:val="24"/>
          <w:szCs w:val="24"/>
        </w:rPr>
        <w:t>mycophenolatmofetil</w:t>
      </w:r>
      <w:proofErr w:type="spellEnd"/>
      <w:r w:rsidRPr="005A2E0C">
        <w:rPr>
          <w:color w:val="000000"/>
          <w:sz w:val="24"/>
          <w:szCs w:val="24"/>
        </w:rPr>
        <w:t xml:space="preserve"> og </w:t>
      </w:r>
      <w:proofErr w:type="spellStart"/>
      <w:r w:rsidRPr="005A2E0C">
        <w:rPr>
          <w:color w:val="000000"/>
          <w:sz w:val="24"/>
          <w:szCs w:val="24"/>
        </w:rPr>
        <w:t>rifampicin</w:t>
      </w:r>
      <w:proofErr w:type="spellEnd"/>
      <w:r w:rsidRPr="005A2E0C">
        <w:rPr>
          <w:color w:val="000000"/>
          <w:sz w:val="24"/>
          <w:szCs w:val="24"/>
        </w:rPr>
        <w:t xml:space="preserve"> et fald på 18-70 % i MPA-eksponeringen (AUC 0-12 timer). For at opretholde den kliniske effekt bør MPA-eksponeringen overvåges og </w:t>
      </w:r>
      <w:proofErr w:type="spellStart"/>
      <w:r w:rsidRPr="005A2E0C">
        <w:rPr>
          <w:color w:val="000000"/>
          <w:sz w:val="24"/>
          <w:szCs w:val="24"/>
        </w:rPr>
        <w:t>mycophenolatmofetil</w:t>
      </w:r>
      <w:proofErr w:type="spellEnd"/>
      <w:r w:rsidRPr="005A2E0C">
        <w:rPr>
          <w:color w:val="000000"/>
          <w:sz w:val="24"/>
          <w:szCs w:val="24"/>
        </w:rPr>
        <w:t xml:space="preserve">-doserne justeres i forhold til dette, når </w:t>
      </w:r>
      <w:proofErr w:type="spellStart"/>
      <w:r w:rsidRPr="005A2E0C">
        <w:rPr>
          <w:color w:val="000000"/>
          <w:sz w:val="24"/>
          <w:szCs w:val="24"/>
        </w:rPr>
        <w:t>rifampicin</w:t>
      </w:r>
      <w:proofErr w:type="spellEnd"/>
      <w:r w:rsidRPr="005A2E0C">
        <w:rPr>
          <w:color w:val="000000"/>
          <w:sz w:val="24"/>
          <w:szCs w:val="24"/>
        </w:rPr>
        <w:t xml:space="preserve"> administreres samtidigt.</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keepNext/>
        <w:ind w:left="851"/>
        <w:rPr>
          <w:color w:val="000000"/>
          <w:sz w:val="24"/>
          <w:szCs w:val="24"/>
        </w:rPr>
      </w:pPr>
      <w:proofErr w:type="spellStart"/>
      <w:r w:rsidRPr="005A2E0C">
        <w:rPr>
          <w:color w:val="000000"/>
          <w:sz w:val="24"/>
          <w:szCs w:val="24"/>
          <w:u w:val="single"/>
        </w:rPr>
        <w:t>Sevelamer</w:t>
      </w:r>
      <w:proofErr w:type="spellEnd"/>
    </w:p>
    <w:p w:rsidR="008071DB" w:rsidRPr="005A2E0C" w:rsidRDefault="008071DB" w:rsidP="008071DB">
      <w:pPr>
        <w:ind w:left="851"/>
        <w:rPr>
          <w:color w:val="000000"/>
          <w:sz w:val="24"/>
          <w:szCs w:val="24"/>
          <w:u w:val="single"/>
        </w:rPr>
      </w:pPr>
      <w:r w:rsidRPr="005A2E0C">
        <w:rPr>
          <w:color w:val="000000"/>
          <w:sz w:val="24"/>
          <w:szCs w:val="24"/>
        </w:rPr>
        <w:t xml:space="preserve">Når </w:t>
      </w:r>
      <w:proofErr w:type="spellStart"/>
      <w:r w:rsidRPr="005A2E0C">
        <w:rPr>
          <w:color w:val="000000"/>
          <w:sz w:val="24"/>
          <w:szCs w:val="24"/>
        </w:rPr>
        <w:t>mycophenolatmofetil</w:t>
      </w:r>
      <w:proofErr w:type="spellEnd"/>
      <w:r w:rsidRPr="005A2E0C">
        <w:rPr>
          <w:color w:val="000000"/>
          <w:sz w:val="24"/>
          <w:szCs w:val="24"/>
        </w:rPr>
        <w:t xml:space="preserve"> blev administreret samtidig med </w:t>
      </w:r>
      <w:proofErr w:type="spellStart"/>
      <w:r w:rsidRPr="005A2E0C">
        <w:rPr>
          <w:color w:val="000000"/>
          <w:sz w:val="24"/>
          <w:szCs w:val="24"/>
        </w:rPr>
        <w:t>sevelamer</w:t>
      </w:r>
      <w:proofErr w:type="spellEnd"/>
      <w:r w:rsidRPr="005A2E0C">
        <w:rPr>
          <w:color w:val="000000"/>
          <w:sz w:val="24"/>
          <w:szCs w:val="24"/>
        </w:rPr>
        <w:t>, faldt MPA-</w:t>
      </w:r>
      <w:proofErr w:type="spellStart"/>
      <w:r w:rsidRPr="005A2E0C">
        <w:rPr>
          <w:color w:val="000000"/>
          <w:sz w:val="24"/>
          <w:szCs w:val="24"/>
        </w:rPr>
        <w:t>C</w:t>
      </w:r>
      <w:r w:rsidRPr="005A2E0C">
        <w:rPr>
          <w:color w:val="000000"/>
          <w:sz w:val="24"/>
          <w:szCs w:val="24"/>
          <w:vertAlign w:val="subscript"/>
        </w:rPr>
        <w:t>max</w:t>
      </w:r>
      <w:proofErr w:type="spellEnd"/>
      <w:r w:rsidRPr="005A2E0C">
        <w:rPr>
          <w:color w:val="000000"/>
          <w:sz w:val="24"/>
          <w:szCs w:val="24"/>
        </w:rPr>
        <w:t xml:space="preserve"> og AUC</w:t>
      </w:r>
      <w:r w:rsidRPr="005A2E0C">
        <w:rPr>
          <w:color w:val="000000"/>
          <w:sz w:val="24"/>
          <w:szCs w:val="24"/>
          <w:vertAlign w:val="subscript"/>
        </w:rPr>
        <w:t>0-12 timer</w:t>
      </w:r>
      <w:r w:rsidRPr="005A2E0C">
        <w:rPr>
          <w:color w:val="000000"/>
          <w:sz w:val="24"/>
          <w:szCs w:val="24"/>
        </w:rPr>
        <w:t xml:space="preserve"> med henholdsvis 30 % og 25 %, uden at dette havde kliniske konsekvenser (f.eks. i form af afstødning af transplantat). Det anbefales dog, at </w:t>
      </w:r>
      <w:proofErr w:type="spellStart"/>
      <w:r w:rsidRPr="005A2E0C">
        <w:rPr>
          <w:color w:val="000000"/>
          <w:sz w:val="24"/>
          <w:szCs w:val="24"/>
        </w:rPr>
        <w:t>mycophenolatmofetil</w:t>
      </w:r>
      <w:proofErr w:type="spellEnd"/>
      <w:r w:rsidRPr="005A2E0C">
        <w:rPr>
          <w:color w:val="000000"/>
          <w:sz w:val="24"/>
          <w:szCs w:val="24"/>
        </w:rPr>
        <w:t xml:space="preserve"> administreres mindst én time før eller tre timer efter indtagelsen af </w:t>
      </w:r>
      <w:proofErr w:type="spellStart"/>
      <w:r w:rsidRPr="005A2E0C">
        <w:rPr>
          <w:color w:val="000000"/>
          <w:sz w:val="24"/>
          <w:szCs w:val="24"/>
        </w:rPr>
        <w:t>sevelamer</w:t>
      </w:r>
      <w:proofErr w:type="spellEnd"/>
      <w:r w:rsidRPr="005A2E0C">
        <w:rPr>
          <w:color w:val="000000"/>
          <w:sz w:val="24"/>
          <w:szCs w:val="24"/>
        </w:rPr>
        <w:t xml:space="preserve"> for at minimere dets indvirkning på MPA-absorptionen. Der er ingen data for administrationen af</w:t>
      </w:r>
      <w:r>
        <w:rPr>
          <w:color w:val="000000"/>
          <w:sz w:val="24"/>
          <w:szCs w:val="24"/>
        </w:rPr>
        <w:t xml:space="preserve">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med andre fosfatbindere end </w:t>
      </w:r>
      <w:proofErr w:type="spellStart"/>
      <w:r w:rsidRPr="005A2E0C">
        <w:rPr>
          <w:color w:val="000000"/>
          <w:sz w:val="24"/>
          <w:szCs w:val="24"/>
        </w:rPr>
        <w:t>sevelamer</w:t>
      </w:r>
      <w:proofErr w:type="spellEnd"/>
      <w:r w:rsidRPr="005A2E0C">
        <w:rPr>
          <w:color w:val="000000"/>
          <w:sz w:val="24"/>
          <w:szCs w:val="24"/>
        </w:rPr>
        <w:t>.</w:t>
      </w:r>
    </w:p>
    <w:p w:rsidR="005A2E0C" w:rsidRPr="005A2E0C" w:rsidRDefault="005A2E0C" w:rsidP="005A2E0C">
      <w:pPr>
        <w:ind w:left="851"/>
        <w:rPr>
          <w:color w:val="000000"/>
          <w:sz w:val="24"/>
          <w:szCs w:val="24"/>
        </w:rPr>
      </w:pPr>
    </w:p>
    <w:p w:rsidR="005A2E0C" w:rsidRPr="005A2E0C" w:rsidRDefault="005A2E0C" w:rsidP="00481458">
      <w:pPr>
        <w:keepNext/>
        <w:autoSpaceDE w:val="0"/>
        <w:autoSpaceDN w:val="0"/>
        <w:adjustRightInd w:val="0"/>
        <w:ind w:left="851"/>
        <w:rPr>
          <w:color w:val="000000"/>
          <w:sz w:val="24"/>
          <w:szCs w:val="24"/>
        </w:rPr>
      </w:pPr>
      <w:proofErr w:type="spellStart"/>
      <w:r w:rsidRPr="005A2E0C">
        <w:rPr>
          <w:color w:val="000000"/>
          <w:sz w:val="24"/>
          <w:szCs w:val="24"/>
          <w:u w:val="single"/>
        </w:rPr>
        <w:lastRenderedPageBreak/>
        <w:t>Tacrolimus</w:t>
      </w:r>
      <w:proofErr w:type="spellEnd"/>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Hos levertransplanterede patienter, som indledningsvis blev behandlet med </w:t>
      </w:r>
      <w:proofErr w:type="spellStart"/>
      <w:r w:rsidRPr="005A2E0C">
        <w:rPr>
          <w:color w:val="000000"/>
          <w:sz w:val="24"/>
          <w:szCs w:val="24"/>
        </w:rPr>
        <w:t>mycophenolatmofetil</w:t>
      </w:r>
      <w:proofErr w:type="spellEnd"/>
      <w:r w:rsidRPr="005A2E0C">
        <w:rPr>
          <w:color w:val="000000"/>
          <w:sz w:val="24"/>
          <w:szCs w:val="24"/>
        </w:rPr>
        <w:t xml:space="preserve"> og </w:t>
      </w:r>
      <w:proofErr w:type="spellStart"/>
      <w:r w:rsidRPr="005A2E0C">
        <w:rPr>
          <w:color w:val="000000"/>
          <w:sz w:val="24"/>
          <w:szCs w:val="24"/>
        </w:rPr>
        <w:t>tacrolimus</w:t>
      </w:r>
      <w:proofErr w:type="spellEnd"/>
      <w:r w:rsidRPr="005A2E0C">
        <w:rPr>
          <w:color w:val="000000"/>
          <w:sz w:val="24"/>
          <w:szCs w:val="24"/>
        </w:rPr>
        <w:t xml:space="preserve"> samtidigt, blev </w:t>
      </w:r>
      <w:proofErr w:type="spellStart"/>
      <w:r w:rsidRPr="005A2E0C">
        <w:rPr>
          <w:color w:val="000000"/>
          <w:sz w:val="24"/>
          <w:szCs w:val="24"/>
        </w:rPr>
        <w:t>MPA’s</w:t>
      </w:r>
      <w:proofErr w:type="spellEnd"/>
      <w:r w:rsidRPr="005A2E0C">
        <w:rPr>
          <w:color w:val="000000"/>
          <w:sz w:val="24"/>
          <w:szCs w:val="24"/>
        </w:rPr>
        <w:t xml:space="preserve"> AUC og </w:t>
      </w:r>
      <w:proofErr w:type="spellStart"/>
      <w:r w:rsidRPr="005A2E0C">
        <w:rPr>
          <w:color w:val="000000"/>
          <w:sz w:val="24"/>
          <w:szCs w:val="24"/>
        </w:rPr>
        <w:t>C</w:t>
      </w:r>
      <w:r w:rsidRPr="005A2E0C">
        <w:rPr>
          <w:color w:val="000000"/>
          <w:sz w:val="24"/>
          <w:szCs w:val="24"/>
          <w:vertAlign w:val="subscript"/>
        </w:rPr>
        <w:t>max</w:t>
      </w:r>
      <w:proofErr w:type="spellEnd"/>
      <w:r w:rsidRPr="005A2E0C">
        <w:rPr>
          <w:color w:val="000000"/>
          <w:sz w:val="24"/>
          <w:szCs w:val="24"/>
        </w:rPr>
        <w:t xml:space="preserve">, </w:t>
      </w:r>
      <w:proofErr w:type="spellStart"/>
      <w:r w:rsidRPr="005A2E0C">
        <w:rPr>
          <w:color w:val="000000"/>
          <w:sz w:val="24"/>
          <w:szCs w:val="24"/>
        </w:rPr>
        <w:t>mycophenolatmofetils</w:t>
      </w:r>
      <w:proofErr w:type="spellEnd"/>
      <w:r w:rsidRPr="005A2E0C">
        <w:rPr>
          <w:color w:val="000000"/>
          <w:sz w:val="24"/>
          <w:szCs w:val="24"/>
        </w:rPr>
        <w:t xml:space="preserve"> aktive metabolit, ikke signifikant påvirket af samtidig administration af </w:t>
      </w:r>
      <w:proofErr w:type="spellStart"/>
      <w:r w:rsidRPr="005A2E0C">
        <w:rPr>
          <w:color w:val="000000"/>
          <w:sz w:val="24"/>
          <w:szCs w:val="24"/>
        </w:rPr>
        <w:t>tacrolimus</w:t>
      </w:r>
      <w:proofErr w:type="spellEnd"/>
      <w:r w:rsidRPr="005A2E0C">
        <w:rPr>
          <w:color w:val="000000"/>
          <w:sz w:val="24"/>
          <w:szCs w:val="24"/>
        </w:rPr>
        <w:t xml:space="preserve">. Hos levertransplanterede patienter blev AUC for </w:t>
      </w:r>
      <w:proofErr w:type="spellStart"/>
      <w:r w:rsidRPr="005A2E0C">
        <w:rPr>
          <w:color w:val="000000"/>
          <w:sz w:val="24"/>
          <w:szCs w:val="24"/>
        </w:rPr>
        <w:t>tacrolimus</w:t>
      </w:r>
      <w:proofErr w:type="spellEnd"/>
      <w:r w:rsidRPr="005A2E0C">
        <w:rPr>
          <w:color w:val="000000"/>
          <w:sz w:val="24"/>
          <w:szCs w:val="24"/>
        </w:rPr>
        <w:t xml:space="preserve"> dog øget med ca. 20 %, når flere </w:t>
      </w:r>
      <w:proofErr w:type="spellStart"/>
      <w:r w:rsidRPr="005A2E0C">
        <w:rPr>
          <w:color w:val="000000"/>
          <w:sz w:val="24"/>
          <w:szCs w:val="24"/>
        </w:rPr>
        <w:t>mycophenolatmofetil</w:t>
      </w:r>
      <w:proofErr w:type="spellEnd"/>
      <w:r w:rsidRPr="005A2E0C">
        <w:rPr>
          <w:color w:val="000000"/>
          <w:sz w:val="24"/>
          <w:szCs w:val="24"/>
        </w:rPr>
        <w:t xml:space="preserve">-doser (1,5 g indtaget to gange daglig) blev givet til levertransplanterede patienter, som fik </w:t>
      </w:r>
      <w:proofErr w:type="spellStart"/>
      <w:r w:rsidRPr="005A2E0C">
        <w:rPr>
          <w:color w:val="000000"/>
          <w:sz w:val="24"/>
          <w:szCs w:val="24"/>
        </w:rPr>
        <w:t>tacrolimus</w:t>
      </w:r>
      <w:proofErr w:type="spellEnd"/>
      <w:r w:rsidRPr="005A2E0C">
        <w:rPr>
          <w:color w:val="000000"/>
          <w:sz w:val="24"/>
          <w:szCs w:val="24"/>
        </w:rPr>
        <w:t xml:space="preserve">. Hos nyretransplanterede patienter blev </w:t>
      </w:r>
      <w:proofErr w:type="spellStart"/>
      <w:r w:rsidRPr="005A2E0C">
        <w:rPr>
          <w:color w:val="000000"/>
          <w:sz w:val="24"/>
          <w:szCs w:val="24"/>
        </w:rPr>
        <w:t>tacrolimuskoncentrationen</w:t>
      </w:r>
      <w:proofErr w:type="spellEnd"/>
      <w:r w:rsidRPr="005A2E0C">
        <w:rPr>
          <w:color w:val="000000"/>
          <w:sz w:val="24"/>
          <w:szCs w:val="24"/>
        </w:rPr>
        <w:t xml:space="preserve"> dog tilsyneladende ikke påvirket af </w:t>
      </w:r>
      <w:proofErr w:type="spellStart"/>
      <w:r w:rsidRPr="005A2E0C">
        <w:rPr>
          <w:color w:val="000000"/>
          <w:sz w:val="24"/>
          <w:szCs w:val="24"/>
        </w:rPr>
        <w:t>mycophenolatmofetil</w:t>
      </w:r>
      <w:proofErr w:type="spellEnd"/>
      <w:r w:rsidRPr="005A2E0C">
        <w:rPr>
          <w:color w:val="000000"/>
          <w:sz w:val="24"/>
          <w:szCs w:val="24"/>
        </w:rPr>
        <w:t xml:space="preserve"> (se også pkt. 4.4).</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u w:val="single"/>
        </w:rPr>
        <w:t>Levende vacciner</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Levende vacciner må ikke gives til patienter med nedsat immunforsvar. Antistofresponset over for andre vacciner kan nedsættes (se pkt. 4.4).</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u w:val="single"/>
        </w:rPr>
        <w:t>Pædiatrisk population</w:t>
      </w:r>
    </w:p>
    <w:p w:rsidR="005A2E0C" w:rsidRPr="005A2E0C" w:rsidRDefault="005A2E0C" w:rsidP="005A2E0C">
      <w:pPr>
        <w:tabs>
          <w:tab w:val="left" w:pos="6195"/>
        </w:tabs>
        <w:autoSpaceDE w:val="0"/>
        <w:autoSpaceDN w:val="0"/>
        <w:adjustRightInd w:val="0"/>
        <w:ind w:left="851"/>
        <w:rPr>
          <w:color w:val="000000"/>
          <w:sz w:val="24"/>
          <w:szCs w:val="24"/>
        </w:rPr>
      </w:pPr>
      <w:r w:rsidRPr="005A2E0C">
        <w:rPr>
          <w:color w:val="000000"/>
          <w:sz w:val="24"/>
          <w:szCs w:val="24"/>
        </w:rPr>
        <w:t>Der er kun udført interaktionsstudier hos voksne.</w:t>
      </w:r>
    </w:p>
    <w:p w:rsidR="005A2E0C" w:rsidRPr="005A2E0C" w:rsidRDefault="005A2E0C" w:rsidP="005A2E0C">
      <w:pPr>
        <w:tabs>
          <w:tab w:val="left" w:pos="6195"/>
        </w:tabs>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u w:val="single"/>
        </w:rPr>
        <w:t>Potenielle</w:t>
      </w:r>
      <w:proofErr w:type="spellEnd"/>
      <w:r w:rsidRPr="005A2E0C">
        <w:rPr>
          <w:color w:val="000000"/>
          <w:sz w:val="24"/>
          <w:szCs w:val="24"/>
          <w:u w:val="single"/>
        </w:rPr>
        <w:t xml:space="preserve"> interaktioner:</w:t>
      </w:r>
      <w:r w:rsidRPr="005A2E0C">
        <w:rPr>
          <w:color w:val="000000"/>
          <w:sz w:val="24"/>
          <w:szCs w:val="24"/>
        </w:rPr>
        <w:t xml:space="preserve"> </w:t>
      </w:r>
    </w:p>
    <w:p w:rsidR="00B065AB" w:rsidRPr="005A2E0C" w:rsidRDefault="005A2E0C" w:rsidP="005A2E0C">
      <w:pPr>
        <w:autoSpaceDE w:val="0"/>
        <w:autoSpaceDN w:val="0"/>
        <w:adjustRightInd w:val="0"/>
        <w:ind w:left="851"/>
        <w:rPr>
          <w:color w:val="000000"/>
          <w:sz w:val="24"/>
          <w:szCs w:val="24"/>
          <w:u w:val="single"/>
        </w:rPr>
      </w:pPr>
      <w:r w:rsidRPr="005A2E0C">
        <w:rPr>
          <w:color w:val="000000"/>
          <w:sz w:val="24"/>
          <w:szCs w:val="24"/>
        </w:rPr>
        <w:t xml:space="preserve">Samtidig administration af </w:t>
      </w:r>
      <w:proofErr w:type="spellStart"/>
      <w:r w:rsidRPr="005A2E0C">
        <w:rPr>
          <w:color w:val="000000"/>
          <w:sz w:val="24"/>
          <w:szCs w:val="24"/>
        </w:rPr>
        <w:t>probenecid</w:t>
      </w:r>
      <w:proofErr w:type="spellEnd"/>
      <w:r w:rsidRPr="005A2E0C">
        <w:rPr>
          <w:color w:val="000000"/>
          <w:sz w:val="24"/>
          <w:szCs w:val="24"/>
        </w:rPr>
        <w:t xml:space="preserve"> og </w:t>
      </w:r>
      <w:proofErr w:type="spellStart"/>
      <w:r w:rsidRPr="005A2E0C">
        <w:rPr>
          <w:color w:val="000000"/>
          <w:sz w:val="24"/>
          <w:szCs w:val="24"/>
        </w:rPr>
        <w:t>mycophenolatmofetil</w:t>
      </w:r>
      <w:proofErr w:type="spellEnd"/>
      <w:r w:rsidRPr="005A2E0C">
        <w:rPr>
          <w:color w:val="000000"/>
          <w:sz w:val="24"/>
          <w:szCs w:val="24"/>
        </w:rPr>
        <w:t xml:space="preserve"> forhøjer </w:t>
      </w:r>
      <w:proofErr w:type="spellStart"/>
      <w:r w:rsidRPr="005A2E0C">
        <w:rPr>
          <w:color w:val="000000"/>
          <w:sz w:val="24"/>
          <w:szCs w:val="24"/>
        </w:rPr>
        <w:t>MPAG's</w:t>
      </w:r>
      <w:proofErr w:type="spellEnd"/>
      <w:r w:rsidRPr="005A2E0C">
        <w:rPr>
          <w:color w:val="000000"/>
          <w:sz w:val="24"/>
          <w:szCs w:val="24"/>
        </w:rPr>
        <w:t xml:space="preserve"> plasma AUC 3 gange hos aber. Derfor kan andre stoffer, der vides at udskilles ved </w:t>
      </w:r>
      <w:proofErr w:type="spellStart"/>
      <w:r w:rsidRPr="005A2E0C">
        <w:rPr>
          <w:color w:val="000000"/>
          <w:sz w:val="24"/>
          <w:szCs w:val="24"/>
        </w:rPr>
        <w:t>renal</w:t>
      </w:r>
      <w:proofErr w:type="spellEnd"/>
      <w:r w:rsidRPr="005A2E0C">
        <w:rPr>
          <w:color w:val="000000"/>
          <w:sz w:val="24"/>
          <w:szCs w:val="24"/>
        </w:rPr>
        <w:t xml:space="preserve"> </w:t>
      </w:r>
      <w:proofErr w:type="spellStart"/>
      <w:r w:rsidRPr="005A2E0C">
        <w:rPr>
          <w:color w:val="000000"/>
          <w:sz w:val="24"/>
          <w:szCs w:val="24"/>
        </w:rPr>
        <w:t>tubulær</w:t>
      </w:r>
      <w:proofErr w:type="spellEnd"/>
      <w:r w:rsidRPr="005A2E0C">
        <w:rPr>
          <w:color w:val="000000"/>
          <w:sz w:val="24"/>
          <w:szCs w:val="24"/>
        </w:rPr>
        <w:t xml:space="preserve"> sekretion, konkurrere med MPAG og derved forhøje plasmakoncentrationerne af MPAG eller andre stoffer, der udskilles ved </w:t>
      </w:r>
      <w:proofErr w:type="spellStart"/>
      <w:r w:rsidRPr="005A2E0C">
        <w:rPr>
          <w:color w:val="000000"/>
          <w:sz w:val="24"/>
          <w:szCs w:val="24"/>
        </w:rPr>
        <w:t>tubulær</w:t>
      </w:r>
      <w:proofErr w:type="spellEnd"/>
      <w:r w:rsidRPr="005A2E0C">
        <w:rPr>
          <w:color w:val="000000"/>
          <w:sz w:val="24"/>
          <w:szCs w:val="24"/>
        </w:rPr>
        <w:t xml:space="preserve"> sekretion.</w:t>
      </w:r>
      <w:r w:rsidR="00B065AB" w:rsidRPr="005A2E0C">
        <w:rPr>
          <w:color w:val="000000"/>
          <w:sz w:val="24"/>
          <w:szCs w:val="24"/>
        </w:rPr>
        <w:tab/>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4.6</w:t>
      </w:r>
      <w:r w:rsidRPr="007205D5">
        <w:rPr>
          <w:b/>
          <w:sz w:val="24"/>
          <w:szCs w:val="24"/>
        </w:rPr>
        <w:tab/>
      </w:r>
      <w:r w:rsidR="00481458">
        <w:rPr>
          <w:b/>
          <w:sz w:val="24"/>
          <w:szCs w:val="24"/>
        </w:rPr>
        <w:t>Fertilitet, g</w:t>
      </w:r>
      <w:r w:rsidRPr="007205D5">
        <w:rPr>
          <w:b/>
          <w:sz w:val="24"/>
          <w:szCs w:val="24"/>
        </w:rPr>
        <w:t>raviditet og amning</w:t>
      </w:r>
    </w:p>
    <w:p w:rsidR="00B065AB" w:rsidRDefault="00B065AB" w:rsidP="00B065AB">
      <w:pPr>
        <w:autoSpaceDE w:val="0"/>
        <w:autoSpaceDN w:val="0"/>
        <w:adjustRightInd w:val="0"/>
        <w:ind w:left="851" w:hanging="851"/>
        <w:rPr>
          <w:sz w:val="24"/>
          <w:szCs w:val="24"/>
        </w:rPr>
      </w:pPr>
      <w:r w:rsidRPr="007205D5">
        <w:rPr>
          <w:sz w:val="24"/>
          <w:szCs w:val="24"/>
        </w:rPr>
        <w:tab/>
      </w:r>
    </w:p>
    <w:p w:rsidR="00B065AB" w:rsidRDefault="00B065AB" w:rsidP="00B065AB">
      <w:pPr>
        <w:pStyle w:val="Brdtekst3"/>
        <w:ind w:left="851"/>
        <w:rPr>
          <w:rFonts w:ascii="Times New Roman" w:hAnsi="Times New Roman" w:cs="Times New Roman"/>
          <w:color w:val="000000"/>
          <w:szCs w:val="24"/>
          <w:lang w:val="da-DK"/>
        </w:rPr>
      </w:pPr>
      <w:r>
        <w:rPr>
          <w:rFonts w:ascii="Times New Roman" w:hAnsi="Times New Roman" w:cs="Times New Roman"/>
          <w:color w:val="000000"/>
          <w:szCs w:val="24"/>
          <w:lang w:val="da-DK"/>
        </w:rPr>
        <w:t xml:space="preserve">Kvinder i den fødedygtige alder </w:t>
      </w:r>
    </w:p>
    <w:p w:rsidR="00B065AB" w:rsidRDefault="00B065AB" w:rsidP="00B065AB">
      <w:pPr>
        <w:pStyle w:val="Brdtekst3"/>
        <w:ind w:left="851"/>
        <w:rPr>
          <w:rFonts w:ascii="Times New Roman" w:hAnsi="Times New Roman" w:cs="Times New Roman"/>
          <w:color w:val="000000"/>
          <w:szCs w:val="24"/>
          <w:lang w:val="da-DK"/>
        </w:rPr>
      </w:pPr>
      <w:r>
        <w:rPr>
          <w:rFonts w:ascii="Times New Roman" w:hAnsi="Times New Roman" w:cs="Times New Roman"/>
          <w:color w:val="000000"/>
          <w:szCs w:val="24"/>
          <w:lang w:val="da-DK"/>
        </w:rPr>
        <w:t xml:space="preserve"> </w:t>
      </w:r>
    </w:p>
    <w:p w:rsidR="008071DB" w:rsidRDefault="008071DB" w:rsidP="008071DB">
      <w:pPr>
        <w:pStyle w:val="Brdtekst3"/>
        <w:ind w:left="851"/>
        <w:rPr>
          <w:rFonts w:ascii="Times New Roman" w:hAnsi="Times New Roman" w:cs="Times New Roman"/>
          <w:color w:val="000000"/>
          <w:szCs w:val="24"/>
          <w:lang w:val="da-DK"/>
        </w:rPr>
      </w:pPr>
      <w:r>
        <w:rPr>
          <w:rFonts w:ascii="Times New Roman" w:hAnsi="Times New Roman" w:cs="Times New Roman"/>
          <w:color w:val="000000"/>
          <w:szCs w:val="24"/>
          <w:lang w:val="da-DK"/>
        </w:rPr>
        <w:t xml:space="preserve">Indtagelse af </w:t>
      </w:r>
      <w:proofErr w:type="spellStart"/>
      <w:r>
        <w:rPr>
          <w:rFonts w:ascii="Times New Roman" w:hAnsi="Times New Roman" w:cs="Times New Roman"/>
          <w:color w:val="000000"/>
          <w:szCs w:val="24"/>
          <w:lang w:val="da-DK"/>
        </w:rPr>
        <w:t>mycophenolat</w:t>
      </w:r>
      <w:proofErr w:type="spellEnd"/>
      <w:r>
        <w:rPr>
          <w:rFonts w:ascii="Times New Roman" w:hAnsi="Times New Roman" w:cs="Times New Roman"/>
          <w:color w:val="000000"/>
          <w:szCs w:val="24"/>
          <w:lang w:val="da-DK"/>
        </w:rPr>
        <w:t xml:space="preserve"> under graviditet skal undgås. Derfor skal kvinder i den fødedygtige alder anvende mindst én form for pålidelig antikonception (se pkt. 4.3), inden behandling med </w:t>
      </w:r>
      <w:proofErr w:type="spellStart"/>
      <w:r>
        <w:rPr>
          <w:rFonts w:ascii="Times New Roman" w:hAnsi="Times New Roman" w:cs="Times New Roman"/>
          <w:color w:val="000000"/>
          <w:szCs w:val="24"/>
          <w:lang w:val="da-DK"/>
        </w:rPr>
        <w:t>Mycophenolatmofetil</w:t>
      </w:r>
      <w:proofErr w:type="spellEnd"/>
      <w:r>
        <w:rPr>
          <w:rFonts w:ascii="Times New Roman" w:hAnsi="Times New Roman" w:cs="Times New Roman"/>
          <w:color w:val="000000"/>
          <w:szCs w:val="24"/>
          <w:lang w:val="da-DK"/>
        </w:rPr>
        <w:t xml:space="preserve"> ”</w:t>
      </w:r>
      <w:proofErr w:type="spellStart"/>
      <w:r>
        <w:rPr>
          <w:rFonts w:ascii="Times New Roman" w:hAnsi="Times New Roman" w:cs="Times New Roman"/>
          <w:color w:val="000000"/>
          <w:szCs w:val="24"/>
          <w:lang w:val="da-DK"/>
        </w:rPr>
        <w:t>Accord</w:t>
      </w:r>
      <w:proofErr w:type="spellEnd"/>
      <w:r>
        <w:rPr>
          <w:rFonts w:ascii="Times New Roman" w:hAnsi="Times New Roman" w:cs="Times New Roman"/>
          <w:color w:val="000000"/>
          <w:szCs w:val="24"/>
          <w:lang w:val="da-DK"/>
        </w:rPr>
        <w:t xml:space="preserve">” påbegyndes, under behandlingen og i seks uger efter behandlingsophør, medmindre seksuel afholdenhed er den valgte form for prævention. Samtidig brug af to komplementære former for prævention er foretrukket. </w:t>
      </w:r>
    </w:p>
    <w:p w:rsidR="00B065AB" w:rsidRDefault="00B065AB" w:rsidP="00B065AB">
      <w:pPr>
        <w:pStyle w:val="Brdtekst3"/>
        <w:ind w:left="851"/>
        <w:jc w:val="left"/>
        <w:rPr>
          <w:szCs w:val="24"/>
          <w:lang w:val="da-DK"/>
        </w:rPr>
      </w:pPr>
    </w:p>
    <w:p w:rsidR="00B065AB" w:rsidRDefault="00B065AB" w:rsidP="00B065AB">
      <w:pPr>
        <w:autoSpaceDE w:val="0"/>
        <w:autoSpaceDN w:val="0"/>
        <w:adjustRightInd w:val="0"/>
        <w:ind w:left="851"/>
        <w:rPr>
          <w:color w:val="000000"/>
          <w:sz w:val="24"/>
          <w:szCs w:val="24"/>
          <w:u w:val="single"/>
        </w:rPr>
      </w:pPr>
      <w:r>
        <w:rPr>
          <w:color w:val="000000"/>
          <w:sz w:val="24"/>
          <w:szCs w:val="24"/>
          <w:u w:val="single"/>
        </w:rPr>
        <w:t>Graviditet</w:t>
      </w:r>
    </w:p>
    <w:p w:rsidR="008071DB" w:rsidRDefault="008071DB" w:rsidP="008071DB">
      <w:pPr>
        <w:autoSpaceDE w:val="0"/>
        <w:autoSpaceDN w:val="0"/>
        <w:adjustRightInd w:val="0"/>
        <w:ind w:left="851"/>
        <w:rPr>
          <w:color w:val="000000"/>
          <w:sz w:val="24"/>
          <w:szCs w:val="24"/>
        </w:rPr>
      </w:pPr>
      <w:proofErr w:type="spellStart"/>
      <w:r>
        <w:rPr>
          <w:color w:val="000000"/>
          <w:sz w:val="24"/>
          <w:szCs w:val="24"/>
        </w:rPr>
        <w:t>Mycophenolatmofetil</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er kontraindiceret under graviditet, medmindre der ikke findes et passende behandlingsalternativ. Behandlingen må ikke påbegyndes, før der foreligger en negativ graviditetstest, så uønsket anvendelse under graviditet kan udelukkes.</w:t>
      </w:r>
    </w:p>
    <w:p w:rsidR="00B065AB" w:rsidRDefault="00B065AB" w:rsidP="00B065AB">
      <w:pPr>
        <w:autoSpaceDE w:val="0"/>
        <w:autoSpaceDN w:val="0"/>
        <w:adjustRightInd w:val="0"/>
        <w:ind w:left="851"/>
        <w:rPr>
          <w:color w:val="000000"/>
          <w:sz w:val="24"/>
          <w:szCs w:val="24"/>
        </w:rPr>
      </w:pPr>
    </w:p>
    <w:p w:rsidR="00B065AB" w:rsidRDefault="00B065AB" w:rsidP="00B065AB">
      <w:pPr>
        <w:autoSpaceDE w:val="0"/>
        <w:autoSpaceDN w:val="0"/>
        <w:adjustRightInd w:val="0"/>
        <w:ind w:left="851"/>
        <w:rPr>
          <w:color w:val="000000"/>
          <w:sz w:val="24"/>
          <w:szCs w:val="24"/>
        </w:rPr>
      </w:pPr>
      <w:r>
        <w:rPr>
          <w:color w:val="000000"/>
          <w:sz w:val="24"/>
          <w:szCs w:val="24"/>
        </w:rPr>
        <w:t>Når behandlingen påbegyndes, skal fertile kvinder informeres om den øgede risiko for abort og medfødte misdannelser, og de skal vejledes i forebyggelse af graviditet og graviditetsplanlægning.</w:t>
      </w:r>
    </w:p>
    <w:p w:rsidR="00B065AB" w:rsidRDefault="00B065AB" w:rsidP="00B065AB">
      <w:pPr>
        <w:autoSpaceDE w:val="0"/>
        <w:autoSpaceDN w:val="0"/>
        <w:adjustRightInd w:val="0"/>
        <w:ind w:left="851"/>
        <w:rPr>
          <w:color w:val="000000"/>
          <w:sz w:val="24"/>
          <w:szCs w:val="24"/>
          <w:u w:val="single"/>
        </w:rPr>
      </w:pPr>
    </w:p>
    <w:p w:rsidR="008071DB" w:rsidRDefault="008071DB" w:rsidP="008071DB">
      <w:pPr>
        <w:pStyle w:val="Default"/>
        <w:ind w:left="851"/>
      </w:pPr>
      <w:r>
        <w:t xml:space="preserve">Før påbegyndelse af </w:t>
      </w:r>
      <w:proofErr w:type="spellStart"/>
      <w:r>
        <w:t>Mycophenolatmofetil</w:t>
      </w:r>
      <w:proofErr w:type="spellEnd"/>
      <w:r>
        <w:t xml:space="preserve"> ”</w:t>
      </w:r>
      <w:proofErr w:type="spellStart"/>
      <w:r>
        <w:t>Accord</w:t>
      </w:r>
      <w:proofErr w:type="spellEnd"/>
      <w:r>
        <w:t xml:space="preserve">”-behandling skal fertile kvinder have foretaget to negative graviditetstests (serum eller urin) med en sensitivitet på mindst 25 </w:t>
      </w:r>
      <w:proofErr w:type="spellStart"/>
      <w:r>
        <w:t>mIE</w:t>
      </w:r>
      <w:proofErr w:type="spellEnd"/>
      <w:r>
        <w:t xml:space="preserve">/ml for at udelukke en uønsket </w:t>
      </w:r>
      <w:proofErr w:type="spellStart"/>
      <w:r>
        <w:t>mycophenolat</w:t>
      </w:r>
      <w:proofErr w:type="spellEnd"/>
      <w:r>
        <w:t xml:space="preserve">-eksponering for et foster. Det anbefales, at test nummer 2 skal udføres 8-10 dage efter den første test. </w:t>
      </w:r>
    </w:p>
    <w:p w:rsidR="008071DB" w:rsidRDefault="008071DB" w:rsidP="008071DB">
      <w:pPr>
        <w:pStyle w:val="Default"/>
        <w:ind w:left="851"/>
      </w:pPr>
      <w:r>
        <w:t xml:space="preserve">Ved modtagelse af transplantater fra afdøde donorer, kan det på grund af tidspunktet for tilgængeligheden af transplantationsorganet, ikke altid være muligt at udføre to tests 8-10 dage efter hinanden, inden behandlingen initieres. Hvis det er tilfældet, skal en graviditetstest udføres umiddelbart før behandlingen initieres og en yderligere test 8 -10 dage senere. </w:t>
      </w:r>
    </w:p>
    <w:p w:rsidR="008071DB" w:rsidRDefault="008071DB" w:rsidP="008071DB">
      <w:pPr>
        <w:autoSpaceDE w:val="0"/>
        <w:autoSpaceDN w:val="0"/>
        <w:adjustRightInd w:val="0"/>
        <w:ind w:left="851"/>
        <w:rPr>
          <w:color w:val="000000"/>
          <w:sz w:val="24"/>
          <w:szCs w:val="24"/>
        </w:rPr>
      </w:pPr>
      <w:r>
        <w:rPr>
          <w:color w:val="000000"/>
          <w:sz w:val="24"/>
          <w:szCs w:val="24"/>
        </w:rPr>
        <w:lastRenderedPageBreak/>
        <w:t xml:space="preserve">En ny graviditetstest skal foretages, når det er klinisk indiceret (f.eks. efter rapportering af manglende brug af </w:t>
      </w:r>
      <w:proofErr w:type="spellStart"/>
      <w:r>
        <w:rPr>
          <w:color w:val="000000"/>
          <w:sz w:val="24"/>
          <w:szCs w:val="24"/>
        </w:rPr>
        <w:t>kontraception</w:t>
      </w:r>
      <w:proofErr w:type="spellEnd"/>
      <w:r>
        <w:rPr>
          <w:color w:val="000000"/>
          <w:sz w:val="24"/>
          <w:szCs w:val="24"/>
        </w:rPr>
        <w:t xml:space="preserve">). Resultaterne af alle graviditetstests skal diskuteres med patienten. </w:t>
      </w:r>
    </w:p>
    <w:p w:rsidR="008071DB" w:rsidRDefault="008071DB" w:rsidP="008071DB">
      <w:pPr>
        <w:pStyle w:val="Brdtekst3"/>
        <w:ind w:left="851"/>
        <w:jc w:val="left"/>
        <w:rPr>
          <w:rFonts w:ascii="Times New Roman" w:hAnsi="Times New Roman" w:cs="Times New Roman"/>
          <w:szCs w:val="24"/>
          <w:lang w:val="da-DK"/>
        </w:rPr>
      </w:pPr>
      <w:r>
        <w:rPr>
          <w:rFonts w:ascii="Times New Roman" w:hAnsi="Times New Roman" w:cs="Times New Roman"/>
          <w:szCs w:val="24"/>
          <w:lang w:val="da-DK"/>
        </w:rPr>
        <w:t>Patienter bør instrueres i straks at kontakte deres læge, hvis graviditet opstår.</w:t>
      </w:r>
    </w:p>
    <w:p w:rsidR="00B065AB" w:rsidRDefault="00B065AB" w:rsidP="00B065AB">
      <w:pPr>
        <w:pStyle w:val="Brdtekst3"/>
        <w:ind w:left="851"/>
        <w:jc w:val="left"/>
        <w:rPr>
          <w:rFonts w:ascii="Times New Roman" w:hAnsi="Times New Roman" w:cs="Times New Roman"/>
          <w:szCs w:val="24"/>
          <w:lang w:val="da-DK"/>
        </w:rPr>
      </w:pPr>
    </w:p>
    <w:p w:rsidR="00B065AB" w:rsidRDefault="00B065AB" w:rsidP="00B065AB">
      <w:pPr>
        <w:pStyle w:val="Brdtekst3"/>
        <w:ind w:left="851"/>
        <w:jc w:val="left"/>
        <w:rPr>
          <w:rFonts w:ascii="Times New Roman" w:hAnsi="Times New Roman" w:cs="Times New Roman"/>
          <w:color w:val="000000"/>
          <w:szCs w:val="24"/>
          <w:lang w:val="da-DK"/>
        </w:rPr>
      </w:pPr>
      <w:proofErr w:type="spellStart"/>
      <w:r>
        <w:rPr>
          <w:rFonts w:ascii="Times New Roman" w:hAnsi="Times New Roman" w:cs="Times New Roman"/>
          <w:color w:val="000000"/>
          <w:szCs w:val="24"/>
          <w:lang w:val="da-DK"/>
        </w:rPr>
        <w:t>Mycophenolat</w:t>
      </w:r>
      <w:proofErr w:type="spellEnd"/>
      <w:r>
        <w:rPr>
          <w:rFonts w:ascii="Times New Roman" w:hAnsi="Times New Roman" w:cs="Times New Roman"/>
          <w:color w:val="000000"/>
          <w:szCs w:val="24"/>
          <w:lang w:val="da-DK"/>
        </w:rPr>
        <w:t xml:space="preserve"> har en potent </w:t>
      </w:r>
      <w:proofErr w:type="spellStart"/>
      <w:r>
        <w:rPr>
          <w:rFonts w:ascii="Times New Roman" w:hAnsi="Times New Roman" w:cs="Times New Roman"/>
          <w:color w:val="000000"/>
          <w:szCs w:val="24"/>
          <w:lang w:val="da-DK"/>
        </w:rPr>
        <w:t>teratogen</w:t>
      </w:r>
      <w:proofErr w:type="spellEnd"/>
      <w:r>
        <w:rPr>
          <w:rFonts w:ascii="Times New Roman" w:hAnsi="Times New Roman" w:cs="Times New Roman"/>
          <w:color w:val="000000"/>
          <w:szCs w:val="24"/>
          <w:lang w:val="da-DK"/>
        </w:rPr>
        <w:t xml:space="preserve"> virkning hos mennesker med en øget risiko for spontane aborter og medfødte misdannelser i tilfælde af eksponering under graviditet:</w:t>
      </w:r>
    </w:p>
    <w:p w:rsidR="00B065AB" w:rsidRDefault="00B065AB" w:rsidP="00B065AB">
      <w:pPr>
        <w:pStyle w:val="Brdtekst3"/>
        <w:ind w:left="1134" w:hanging="283"/>
        <w:jc w:val="left"/>
        <w:rPr>
          <w:rFonts w:ascii="Times New Roman" w:hAnsi="Times New Roman" w:cs="Times New Roman"/>
          <w:color w:val="000000"/>
          <w:szCs w:val="24"/>
          <w:lang w:val="da-DK"/>
        </w:rPr>
      </w:pPr>
      <w:r>
        <w:rPr>
          <w:rFonts w:ascii="Times New Roman" w:hAnsi="Times New Roman" w:cs="Times New Roman"/>
          <w:color w:val="000000"/>
          <w:szCs w:val="24"/>
          <w:lang w:val="da-DK"/>
        </w:rPr>
        <w:t>•</w:t>
      </w:r>
      <w:r>
        <w:rPr>
          <w:rFonts w:ascii="Times New Roman" w:hAnsi="Times New Roman" w:cs="Times New Roman"/>
          <w:color w:val="000000"/>
          <w:szCs w:val="24"/>
          <w:lang w:val="da-DK"/>
        </w:rPr>
        <w:tab/>
      </w:r>
      <w:proofErr w:type="spellStart"/>
      <w:r>
        <w:rPr>
          <w:rFonts w:ascii="Times New Roman" w:hAnsi="Times New Roman" w:cs="Times New Roman"/>
          <w:color w:val="000000"/>
          <w:szCs w:val="24"/>
          <w:lang w:val="da-DK"/>
        </w:rPr>
        <w:t>Spontante</w:t>
      </w:r>
      <w:proofErr w:type="spellEnd"/>
      <w:r>
        <w:rPr>
          <w:rFonts w:ascii="Times New Roman" w:hAnsi="Times New Roman" w:cs="Times New Roman"/>
          <w:color w:val="000000"/>
          <w:szCs w:val="24"/>
          <w:lang w:val="da-DK"/>
        </w:rPr>
        <w:t xml:space="preserve"> aborter er rapporteret hos 45 til 49 % af de gravide kvinder, der blev eksponeret for </w:t>
      </w:r>
      <w:proofErr w:type="spellStart"/>
      <w:r>
        <w:rPr>
          <w:rFonts w:ascii="Times New Roman" w:hAnsi="Times New Roman" w:cs="Times New Roman"/>
          <w:color w:val="000000"/>
          <w:szCs w:val="24"/>
          <w:lang w:val="da-DK"/>
        </w:rPr>
        <w:t>mycophenolatmofetil</w:t>
      </w:r>
      <w:proofErr w:type="spellEnd"/>
      <w:r>
        <w:rPr>
          <w:rFonts w:ascii="Times New Roman" w:hAnsi="Times New Roman" w:cs="Times New Roman"/>
          <w:color w:val="000000"/>
          <w:szCs w:val="24"/>
          <w:lang w:val="da-DK"/>
        </w:rPr>
        <w:t xml:space="preserve">, sammenlignet med en hyppighed på </w:t>
      </w:r>
      <w:r>
        <w:rPr>
          <w:rFonts w:ascii="Times New Roman" w:hAnsi="Times New Roman" w:cs="Times New Roman"/>
          <w:color w:val="000000"/>
          <w:szCs w:val="24"/>
          <w:lang w:val="da-DK"/>
        </w:rPr>
        <w:br/>
        <w:t xml:space="preserve">12 til 33 % hos patienter, som havde gennemgået en transplantation af solide organer, og som blev behandlet med andre </w:t>
      </w:r>
      <w:proofErr w:type="spellStart"/>
      <w:r>
        <w:rPr>
          <w:rFonts w:ascii="Times New Roman" w:hAnsi="Times New Roman" w:cs="Times New Roman"/>
          <w:color w:val="000000"/>
          <w:szCs w:val="24"/>
          <w:lang w:val="da-DK"/>
        </w:rPr>
        <w:t>immunsuppressiva</w:t>
      </w:r>
      <w:proofErr w:type="spellEnd"/>
      <w:r>
        <w:rPr>
          <w:rFonts w:ascii="Times New Roman" w:hAnsi="Times New Roman" w:cs="Times New Roman"/>
          <w:color w:val="000000"/>
          <w:szCs w:val="24"/>
          <w:lang w:val="da-DK"/>
        </w:rPr>
        <w:t xml:space="preserve"> end </w:t>
      </w:r>
      <w:proofErr w:type="spellStart"/>
      <w:r>
        <w:rPr>
          <w:rFonts w:ascii="Times New Roman" w:hAnsi="Times New Roman" w:cs="Times New Roman"/>
          <w:color w:val="000000"/>
          <w:szCs w:val="24"/>
          <w:lang w:val="da-DK"/>
        </w:rPr>
        <w:t>mycophenolatmofetil</w:t>
      </w:r>
      <w:proofErr w:type="spellEnd"/>
      <w:r>
        <w:rPr>
          <w:rFonts w:ascii="Times New Roman" w:hAnsi="Times New Roman" w:cs="Times New Roman"/>
          <w:color w:val="000000"/>
          <w:szCs w:val="24"/>
          <w:lang w:val="da-DK"/>
        </w:rPr>
        <w:t>.</w:t>
      </w:r>
    </w:p>
    <w:p w:rsidR="00B065AB" w:rsidRDefault="00B065AB" w:rsidP="00B065AB">
      <w:pPr>
        <w:pStyle w:val="Brdtekst3"/>
        <w:ind w:left="1134" w:hanging="283"/>
        <w:jc w:val="left"/>
        <w:rPr>
          <w:rFonts w:ascii="Times New Roman" w:hAnsi="Times New Roman" w:cs="Times New Roman"/>
          <w:color w:val="000000"/>
          <w:szCs w:val="24"/>
          <w:lang w:val="da-DK"/>
        </w:rPr>
      </w:pPr>
      <w:r>
        <w:rPr>
          <w:color w:val="000000"/>
          <w:szCs w:val="24"/>
          <w:lang w:val="da-DK"/>
        </w:rPr>
        <w:t>•</w:t>
      </w:r>
      <w:r>
        <w:rPr>
          <w:color w:val="000000"/>
          <w:szCs w:val="24"/>
          <w:lang w:val="da-DK"/>
        </w:rPr>
        <w:tab/>
      </w:r>
      <w:r>
        <w:rPr>
          <w:rFonts w:ascii="Times New Roman" w:hAnsi="Times New Roman" w:cs="Times New Roman"/>
          <w:color w:val="000000"/>
          <w:szCs w:val="24"/>
          <w:lang w:val="da-DK"/>
        </w:rPr>
        <w:t xml:space="preserve">Baseret på rapporter i litteraturen forekom misdannelser hos 23 til 27 % af de levendefødte børn, hvor moderen var eksponeret for </w:t>
      </w:r>
      <w:proofErr w:type="spellStart"/>
      <w:r>
        <w:rPr>
          <w:rFonts w:ascii="Times New Roman" w:hAnsi="Times New Roman" w:cs="Times New Roman"/>
          <w:color w:val="000000"/>
          <w:szCs w:val="24"/>
          <w:lang w:val="da-DK"/>
        </w:rPr>
        <w:t>mycophenolatmofetil</w:t>
      </w:r>
      <w:proofErr w:type="spellEnd"/>
      <w:r>
        <w:rPr>
          <w:rFonts w:ascii="Times New Roman" w:hAnsi="Times New Roman" w:cs="Times New Roman"/>
          <w:color w:val="000000"/>
          <w:szCs w:val="24"/>
          <w:lang w:val="da-DK"/>
        </w:rPr>
        <w:t xml:space="preserve"> under graviditeten (sammenlignet med 2 til 3 % hos levendefødte børn i hele populationen og ca. 4 til 5 % hos patienter, som havde gennemgået en transplantation af solide organer, og som blev behandlet med andre </w:t>
      </w:r>
      <w:proofErr w:type="spellStart"/>
      <w:r>
        <w:rPr>
          <w:rFonts w:ascii="Times New Roman" w:hAnsi="Times New Roman" w:cs="Times New Roman"/>
          <w:color w:val="000000"/>
          <w:szCs w:val="24"/>
          <w:lang w:val="da-DK"/>
        </w:rPr>
        <w:t>immunsuppressiva</w:t>
      </w:r>
      <w:proofErr w:type="spellEnd"/>
      <w:r>
        <w:rPr>
          <w:rFonts w:ascii="Times New Roman" w:hAnsi="Times New Roman" w:cs="Times New Roman"/>
          <w:color w:val="000000"/>
          <w:szCs w:val="24"/>
          <w:lang w:val="da-DK"/>
        </w:rPr>
        <w:t xml:space="preserve"> end </w:t>
      </w:r>
      <w:proofErr w:type="spellStart"/>
      <w:r>
        <w:rPr>
          <w:rFonts w:ascii="Times New Roman" w:hAnsi="Times New Roman" w:cs="Times New Roman"/>
          <w:color w:val="000000"/>
          <w:szCs w:val="24"/>
          <w:lang w:val="da-DK"/>
        </w:rPr>
        <w:t>mycophenolatmofetil</w:t>
      </w:r>
      <w:proofErr w:type="spellEnd"/>
      <w:r>
        <w:rPr>
          <w:rFonts w:ascii="Times New Roman" w:hAnsi="Times New Roman" w:cs="Times New Roman"/>
          <w:color w:val="000000"/>
          <w:szCs w:val="24"/>
          <w:lang w:val="da-DK"/>
        </w:rPr>
        <w:t>).</w:t>
      </w:r>
    </w:p>
    <w:p w:rsidR="00B065AB" w:rsidRDefault="00B065AB" w:rsidP="00B065AB">
      <w:pPr>
        <w:autoSpaceDE w:val="0"/>
        <w:autoSpaceDN w:val="0"/>
        <w:adjustRightInd w:val="0"/>
        <w:ind w:left="851"/>
        <w:rPr>
          <w:color w:val="000000"/>
          <w:sz w:val="24"/>
          <w:szCs w:val="24"/>
        </w:rPr>
      </w:pPr>
    </w:p>
    <w:p w:rsidR="00B065AB" w:rsidRDefault="00B065AB" w:rsidP="00B065AB">
      <w:pPr>
        <w:autoSpaceDE w:val="0"/>
        <w:autoSpaceDN w:val="0"/>
        <w:adjustRightInd w:val="0"/>
        <w:ind w:left="851"/>
        <w:rPr>
          <w:color w:val="000000"/>
          <w:sz w:val="24"/>
          <w:szCs w:val="24"/>
        </w:rPr>
      </w:pPr>
      <w:r>
        <w:rPr>
          <w:color w:val="000000"/>
          <w:sz w:val="24"/>
          <w:szCs w:val="24"/>
        </w:rPr>
        <w:t xml:space="preserve">Efter markedsføringen er der observeret medfødte misdannelser, og der er bl.a. rapporter om multiple misdannelser hos børn af patienter, som under graviditeten er blevet behandlet med </w:t>
      </w:r>
      <w:proofErr w:type="spellStart"/>
      <w:r>
        <w:rPr>
          <w:color w:val="000000"/>
          <w:sz w:val="24"/>
          <w:szCs w:val="24"/>
        </w:rPr>
        <w:t>mycophenolatmofetil</w:t>
      </w:r>
      <w:proofErr w:type="spellEnd"/>
      <w:r>
        <w:rPr>
          <w:color w:val="000000"/>
          <w:sz w:val="24"/>
          <w:szCs w:val="24"/>
        </w:rPr>
        <w:t xml:space="preserve"> i kombination med andre </w:t>
      </w:r>
      <w:proofErr w:type="spellStart"/>
      <w:r>
        <w:rPr>
          <w:color w:val="000000"/>
          <w:sz w:val="24"/>
          <w:szCs w:val="24"/>
        </w:rPr>
        <w:t>immunosuppressiva</w:t>
      </w:r>
      <w:proofErr w:type="spellEnd"/>
      <w:r>
        <w:rPr>
          <w:color w:val="000000"/>
          <w:sz w:val="24"/>
          <w:szCs w:val="24"/>
        </w:rPr>
        <w:t>. Følgende misdannelser er rapporteret hyppigst:</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t>abnormiteter i ørerne (f.eks. abnormt formet eller manglende ydre øre, tillukning af øregangen (mellemøret);</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t xml:space="preserve">misdannelser i ansigtet såsom læbespalte, ganespalte, </w:t>
      </w:r>
      <w:proofErr w:type="spellStart"/>
      <w:r>
        <w:rPr>
          <w:color w:val="000000"/>
          <w:sz w:val="24"/>
          <w:szCs w:val="24"/>
        </w:rPr>
        <w:t>mikrognati</w:t>
      </w:r>
      <w:proofErr w:type="spellEnd"/>
      <w:r>
        <w:rPr>
          <w:color w:val="000000"/>
          <w:sz w:val="24"/>
          <w:szCs w:val="24"/>
        </w:rPr>
        <w:t xml:space="preserve"> og </w:t>
      </w:r>
      <w:proofErr w:type="spellStart"/>
      <w:r>
        <w:rPr>
          <w:color w:val="000000"/>
          <w:sz w:val="24"/>
          <w:szCs w:val="24"/>
        </w:rPr>
        <w:t>hypertelorisme</w:t>
      </w:r>
      <w:proofErr w:type="spellEnd"/>
      <w:r>
        <w:rPr>
          <w:color w:val="000000"/>
          <w:sz w:val="24"/>
          <w:szCs w:val="24"/>
        </w:rPr>
        <w:t>;</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t xml:space="preserve">abnormiteter i øjnene (f.eks. </w:t>
      </w:r>
      <w:proofErr w:type="spellStart"/>
      <w:r>
        <w:rPr>
          <w:color w:val="000000"/>
          <w:sz w:val="24"/>
          <w:szCs w:val="24"/>
        </w:rPr>
        <w:t>coloboma</w:t>
      </w:r>
      <w:proofErr w:type="spellEnd"/>
      <w:r>
        <w:rPr>
          <w:color w:val="000000"/>
          <w:sz w:val="24"/>
          <w:szCs w:val="24"/>
        </w:rPr>
        <w:t>);</w:t>
      </w:r>
    </w:p>
    <w:p w:rsidR="00B065AB" w:rsidRDefault="00B065AB" w:rsidP="00B065AB">
      <w:pPr>
        <w:autoSpaceDE w:val="0"/>
        <w:autoSpaceDN w:val="0"/>
        <w:adjustRightInd w:val="0"/>
        <w:ind w:left="1134" w:hanging="283"/>
        <w:rPr>
          <w:color w:val="000000"/>
          <w:sz w:val="24"/>
          <w:szCs w:val="24"/>
        </w:rPr>
      </w:pPr>
      <w:r>
        <w:rPr>
          <w:color w:val="000000"/>
          <w:sz w:val="24"/>
          <w:szCs w:val="24"/>
        </w:rPr>
        <w:t xml:space="preserve">• </w:t>
      </w:r>
      <w:r>
        <w:rPr>
          <w:color w:val="000000"/>
          <w:sz w:val="24"/>
          <w:szCs w:val="24"/>
        </w:rPr>
        <w:tab/>
        <w:t xml:space="preserve">medfødt hjertesygdom såsom </w:t>
      </w:r>
      <w:proofErr w:type="spellStart"/>
      <w:r>
        <w:rPr>
          <w:color w:val="000000"/>
          <w:sz w:val="24"/>
          <w:szCs w:val="24"/>
        </w:rPr>
        <w:t>atriale</w:t>
      </w:r>
      <w:proofErr w:type="spellEnd"/>
      <w:r>
        <w:rPr>
          <w:color w:val="000000"/>
          <w:sz w:val="24"/>
          <w:szCs w:val="24"/>
        </w:rPr>
        <w:t xml:space="preserve"> og </w:t>
      </w:r>
      <w:proofErr w:type="spellStart"/>
      <w:r>
        <w:rPr>
          <w:color w:val="000000"/>
          <w:sz w:val="24"/>
          <w:szCs w:val="24"/>
        </w:rPr>
        <w:t>ventrikulære</w:t>
      </w:r>
      <w:proofErr w:type="spellEnd"/>
      <w:r>
        <w:rPr>
          <w:color w:val="000000"/>
          <w:sz w:val="24"/>
          <w:szCs w:val="24"/>
        </w:rPr>
        <w:t xml:space="preserve"> septumdefekter;</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t xml:space="preserve">misdannelser af fingre (f.eks. </w:t>
      </w:r>
      <w:proofErr w:type="spellStart"/>
      <w:r>
        <w:rPr>
          <w:color w:val="000000"/>
          <w:sz w:val="24"/>
          <w:szCs w:val="24"/>
        </w:rPr>
        <w:t>polydaktyli</w:t>
      </w:r>
      <w:proofErr w:type="spellEnd"/>
      <w:r>
        <w:rPr>
          <w:color w:val="000000"/>
          <w:sz w:val="24"/>
          <w:szCs w:val="24"/>
        </w:rPr>
        <w:t xml:space="preserve">, </w:t>
      </w:r>
      <w:proofErr w:type="spellStart"/>
      <w:r>
        <w:rPr>
          <w:color w:val="000000"/>
          <w:sz w:val="24"/>
          <w:szCs w:val="24"/>
        </w:rPr>
        <w:t>syndaktyli</w:t>
      </w:r>
      <w:proofErr w:type="spellEnd"/>
      <w:r>
        <w:rPr>
          <w:color w:val="000000"/>
          <w:sz w:val="24"/>
          <w:szCs w:val="24"/>
        </w:rPr>
        <w:t>);</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r>
      <w:proofErr w:type="spellStart"/>
      <w:r>
        <w:rPr>
          <w:color w:val="000000"/>
          <w:sz w:val="24"/>
          <w:szCs w:val="24"/>
        </w:rPr>
        <w:t>trakeo-øsofageale</w:t>
      </w:r>
      <w:proofErr w:type="spellEnd"/>
      <w:r>
        <w:rPr>
          <w:color w:val="000000"/>
          <w:sz w:val="24"/>
          <w:szCs w:val="24"/>
        </w:rPr>
        <w:t xml:space="preserve"> misdannelser (f.eks. </w:t>
      </w:r>
      <w:proofErr w:type="spellStart"/>
      <w:r>
        <w:rPr>
          <w:color w:val="000000"/>
          <w:sz w:val="24"/>
          <w:szCs w:val="24"/>
        </w:rPr>
        <w:t>øsofagusatresi</w:t>
      </w:r>
      <w:proofErr w:type="spellEnd"/>
      <w:r>
        <w:rPr>
          <w:color w:val="000000"/>
          <w:sz w:val="24"/>
          <w:szCs w:val="24"/>
        </w:rPr>
        <w:t>);</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t>misdannelser i nervesystemet såsom rygmarvsbrok;</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r>
      <w:proofErr w:type="spellStart"/>
      <w:r>
        <w:rPr>
          <w:color w:val="000000"/>
          <w:sz w:val="24"/>
          <w:szCs w:val="24"/>
        </w:rPr>
        <w:t>renale</w:t>
      </w:r>
      <w:proofErr w:type="spellEnd"/>
      <w:r>
        <w:rPr>
          <w:color w:val="000000"/>
          <w:sz w:val="24"/>
          <w:szCs w:val="24"/>
        </w:rPr>
        <w:t xml:space="preserve"> abnormiteter.</w:t>
      </w:r>
    </w:p>
    <w:p w:rsidR="00B065AB" w:rsidRDefault="00B065AB" w:rsidP="00B065AB">
      <w:pPr>
        <w:autoSpaceDE w:val="0"/>
        <w:autoSpaceDN w:val="0"/>
        <w:adjustRightInd w:val="0"/>
        <w:ind w:left="851"/>
        <w:rPr>
          <w:color w:val="000000"/>
          <w:sz w:val="24"/>
          <w:szCs w:val="24"/>
        </w:rPr>
      </w:pPr>
    </w:p>
    <w:p w:rsidR="00B065AB" w:rsidRDefault="00B065AB" w:rsidP="00B065AB">
      <w:pPr>
        <w:autoSpaceDE w:val="0"/>
        <w:autoSpaceDN w:val="0"/>
        <w:adjustRightInd w:val="0"/>
        <w:ind w:left="851"/>
        <w:rPr>
          <w:color w:val="000000"/>
          <w:sz w:val="24"/>
          <w:szCs w:val="24"/>
        </w:rPr>
      </w:pPr>
      <w:r>
        <w:rPr>
          <w:color w:val="000000"/>
          <w:sz w:val="24"/>
          <w:szCs w:val="24"/>
        </w:rPr>
        <w:t>Desuden har der været enkelte rapporter om følgende misdannelser:</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r>
      <w:proofErr w:type="spellStart"/>
      <w:r>
        <w:rPr>
          <w:color w:val="000000"/>
          <w:sz w:val="24"/>
          <w:szCs w:val="24"/>
        </w:rPr>
        <w:t>mikroftalmi</w:t>
      </w:r>
      <w:proofErr w:type="spellEnd"/>
      <w:r>
        <w:rPr>
          <w:color w:val="000000"/>
          <w:sz w:val="24"/>
          <w:szCs w:val="24"/>
        </w:rPr>
        <w:t>;</w:t>
      </w:r>
    </w:p>
    <w:p w:rsidR="00B065AB" w:rsidRDefault="00B065AB" w:rsidP="00B065AB">
      <w:pPr>
        <w:autoSpaceDE w:val="0"/>
        <w:autoSpaceDN w:val="0"/>
        <w:adjustRightInd w:val="0"/>
        <w:ind w:left="1134" w:hanging="283"/>
        <w:rPr>
          <w:color w:val="000000"/>
          <w:sz w:val="24"/>
          <w:szCs w:val="24"/>
        </w:rPr>
      </w:pPr>
      <w:r>
        <w:rPr>
          <w:color w:val="000000"/>
          <w:sz w:val="24"/>
          <w:szCs w:val="24"/>
        </w:rPr>
        <w:t>•</w:t>
      </w:r>
      <w:r>
        <w:rPr>
          <w:color w:val="000000"/>
          <w:sz w:val="24"/>
          <w:szCs w:val="24"/>
        </w:rPr>
        <w:tab/>
        <w:t xml:space="preserve">medfødt plexus </w:t>
      </w:r>
      <w:proofErr w:type="spellStart"/>
      <w:r>
        <w:rPr>
          <w:color w:val="000000"/>
          <w:sz w:val="24"/>
          <w:szCs w:val="24"/>
        </w:rPr>
        <w:t>choriodeus</w:t>
      </w:r>
      <w:proofErr w:type="spellEnd"/>
      <w:r>
        <w:rPr>
          <w:color w:val="000000"/>
          <w:sz w:val="24"/>
          <w:szCs w:val="24"/>
        </w:rPr>
        <w:t>-cyste;</w:t>
      </w:r>
    </w:p>
    <w:p w:rsidR="00B065AB" w:rsidRPr="00551DEE" w:rsidRDefault="00B065AB" w:rsidP="00B065AB">
      <w:pPr>
        <w:autoSpaceDE w:val="0"/>
        <w:autoSpaceDN w:val="0"/>
        <w:adjustRightInd w:val="0"/>
        <w:ind w:left="1134" w:hanging="283"/>
        <w:rPr>
          <w:color w:val="000000"/>
          <w:sz w:val="24"/>
          <w:szCs w:val="24"/>
          <w:lang w:val="en-US"/>
        </w:rPr>
      </w:pPr>
      <w:r w:rsidRPr="00551DEE">
        <w:rPr>
          <w:color w:val="000000"/>
          <w:sz w:val="24"/>
          <w:szCs w:val="24"/>
          <w:lang w:val="en-US"/>
        </w:rPr>
        <w:t>•</w:t>
      </w:r>
      <w:r w:rsidRPr="00551DEE">
        <w:rPr>
          <w:color w:val="000000"/>
          <w:sz w:val="24"/>
          <w:szCs w:val="24"/>
          <w:lang w:val="en-US"/>
        </w:rPr>
        <w:tab/>
        <w:t xml:space="preserve">septum pellucidum </w:t>
      </w:r>
      <w:proofErr w:type="spellStart"/>
      <w:r w:rsidRPr="00551DEE">
        <w:rPr>
          <w:color w:val="000000"/>
          <w:sz w:val="24"/>
          <w:szCs w:val="24"/>
          <w:lang w:val="en-US"/>
        </w:rPr>
        <w:t>agenesi</w:t>
      </w:r>
      <w:proofErr w:type="spellEnd"/>
      <w:r w:rsidRPr="00551DEE">
        <w:rPr>
          <w:color w:val="000000"/>
          <w:sz w:val="24"/>
          <w:szCs w:val="24"/>
          <w:lang w:val="en-US"/>
        </w:rPr>
        <w:t>;</w:t>
      </w:r>
    </w:p>
    <w:p w:rsidR="00B065AB" w:rsidRPr="00551DEE" w:rsidRDefault="00B065AB" w:rsidP="00B065AB">
      <w:pPr>
        <w:autoSpaceDE w:val="0"/>
        <w:autoSpaceDN w:val="0"/>
        <w:adjustRightInd w:val="0"/>
        <w:ind w:left="1134" w:hanging="283"/>
        <w:rPr>
          <w:color w:val="000000"/>
          <w:sz w:val="24"/>
          <w:szCs w:val="24"/>
          <w:lang w:val="en-US"/>
        </w:rPr>
      </w:pPr>
      <w:r w:rsidRPr="00551DEE">
        <w:rPr>
          <w:color w:val="000000"/>
          <w:sz w:val="24"/>
          <w:szCs w:val="24"/>
          <w:lang w:val="en-US"/>
        </w:rPr>
        <w:t>•</w:t>
      </w:r>
      <w:r w:rsidRPr="00551DEE">
        <w:rPr>
          <w:color w:val="000000"/>
          <w:sz w:val="24"/>
          <w:szCs w:val="24"/>
          <w:lang w:val="en-US"/>
        </w:rPr>
        <w:tab/>
      </w:r>
      <w:proofErr w:type="spellStart"/>
      <w:r w:rsidRPr="00551DEE">
        <w:rPr>
          <w:color w:val="000000"/>
          <w:sz w:val="24"/>
          <w:szCs w:val="24"/>
          <w:lang w:val="en-US"/>
        </w:rPr>
        <w:t>nervus</w:t>
      </w:r>
      <w:proofErr w:type="spellEnd"/>
      <w:r w:rsidRPr="00551DEE">
        <w:rPr>
          <w:color w:val="000000"/>
          <w:sz w:val="24"/>
          <w:szCs w:val="24"/>
          <w:lang w:val="en-US"/>
        </w:rPr>
        <w:t xml:space="preserve"> </w:t>
      </w:r>
      <w:proofErr w:type="spellStart"/>
      <w:r w:rsidRPr="00551DEE">
        <w:rPr>
          <w:color w:val="000000"/>
          <w:sz w:val="24"/>
          <w:szCs w:val="24"/>
          <w:lang w:val="en-US"/>
        </w:rPr>
        <w:t>olfactorius</w:t>
      </w:r>
      <w:proofErr w:type="spellEnd"/>
      <w:r w:rsidRPr="00551DEE">
        <w:rPr>
          <w:color w:val="000000"/>
          <w:sz w:val="24"/>
          <w:szCs w:val="24"/>
          <w:lang w:val="en-US"/>
        </w:rPr>
        <w:t xml:space="preserve"> </w:t>
      </w:r>
      <w:proofErr w:type="spellStart"/>
      <w:r w:rsidRPr="00551DEE">
        <w:rPr>
          <w:color w:val="000000"/>
          <w:sz w:val="24"/>
          <w:szCs w:val="24"/>
          <w:lang w:val="en-US"/>
        </w:rPr>
        <w:t>agenesi</w:t>
      </w:r>
      <w:proofErr w:type="spellEnd"/>
      <w:r w:rsidRPr="00551DEE">
        <w:rPr>
          <w:color w:val="000000"/>
          <w:sz w:val="24"/>
          <w:szCs w:val="24"/>
          <w:lang w:val="en-US"/>
        </w:rPr>
        <w:t>.</w:t>
      </w:r>
    </w:p>
    <w:p w:rsidR="00B065AB" w:rsidRPr="00551DEE" w:rsidRDefault="00B065AB" w:rsidP="00B065AB">
      <w:pPr>
        <w:autoSpaceDE w:val="0"/>
        <w:autoSpaceDN w:val="0"/>
        <w:adjustRightInd w:val="0"/>
        <w:ind w:left="851"/>
        <w:rPr>
          <w:color w:val="000000"/>
          <w:sz w:val="24"/>
          <w:szCs w:val="24"/>
          <w:lang w:val="en-US"/>
        </w:rPr>
      </w:pPr>
    </w:p>
    <w:p w:rsidR="00B065AB" w:rsidRDefault="00B065AB" w:rsidP="00B065AB">
      <w:pPr>
        <w:autoSpaceDE w:val="0"/>
        <w:autoSpaceDN w:val="0"/>
        <w:adjustRightInd w:val="0"/>
        <w:ind w:left="851"/>
        <w:rPr>
          <w:color w:val="000000"/>
          <w:sz w:val="24"/>
          <w:szCs w:val="24"/>
        </w:rPr>
      </w:pPr>
      <w:r>
        <w:rPr>
          <w:color w:val="000000"/>
          <w:sz w:val="24"/>
          <w:szCs w:val="24"/>
        </w:rPr>
        <w:t>Dyreforsøg har vist reproduktionstoksicitet (se pkt. 5.3).</w:t>
      </w:r>
    </w:p>
    <w:p w:rsidR="00B065AB" w:rsidRDefault="00B065AB" w:rsidP="00B065AB">
      <w:pPr>
        <w:autoSpaceDE w:val="0"/>
        <w:autoSpaceDN w:val="0"/>
        <w:adjustRightInd w:val="0"/>
        <w:ind w:left="851"/>
        <w:rPr>
          <w:color w:val="000000"/>
          <w:sz w:val="24"/>
          <w:szCs w:val="24"/>
        </w:rPr>
      </w:pPr>
    </w:p>
    <w:p w:rsidR="005A2E0C" w:rsidRPr="005A2E0C" w:rsidRDefault="005A2E0C" w:rsidP="005A2E0C">
      <w:pPr>
        <w:pStyle w:val="Brdtekst"/>
        <w:spacing w:line="480" w:lineRule="auto"/>
        <w:ind w:left="851" w:right="4579" w:firstLine="1"/>
        <w:rPr>
          <w:color w:val="000000"/>
          <w:sz w:val="24"/>
          <w:szCs w:val="24"/>
        </w:rPr>
      </w:pPr>
      <w:r w:rsidRPr="005A2E0C">
        <w:rPr>
          <w:color w:val="000000"/>
          <w:sz w:val="24"/>
          <w:szCs w:val="24"/>
        </w:rPr>
        <w:t>Amning</w:t>
      </w:r>
    </w:p>
    <w:p w:rsidR="008071DB" w:rsidRPr="005A2E0C" w:rsidRDefault="008071DB" w:rsidP="008071DB">
      <w:pPr>
        <w:pStyle w:val="Brdtekst"/>
        <w:ind w:left="851" w:right="804"/>
        <w:rPr>
          <w:color w:val="000000"/>
          <w:sz w:val="24"/>
          <w:szCs w:val="24"/>
        </w:rPr>
      </w:pPr>
      <w:r w:rsidRPr="00412C52">
        <w:rPr>
          <w:color w:val="000000"/>
          <w:sz w:val="24"/>
          <w:szCs w:val="24"/>
        </w:rPr>
        <w:t xml:space="preserve">Begrænsede data viser, at </w:t>
      </w:r>
      <w:proofErr w:type="spellStart"/>
      <w:r w:rsidRPr="00412C52">
        <w:rPr>
          <w:color w:val="000000"/>
          <w:sz w:val="24"/>
          <w:szCs w:val="24"/>
        </w:rPr>
        <w:t>mycophenolsyre</w:t>
      </w:r>
      <w:proofErr w:type="spellEnd"/>
      <w:r w:rsidRPr="00412C52">
        <w:rPr>
          <w:color w:val="000000"/>
          <w:sz w:val="24"/>
          <w:szCs w:val="24"/>
        </w:rPr>
        <w:t xml:space="preserve"> udskilles i human mælk. </w:t>
      </w:r>
      <w:r w:rsidRPr="005A2E0C">
        <w:rPr>
          <w:color w:val="000000"/>
          <w:sz w:val="24"/>
          <w:szCs w:val="24"/>
        </w:rPr>
        <w:t xml:space="preserve">På grund af risikoen for alvorlige bivirkninger af </w:t>
      </w:r>
      <w:proofErr w:type="spellStart"/>
      <w:r w:rsidRPr="005A2E0C">
        <w:rPr>
          <w:color w:val="000000"/>
          <w:sz w:val="24"/>
          <w:szCs w:val="24"/>
        </w:rPr>
        <w:t>mycophenol</w:t>
      </w:r>
      <w:r>
        <w:rPr>
          <w:color w:val="000000"/>
          <w:sz w:val="24"/>
          <w:szCs w:val="24"/>
        </w:rPr>
        <w:t>syre</w:t>
      </w:r>
      <w:proofErr w:type="spellEnd"/>
      <w:r w:rsidRPr="005A2E0C">
        <w:rPr>
          <w:color w:val="000000"/>
          <w:sz w:val="24"/>
          <w:szCs w:val="24"/>
        </w:rPr>
        <w:t xml:space="preserve"> hos ammende spædbørn, er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kontraindiceret hos ammende mødre (se pkt. 4.3).</w:t>
      </w:r>
    </w:p>
    <w:p w:rsidR="005A2E0C" w:rsidRDefault="005A2E0C" w:rsidP="00B065AB">
      <w:pPr>
        <w:autoSpaceDE w:val="0"/>
        <w:autoSpaceDN w:val="0"/>
        <w:adjustRightInd w:val="0"/>
        <w:ind w:left="851"/>
        <w:rPr>
          <w:color w:val="000000"/>
          <w:sz w:val="24"/>
          <w:szCs w:val="24"/>
        </w:rPr>
      </w:pPr>
    </w:p>
    <w:p w:rsidR="00B065AB" w:rsidRDefault="00B065AB" w:rsidP="00B065AB">
      <w:pPr>
        <w:pStyle w:val="Default"/>
        <w:ind w:left="851"/>
      </w:pPr>
      <w:r>
        <w:t xml:space="preserve">Mænd </w:t>
      </w:r>
    </w:p>
    <w:p w:rsidR="00B065AB" w:rsidRDefault="00B065AB" w:rsidP="00B065AB">
      <w:pPr>
        <w:pStyle w:val="Default"/>
        <w:ind w:left="851"/>
      </w:pPr>
      <w:r>
        <w:t xml:space="preserve">Begrænset klinisk evidens indikerer ikke en øget risiko for misdannelser eller abort efter faderens eksponering for </w:t>
      </w:r>
      <w:proofErr w:type="spellStart"/>
      <w:r>
        <w:t>mycophenolatmofetil</w:t>
      </w:r>
      <w:proofErr w:type="spellEnd"/>
      <w:r>
        <w:t xml:space="preserve">. </w:t>
      </w:r>
    </w:p>
    <w:p w:rsidR="00B065AB" w:rsidRDefault="00B065AB" w:rsidP="00B065AB">
      <w:pPr>
        <w:pStyle w:val="Default"/>
        <w:ind w:left="851"/>
      </w:pPr>
    </w:p>
    <w:p w:rsidR="00B065AB" w:rsidRDefault="00B065AB" w:rsidP="00B065AB">
      <w:pPr>
        <w:pStyle w:val="Default"/>
        <w:ind w:left="851"/>
      </w:pPr>
      <w:r>
        <w:lastRenderedPageBreak/>
        <w:t xml:space="preserve">MPA er et stærkt </w:t>
      </w:r>
      <w:proofErr w:type="spellStart"/>
      <w:r>
        <w:t>teratogen</w:t>
      </w:r>
      <w:proofErr w:type="spellEnd"/>
      <w:r>
        <w:t xml:space="preserve">. Det vides ikke, om MPA findes i sæd. Beregninger baseret på dyremodeller viser, at den maksimale mængde af MPA, der potentielt kunne overføres til kvinden, er så lav, at det sandsynligvis ikke vil have effekt. </w:t>
      </w:r>
      <w:proofErr w:type="spellStart"/>
      <w:r>
        <w:t>Mycophenolat</w:t>
      </w:r>
      <w:proofErr w:type="spellEnd"/>
      <w:r>
        <w:t xml:space="preserve"> har vist sig at være genotoksisk i dyrestudier ved koncentrationer, der kun overstiger de menneskelige terapeutiske eksponeringer med små marginer, således at risikoen for genotoksiske virkninger på sædceller ikke helt kan udelukkes. </w:t>
      </w:r>
    </w:p>
    <w:p w:rsidR="00B065AB" w:rsidRDefault="00B065AB" w:rsidP="00B065AB">
      <w:pPr>
        <w:pStyle w:val="Default"/>
        <w:ind w:left="851"/>
      </w:pPr>
    </w:p>
    <w:p w:rsidR="00B065AB" w:rsidRDefault="00B065AB" w:rsidP="00B065AB">
      <w:pPr>
        <w:autoSpaceDE w:val="0"/>
        <w:autoSpaceDN w:val="0"/>
        <w:adjustRightInd w:val="0"/>
        <w:ind w:left="851"/>
        <w:rPr>
          <w:sz w:val="24"/>
          <w:szCs w:val="24"/>
        </w:rPr>
      </w:pPr>
      <w:r>
        <w:rPr>
          <w:sz w:val="24"/>
          <w:szCs w:val="24"/>
        </w:rPr>
        <w:t xml:space="preserve">Derfor anbefales det som sikkerhedsforanstaltning, at </w:t>
      </w:r>
      <w:proofErr w:type="spellStart"/>
      <w:r>
        <w:rPr>
          <w:sz w:val="24"/>
          <w:szCs w:val="24"/>
        </w:rPr>
        <w:t>sexuelt</w:t>
      </w:r>
      <w:proofErr w:type="spellEnd"/>
      <w:r>
        <w:rPr>
          <w:sz w:val="24"/>
          <w:szCs w:val="24"/>
        </w:rPr>
        <w:t xml:space="preserve"> aktive mandlige patienter eller deres kvindelige partnere anvender pålidelig antikonception under behandling af den mandlige patient og i mindst 90 dage efter ophør af </w:t>
      </w:r>
      <w:proofErr w:type="spellStart"/>
      <w:r>
        <w:rPr>
          <w:sz w:val="24"/>
          <w:szCs w:val="24"/>
        </w:rPr>
        <w:t>mycophenolatmofetil</w:t>
      </w:r>
      <w:proofErr w:type="spellEnd"/>
      <w:r>
        <w:rPr>
          <w:sz w:val="24"/>
          <w:szCs w:val="24"/>
        </w:rPr>
        <w:t>. Kvalificeret sundhedspersonale bør gøre mandlige patienter med reproduktivt potentiale opmærksomme på og tale med dem om de potentielle risici ved at blive far til et barn.</w:t>
      </w:r>
    </w:p>
    <w:p w:rsidR="008071DB" w:rsidRDefault="008071DB" w:rsidP="00B065AB">
      <w:pPr>
        <w:autoSpaceDE w:val="0"/>
        <w:autoSpaceDN w:val="0"/>
        <w:adjustRightInd w:val="0"/>
        <w:ind w:left="851"/>
        <w:rPr>
          <w:color w:val="000000"/>
          <w:sz w:val="24"/>
          <w:szCs w:val="24"/>
        </w:rPr>
      </w:pPr>
    </w:p>
    <w:p w:rsidR="008071DB" w:rsidRPr="00147EAA" w:rsidRDefault="008071DB" w:rsidP="008071DB">
      <w:pPr>
        <w:autoSpaceDE w:val="0"/>
        <w:autoSpaceDN w:val="0"/>
        <w:adjustRightInd w:val="0"/>
        <w:ind w:left="851"/>
        <w:rPr>
          <w:color w:val="000000"/>
          <w:sz w:val="24"/>
          <w:szCs w:val="24"/>
          <w:u w:val="single"/>
        </w:rPr>
      </w:pPr>
      <w:r w:rsidRPr="00147EAA">
        <w:rPr>
          <w:color w:val="000000"/>
          <w:sz w:val="24"/>
          <w:szCs w:val="24"/>
          <w:u w:val="single"/>
        </w:rPr>
        <w:t>Fertilitet</w:t>
      </w:r>
    </w:p>
    <w:p w:rsidR="008071DB" w:rsidRDefault="008071DB" w:rsidP="008071DB">
      <w:pPr>
        <w:autoSpaceDE w:val="0"/>
        <w:autoSpaceDN w:val="0"/>
        <w:adjustRightInd w:val="0"/>
        <w:ind w:left="851"/>
        <w:rPr>
          <w:color w:val="000000"/>
          <w:sz w:val="24"/>
          <w:szCs w:val="24"/>
        </w:rPr>
      </w:pPr>
      <w:proofErr w:type="spellStart"/>
      <w:r w:rsidRPr="00C333B4">
        <w:rPr>
          <w:color w:val="000000"/>
          <w:sz w:val="24"/>
          <w:szCs w:val="24"/>
        </w:rPr>
        <w:t>Mycophenolatmofetil</w:t>
      </w:r>
      <w:proofErr w:type="spellEnd"/>
      <w:r w:rsidRPr="00C333B4">
        <w:rPr>
          <w:color w:val="000000"/>
          <w:sz w:val="24"/>
          <w:szCs w:val="24"/>
        </w:rPr>
        <w:t xml:space="preserve"> havde ingen effekt på fertiliteten hos hanrotter ved orale doser op til</w:t>
      </w:r>
      <w:r>
        <w:rPr>
          <w:color w:val="000000"/>
          <w:sz w:val="24"/>
          <w:szCs w:val="24"/>
        </w:rPr>
        <w:t xml:space="preserve"> </w:t>
      </w:r>
      <w:r w:rsidRPr="00C333B4">
        <w:rPr>
          <w:color w:val="000000"/>
          <w:sz w:val="24"/>
          <w:szCs w:val="24"/>
        </w:rPr>
        <w:t>20 mg/kg/dag. Den systemiske eksponering ved denne dosis repræsenterer 2-3 gange den kliniske</w:t>
      </w:r>
      <w:r>
        <w:rPr>
          <w:color w:val="000000"/>
          <w:sz w:val="24"/>
          <w:szCs w:val="24"/>
        </w:rPr>
        <w:t xml:space="preserve"> </w:t>
      </w:r>
      <w:r w:rsidRPr="00C333B4">
        <w:rPr>
          <w:color w:val="000000"/>
          <w:sz w:val="24"/>
          <w:szCs w:val="24"/>
        </w:rPr>
        <w:t>eksponering ved den anbefalede kliniske dosis på 2 g daglig. I et studie af fertilitet og reproduktion</w:t>
      </w:r>
      <w:r>
        <w:rPr>
          <w:color w:val="000000"/>
          <w:sz w:val="24"/>
          <w:szCs w:val="24"/>
        </w:rPr>
        <w:t xml:space="preserve"> </w:t>
      </w:r>
      <w:r w:rsidRPr="00C333B4">
        <w:rPr>
          <w:color w:val="000000"/>
          <w:sz w:val="24"/>
          <w:szCs w:val="24"/>
        </w:rPr>
        <w:t xml:space="preserve">udført på hunrotter forårsagede orale doser på 4,5 mg/kg/dag misdannelser (inkl. </w:t>
      </w:r>
      <w:proofErr w:type="spellStart"/>
      <w:r w:rsidRPr="00C333B4">
        <w:rPr>
          <w:color w:val="000000"/>
          <w:sz w:val="24"/>
          <w:szCs w:val="24"/>
        </w:rPr>
        <w:t>anophthalmi</w:t>
      </w:r>
      <w:proofErr w:type="spellEnd"/>
      <w:r w:rsidRPr="00C333B4">
        <w:rPr>
          <w:color w:val="000000"/>
          <w:sz w:val="24"/>
          <w:szCs w:val="24"/>
        </w:rPr>
        <w:t xml:space="preserve">, </w:t>
      </w:r>
      <w:proofErr w:type="spellStart"/>
      <w:r w:rsidRPr="00C333B4">
        <w:rPr>
          <w:color w:val="000000"/>
          <w:sz w:val="24"/>
          <w:szCs w:val="24"/>
        </w:rPr>
        <w:t>agnathi</w:t>
      </w:r>
      <w:proofErr w:type="spellEnd"/>
      <w:r>
        <w:rPr>
          <w:color w:val="000000"/>
          <w:sz w:val="24"/>
          <w:szCs w:val="24"/>
        </w:rPr>
        <w:t xml:space="preserve"> </w:t>
      </w:r>
      <w:r w:rsidRPr="00C333B4">
        <w:rPr>
          <w:color w:val="000000"/>
          <w:sz w:val="24"/>
          <w:szCs w:val="24"/>
        </w:rPr>
        <w:t xml:space="preserve">og </w:t>
      </w:r>
      <w:proofErr w:type="spellStart"/>
      <w:r w:rsidRPr="00C333B4">
        <w:rPr>
          <w:color w:val="000000"/>
          <w:sz w:val="24"/>
          <w:szCs w:val="24"/>
        </w:rPr>
        <w:t>hydrocephalus</w:t>
      </w:r>
      <w:proofErr w:type="spellEnd"/>
      <w:r w:rsidRPr="00C333B4">
        <w:rPr>
          <w:color w:val="000000"/>
          <w:sz w:val="24"/>
          <w:szCs w:val="24"/>
        </w:rPr>
        <w:t xml:space="preserve">) hos det første generationsafkom ved fravær af </w:t>
      </w:r>
      <w:proofErr w:type="spellStart"/>
      <w:r w:rsidRPr="00C333B4">
        <w:rPr>
          <w:color w:val="000000"/>
          <w:sz w:val="24"/>
          <w:szCs w:val="24"/>
        </w:rPr>
        <w:t>maternel</w:t>
      </w:r>
      <w:proofErr w:type="spellEnd"/>
      <w:r w:rsidRPr="00C333B4">
        <w:rPr>
          <w:color w:val="000000"/>
          <w:sz w:val="24"/>
          <w:szCs w:val="24"/>
        </w:rPr>
        <w:t xml:space="preserve"> toksicitet. Den systemiske</w:t>
      </w:r>
      <w:r>
        <w:rPr>
          <w:color w:val="000000"/>
          <w:sz w:val="24"/>
          <w:szCs w:val="24"/>
        </w:rPr>
        <w:t xml:space="preserve"> </w:t>
      </w:r>
      <w:r w:rsidRPr="00C333B4">
        <w:rPr>
          <w:color w:val="000000"/>
          <w:sz w:val="24"/>
          <w:szCs w:val="24"/>
        </w:rPr>
        <w:t>eksponering ved denne dosis var ca. 0,5 gange den kliniske eksponering ved den anbefalede kliniske</w:t>
      </w:r>
      <w:r>
        <w:rPr>
          <w:color w:val="000000"/>
          <w:sz w:val="24"/>
          <w:szCs w:val="24"/>
        </w:rPr>
        <w:t xml:space="preserve"> </w:t>
      </w:r>
      <w:r w:rsidRPr="00C333B4">
        <w:rPr>
          <w:color w:val="000000"/>
          <w:sz w:val="24"/>
          <w:szCs w:val="24"/>
        </w:rPr>
        <w:t>dosis på 2 g daglig. Der var ingen tydelig påvirkning af fertilitets- eller reproduktionsparametre hos</w:t>
      </w:r>
      <w:r>
        <w:rPr>
          <w:color w:val="000000"/>
          <w:sz w:val="24"/>
          <w:szCs w:val="24"/>
        </w:rPr>
        <w:t xml:space="preserve"> </w:t>
      </w:r>
      <w:r w:rsidRPr="00C333B4">
        <w:rPr>
          <w:color w:val="000000"/>
          <w:sz w:val="24"/>
          <w:szCs w:val="24"/>
        </w:rPr>
        <w:t>moderdyrene og den følgende generation.</w:t>
      </w:r>
    </w:p>
    <w:p w:rsidR="00B065AB" w:rsidRPr="007205D5" w:rsidRDefault="00B065AB" w:rsidP="005A2E0C">
      <w:pPr>
        <w:rPr>
          <w:sz w:val="24"/>
          <w:szCs w:val="24"/>
        </w:rPr>
      </w:pPr>
    </w:p>
    <w:p w:rsidR="005A2E0C" w:rsidRPr="007205D5" w:rsidRDefault="00B065AB" w:rsidP="005A2E0C">
      <w:pPr>
        <w:ind w:left="851" w:hanging="851"/>
        <w:rPr>
          <w:b/>
          <w:sz w:val="24"/>
          <w:szCs w:val="24"/>
        </w:rPr>
      </w:pPr>
      <w:r w:rsidRPr="007205D5">
        <w:rPr>
          <w:b/>
          <w:sz w:val="24"/>
          <w:szCs w:val="24"/>
        </w:rPr>
        <w:t>4.7</w:t>
      </w:r>
      <w:r w:rsidRPr="007205D5">
        <w:rPr>
          <w:b/>
          <w:sz w:val="24"/>
          <w:szCs w:val="24"/>
        </w:rPr>
        <w:tab/>
        <w:t xml:space="preserve">Virkning på evnen til at føre motorkøretøj </w:t>
      </w:r>
      <w:r w:rsidR="00481458">
        <w:rPr>
          <w:b/>
          <w:sz w:val="24"/>
          <w:szCs w:val="24"/>
        </w:rPr>
        <w:t>og</w:t>
      </w:r>
      <w:r w:rsidRPr="007205D5">
        <w:rPr>
          <w:b/>
          <w:sz w:val="24"/>
          <w:szCs w:val="24"/>
        </w:rPr>
        <w:t xml:space="preserve"> betjene maskiner</w:t>
      </w:r>
    </w:p>
    <w:p w:rsidR="005A2E0C" w:rsidRDefault="005A2E0C" w:rsidP="005A2E0C">
      <w:pPr>
        <w:pStyle w:val="Brdtekst"/>
        <w:spacing w:after="0"/>
        <w:ind w:left="851"/>
        <w:jc w:val="both"/>
        <w:rPr>
          <w:color w:val="000000"/>
          <w:sz w:val="24"/>
          <w:szCs w:val="24"/>
        </w:rPr>
      </w:pP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påvirker i moderat grad evnen til at føre motorkøretøj eller betjene maskiner. Da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kan forårsage </w:t>
      </w:r>
      <w:proofErr w:type="spellStart"/>
      <w:r w:rsidRPr="005A2E0C">
        <w:rPr>
          <w:color w:val="000000"/>
          <w:sz w:val="24"/>
          <w:szCs w:val="24"/>
        </w:rPr>
        <w:t>somnolens</w:t>
      </w:r>
      <w:proofErr w:type="spellEnd"/>
      <w:r w:rsidRPr="005A2E0C">
        <w:rPr>
          <w:color w:val="000000"/>
          <w:sz w:val="24"/>
          <w:szCs w:val="24"/>
        </w:rPr>
        <w:t xml:space="preserve">, konfusion, svimmelhed, </w:t>
      </w:r>
      <w:proofErr w:type="spellStart"/>
      <w:r w:rsidRPr="005A2E0C">
        <w:rPr>
          <w:color w:val="000000"/>
          <w:sz w:val="24"/>
          <w:szCs w:val="24"/>
        </w:rPr>
        <w:t>tremor</w:t>
      </w:r>
      <w:proofErr w:type="spellEnd"/>
      <w:r w:rsidRPr="005A2E0C">
        <w:rPr>
          <w:color w:val="000000"/>
          <w:sz w:val="24"/>
          <w:szCs w:val="24"/>
        </w:rPr>
        <w:t xml:space="preserve"> og hypotension, og patienterne bør derfor tilrådes forsigtighed ved bilkørsel og maskinbetjening.</w:t>
      </w:r>
    </w:p>
    <w:p w:rsidR="005A2E0C" w:rsidRPr="005A2E0C" w:rsidRDefault="005A2E0C" w:rsidP="005A2E0C">
      <w:pPr>
        <w:pStyle w:val="Brdtekst"/>
        <w:spacing w:after="0"/>
        <w:ind w:left="851"/>
        <w:jc w:val="both"/>
        <w:rPr>
          <w:color w:val="000000"/>
          <w:sz w:val="24"/>
          <w:szCs w:val="24"/>
        </w:rPr>
      </w:pPr>
    </w:p>
    <w:p w:rsidR="00B065AB" w:rsidRPr="007205D5" w:rsidRDefault="00B065AB" w:rsidP="005A2E0C">
      <w:pPr>
        <w:autoSpaceDE w:val="0"/>
        <w:autoSpaceDN w:val="0"/>
        <w:adjustRightInd w:val="0"/>
        <w:ind w:left="851" w:hanging="851"/>
        <w:rPr>
          <w:b/>
          <w:sz w:val="24"/>
          <w:szCs w:val="24"/>
        </w:rPr>
      </w:pPr>
      <w:r w:rsidRPr="007205D5">
        <w:rPr>
          <w:b/>
          <w:sz w:val="24"/>
          <w:szCs w:val="24"/>
        </w:rPr>
        <w:t>4.8</w:t>
      </w:r>
      <w:r w:rsidRPr="007205D5">
        <w:rPr>
          <w:b/>
          <w:sz w:val="24"/>
          <w:szCs w:val="24"/>
        </w:rPr>
        <w:tab/>
        <w:t>Bivirkninger</w:t>
      </w:r>
    </w:p>
    <w:p w:rsidR="005A2E0C" w:rsidRDefault="005A2E0C" w:rsidP="005A2E0C">
      <w:pPr>
        <w:rPr>
          <w:i/>
          <w:sz w:val="22"/>
          <w:szCs w:val="22"/>
        </w:rPr>
      </w:pPr>
    </w:p>
    <w:p w:rsidR="005A2E0C" w:rsidRPr="005A2E0C" w:rsidRDefault="005A2E0C" w:rsidP="005A2E0C">
      <w:pPr>
        <w:ind w:left="851"/>
        <w:rPr>
          <w:i/>
          <w:color w:val="000000"/>
          <w:sz w:val="24"/>
          <w:szCs w:val="24"/>
        </w:rPr>
      </w:pPr>
      <w:r w:rsidRPr="005A2E0C">
        <w:rPr>
          <w:i/>
          <w:color w:val="000000"/>
          <w:sz w:val="24"/>
          <w:szCs w:val="24"/>
        </w:rPr>
        <w:t>Resumé af sikkerhedsprofilen</w:t>
      </w:r>
    </w:p>
    <w:p w:rsidR="006D107B" w:rsidRDefault="006D107B" w:rsidP="006D107B">
      <w:pPr>
        <w:pStyle w:val="Brdtekst"/>
        <w:ind w:left="851"/>
        <w:rPr>
          <w:rFonts w:eastAsia="Calibri"/>
          <w:color w:val="000000"/>
          <w:sz w:val="24"/>
          <w:szCs w:val="24"/>
        </w:rPr>
      </w:pPr>
      <w:r w:rsidRPr="00C333B4">
        <w:rPr>
          <w:rFonts w:eastAsia="Calibri"/>
          <w:color w:val="000000"/>
          <w:sz w:val="24"/>
          <w:szCs w:val="24"/>
        </w:rPr>
        <w:t xml:space="preserve">Diarré (op til 52,6 %), </w:t>
      </w:r>
      <w:proofErr w:type="spellStart"/>
      <w:r w:rsidRPr="00C333B4">
        <w:rPr>
          <w:rFonts w:eastAsia="Calibri"/>
          <w:color w:val="000000"/>
          <w:sz w:val="24"/>
          <w:szCs w:val="24"/>
        </w:rPr>
        <w:t>leukopeni</w:t>
      </w:r>
      <w:proofErr w:type="spellEnd"/>
      <w:r w:rsidRPr="00C333B4">
        <w:rPr>
          <w:rFonts w:eastAsia="Calibri"/>
          <w:color w:val="000000"/>
          <w:sz w:val="24"/>
          <w:szCs w:val="24"/>
        </w:rPr>
        <w:t xml:space="preserve"> (op til 45,8 %), bakterieinfektioner (op til 39,9 %) og opkastning (op</w:t>
      </w:r>
      <w:r>
        <w:rPr>
          <w:rFonts w:eastAsia="Calibri"/>
          <w:color w:val="000000"/>
          <w:sz w:val="24"/>
          <w:szCs w:val="24"/>
        </w:rPr>
        <w:t xml:space="preserve"> </w:t>
      </w:r>
      <w:r w:rsidRPr="00C333B4">
        <w:rPr>
          <w:rFonts w:eastAsia="Calibri"/>
          <w:color w:val="000000"/>
          <w:sz w:val="24"/>
          <w:szCs w:val="24"/>
        </w:rPr>
        <w:t>til 39,1 %) var blandt de mest almindelige og/eller alvorlige bivirkninger i forbindelse med</w:t>
      </w:r>
      <w:r>
        <w:rPr>
          <w:rFonts w:eastAsia="Calibri"/>
          <w:color w:val="000000"/>
          <w:sz w:val="24"/>
          <w:szCs w:val="24"/>
        </w:rPr>
        <w:t xml:space="preserve"> </w:t>
      </w:r>
      <w:r w:rsidRPr="00C333B4">
        <w:rPr>
          <w:rFonts w:eastAsia="Calibri"/>
          <w:color w:val="000000"/>
          <w:sz w:val="24"/>
          <w:szCs w:val="24"/>
        </w:rPr>
        <w:t xml:space="preserve">administration af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w:t>
      </w:r>
      <w:r w:rsidRPr="00C333B4">
        <w:rPr>
          <w:rFonts w:eastAsia="Calibri"/>
          <w:color w:val="000000"/>
          <w:sz w:val="24"/>
          <w:szCs w:val="24"/>
        </w:rPr>
        <w:t xml:space="preserve"> i kombination med </w:t>
      </w:r>
      <w:proofErr w:type="spellStart"/>
      <w:r w:rsidRPr="00C333B4">
        <w:rPr>
          <w:rFonts w:eastAsia="Calibri"/>
          <w:color w:val="000000"/>
          <w:sz w:val="24"/>
          <w:szCs w:val="24"/>
        </w:rPr>
        <w:t>ciclosporin</w:t>
      </w:r>
      <w:proofErr w:type="spellEnd"/>
      <w:r w:rsidRPr="00C333B4">
        <w:rPr>
          <w:rFonts w:eastAsia="Calibri"/>
          <w:color w:val="000000"/>
          <w:sz w:val="24"/>
          <w:szCs w:val="24"/>
        </w:rPr>
        <w:t xml:space="preserve"> og </w:t>
      </w:r>
      <w:proofErr w:type="spellStart"/>
      <w:r w:rsidRPr="00C333B4">
        <w:rPr>
          <w:rFonts w:eastAsia="Calibri"/>
          <w:color w:val="000000"/>
          <w:sz w:val="24"/>
          <w:szCs w:val="24"/>
        </w:rPr>
        <w:t>kortikosteroider</w:t>
      </w:r>
      <w:proofErr w:type="spellEnd"/>
      <w:r w:rsidRPr="00C333B4">
        <w:rPr>
          <w:rFonts w:eastAsia="Calibri"/>
          <w:color w:val="000000"/>
          <w:sz w:val="24"/>
          <w:szCs w:val="24"/>
        </w:rPr>
        <w:t>.</w:t>
      </w:r>
      <w:r>
        <w:rPr>
          <w:rFonts w:eastAsia="Calibri"/>
          <w:color w:val="000000"/>
          <w:sz w:val="24"/>
          <w:szCs w:val="24"/>
        </w:rPr>
        <w:t xml:space="preserve"> </w:t>
      </w:r>
      <w:r w:rsidRPr="00C333B4">
        <w:rPr>
          <w:rFonts w:eastAsia="Calibri"/>
          <w:color w:val="000000"/>
          <w:sz w:val="24"/>
          <w:szCs w:val="24"/>
        </w:rPr>
        <w:t>Der er også tegn på</w:t>
      </w:r>
      <w:r>
        <w:rPr>
          <w:rFonts w:eastAsia="Calibri"/>
          <w:color w:val="000000"/>
          <w:sz w:val="24"/>
          <w:szCs w:val="24"/>
        </w:rPr>
        <w:t xml:space="preserve"> </w:t>
      </w:r>
      <w:r w:rsidRPr="00C333B4">
        <w:rPr>
          <w:rFonts w:eastAsia="Calibri"/>
          <w:color w:val="000000"/>
          <w:sz w:val="24"/>
          <w:szCs w:val="24"/>
        </w:rPr>
        <w:t>større hyppighed af visse typer infektioner (se pkt. 4.4).</w:t>
      </w:r>
    </w:p>
    <w:p w:rsidR="005A2E0C" w:rsidRPr="005A2E0C" w:rsidRDefault="005A2E0C" w:rsidP="005A2E0C">
      <w:pPr>
        <w:ind w:left="851"/>
        <w:rPr>
          <w:rFonts w:eastAsia="Calibri"/>
          <w:i/>
          <w:iCs/>
          <w:color w:val="000000"/>
          <w:sz w:val="24"/>
          <w:szCs w:val="24"/>
        </w:rPr>
      </w:pPr>
      <w:r w:rsidRPr="005A2E0C">
        <w:rPr>
          <w:rFonts w:eastAsia="Calibri"/>
          <w:i/>
          <w:iCs/>
          <w:color w:val="000000"/>
          <w:sz w:val="24"/>
          <w:szCs w:val="24"/>
        </w:rPr>
        <w:t>Skema over bivirkninger</w:t>
      </w:r>
    </w:p>
    <w:p w:rsidR="005A2E0C" w:rsidRPr="005A2E0C" w:rsidRDefault="005A2E0C" w:rsidP="005A2E0C">
      <w:pPr>
        <w:pStyle w:val="Brdtekst"/>
        <w:spacing w:after="0"/>
        <w:ind w:left="851" w:hanging="1"/>
        <w:rPr>
          <w:rFonts w:eastAsia="Calibri"/>
          <w:color w:val="000000"/>
          <w:sz w:val="24"/>
          <w:szCs w:val="24"/>
        </w:rPr>
      </w:pPr>
      <w:r w:rsidRPr="005A2E0C">
        <w:rPr>
          <w:rFonts w:eastAsia="Calibri"/>
          <w:color w:val="000000"/>
          <w:sz w:val="24"/>
          <w:szCs w:val="24"/>
        </w:rPr>
        <w:t xml:space="preserve">Bivirkninger fra de kliniske studier og efter markedsføring er angivet i tabel 1 efter </w:t>
      </w:r>
      <w:proofErr w:type="spellStart"/>
      <w:r w:rsidRPr="005A2E0C">
        <w:rPr>
          <w:rFonts w:eastAsia="Calibri"/>
          <w:color w:val="000000"/>
          <w:sz w:val="24"/>
          <w:szCs w:val="24"/>
        </w:rPr>
        <w:t>MedDRAs</w:t>
      </w:r>
      <w:proofErr w:type="spellEnd"/>
      <w:r w:rsidRPr="005A2E0C">
        <w:rPr>
          <w:rFonts w:eastAsia="Calibri"/>
          <w:color w:val="000000"/>
          <w:sz w:val="24"/>
          <w:szCs w:val="24"/>
        </w:rPr>
        <w:t xml:space="preserve"> systemorganklasse og hyppighed. Følgende hyppighedskategorier er anvendt: meget almindelig (≥1/10), almindelig (≥1/100 til &lt;1/10), ikke almindelig (≥1/1.000 til &lt;1/100), sjælden (≥1/10.000 til &lt;1/1.000) og meget sjælden (&lt;1/10.000). Da der er observeret store forskelle i hyppigheden af nogle bivirkninger på tværs af de forskellige transplantat-indikationer, er hyppighederne angivet separat for nyre- og levertransplanterede patienter.</w:t>
      </w:r>
    </w:p>
    <w:p w:rsidR="005A2E0C" w:rsidRPr="005A2E0C" w:rsidRDefault="005A2E0C" w:rsidP="005A2E0C">
      <w:pPr>
        <w:pStyle w:val="Brdtekst"/>
        <w:spacing w:after="0"/>
        <w:ind w:left="851"/>
        <w:rPr>
          <w:rFonts w:eastAsia="Calibri"/>
          <w:color w:val="000000"/>
          <w:sz w:val="24"/>
          <w:szCs w:val="24"/>
        </w:rPr>
      </w:pPr>
    </w:p>
    <w:p w:rsidR="006D107B" w:rsidRPr="009364D1" w:rsidRDefault="006D107B" w:rsidP="006D107B">
      <w:pPr>
        <w:pStyle w:val="Overskrift1"/>
        <w:spacing w:before="0" w:after="0"/>
        <w:ind w:left="851"/>
        <w:rPr>
          <w:rFonts w:ascii="Times New Roman" w:eastAsia="Calibri" w:hAnsi="Times New Roman"/>
          <w:bCs/>
          <w:color w:val="000000"/>
          <w:kern w:val="0"/>
          <w:sz w:val="24"/>
          <w:szCs w:val="24"/>
        </w:rPr>
      </w:pPr>
      <w:r w:rsidRPr="009364D1">
        <w:rPr>
          <w:rFonts w:ascii="Times New Roman" w:eastAsia="Calibri" w:hAnsi="Times New Roman"/>
          <w:bCs/>
          <w:color w:val="000000"/>
          <w:kern w:val="0"/>
          <w:sz w:val="24"/>
          <w:szCs w:val="24"/>
        </w:rPr>
        <w:lastRenderedPageBreak/>
        <w:t xml:space="preserve">Tabel 1 </w:t>
      </w:r>
      <w:r>
        <w:rPr>
          <w:rFonts w:ascii="Times New Roman" w:eastAsia="Calibri" w:hAnsi="Times New Roman"/>
          <w:bCs/>
          <w:color w:val="000000"/>
          <w:kern w:val="0"/>
          <w:sz w:val="24"/>
          <w:szCs w:val="24"/>
        </w:rPr>
        <w:t>B</w:t>
      </w:r>
      <w:r w:rsidRPr="009364D1">
        <w:rPr>
          <w:rFonts w:ascii="Times New Roman" w:eastAsia="Calibri" w:hAnsi="Times New Roman"/>
          <w:bCs/>
          <w:color w:val="000000"/>
          <w:kern w:val="0"/>
          <w:sz w:val="24"/>
          <w:szCs w:val="24"/>
        </w:rPr>
        <w:t>ivirkninger</w:t>
      </w:r>
    </w:p>
    <w:p w:rsidR="006D107B" w:rsidRPr="009364D1" w:rsidRDefault="006D107B" w:rsidP="006D107B">
      <w:pPr>
        <w:keepNext/>
        <w:rPr>
          <w:rFonts w:eastAsia="Calibri"/>
        </w:rPr>
      </w:pPr>
    </w:p>
    <w:tbl>
      <w:tblPr>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192"/>
        <w:gridCol w:w="3192"/>
      </w:tblGrid>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keepNext/>
              <w:autoSpaceDE w:val="0"/>
              <w:autoSpaceDN w:val="0"/>
              <w:adjustRightInd w:val="0"/>
              <w:rPr>
                <w:b/>
                <w:sz w:val="22"/>
                <w:szCs w:val="22"/>
              </w:rPr>
            </w:pPr>
            <w:r>
              <w:rPr>
                <w:b/>
                <w:sz w:val="22"/>
                <w:szCs w:val="22"/>
              </w:rPr>
              <w:t>Bivirkning</w:t>
            </w:r>
          </w:p>
          <w:p w:rsidR="006D107B" w:rsidRDefault="006D107B" w:rsidP="00412C52">
            <w:pPr>
              <w:keepNext/>
              <w:autoSpaceDE w:val="0"/>
              <w:autoSpaceDN w:val="0"/>
              <w:adjustRightInd w:val="0"/>
              <w:rPr>
                <w:b/>
                <w:sz w:val="22"/>
                <w:szCs w:val="22"/>
              </w:rPr>
            </w:pPr>
            <w:r>
              <w:rPr>
                <w:b/>
                <w:sz w:val="22"/>
                <w:szCs w:val="22"/>
              </w:rPr>
              <w:t>(</w:t>
            </w:r>
            <w:proofErr w:type="spellStart"/>
            <w:r>
              <w:rPr>
                <w:b/>
                <w:sz w:val="22"/>
                <w:szCs w:val="22"/>
              </w:rPr>
              <w:t>medDRA</w:t>
            </w:r>
            <w:proofErr w:type="spellEnd"/>
            <w:r>
              <w:rPr>
                <w:b/>
                <w:sz w:val="22"/>
                <w:szCs w:val="22"/>
              </w:rPr>
              <w:t>)</w:t>
            </w:r>
          </w:p>
          <w:p w:rsidR="006D107B" w:rsidRDefault="006D107B" w:rsidP="00412C52">
            <w:pPr>
              <w:keepNext/>
              <w:autoSpaceDE w:val="0"/>
              <w:autoSpaceDN w:val="0"/>
              <w:adjustRightInd w:val="0"/>
              <w:rPr>
                <w:b/>
                <w:color w:val="000000"/>
                <w:sz w:val="22"/>
                <w:szCs w:val="22"/>
              </w:rPr>
            </w:pPr>
            <w:r>
              <w:rPr>
                <w:b/>
                <w:sz w:val="22"/>
                <w:szCs w:val="22"/>
              </w:rPr>
              <w:t>Systemorganklasse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keepNext/>
              <w:autoSpaceDE w:val="0"/>
              <w:autoSpaceDN w:val="0"/>
              <w:adjustRightInd w:val="0"/>
              <w:rPr>
                <w:b/>
                <w:sz w:val="22"/>
                <w:szCs w:val="22"/>
              </w:rPr>
            </w:pPr>
            <w:r>
              <w:rPr>
                <w:b/>
                <w:sz w:val="22"/>
                <w:szCs w:val="22"/>
              </w:rPr>
              <w:t xml:space="preserve">Nyretransplantat </w:t>
            </w:r>
          </w:p>
          <w:p w:rsidR="006D107B" w:rsidRDefault="006D107B" w:rsidP="00412C52">
            <w:pPr>
              <w:keepNext/>
              <w:autoSpaceDE w:val="0"/>
              <w:autoSpaceDN w:val="0"/>
              <w:adjustRightInd w:val="0"/>
              <w:rPr>
                <w:b/>
                <w:color w:val="000000"/>
                <w:sz w:val="22"/>
                <w:szCs w:val="22"/>
              </w:rPr>
            </w:pP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keepNext/>
              <w:autoSpaceDE w:val="0"/>
              <w:autoSpaceDN w:val="0"/>
              <w:adjustRightInd w:val="0"/>
              <w:rPr>
                <w:b/>
                <w:sz w:val="22"/>
                <w:szCs w:val="22"/>
              </w:rPr>
            </w:pPr>
            <w:r>
              <w:rPr>
                <w:b/>
                <w:sz w:val="22"/>
                <w:szCs w:val="22"/>
              </w:rPr>
              <w:t xml:space="preserve">Levertransplantat </w:t>
            </w:r>
          </w:p>
          <w:p w:rsidR="006D107B" w:rsidRDefault="006D107B" w:rsidP="00412C52">
            <w:pPr>
              <w:keepNext/>
              <w:autoSpaceDE w:val="0"/>
              <w:autoSpaceDN w:val="0"/>
              <w:adjustRightInd w:val="0"/>
              <w:rPr>
                <w:b/>
                <w:color w:val="000000"/>
                <w:sz w:val="22"/>
                <w:szCs w:val="22"/>
              </w:rPr>
            </w:pPr>
          </w:p>
        </w:tc>
      </w:tr>
      <w:tr w:rsidR="006D107B" w:rsidTr="00412C52">
        <w:tc>
          <w:tcPr>
            <w:tcW w:w="3936" w:type="dxa"/>
            <w:tcBorders>
              <w:top w:val="single" w:sz="4" w:space="0" w:color="000000"/>
              <w:left w:val="single" w:sz="4" w:space="0" w:color="000000"/>
              <w:bottom w:val="single" w:sz="4" w:space="0" w:color="000000"/>
              <w:right w:val="single" w:sz="4" w:space="0" w:color="000000"/>
            </w:tcBorders>
          </w:tcPr>
          <w:p w:rsidR="006D107B" w:rsidRDefault="006D107B" w:rsidP="00412C52">
            <w:pPr>
              <w:autoSpaceDE w:val="0"/>
              <w:autoSpaceDN w:val="0"/>
              <w:adjustRightInd w:val="0"/>
              <w:rPr>
                <w:color w:val="000000"/>
                <w:sz w:val="22"/>
                <w:szCs w:val="22"/>
              </w:rPr>
            </w:pP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Hyppighed</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Hyppighed</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b/>
                <w:color w:val="000000"/>
                <w:sz w:val="22"/>
                <w:szCs w:val="22"/>
              </w:rPr>
            </w:pPr>
            <w:r>
              <w:rPr>
                <w:b/>
                <w:sz w:val="22"/>
                <w:szCs w:val="22"/>
              </w:rPr>
              <w:t>Infektioner og parasitære sygdomme</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Bakterielle infektioner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Svampeinfektioner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Protozoale infektioner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Virale infektioner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keepNext/>
              <w:autoSpaceDE w:val="0"/>
              <w:autoSpaceDN w:val="0"/>
              <w:adjustRightInd w:val="0"/>
              <w:rPr>
                <w:color w:val="000000"/>
                <w:sz w:val="22"/>
                <w:szCs w:val="22"/>
              </w:rPr>
            </w:pPr>
            <w:r>
              <w:rPr>
                <w:b/>
                <w:sz w:val="22"/>
                <w:szCs w:val="22"/>
              </w:rPr>
              <w:t>Benigne, maligne og uspecificerede neoplasmer (inkl. cyster og polypper)</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ind w:left="0"/>
              <w:jc w:val="left"/>
            </w:pPr>
            <w:proofErr w:type="spellStart"/>
            <w:r>
              <w:t>Benignt</w:t>
            </w:r>
            <w:proofErr w:type="spellEnd"/>
            <w:r>
              <w:t xml:space="preserve"> </w:t>
            </w:r>
            <w:proofErr w:type="spellStart"/>
            <w:r>
              <w:t>neoplasme</w:t>
            </w:r>
            <w:proofErr w:type="spellEnd"/>
            <w:r>
              <w:t xml:space="preserve"> </w:t>
            </w:r>
            <w:proofErr w:type="spellStart"/>
            <w:r>
              <w:t>af</w:t>
            </w:r>
            <w:proofErr w:type="spellEnd"/>
            <w:r>
              <w:t xml:space="preserve"> </w:t>
            </w:r>
            <w:proofErr w:type="spellStart"/>
            <w:r>
              <w:t>huden</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Lymfom</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ind w:left="0"/>
              <w:jc w:val="left"/>
            </w:pPr>
            <w:proofErr w:type="spellStart"/>
            <w:r>
              <w:t>Lymfoproliferativ</w:t>
            </w:r>
            <w:proofErr w:type="spellEnd"/>
            <w:r>
              <w:t xml:space="preserve"> </w:t>
            </w:r>
            <w:proofErr w:type="spellStart"/>
            <w:r>
              <w:t>sygdom</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Neoplasme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Hudkræft</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Blod og lymfesystem</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Anæmi</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Pr="009364D1" w:rsidRDefault="006D107B" w:rsidP="00412C52">
            <w:pPr>
              <w:autoSpaceDE w:val="0"/>
              <w:autoSpaceDN w:val="0"/>
              <w:adjustRightInd w:val="0"/>
              <w:rPr>
                <w:color w:val="000000"/>
                <w:sz w:val="22"/>
                <w:szCs w:val="22"/>
                <w:lang w:val="es-ES"/>
              </w:rPr>
            </w:pPr>
            <w:r w:rsidRPr="009364D1">
              <w:rPr>
                <w:sz w:val="22"/>
                <w:szCs w:val="22"/>
                <w:lang w:val="es-ES"/>
              </w:rPr>
              <w:t>Pure red cell aplasia (PRCA)</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Knoglemarvssvigt</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Ecchymose</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Leukocytose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Leukopeni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Pancytopeni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Pseudolymfom</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Trombocytopeni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Metabolisme og ernæring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Acidose</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Hyperkolesterolæmi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Hyperglykæmi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Hyperkaliæmi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Hyperlipidæmi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Hypocalcæmi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Hypokaliæmi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Hypomagnesæmi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Hypofosfatæmi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Hyperurikæmi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Arthritis</w:t>
            </w:r>
            <w:proofErr w:type="spellEnd"/>
            <w:r>
              <w:rPr>
                <w:sz w:val="22"/>
                <w:szCs w:val="22"/>
              </w:rPr>
              <w:t xml:space="preserve"> </w:t>
            </w:r>
            <w:proofErr w:type="spellStart"/>
            <w:r>
              <w:rPr>
                <w:sz w:val="22"/>
                <w:szCs w:val="22"/>
              </w:rPr>
              <w:t>urica</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Vægttab</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Psykiske forstyrrelser</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Konfusion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Depression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Insomnia</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Agitation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Angst</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Abnorme tanker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Nervesystemet</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Svimmelhed</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Hovedpine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Hypertoni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Paræstesier</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Somnolens</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Tremor</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lastRenderedPageBreak/>
              <w:t>Konvulsion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Dysgeusi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Hjerte</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Takykardi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b/>
                <w:sz w:val="22"/>
                <w:szCs w:val="22"/>
              </w:rPr>
              <w:t>Vaskulære</w:t>
            </w:r>
            <w:proofErr w:type="spellEnd"/>
            <w:r>
              <w:rPr>
                <w:b/>
                <w:sz w:val="22"/>
                <w:szCs w:val="22"/>
              </w:rPr>
              <w:t xml:space="preserve"> sygdomme</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Hypertension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Hypotension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sz w:val="22"/>
                <w:szCs w:val="22"/>
              </w:rPr>
            </w:pPr>
            <w:proofErr w:type="spellStart"/>
            <w:r>
              <w:rPr>
                <w:sz w:val="22"/>
                <w:szCs w:val="22"/>
              </w:rPr>
              <w:t>Lymfocele</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Venetrombose*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Vasodilatation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tcPr>
          <w:p w:rsidR="006D107B" w:rsidRDefault="006D107B" w:rsidP="00412C52">
            <w:pPr>
              <w:autoSpaceDE w:val="0"/>
              <w:autoSpaceDN w:val="0"/>
              <w:adjustRightInd w:val="0"/>
              <w:rPr>
                <w:color w:val="000000"/>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6D107B" w:rsidRDefault="006D107B" w:rsidP="00412C52">
            <w:pPr>
              <w:autoSpaceDE w:val="0"/>
              <w:autoSpaceDN w:val="0"/>
              <w:adjustRightInd w:val="0"/>
              <w:rPr>
                <w:color w:val="000000"/>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6D107B" w:rsidRDefault="006D107B" w:rsidP="00412C52">
            <w:pPr>
              <w:autoSpaceDE w:val="0"/>
              <w:autoSpaceDN w:val="0"/>
              <w:adjustRightInd w:val="0"/>
              <w:rPr>
                <w:color w:val="000000"/>
                <w:sz w:val="22"/>
                <w:szCs w:val="22"/>
              </w:rPr>
            </w:pP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 xml:space="preserve">Luftveje, thorax og </w:t>
            </w:r>
            <w:proofErr w:type="spellStart"/>
            <w:r>
              <w:rPr>
                <w:b/>
                <w:sz w:val="22"/>
                <w:szCs w:val="22"/>
              </w:rPr>
              <w:t>mediastinum</w:t>
            </w:r>
            <w:proofErr w:type="spellEnd"/>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Bronkiektasi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Hoste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Dyspnø</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9" w:lineRule="exact"/>
              <w:ind w:left="0"/>
              <w:jc w:val="left"/>
            </w:pPr>
            <w:proofErr w:type="spellStart"/>
            <w:r>
              <w:t>Interstitiel</w:t>
            </w:r>
            <w:proofErr w:type="spellEnd"/>
            <w:r>
              <w:t xml:space="preserve"> </w:t>
            </w:r>
            <w:proofErr w:type="spellStart"/>
            <w:r>
              <w:t>lungesygdom</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sjælden</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Pleural</w:t>
            </w:r>
            <w:proofErr w:type="spellEnd"/>
            <w:r>
              <w:rPr>
                <w:sz w:val="22"/>
                <w:szCs w:val="22"/>
              </w:rPr>
              <w:t xml:space="preserve"> </w:t>
            </w:r>
            <w:proofErr w:type="spellStart"/>
            <w:r>
              <w:rPr>
                <w:sz w:val="22"/>
                <w:szCs w:val="22"/>
              </w:rPr>
              <w:t>effusion</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Lungefibrose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sjælden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b/>
                <w:sz w:val="22"/>
                <w:szCs w:val="22"/>
              </w:rPr>
              <w:t>Mave-tarmkanalen</w:t>
            </w:r>
            <w:proofErr w:type="spellEnd"/>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Abdominal</w:t>
            </w:r>
            <w:proofErr w:type="spellEnd"/>
            <w:r>
              <w:rPr>
                <w:sz w:val="22"/>
                <w:szCs w:val="22"/>
              </w:rPr>
              <w:t xml:space="preserve"> </w:t>
            </w:r>
            <w:proofErr w:type="spellStart"/>
            <w:r>
              <w:rPr>
                <w:sz w:val="22"/>
                <w:szCs w:val="22"/>
              </w:rPr>
              <w:t>distension</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Abdominalsmerter</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Colitis</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Obstipation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Nedsat appetit</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Diarré</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Dyspepsi</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Opstød</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Oesophagitis</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sz w:val="22"/>
                <w:szCs w:val="22"/>
              </w:rPr>
            </w:pPr>
            <w:proofErr w:type="spellStart"/>
            <w:r>
              <w:rPr>
                <w:sz w:val="22"/>
                <w:szCs w:val="22"/>
              </w:rPr>
              <w:t>Eructation</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Flatulens</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Gastritis</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8" w:lineRule="exact"/>
              <w:ind w:left="0"/>
              <w:jc w:val="left"/>
            </w:pPr>
            <w:r>
              <w:t xml:space="preserve">Gastrointestinal </w:t>
            </w:r>
            <w:proofErr w:type="spellStart"/>
            <w:r>
              <w:t>blødning</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Mavesår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Gingival</w:t>
            </w:r>
            <w:proofErr w:type="spellEnd"/>
            <w:r>
              <w:rPr>
                <w:sz w:val="22"/>
                <w:szCs w:val="22"/>
              </w:rPr>
              <w:t xml:space="preserve"> </w:t>
            </w:r>
            <w:proofErr w:type="spellStart"/>
            <w:r>
              <w:rPr>
                <w:sz w:val="22"/>
                <w:szCs w:val="22"/>
              </w:rPr>
              <w:t>hyperplasi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Ileus</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Mundsår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Kvalme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Stomatitis</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Opkastning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tcPr>
          <w:p w:rsidR="006D107B" w:rsidRDefault="006D107B" w:rsidP="00412C52">
            <w:pPr>
              <w:autoSpaceDE w:val="0"/>
              <w:autoSpaceDN w:val="0"/>
              <w:adjustRightInd w:val="0"/>
              <w:rPr>
                <w:color w:val="000000"/>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6D107B" w:rsidRDefault="006D107B" w:rsidP="00412C52">
            <w:pPr>
              <w:autoSpaceDE w:val="0"/>
              <w:autoSpaceDN w:val="0"/>
              <w:adjustRightInd w:val="0"/>
              <w:rPr>
                <w:color w:val="000000"/>
                <w:sz w:val="22"/>
                <w:szCs w:val="22"/>
              </w:rPr>
            </w:pPr>
          </w:p>
        </w:tc>
        <w:tc>
          <w:tcPr>
            <w:tcW w:w="3192" w:type="dxa"/>
            <w:tcBorders>
              <w:top w:val="single" w:sz="4" w:space="0" w:color="000000"/>
              <w:left w:val="single" w:sz="4" w:space="0" w:color="000000"/>
              <w:bottom w:val="single" w:sz="4" w:space="0" w:color="000000"/>
              <w:right w:val="single" w:sz="4" w:space="0" w:color="000000"/>
            </w:tcBorders>
          </w:tcPr>
          <w:p w:rsidR="006D107B" w:rsidRDefault="006D107B" w:rsidP="00412C52">
            <w:pPr>
              <w:autoSpaceDE w:val="0"/>
              <w:autoSpaceDN w:val="0"/>
              <w:adjustRightInd w:val="0"/>
              <w:rPr>
                <w:color w:val="000000"/>
                <w:sz w:val="22"/>
                <w:szCs w:val="22"/>
              </w:rPr>
            </w:pP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Immunsystemet</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Hypersensitivitet</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9" w:lineRule="exact"/>
              <w:ind w:left="0"/>
              <w:jc w:val="left"/>
            </w:pPr>
            <w:proofErr w:type="spellStart"/>
            <w:r>
              <w:t>Hypogammaglobulinæmi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sjælden</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Lever og galdeveje</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9" w:lineRule="exact"/>
              <w:ind w:left="0"/>
              <w:jc w:val="left"/>
            </w:pPr>
            <w:proofErr w:type="spellStart"/>
            <w:r>
              <w:t>Forhøjede</w:t>
            </w:r>
            <w:proofErr w:type="spellEnd"/>
            <w:r>
              <w:t xml:space="preserve"> </w:t>
            </w:r>
            <w:proofErr w:type="spellStart"/>
            <w:r>
              <w:t>basiske</w:t>
            </w:r>
            <w:proofErr w:type="spellEnd"/>
            <w:r>
              <w:t xml:space="preserve"> </w:t>
            </w:r>
          </w:p>
          <w:p w:rsidR="006D107B" w:rsidRDefault="006D107B" w:rsidP="00412C52">
            <w:pPr>
              <w:pStyle w:val="TableParagraph"/>
              <w:spacing w:before="0" w:line="239" w:lineRule="exact"/>
              <w:ind w:left="0"/>
              <w:jc w:val="left"/>
            </w:pPr>
            <w:proofErr w:type="spellStart"/>
            <w:r>
              <w:t>phosphataser</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9" w:lineRule="exact"/>
              <w:ind w:left="0"/>
              <w:jc w:val="left"/>
            </w:pPr>
            <w:proofErr w:type="spellStart"/>
            <w:r>
              <w:t>Forhøjet</w:t>
            </w:r>
            <w:proofErr w:type="spellEnd"/>
          </w:p>
          <w:p w:rsidR="006D107B" w:rsidRDefault="006D107B" w:rsidP="00412C52">
            <w:pPr>
              <w:autoSpaceDE w:val="0"/>
              <w:autoSpaceDN w:val="0"/>
              <w:adjustRightInd w:val="0"/>
              <w:rPr>
                <w:color w:val="000000"/>
                <w:sz w:val="22"/>
                <w:szCs w:val="22"/>
              </w:rPr>
            </w:pPr>
            <w:proofErr w:type="spellStart"/>
            <w:r>
              <w:rPr>
                <w:sz w:val="22"/>
                <w:szCs w:val="22"/>
              </w:rPr>
              <w:t>laktatdehydrogenase</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9" w:lineRule="exact"/>
              <w:ind w:left="0"/>
              <w:jc w:val="left"/>
            </w:pPr>
            <w:proofErr w:type="spellStart"/>
            <w:r>
              <w:t>Forhøjede</w:t>
            </w:r>
            <w:proofErr w:type="spellEnd"/>
          </w:p>
          <w:p w:rsidR="006D107B" w:rsidRDefault="006D107B" w:rsidP="00412C52">
            <w:pPr>
              <w:autoSpaceDE w:val="0"/>
              <w:autoSpaceDN w:val="0"/>
              <w:adjustRightInd w:val="0"/>
              <w:rPr>
                <w:color w:val="000000"/>
                <w:sz w:val="22"/>
                <w:szCs w:val="22"/>
              </w:rPr>
            </w:pPr>
            <w:r>
              <w:rPr>
                <w:sz w:val="22"/>
                <w:szCs w:val="22"/>
              </w:rPr>
              <w:t>leverenzymer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Hepatitis</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Jaundice</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Hyperbilirubinæmi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Hud og subkutane væv</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lastRenderedPageBreak/>
              <w:t>Alopeci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Udslæt</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Acne</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Hud hypertrofi</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Knogler, led, muskler og bindevæv</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Arthralgi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Muskelsvækkelse</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Nyrer og urinveje</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9" w:lineRule="exact"/>
              <w:ind w:left="0"/>
              <w:jc w:val="left"/>
              <w:rPr>
                <w:color w:val="000000"/>
              </w:rPr>
            </w:pPr>
            <w:proofErr w:type="spellStart"/>
            <w:r>
              <w:t>Forhøjet</w:t>
            </w:r>
            <w:proofErr w:type="spellEnd"/>
            <w:r>
              <w:t xml:space="preserve"> serum-</w:t>
            </w:r>
            <w:proofErr w:type="spellStart"/>
            <w:r>
              <w:t>creatinin</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pStyle w:val="TableParagraph"/>
              <w:spacing w:before="0" w:line="238" w:lineRule="exact"/>
              <w:ind w:left="0"/>
              <w:jc w:val="left"/>
            </w:pPr>
            <w:proofErr w:type="spellStart"/>
            <w:r>
              <w:t>Forhøjet</w:t>
            </w:r>
            <w:proofErr w:type="spellEnd"/>
            <w:r>
              <w:t xml:space="preserve"> serum-</w:t>
            </w:r>
            <w:proofErr w:type="spellStart"/>
            <w:r>
              <w:t>carbamid</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proofErr w:type="spellStart"/>
            <w:r>
              <w:rPr>
                <w:sz w:val="22"/>
                <w:szCs w:val="22"/>
              </w:rPr>
              <w:t>Hæmeturi</w:t>
            </w:r>
            <w:proofErr w:type="spellEnd"/>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Nedsat nyrefunktion</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10320" w:type="dxa"/>
            <w:gridSpan w:val="3"/>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b/>
                <w:sz w:val="22"/>
                <w:szCs w:val="22"/>
              </w:rPr>
              <w:t>Almene symptomer og reaktioner på administrations-stedet</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Asteni</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Kulderystelser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Ødemer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Brok</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Utilpashed</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Smerter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Tr="00412C52">
        <w:tc>
          <w:tcPr>
            <w:tcW w:w="3936"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Feber</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c>
          <w:tcPr>
            <w:tcW w:w="3192" w:type="dxa"/>
            <w:tcBorders>
              <w:top w:val="single" w:sz="4" w:space="0" w:color="000000"/>
              <w:left w:val="single" w:sz="4" w:space="0" w:color="000000"/>
              <w:bottom w:val="single" w:sz="4" w:space="0" w:color="000000"/>
              <w:right w:val="single" w:sz="4" w:space="0" w:color="000000"/>
            </w:tcBorders>
            <w:hideMark/>
          </w:tcPr>
          <w:p w:rsidR="006D107B" w:rsidRDefault="006D107B" w:rsidP="00412C52">
            <w:pPr>
              <w:autoSpaceDE w:val="0"/>
              <w:autoSpaceDN w:val="0"/>
              <w:adjustRightInd w:val="0"/>
              <w:rPr>
                <w:color w:val="000000"/>
                <w:sz w:val="22"/>
                <w:szCs w:val="22"/>
              </w:rPr>
            </w:pPr>
            <w:r>
              <w:rPr>
                <w:sz w:val="22"/>
                <w:szCs w:val="22"/>
              </w:rPr>
              <w:t>Meget almindelig</w:t>
            </w:r>
          </w:p>
        </w:tc>
      </w:tr>
      <w:tr w:rsidR="006D107B" w:rsidRPr="008E6284" w:rsidTr="00412C52">
        <w:tc>
          <w:tcPr>
            <w:tcW w:w="3936" w:type="dxa"/>
            <w:tcBorders>
              <w:top w:val="single" w:sz="4" w:space="0" w:color="000000"/>
              <w:left w:val="single" w:sz="4" w:space="0" w:color="000000"/>
              <w:bottom w:val="single" w:sz="4" w:space="0" w:color="000000"/>
              <w:right w:val="single" w:sz="4" w:space="0" w:color="000000"/>
            </w:tcBorders>
          </w:tcPr>
          <w:p w:rsidR="006D107B" w:rsidRPr="008E6284" w:rsidRDefault="006D107B" w:rsidP="00412C52">
            <w:pPr>
              <w:autoSpaceDE w:val="0"/>
              <w:autoSpaceDN w:val="0"/>
              <w:adjustRightInd w:val="0"/>
              <w:rPr>
                <w:sz w:val="22"/>
                <w:szCs w:val="22"/>
              </w:rPr>
            </w:pPr>
            <w:r w:rsidRPr="008E6284">
              <w:rPr>
                <w:i/>
                <w:iCs/>
                <w:color w:val="000000"/>
                <w:sz w:val="22"/>
                <w:szCs w:val="22"/>
              </w:rPr>
              <w:t xml:space="preserve">De </w:t>
            </w:r>
            <w:proofErr w:type="spellStart"/>
            <w:r w:rsidRPr="008E6284">
              <w:rPr>
                <w:i/>
                <w:iCs/>
                <w:color w:val="000000"/>
                <w:sz w:val="22"/>
                <w:szCs w:val="22"/>
              </w:rPr>
              <w:t>novo</w:t>
            </w:r>
            <w:proofErr w:type="spellEnd"/>
            <w:r w:rsidRPr="008E6284">
              <w:rPr>
                <w:color w:val="000000"/>
                <w:sz w:val="22"/>
                <w:szCs w:val="22"/>
              </w:rPr>
              <w:t xml:space="preserve"> </w:t>
            </w:r>
            <w:proofErr w:type="spellStart"/>
            <w:r w:rsidRPr="008E6284">
              <w:rPr>
                <w:color w:val="000000"/>
                <w:sz w:val="22"/>
                <w:szCs w:val="22"/>
              </w:rPr>
              <w:t>purinsyntese</w:t>
            </w:r>
            <w:proofErr w:type="spellEnd"/>
            <w:r w:rsidRPr="008E6284">
              <w:rPr>
                <w:color w:val="000000"/>
                <w:sz w:val="22"/>
                <w:szCs w:val="22"/>
              </w:rPr>
              <w:t xml:space="preserve"> </w:t>
            </w:r>
            <w:proofErr w:type="spellStart"/>
            <w:r w:rsidRPr="008E6284">
              <w:rPr>
                <w:color w:val="000000"/>
                <w:sz w:val="22"/>
                <w:szCs w:val="22"/>
              </w:rPr>
              <w:t>hæmmere</w:t>
            </w:r>
            <w:proofErr w:type="spellEnd"/>
            <w:r w:rsidRPr="008E6284">
              <w:rPr>
                <w:color w:val="000000"/>
                <w:sz w:val="22"/>
                <w:szCs w:val="22"/>
              </w:rPr>
              <w:t xml:space="preserve"> forbundet med akut inflammatorisk syndrom</w:t>
            </w:r>
          </w:p>
        </w:tc>
        <w:tc>
          <w:tcPr>
            <w:tcW w:w="3192" w:type="dxa"/>
            <w:tcBorders>
              <w:top w:val="single" w:sz="4" w:space="0" w:color="000000"/>
              <w:left w:val="single" w:sz="4" w:space="0" w:color="000000"/>
              <w:bottom w:val="single" w:sz="4" w:space="0" w:color="000000"/>
              <w:right w:val="single" w:sz="4" w:space="0" w:color="000000"/>
            </w:tcBorders>
          </w:tcPr>
          <w:p w:rsidR="006D107B" w:rsidRPr="008E6284" w:rsidRDefault="006D107B" w:rsidP="00412C52">
            <w:pPr>
              <w:autoSpaceDE w:val="0"/>
              <w:autoSpaceDN w:val="0"/>
              <w:adjustRightInd w:val="0"/>
              <w:rPr>
                <w:sz w:val="22"/>
                <w:szCs w:val="22"/>
              </w:rPr>
            </w:pPr>
            <w:r w:rsidRPr="008E6284">
              <w:rPr>
                <w:color w:val="000000"/>
                <w:sz w:val="22"/>
                <w:szCs w:val="22"/>
              </w:rPr>
              <w:t>Ikke almindelig</w:t>
            </w:r>
          </w:p>
        </w:tc>
        <w:tc>
          <w:tcPr>
            <w:tcW w:w="3192" w:type="dxa"/>
            <w:tcBorders>
              <w:top w:val="single" w:sz="4" w:space="0" w:color="000000"/>
              <w:left w:val="single" w:sz="4" w:space="0" w:color="000000"/>
              <w:bottom w:val="single" w:sz="4" w:space="0" w:color="000000"/>
              <w:right w:val="single" w:sz="4" w:space="0" w:color="000000"/>
            </w:tcBorders>
          </w:tcPr>
          <w:p w:rsidR="006D107B" w:rsidRPr="008E6284" w:rsidRDefault="006D107B" w:rsidP="00412C52">
            <w:pPr>
              <w:autoSpaceDE w:val="0"/>
              <w:autoSpaceDN w:val="0"/>
              <w:adjustRightInd w:val="0"/>
              <w:rPr>
                <w:sz w:val="22"/>
                <w:szCs w:val="22"/>
              </w:rPr>
            </w:pPr>
            <w:r w:rsidRPr="008E6284">
              <w:rPr>
                <w:color w:val="000000"/>
                <w:sz w:val="22"/>
                <w:szCs w:val="22"/>
              </w:rPr>
              <w:t>Ikke almindelig</w:t>
            </w:r>
          </w:p>
        </w:tc>
      </w:tr>
    </w:tbl>
    <w:p w:rsidR="006D107B" w:rsidRDefault="006D107B" w:rsidP="006D107B">
      <w:pPr>
        <w:pStyle w:val="Brdtekst"/>
        <w:ind w:left="851"/>
        <w:rPr>
          <w:i/>
          <w:color w:val="000000"/>
          <w:sz w:val="22"/>
          <w:szCs w:val="22"/>
        </w:rPr>
      </w:pPr>
    </w:p>
    <w:p w:rsidR="005A2E0C" w:rsidRPr="005A2E0C" w:rsidRDefault="005A2E0C" w:rsidP="005A2E0C">
      <w:pPr>
        <w:ind w:left="851"/>
        <w:rPr>
          <w:rFonts w:eastAsia="Calibri"/>
          <w:color w:val="000000"/>
          <w:sz w:val="24"/>
          <w:szCs w:val="24"/>
        </w:rPr>
      </w:pPr>
      <w:r w:rsidRPr="005A2E0C">
        <w:rPr>
          <w:rFonts w:eastAsia="Calibri"/>
          <w:color w:val="000000"/>
          <w:sz w:val="24"/>
          <w:szCs w:val="24"/>
        </w:rPr>
        <w:t xml:space="preserve">Bivirkninger som kunne tilskrives den perifere intravenøse infusion var </w:t>
      </w:r>
      <w:proofErr w:type="spellStart"/>
      <w:r w:rsidRPr="005A2E0C">
        <w:rPr>
          <w:rFonts w:eastAsia="Calibri"/>
          <w:color w:val="000000"/>
          <w:sz w:val="24"/>
          <w:szCs w:val="24"/>
        </w:rPr>
        <w:t>flebitis</w:t>
      </w:r>
      <w:proofErr w:type="spellEnd"/>
      <w:r w:rsidRPr="005A2E0C">
        <w:rPr>
          <w:rFonts w:eastAsia="Calibri"/>
          <w:color w:val="000000"/>
          <w:sz w:val="24"/>
          <w:szCs w:val="24"/>
        </w:rPr>
        <w:t xml:space="preserve"> og tromboser som begge blev observeret hos 4 % af de patienter, som blev behandlet med </w:t>
      </w:r>
      <w:proofErr w:type="spellStart"/>
      <w:r w:rsidRPr="005A2E0C">
        <w:rPr>
          <w:sz w:val="24"/>
          <w:szCs w:val="24"/>
        </w:rPr>
        <w:t>mycophenolatmofetil</w:t>
      </w:r>
      <w:proofErr w:type="spellEnd"/>
      <w:r w:rsidRPr="005A2E0C">
        <w:rPr>
          <w:rFonts w:eastAsia="Calibri"/>
          <w:color w:val="000000"/>
          <w:sz w:val="24"/>
          <w:szCs w:val="24"/>
        </w:rPr>
        <w:t>.</w:t>
      </w:r>
    </w:p>
    <w:p w:rsidR="005A2E0C" w:rsidRPr="005A2E0C" w:rsidRDefault="005A2E0C" w:rsidP="005A2E0C">
      <w:pPr>
        <w:pStyle w:val="Brdtekst"/>
        <w:spacing w:after="0"/>
        <w:ind w:left="851"/>
        <w:rPr>
          <w:rFonts w:eastAsia="Calibri"/>
          <w:color w:val="000000"/>
          <w:sz w:val="24"/>
          <w:szCs w:val="24"/>
        </w:rPr>
      </w:pPr>
    </w:p>
    <w:p w:rsidR="005A2E0C" w:rsidRPr="005A2E0C" w:rsidRDefault="005A2E0C" w:rsidP="005A2E0C">
      <w:pPr>
        <w:autoSpaceDE w:val="0"/>
        <w:autoSpaceDN w:val="0"/>
        <w:adjustRightInd w:val="0"/>
        <w:ind w:left="851"/>
        <w:rPr>
          <w:rFonts w:eastAsia="Calibri"/>
          <w:i/>
          <w:color w:val="000000"/>
          <w:sz w:val="24"/>
          <w:szCs w:val="24"/>
        </w:rPr>
      </w:pPr>
      <w:r w:rsidRPr="005A2E0C">
        <w:rPr>
          <w:rFonts w:eastAsia="Calibri"/>
          <w:i/>
          <w:color w:val="000000"/>
          <w:sz w:val="24"/>
          <w:szCs w:val="24"/>
        </w:rPr>
        <w:t>Beskrivelse af udvalgte bivirkninger</w:t>
      </w:r>
    </w:p>
    <w:p w:rsidR="005A2E0C" w:rsidRPr="005A2E0C" w:rsidRDefault="005A2E0C" w:rsidP="005A2E0C">
      <w:pPr>
        <w:autoSpaceDE w:val="0"/>
        <w:autoSpaceDN w:val="0"/>
        <w:adjustRightInd w:val="0"/>
        <w:ind w:left="851"/>
        <w:rPr>
          <w:rFonts w:eastAsia="Calibri"/>
          <w:i/>
          <w:color w:val="000000"/>
          <w:sz w:val="24"/>
          <w:szCs w:val="24"/>
        </w:rPr>
      </w:pPr>
      <w:proofErr w:type="spellStart"/>
      <w:r w:rsidRPr="005A2E0C">
        <w:rPr>
          <w:rFonts w:eastAsia="Calibri"/>
          <w:i/>
          <w:color w:val="000000"/>
          <w:sz w:val="24"/>
          <w:szCs w:val="24"/>
        </w:rPr>
        <w:t>Maligniteter</w:t>
      </w:r>
      <w:proofErr w:type="spellEnd"/>
    </w:p>
    <w:p w:rsidR="005A2E0C" w:rsidRPr="005A2E0C" w:rsidRDefault="005A2E0C" w:rsidP="005A2E0C">
      <w:pPr>
        <w:autoSpaceDE w:val="0"/>
        <w:autoSpaceDN w:val="0"/>
        <w:adjustRightInd w:val="0"/>
        <w:ind w:left="851"/>
        <w:rPr>
          <w:iCs/>
          <w:color w:val="000000"/>
          <w:sz w:val="24"/>
          <w:szCs w:val="24"/>
        </w:rPr>
      </w:pPr>
      <w:r w:rsidRPr="005A2E0C">
        <w:rPr>
          <w:rFonts w:eastAsia="Calibri"/>
          <w:iCs/>
          <w:color w:val="000000"/>
          <w:sz w:val="24"/>
          <w:szCs w:val="24"/>
        </w:rPr>
        <w:t>Patienter</w:t>
      </w:r>
      <w:r w:rsidRPr="005A2E0C">
        <w:rPr>
          <w:iCs/>
          <w:color w:val="000000"/>
          <w:sz w:val="24"/>
          <w:szCs w:val="24"/>
        </w:rPr>
        <w:t xml:space="preserve"> der får immunsuppressiv behandling med kombinationer af lægemidler, inklusiv </w:t>
      </w:r>
      <w:proofErr w:type="spellStart"/>
      <w:r w:rsidRPr="005A2E0C">
        <w:rPr>
          <w:sz w:val="24"/>
          <w:szCs w:val="24"/>
        </w:rPr>
        <w:t>mycophenolatmofetil</w:t>
      </w:r>
      <w:proofErr w:type="spellEnd"/>
      <w:r w:rsidRPr="005A2E0C">
        <w:rPr>
          <w:iCs/>
          <w:color w:val="000000"/>
          <w:sz w:val="24"/>
          <w:szCs w:val="24"/>
        </w:rPr>
        <w:t xml:space="preserve"> har forhøjet risiko for at udvikle </w:t>
      </w:r>
      <w:proofErr w:type="spellStart"/>
      <w:r w:rsidRPr="005A2E0C">
        <w:rPr>
          <w:iCs/>
          <w:color w:val="000000"/>
          <w:sz w:val="24"/>
          <w:szCs w:val="24"/>
        </w:rPr>
        <w:t>lymfomer</w:t>
      </w:r>
      <w:proofErr w:type="spellEnd"/>
      <w:r w:rsidRPr="005A2E0C">
        <w:rPr>
          <w:iCs/>
          <w:color w:val="000000"/>
          <w:sz w:val="24"/>
          <w:szCs w:val="24"/>
        </w:rPr>
        <w:t xml:space="preserve"> og andre </w:t>
      </w:r>
      <w:proofErr w:type="spellStart"/>
      <w:r w:rsidRPr="005A2E0C">
        <w:rPr>
          <w:iCs/>
          <w:color w:val="000000"/>
          <w:sz w:val="24"/>
          <w:szCs w:val="24"/>
        </w:rPr>
        <w:t>maligniteter</w:t>
      </w:r>
      <w:proofErr w:type="spellEnd"/>
      <w:r w:rsidRPr="005A2E0C">
        <w:rPr>
          <w:iCs/>
          <w:color w:val="000000"/>
          <w:sz w:val="24"/>
          <w:szCs w:val="24"/>
        </w:rPr>
        <w:t xml:space="preserve">, særligt i huden (se pkt. 4.4). Sammenlignet med data efter 1 år viste sikkerhedsdata for 3 år ingen uventede ændringer mht. hyppighed af </w:t>
      </w:r>
      <w:proofErr w:type="spellStart"/>
      <w:r w:rsidRPr="005A2E0C">
        <w:rPr>
          <w:iCs/>
          <w:color w:val="000000"/>
          <w:sz w:val="24"/>
          <w:szCs w:val="24"/>
        </w:rPr>
        <w:t>malignitet</w:t>
      </w:r>
      <w:proofErr w:type="spellEnd"/>
      <w:r w:rsidRPr="005A2E0C">
        <w:rPr>
          <w:iCs/>
          <w:color w:val="000000"/>
          <w:sz w:val="24"/>
          <w:szCs w:val="24"/>
        </w:rPr>
        <w:t xml:space="preserve"> hos nyretransplanterede patienter. Levertransplanterede patienter fulgtes i mindst 1 år, men i mindre end 3 år.</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Infektioner</w:t>
      </w:r>
    </w:p>
    <w:p w:rsidR="005A2E0C" w:rsidRPr="005A2E0C" w:rsidRDefault="005A2E0C" w:rsidP="005A2E0C">
      <w:pPr>
        <w:pStyle w:val="Brdtekst"/>
        <w:spacing w:after="0"/>
        <w:ind w:left="851"/>
        <w:rPr>
          <w:iCs/>
          <w:color w:val="000000"/>
          <w:sz w:val="24"/>
          <w:szCs w:val="24"/>
        </w:rPr>
      </w:pPr>
      <w:r w:rsidRPr="005A2E0C">
        <w:rPr>
          <w:iCs/>
          <w:color w:val="000000"/>
          <w:sz w:val="24"/>
          <w:szCs w:val="24"/>
        </w:rPr>
        <w:t xml:space="preserve">Alle patienter, som bliver behandlet med </w:t>
      </w:r>
      <w:proofErr w:type="spellStart"/>
      <w:r w:rsidRPr="005A2E0C">
        <w:rPr>
          <w:iCs/>
          <w:color w:val="000000"/>
          <w:sz w:val="24"/>
          <w:szCs w:val="24"/>
        </w:rPr>
        <w:t>immunsuppressiva</w:t>
      </w:r>
      <w:proofErr w:type="spellEnd"/>
      <w:r w:rsidRPr="005A2E0C">
        <w:rPr>
          <w:iCs/>
          <w:color w:val="000000"/>
          <w:sz w:val="24"/>
          <w:szCs w:val="24"/>
        </w:rPr>
        <w:t xml:space="preserve">, har forhøjet risiko for bakterielle, virale og svampeinfektioner (hvoraf nogle kan forårsage dødelige tilstande), inklusiv dem, der skyldes opportunistiske mikroorganismer og latent viral reaktivering. Risikoen øges med stigende immunsuppressiv belastning (se pkt. 4.4). De mest alvorlige infektioner var sepsis, </w:t>
      </w:r>
      <w:proofErr w:type="spellStart"/>
      <w:r w:rsidRPr="005A2E0C">
        <w:rPr>
          <w:iCs/>
          <w:color w:val="000000"/>
          <w:sz w:val="24"/>
          <w:szCs w:val="24"/>
        </w:rPr>
        <w:t>peritonitis</w:t>
      </w:r>
      <w:proofErr w:type="spellEnd"/>
      <w:r w:rsidRPr="005A2E0C">
        <w:rPr>
          <w:iCs/>
          <w:color w:val="000000"/>
          <w:sz w:val="24"/>
          <w:szCs w:val="24"/>
        </w:rPr>
        <w:t xml:space="preserve">, meningitis, </w:t>
      </w:r>
      <w:proofErr w:type="spellStart"/>
      <w:r w:rsidRPr="005A2E0C">
        <w:rPr>
          <w:iCs/>
          <w:color w:val="000000"/>
          <w:sz w:val="24"/>
          <w:szCs w:val="24"/>
        </w:rPr>
        <w:t>endocarditis</w:t>
      </w:r>
      <w:proofErr w:type="spellEnd"/>
      <w:r w:rsidRPr="005A2E0C">
        <w:rPr>
          <w:iCs/>
          <w:color w:val="000000"/>
          <w:sz w:val="24"/>
          <w:szCs w:val="24"/>
        </w:rPr>
        <w:t xml:space="preserve">, tuberkulose og atypisk </w:t>
      </w:r>
      <w:proofErr w:type="spellStart"/>
      <w:r w:rsidRPr="005A2E0C">
        <w:rPr>
          <w:iCs/>
          <w:color w:val="000000"/>
          <w:sz w:val="24"/>
          <w:szCs w:val="24"/>
        </w:rPr>
        <w:t>mycobakteriel</w:t>
      </w:r>
      <w:proofErr w:type="spellEnd"/>
      <w:r w:rsidRPr="005A2E0C">
        <w:rPr>
          <w:iCs/>
          <w:color w:val="000000"/>
          <w:sz w:val="24"/>
          <w:szCs w:val="24"/>
        </w:rPr>
        <w:t xml:space="preserve"> infektion. I kontrollerede kliniske studier hos nyre- og levertransplanterede patienter, som blev fulgt i mindst 1 år, var de almindeligste opportunistiske infektioner hos patienter, som fik </w:t>
      </w:r>
      <w:proofErr w:type="spellStart"/>
      <w:r w:rsidRPr="005A2E0C">
        <w:rPr>
          <w:sz w:val="24"/>
          <w:szCs w:val="24"/>
        </w:rPr>
        <w:t>mycophenolatmofetil</w:t>
      </w:r>
      <w:proofErr w:type="spellEnd"/>
      <w:r w:rsidRPr="005A2E0C">
        <w:rPr>
          <w:iCs/>
          <w:color w:val="000000"/>
          <w:sz w:val="24"/>
          <w:szCs w:val="24"/>
        </w:rPr>
        <w:t xml:space="preserve"> (2 g eller 3 g daglig) sammen med andre immunsupprimerende stoffer, </w:t>
      </w:r>
      <w:proofErr w:type="spellStart"/>
      <w:r w:rsidRPr="005A2E0C">
        <w:rPr>
          <w:iCs/>
          <w:color w:val="000000"/>
          <w:sz w:val="24"/>
          <w:szCs w:val="24"/>
        </w:rPr>
        <w:t>mukokutane</w:t>
      </w:r>
      <w:proofErr w:type="spellEnd"/>
      <w:r w:rsidRPr="005A2E0C">
        <w:rPr>
          <w:iCs/>
          <w:color w:val="000000"/>
          <w:sz w:val="24"/>
          <w:szCs w:val="24"/>
        </w:rPr>
        <w:t xml:space="preserve"> </w:t>
      </w:r>
      <w:proofErr w:type="spellStart"/>
      <w:r w:rsidRPr="005A2E0C">
        <w:rPr>
          <w:iCs/>
          <w:color w:val="000000"/>
          <w:sz w:val="24"/>
          <w:szCs w:val="24"/>
        </w:rPr>
        <w:t>candidainfektioner</w:t>
      </w:r>
      <w:proofErr w:type="spellEnd"/>
      <w:r w:rsidRPr="005A2E0C">
        <w:rPr>
          <w:iCs/>
          <w:color w:val="000000"/>
          <w:sz w:val="24"/>
          <w:szCs w:val="24"/>
        </w:rPr>
        <w:t>, CMV-</w:t>
      </w:r>
      <w:proofErr w:type="spellStart"/>
      <w:r w:rsidRPr="005A2E0C">
        <w:rPr>
          <w:iCs/>
          <w:color w:val="000000"/>
          <w:sz w:val="24"/>
          <w:szCs w:val="24"/>
        </w:rPr>
        <w:t>viræmi</w:t>
      </w:r>
      <w:proofErr w:type="spellEnd"/>
      <w:r w:rsidRPr="005A2E0C">
        <w:rPr>
          <w:iCs/>
          <w:color w:val="000000"/>
          <w:sz w:val="24"/>
          <w:szCs w:val="24"/>
        </w:rPr>
        <w:t xml:space="preserve">/syndrom og herpes </w:t>
      </w:r>
      <w:proofErr w:type="spellStart"/>
      <w:r w:rsidRPr="005A2E0C">
        <w:rPr>
          <w:iCs/>
          <w:color w:val="000000"/>
          <w:sz w:val="24"/>
          <w:szCs w:val="24"/>
        </w:rPr>
        <w:t>simplex</w:t>
      </w:r>
      <w:proofErr w:type="spellEnd"/>
      <w:r w:rsidRPr="005A2E0C">
        <w:rPr>
          <w:iCs/>
          <w:color w:val="000000"/>
          <w:sz w:val="24"/>
          <w:szCs w:val="24"/>
        </w:rPr>
        <w:t>-infektioner. Andelen af patienter med CMV-</w:t>
      </w:r>
      <w:proofErr w:type="spellStart"/>
      <w:r w:rsidRPr="005A2E0C">
        <w:rPr>
          <w:iCs/>
          <w:color w:val="000000"/>
          <w:sz w:val="24"/>
          <w:szCs w:val="24"/>
        </w:rPr>
        <w:t>viræmi</w:t>
      </w:r>
      <w:proofErr w:type="spellEnd"/>
      <w:r w:rsidRPr="005A2E0C">
        <w:rPr>
          <w:iCs/>
          <w:color w:val="000000"/>
          <w:sz w:val="24"/>
          <w:szCs w:val="24"/>
        </w:rPr>
        <w:t xml:space="preserve">/syndrom var 13,5 %. Tilfælde af BK- virus associeret med </w:t>
      </w:r>
      <w:proofErr w:type="spellStart"/>
      <w:r w:rsidRPr="005A2E0C">
        <w:rPr>
          <w:iCs/>
          <w:color w:val="000000"/>
          <w:sz w:val="24"/>
          <w:szCs w:val="24"/>
        </w:rPr>
        <w:t>nefropati</w:t>
      </w:r>
      <w:proofErr w:type="spellEnd"/>
      <w:r w:rsidRPr="005A2E0C">
        <w:rPr>
          <w:iCs/>
          <w:color w:val="000000"/>
          <w:sz w:val="24"/>
          <w:szCs w:val="24"/>
        </w:rPr>
        <w:t xml:space="preserve"> såvel som tilfælde af JC-virus associeret med progressiv multifokal </w:t>
      </w:r>
      <w:proofErr w:type="spellStart"/>
      <w:r w:rsidRPr="005A2E0C">
        <w:rPr>
          <w:iCs/>
          <w:color w:val="000000"/>
          <w:sz w:val="24"/>
          <w:szCs w:val="24"/>
        </w:rPr>
        <w:t>leukoencefalopati</w:t>
      </w:r>
      <w:proofErr w:type="spellEnd"/>
      <w:r w:rsidRPr="005A2E0C">
        <w:rPr>
          <w:iCs/>
          <w:color w:val="000000"/>
          <w:sz w:val="24"/>
          <w:szCs w:val="24"/>
        </w:rPr>
        <w:t xml:space="preserve"> (PML) er blevet rapporteret hos patienter, der behandles med </w:t>
      </w:r>
      <w:proofErr w:type="spellStart"/>
      <w:r w:rsidRPr="005A2E0C">
        <w:rPr>
          <w:iCs/>
          <w:color w:val="000000"/>
          <w:sz w:val="24"/>
          <w:szCs w:val="24"/>
        </w:rPr>
        <w:t>immunsuppressiva</w:t>
      </w:r>
      <w:proofErr w:type="spellEnd"/>
      <w:r w:rsidRPr="005A2E0C">
        <w:rPr>
          <w:iCs/>
          <w:color w:val="000000"/>
          <w:sz w:val="24"/>
          <w:szCs w:val="24"/>
        </w:rPr>
        <w:t xml:space="preserve"> herunder </w:t>
      </w:r>
      <w:proofErr w:type="spellStart"/>
      <w:r w:rsidRPr="005A2E0C">
        <w:rPr>
          <w:sz w:val="24"/>
          <w:szCs w:val="24"/>
        </w:rPr>
        <w:t>mycophenolatmofetil</w:t>
      </w:r>
      <w:proofErr w:type="spellEnd"/>
      <w:r w:rsidRPr="005A2E0C">
        <w:rPr>
          <w:sz w:val="24"/>
          <w:szCs w:val="24"/>
        </w:rPr>
        <w:t>.</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Blod og lymfesystem</w:t>
      </w:r>
    </w:p>
    <w:p w:rsidR="006D107B" w:rsidRPr="005A2E0C" w:rsidRDefault="006D107B" w:rsidP="006D107B">
      <w:pPr>
        <w:pStyle w:val="Brdtekst"/>
        <w:spacing w:after="0"/>
        <w:ind w:left="851"/>
        <w:rPr>
          <w:iCs/>
          <w:color w:val="000000"/>
          <w:sz w:val="24"/>
          <w:szCs w:val="24"/>
        </w:rPr>
      </w:pPr>
      <w:proofErr w:type="spellStart"/>
      <w:r w:rsidRPr="005A2E0C">
        <w:rPr>
          <w:iCs/>
          <w:color w:val="000000"/>
          <w:sz w:val="24"/>
          <w:szCs w:val="24"/>
        </w:rPr>
        <w:lastRenderedPageBreak/>
        <w:t>Cytopenier</w:t>
      </w:r>
      <w:proofErr w:type="spellEnd"/>
      <w:r w:rsidRPr="005A2E0C">
        <w:rPr>
          <w:iCs/>
          <w:color w:val="000000"/>
          <w:sz w:val="24"/>
          <w:szCs w:val="24"/>
        </w:rPr>
        <w:t xml:space="preserve">, inklusiv </w:t>
      </w:r>
      <w:proofErr w:type="spellStart"/>
      <w:r w:rsidRPr="005A2E0C">
        <w:rPr>
          <w:iCs/>
          <w:color w:val="000000"/>
          <w:sz w:val="24"/>
          <w:szCs w:val="24"/>
        </w:rPr>
        <w:t>leukopeni</w:t>
      </w:r>
      <w:proofErr w:type="spellEnd"/>
      <w:r w:rsidRPr="005A2E0C">
        <w:rPr>
          <w:iCs/>
          <w:color w:val="000000"/>
          <w:sz w:val="24"/>
          <w:szCs w:val="24"/>
        </w:rPr>
        <w:t xml:space="preserve">, anæmi, </w:t>
      </w:r>
      <w:proofErr w:type="spellStart"/>
      <w:r w:rsidRPr="005A2E0C">
        <w:rPr>
          <w:iCs/>
          <w:color w:val="000000"/>
          <w:sz w:val="24"/>
          <w:szCs w:val="24"/>
        </w:rPr>
        <w:t>trombocytopeni</w:t>
      </w:r>
      <w:proofErr w:type="spellEnd"/>
      <w:r w:rsidRPr="005A2E0C">
        <w:rPr>
          <w:iCs/>
          <w:color w:val="000000"/>
          <w:sz w:val="24"/>
          <w:szCs w:val="24"/>
        </w:rPr>
        <w:t xml:space="preserve"> og </w:t>
      </w:r>
      <w:proofErr w:type="spellStart"/>
      <w:r w:rsidRPr="005A2E0C">
        <w:rPr>
          <w:iCs/>
          <w:color w:val="000000"/>
          <w:sz w:val="24"/>
          <w:szCs w:val="24"/>
        </w:rPr>
        <w:t>pancytopeni</w:t>
      </w:r>
      <w:proofErr w:type="spellEnd"/>
      <w:r w:rsidRPr="005A2E0C">
        <w:rPr>
          <w:iCs/>
          <w:color w:val="000000"/>
          <w:sz w:val="24"/>
          <w:szCs w:val="24"/>
        </w:rPr>
        <w:t xml:space="preserve"> er velkendte risici associeret med </w:t>
      </w:r>
      <w:proofErr w:type="spellStart"/>
      <w:r w:rsidRPr="005A2E0C">
        <w:rPr>
          <w:iCs/>
          <w:color w:val="000000"/>
          <w:sz w:val="24"/>
          <w:szCs w:val="24"/>
        </w:rPr>
        <w:t>mycophenolatmofetil</w:t>
      </w:r>
      <w:proofErr w:type="spellEnd"/>
      <w:r w:rsidRPr="005A2E0C">
        <w:rPr>
          <w:iCs/>
          <w:color w:val="000000"/>
          <w:sz w:val="24"/>
          <w:szCs w:val="24"/>
        </w:rPr>
        <w:t xml:space="preserve"> og kan forårsage eller medvirke til infektioner og blødninger (se pkt. 4.4). </w:t>
      </w:r>
      <w:proofErr w:type="spellStart"/>
      <w:r w:rsidRPr="005A2E0C">
        <w:rPr>
          <w:iCs/>
          <w:color w:val="000000"/>
          <w:sz w:val="24"/>
          <w:szCs w:val="24"/>
        </w:rPr>
        <w:t>Agranulocytose</w:t>
      </w:r>
      <w:proofErr w:type="spellEnd"/>
      <w:r w:rsidRPr="005A2E0C">
        <w:rPr>
          <w:iCs/>
          <w:color w:val="000000"/>
          <w:sz w:val="24"/>
          <w:szCs w:val="24"/>
        </w:rPr>
        <w:t xml:space="preserve"> og </w:t>
      </w:r>
      <w:proofErr w:type="spellStart"/>
      <w:r w:rsidRPr="005A2E0C">
        <w:rPr>
          <w:iCs/>
          <w:color w:val="000000"/>
          <w:sz w:val="24"/>
          <w:szCs w:val="24"/>
        </w:rPr>
        <w:t>neutropeni</w:t>
      </w:r>
      <w:proofErr w:type="spellEnd"/>
      <w:r w:rsidRPr="005A2E0C">
        <w:rPr>
          <w:iCs/>
          <w:color w:val="000000"/>
          <w:sz w:val="24"/>
          <w:szCs w:val="24"/>
        </w:rPr>
        <w:t xml:space="preserve"> er rapporteret; derfor tilrådes regelmæssig monitorering af patienter i behandling med </w:t>
      </w:r>
      <w:proofErr w:type="spellStart"/>
      <w:r w:rsidRPr="005A2E0C">
        <w:rPr>
          <w:sz w:val="24"/>
          <w:szCs w:val="24"/>
        </w:rPr>
        <w:t>mycophenolatmofetil</w:t>
      </w:r>
      <w:proofErr w:type="spellEnd"/>
      <w:r w:rsidRPr="005A2E0C">
        <w:rPr>
          <w:iCs/>
          <w:color w:val="000000"/>
          <w:sz w:val="24"/>
          <w:szCs w:val="24"/>
        </w:rPr>
        <w:t xml:space="preserve"> (se pkt. 4.4). Der har været indberetninger om </w:t>
      </w:r>
      <w:proofErr w:type="spellStart"/>
      <w:r w:rsidRPr="005A2E0C">
        <w:rPr>
          <w:iCs/>
          <w:color w:val="000000"/>
          <w:sz w:val="24"/>
          <w:szCs w:val="24"/>
        </w:rPr>
        <w:t>aplastisk</w:t>
      </w:r>
      <w:proofErr w:type="spellEnd"/>
      <w:r w:rsidRPr="005A2E0C">
        <w:rPr>
          <w:iCs/>
          <w:color w:val="000000"/>
          <w:sz w:val="24"/>
          <w:szCs w:val="24"/>
        </w:rPr>
        <w:t xml:space="preserve"> anæmi og knoglemarvssvigt hos patienter behandlet med</w:t>
      </w:r>
      <w:r>
        <w:rPr>
          <w:iCs/>
          <w:color w:val="000000"/>
          <w:sz w:val="24"/>
          <w:szCs w:val="24"/>
        </w:rPr>
        <w:t xml:space="preserve">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w:t>
      </w:r>
      <w:r w:rsidRPr="005A2E0C">
        <w:rPr>
          <w:iCs/>
          <w:color w:val="000000"/>
          <w:sz w:val="24"/>
          <w:szCs w:val="24"/>
        </w:rPr>
        <w:t>, hvor nogle har været dødelige.</w:t>
      </w:r>
    </w:p>
    <w:p w:rsidR="005A2E0C" w:rsidRPr="005A2E0C" w:rsidRDefault="005A2E0C" w:rsidP="005A2E0C">
      <w:pPr>
        <w:pStyle w:val="Brdtekst"/>
        <w:spacing w:after="0"/>
        <w:ind w:left="851"/>
        <w:rPr>
          <w:iCs/>
          <w:color w:val="000000"/>
          <w:sz w:val="24"/>
          <w:szCs w:val="24"/>
        </w:rPr>
      </w:pPr>
    </w:p>
    <w:p w:rsidR="005A2E0C" w:rsidRPr="005A2E0C" w:rsidRDefault="005A2E0C" w:rsidP="005A2E0C">
      <w:pPr>
        <w:ind w:left="851"/>
        <w:rPr>
          <w:iCs/>
          <w:color w:val="000000"/>
          <w:sz w:val="24"/>
          <w:szCs w:val="24"/>
        </w:rPr>
      </w:pPr>
      <w:r w:rsidRPr="005A2E0C">
        <w:rPr>
          <w:iCs/>
          <w:color w:val="000000"/>
          <w:sz w:val="24"/>
          <w:szCs w:val="24"/>
        </w:rPr>
        <w:t xml:space="preserve">Tilfælde af pure red </w:t>
      </w:r>
      <w:proofErr w:type="spellStart"/>
      <w:r w:rsidRPr="005A2E0C">
        <w:rPr>
          <w:iCs/>
          <w:color w:val="000000"/>
          <w:sz w:val="24"/>
          <w:szCs w:val="24"/>
        </w:rPr>
        <w:t>cell</w:t>
      </w:r>
      <w:proofErr w:type="spellEnd"/>
      <w:r w:rsidRPr="005A2E0C">
        <w:rPr>
          <w:iCs/>
          <w:color w:val="000000"/>
          <w:sz w:val="24"/>
          <w:szCs w:val="24"/>
        </w:rPr>
        <w:t xml:space="preserve"> </w:t>
      </w:r>
      <w:proofErr w:type="spellStart"/>
      <w:r w:rsidRPr="005A2E0C">
        <w:rPr>
          <w:iCs/>
          <w:color w:val="000000"/>
          <w:sz w:val="24"/>
          <w:szCs w:val="24"/>
        </w:rPr>
        <w:t>aplasia</w:t>
      </w:r>
      <w:proofErr w:type="spellEnd"/>
      <w:r w:rsidRPr="005A2E0C">
        <w:rPr>
          <w:iCs/>
          <w:color w:val="000000"/>
          <w:sz w:val="24"/>
          <w:szCs w:val="24"/>
        </w:rPr>
        <w:t xml:space="preserve"> (PRCA) er rapporteret hos patienter, behandlet med </w:t>
      </w:r>
      <w:proofErr w:type="spellStart"/>
      <w:r w:rsidRPr="005A2E0C">
        <w:rPr>
          <w:sz w:val="24"/>
          <w:szCs w:val="24"/>
        </w:rPr>
        <w:t>mycophenolatmofetil</w:t>
      </w:r>
      <w:proofErr w:type="spellEnd"/>
      <w:r w:rsidRPr="005A2E0C">
        <w:rPr>
          <w:iCs/>
          <w:color w:val="000000"/>
          <w:sz w:val="24"/>
          <w:szCs w:val="24"/>
        </w:rPr>
        <w:t xml:space="preserve"> (se </w:t>
      </w:r>
      <w:proofErr w:type="spellStart"/>
      <w:r w:rsidRPr="005A2E0C">
        <w:rPr>
          <w:iCs/>
          <w:color w:val="000000"/>
          <w:sz w:val="24"/>
          <w:szCs w:val="24"/>
        </w:rPr>
        <w:t>pkt</w:t>
      </w:r>
      <w:proofErr w:type="spellEnd"/>
      <w:r w:rsidRPr="005A2E0C">
        <w:rPr>
          <w:iCs/>
          <w:color w:val="000000"/>
          <w:sz w:val="24"/>
          <w:szCs w:val="24"/>
        </w:rPr>
        <w:t xml:space="preserve"> 4.4).</w:t>
      </w:r>
    </w:p>
    <w:p w:rsidR="005A2E0C" w:rsidRPr="005A2E0C" w:rsidRDefault="005A2E0C" w:rsidP="005A2E0C">
      <w:pPr>
        <w:ind w:left="851"/>
        <w:rPr>
          <w:iCs/>
          <w:color w:val="000000"/>
          <w:sz w:val="24"/>
          <w:szCs w:val="24"/>
        </w:rPr>
      </w:pPr>
      <w:r w:rsidRPr="005A2E0C">
        <w:rPr>
          <w:iCs/>
          <w:color w:val="000000"/>
          <w:sz w:val="24"/>
          <w:szCs w:val="24"/>
        </w:rPr>
        <w:t xml:space="preserve">Isolerede tilfælde af abnorm </w:t>
      </w:r>
      <w:proofErr w:type="spellStart"/>
      <w:r w:rsidRPr="005A2E0C">
        <w:rPr>
          <w:iCs/>
          <w:color w:val="000000"/>
          <w:sz w:val="24"/>
          <w:szCs w:val="24"/>
        </w:rPr>
        <w:t>neutrofil</w:t>
      </w:r>
      <w:proofErr w:type="spellEnd"/>
      <w:r w:rsidRPr="005A2E0C">
        <w:rPr>
          <w:iCs/>
          <w:color w:val="000000"/>
          <w:sz w:val="24"/>
          <w:szCs w:val="24"/>
        </w:rPr>
        <w:t xml:space="preserve"> morfologi, inklusive den erhvervede </w:t>
      </w:r>
      <w:proofErr w:type="spellStart"/>
      <w:r w:rsidRPr="005A2E0C">
        <w:rPr>
          <w:iCs/>
          <w:color w:val="000000"/>
          <w:sz w:val="24"/>
          <w:szCs w:val="24"/>
        </w:rPr>
        <w:t>Pelger</w:t>
      </w:r>
      <w:proofErr w:type="spellEnd"/>
      <w:r w:rsidRPr="005A2E0C">
        <w:rPr>
          <w:iCs/>
          <w:color w:val="000000"/>
          <w:sz w:val="24"/>
          <w:szCs w:val="24"/>
        </w:rPr>
        <w:t xml:space="preserve">-Huet anomali, er observeret hos patienter, som er behandlet med </w:t>
      </w:r>
      <w:proofErr w:type="spellStart"/>
      <w:r w:rsidRPr="005A2E0C">
        <w:rPr>
          <w:sz w:val="24"/>
          <w:szCs w:val="24"/>
        </w:rPr>
        <w:t>mycophenolatmofetil</w:t>
      </w:r>
      <w:proofErr w:type="spellEnd"/>
      <w:r w:rsidRPr="005A2E0C">
        <w:rPr>
          <w:iCs/>
          <w:color w:val="000000"/>
          <w:sz w:val="24"/>
          <w:szCs w:val="24"/>
        </w:rPr>
        <w:t xml:space="preserve">. Ændringerne er ikke associerede med en svækket </w:t>
      </w:r>
      <w:proofErr w:type="spellStart"/>
      <w:r w:rsidRPr="005A2E0C">
        <w:rPr>
          <w:iCs/>
          <w:color w:val="000000"/>
          <w:sz w:val="24"/>
          <w:szCs w:val="24"/>
        </w:rPr>
        <w:t>neutrofil</w:t>
      </w:r>
      <w:proofErr w:type="spellEnd"/>
      <w:r w:rsidRPr="005A2E0C">
        <w:rPr>
          <w:iCs/>
          <w:color w:val="000000"/>
          <w:sz w:val="24"/>
          <w:szCs w:val="24"/>
        </w:rPr>
        <w:t xml:space="preserve"> funktion. Hæmatologiske analyser antyder, at disse ændringer er et ”venstre skift” i modenhed af </w:t>
      </w:r>
      <w:proofErr w:type="spellStart"/>
      <w:r w:rsidRPr="005A2E0C">
        <w:rPr>
          <w:iCs/>
          <w:color w:val="000000"/>
          <w:sz w:val="24"/>
          <w:szCs w:val="24"/>
        </w:rPr>
        <w:t>neutrofilerne</w:t>
      </w:r>
      <w:proofErr w:type="spellEnd"/>
      <w:r w:rsidRPr="005A2E0C">
        <w:rPr>
          <w:iCs/>
          <w:color w:val="000000"/>
          <w:sz w:val="24"/>
          <w:szCs w:val="24"/>
        </w:rPr>
        <w:t xml:space="preserve">, som fejlagtigt kan blive tolket som et tegn på infektion hos immunsupprimerede patienter, som dem der behandles med </w:t>
      </w:r>
      <w:proofErr w:type="spellStart"/>
      <w:r w:rsidRPr="005A2E0C">
        <w:rPr>
          <w:sz w:val="24"/>
          <w:szCs w:val="24"/>
        </w:rPr>
        <w:t>mycophenolatmofetil</w:t>
      </w:r>
      <w:proofErr w:type="spellEnd"/>
      <w:r w:rsidRPr="005A2E0C">
        <w:rPr>
          <w:sz w:val="24"/>
          <w:szCs w:val="24"/>
        </w:rPr>
        <w:t>.</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proofErr w:type="spellStart"/>
      <w:r w:rsidRPr="005A2E0C">
        <w:rPr>
          <w:i/>
          <w:color w:val="000000"/>
          <w:sz w:val="24"/>
          <w:szCs w:val="24"/>
        </w:rPr>
        <w:t>Mave-tarmkanalen</w:t>
      </w:r>
      <w:proofErr w:type="spellEnd"/>
    </w:p>
    <w:p w:rsidR="005A2E0C" w:rsidRPr="005A2E0C" w:rsidRDefault="005A2E0C" w:rsidP="005A2E0C">
      <w:pPr>
        <w:pStyle w:val="Brdtekst"/>
        <w:spacing w:after="0"/>
        <w:ind w:left="851"/>
        <w:rPr>
          <w:iCs/>
          <w:color w:val="000000"/>
          <w:sz w:val="24"/>
          <w:szCs w:val="24"/>
        </w:rPr>
      </w:pPr>
      <w:r w:rsidRPr="005A2E0C">
        <w:rPr>
          <w:iCs/>
          <w:color w:val="000000"/>
          <w:sz w:val="24"/>
          <w:szCs w:val="24"/>
        </w:rPr>
        <w:t xml:space="preserve">De mest alvorlige bivirkninger i fordøjelsessystemet var </w:t>
      </w:r>
      <w:proofErr w:type="spellStart"/>
      <w:r w:rsidRPr="005A2E0C">
        <w:rPr>
          <w:iCs/>
          <w:color w:val="000000"/>
          <w:sz w:val="24"/>
          <w:szCs w:val="24"/>
        </w:rPr>
        <w:t>ulceration</w:t>
      </w:r>
      <w:proofErr w:type="spellEnd"/>
      <w:r w:rsidRPr="005A2E0C">
        <w:rPr>
          <w:iCs/>
          <w:color w:val="000000"/>
          <w:sz w:val="24"/>
          <w:szCs w:val="24"/>
        </w:rPr>
        <w:t xml:space="preserve"> og blødninger, som er velkendte risici associeret med </w:t>
      </w:r>
      <w:bookmarkStart w:id="1" w:name="_Hlk54203227"/>
      <w:proofErr w:type="spellStart"/>
      <w:r w:rsidRPr="005A2E0C">
        <w:rPr>
          <w:iCs/>
          <w:color w:val="000000"/>
          <w:sz w:val="24"/>
          <w:szCs w:val="24"/>
        </w:rPr>
        <w:t>mycophenolatmofetil</w:t>
      </w:r>
      <w:bookmarkEnd w:id="1"/>
      <w:proofErr w:type="spellEnd"/>
      <w:r w:rsidRPr="005A2E0C">
        <w:rPr>
          <w:iCs/>
          <w:color w:val="000000"/>
          <w:sz w:val="24"/>
          <w:szCs w:val="24"/>
        </w:rPr>
        <w:t xml:space="preserve">. Sår i munden, spiserøret, mavesækken, duodenum og tarmene, ofte forværret af blødninger, såvel som </w:t>
      </w:r>
      <w:proofErr w:type="spellStart"/>
      <w:r w:rsidRPr="005A2E0C">
        <w:rPr>
          <w:iCs/>
          <w:color w:val="000000"/>
          <w:sz w:val="24"/>
          <w:szCs w:val="24"/>
        </w:rPr>
        <w:t>hæmatemese</w:t>
      </w:r>
      <w:proofErr w:type="spellEnd"/>
      <w:r w:rsidRPr="005A2E0C">
        <w:rPr>
          <w:iCs/>
          <w:color w:val="000000"/>
          <w:sz w:val="24"/>
          <w:szCs w:val="24"/>
        </w:rPr>
        <w:t xml:space="preserve">, </w:t>
      </w:r>
      <w:proofErr w:type="spellStart"/>
      <w:r w:rsidRPr="005A2E0C">
        <w:rPr>
          <w:iCs/>
          <w:color w:val="000000"/>
          <w:sz w:val="24"/>
          <w:szCs w:val="24"/>
        </w:rPr>
        <w:t>melæna</w:t>
      </w:r>
      <w:proofErr w:type="spellEnd"/>
      <w:r w:rsidRPr="005A2E0C">
        <w:rPr>
          <w:iCs/>
          <w:color w:val="000000"/>
          <w:sz w:val="24"/>
          <w:szCs w:val="24"/>
        </w:rPr>
        <w:t xml:space="preserve"> og </w:t>
      </w:r>
      <w:proofErr w:type="spellStart"/>
      <w:r w:rsidRPr="005A2E0C">
        <w:rPr>
          <w:iCs/>
          <w:color w:val="000000"/>
          <w:sz w:val="24"/>
          <w:szCs w:val="24"/>
        </w:rPr>
        <w:t>hæmoragisk</w:t>
      </w:r>
      <w:proofErr w:type="spellEnd"/>
      <w:r w:rsidRPr="005A2E0C">
        <w:rPr>
          <w:iCs/>
          <w:color w:val="000000"/>
          <w:sz w:val="24"/>
          <w:szCs w:val="24"/>
        </w:rPr>
        <w:t xml:space="preserve"> gastritis og colitis blev indberettet som almindelige bivirkninger i de pivotale kliniske studier. De mest almindelige bivirkninger i fordøjelsessystemet var diarré, kvalme og opkastning. Endoskopi af patienter med </w:t>
      </w:r>
      <w:proofErr w:type="spellStart"/>
      <w:r w:rsidRPr="005A2E0C">
        <w:rPr>
          <w:iCs/>
          <w:color w:val="000000"/>
          <w:sz w:val="24"/>
          <w:szCs w:val="24"/>
        </w:rPr>
        <w:t>mycophenolatmofetil</w:t>
      </w:r>
      <w:proofErr w:type="spellEnd"/>
      <w:r w:rsidRPr="005A2E0C">
        <w:rPr>
          <w:iCs/>
          <w:color w:val="000000"/>
          <w:sz w:val="24"/>
          <w:szCs w:val="24"/>
        </w:rPr>
        <w:t xml:space="preserve"> -relateret diarré har identificeret isolerede tilfælde af </w:t>
      </w:r>
      <w:proofErr w:type="spellStart"/>
      <w:r w:rsidRPr="005A2E0C">
        <w:rPr>
          <w:iCs/>
          <w:color w:val="000000"/>
          <w:sz w:val="24"/>
          <w:szCs w:val="24"/>
        </w:rPr>
        <w:t>intestinal</w:t>
      </w:r>
      <w:proofErr w:type="spellEnd"/>
      <w:r w:rsidRPr="005A2E0C">
        <w:rPr>
          <w:iCs/>
          <w:color w:val="000000"/>
          <w:sz w:val="24"/>
          <w:szCs w:val="24"/>
        </w:rPr>
        <w:t xml:space="preserve"> </w:t>
      </w:r>
      <w:proofErr w:type="spellStart"/>
      <w:r w:rsidRPr="005A2E0C">
        <w:rPr>
          <w:iCs/>
          <w:color w:val="000000"/>
          <w:sz w:val="24"/>
          <w:szCs w:val="24"/>
        </w:rPr>
        <w:t>villøs</w:t>
      </w:r>
      <w:proofErr w:type="spellEnd"/>
      <w:r w:rsidRPr="005A2E0C">
        <w:rPr>
          <w:iCs/>
          <w:color w:val="000000"/>
          <w:sz w:val="24"/>
          <w:szCs w:val="24"/>
        </w:rPr>
        <w:t xml:space="preserve"> atrofi (se </w:t>
      </w:r>
      <w:proofErr w:type="spellStart"/>
      <w:r w:rsidRPr="005A2E0C">
        <w:rPr>
          <w:iCs/>
          <w:color w:val="000000"/>
          <w:sz w:val="24"/>
          <w:szCs w:val="24"/>
        </w:rPr>
        <w:t>pkt</w:t>
      </w:r>
      <w:proofErr w:type="spellEnd"/>
      <w:r w:rsidRPr="005A2E0C">
        <w:rPr>
          <w:iCs/>
          <w:color w:val="000000"/>
          <w:sz w:val="24"/>
          <w:szCs w:val="24"/>
        </w:rPr>
        <w:t xml:space="preserve"> 4.4).</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Hypersensitivitet</w:t>
      </w:r>
    </w:p>
    <w:p w:rsidR="005A2E0C" w:rsidRPr="005A2E0C" w:rsidRDefault="005A2E0C" w:rsidP="005A2E0C">
      <w:pPr>
        <w:pStyle w:val="Brdtekst"/>
        <w:spacing w:after="0"/>
        <w:ind w:left="851"/>
        <w:rPr>
          <w:iCs/>
          <w:color w:val="000000"/>
          <w:sz w:val="24"/>
          <w:szCs w:val="24"/>
        </w:rPr>
      </w:pPr>
      <w:r w:rsidRPr="005A2E0C">
        <w:rPr>
          <w:iCs/>
          <w:color w:val="000000"/>
          <w:sz w:val="24"/>
          <w:szCs w:val="24"/>
        </w:rPr>
        <w:t xml:space="preserve">Hypersensitive reaktioner, herunder </w:t>
      </w:r>
      <w:proofErr w:type="spellStart"/>
      <w:r w:rsidRPr="005A2E0C">
        <w:rPr>
          <w:iCs/>
          <w:color w:val="000000"/>
          <w:sz w:val="24"/>
          <w:szCs w:val="24"/>
        </w:rPr>
        <w:t>angioneurotisk</w:t>
      </w:r>
      <w:proofErr w:type="spellEnd"/>
      <w:r w:rsidRPr="005A2E0C">
        <w:rPr>
          <w:iCs/>
          <w:color w:val="000000"/>
          <w:sz w:val="24"/>
          <w:szCs w:val="24"/>
        </w:rPr>
        <w:t xml:space="preserve"> ødem og </w:t>
      </w:r>
      <w:proofErr w:type="spellStart"/>
      <w:r w:rsidRPr="005A2E0C">
        <w:rPr>
          <w:iCs/>
          <w:color w:val="000000"/>
          <w:sz w:val="24"/>
          <w:szCs w:val="24"/>
        </w:rPr>
        <w:t>anafylaktiske</w:t>
      </w:r>
      <w:proofErr w:type="spellEnd"/>
      <w:r w:rsidRPr="005A2E0C">
        <w:rPr>
          <w:iCs/>
          <w:color w:val="000000"/>
          <w:sz w:val="24"/>
          <w:szCs w:val="24"/>
        </w:rPr>
        <w:t xml:space="preserve"> reaktioner, er blevet rapporteret.</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 xml:space="preserve">Graviditet, </w:t>
      </w:r>
      <w:proofErr w:type="spellStart"/>
      <w:r w:rsidRPr="005A2E0C">
        <w:rPr>
          <w:i/>
          <w:color w:val="000000"/>
          <w:sz w:val="24"/>
          <w:szCs w:val="24"/>
        </w:rPr>
        <w:t>puerperium</w:t>
      </w:r>
      <w:proofErr w:type="spellEnd"/>
      <w:r w:rsidRPr="005A2E0C">
        <w:rPr>
          <w:i/>
          <w:color w:val="000000"/>
          <w:sz w:val="24"/>
          <w:szCs w:val="24"/>
        </w:rPr>
        <w:t xml:space="preserve"> og den </w:t>
      </w:r>
      <w:proofErr w:type="spellStart"/>
      <w:r w:rsidRPr="005A2E0C">
        <w:rPr>
          <w:i/>
          <w:color w:val="000000"/>
          <w:sz w:val="24"/>
          <w:szCs w:val="24"/>
        </w:rPr>
        <w:t>perinatale</w:t>
      </w:r>
      <w:proofErr w:type="spellEnd"/>
      <w:r w:rsidRPr="005A2E0C">
        <w:rPr>
          <w:i/>
          <w:color w:val="000000"/>
          <w:sz w:val="24"/>
          <w:szCs w:val="24"/>
        </w:rPr>
        <w:t xml:space="preserve"> periode</w:t>
      </w:r>
    </w:p>
    <w:p w:rsidR="005A2E0C" w:rsidRPr="005A2E0C" w:rsidRDefault="005A2E0C" w:rsidP="005A2E0C">
      <w:pPr>
        <w:pStyle w:val="Brdtekst"/>
        <w:spacing w:after="0"/>
        <w:ind w:left="851"/>
        <w:rPr>
          <w:iCs/>
          <w:color w:val="000000"/>
          <w:sz w:val="24"/>
          <w:szCs w:val="24"/>
        </w:rPr>
      </w:pPr>
      <w:r w:rsidRPr="005A2E0C">
        <w:rPr>
          <w:iCs/>
          <w:color w:val="000000"/>
          <w:sz w:val="24"/>
          <w:szCs w:val="24"/>
        </w:rPr>
        <w:t xml:space="preserve">Der er rapporteret tilfælde af spontan abort hos patienter, som har været eksponeret for </w:t>
      </w:r>
      <w:proofErr w:type="spellStart"/>
      <w:r w:rsidRPr="005A2E0C">
        <w:rPr>
          <w:iCs/>
          <w:color w:val="000000"/>
          <w:sz w:val="24"/>
          <w:szCs w:val="24"/>
        </w:rPr>
        <w:t>mycophenolatmofetil</w:t>
      </w:r>
      <w:proofErr w:type="spellEnd"/>
      <w:r w:rsidRPr="005A2E0C">
        <w:rPr>
          <w:iCs/>
          <w:color w:val="000000"/>
          <w:sz w:val="24"/>
          <w:szCs w:val="24"/>
        </w:rPr>
        <w:t>, hovedsagelig i første trimester (se pkt. 4.6).</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Medfødte misdannelser</w:t>
      </w:r>
    </w:p>
    <w:p w:rsidR="005A2E0C" w:rsidRPr="005A2E0C" w:rsidRDefault="005A2E0C" w:rsidP="005A2E0C">
      <w:pPr>
        <w:pStyle w:val="Brdtekst"/>
        <w:spacing w:after="0"/>
        <w:ind w:left="851"/>
        <w:rPr>
          <w:iCs/>
          <w:color w:val="000000"/>
          <w:sz w:val="24"/>
          <w:szCs w:val="24"/>
        </w:rPr>
      </w:pPr>
      <w:r w:rsidRPr="005A2E0C">
        <w:rPr>
          <w:iCs/>
          <w:color w:val="000000"/>
          <w:sz w:val="24"/>
          <w:szCs w:val="24"/>
        </w:rPr>
        <w:t xml:space="preserve">Efter markedsføring er der blevet observeret medfødte misdannelser hos børn af patienter, der har været eksponeret for </w:t>
      </w:r>
      <w:proofErr w:type="spellStart"/>
      <w:r w:rsidRPr="005A2E0C">
        <w:rPr>
          <w:sz w:val="24"/>
          <w:szCs w:val="24"/>
        </w:rPr>
        <w:t>mycophenolatmofetil</w:t>
      </w:r>
      <w:proofErr w:type="spellEnd"/>
      <w:r w:rsidRPr="005A2E0C">
        <w:rPr>
          <w:iCs/>
          <w:color w:val="000000"/>
          <w:sz w:val="24"/>
          <w:szCs w:val="24"/>
        </w:rPr>
        <w:t xml:space="preserve"> i kombination med andre </w:t>
      </w:r>
      <w:proofErr w:type="spellStart"/>
      <w:r w:rsidRPr="005A2E0C">
        <w:rPr>
          <w:iCs/>
          <w:color w:val="000000"/>
          <w:sz w:val="24"/>
          <w:szCs w:val="24"/>
        </w:rPr>
        <w:t>immunsuppressiva</w:t>
      </w:r>
      <w:proofErr w:type="spellEnd"/>
      <w:r w:rsidRPr="005A2E0C">
        <w:rPr>
          <w:iCs/>
          <w:color w:val="000000"/>
          <w:sz w:val="24"/>
          <w:szCs w:val="24"/>
        </w:rPr>
        <w:t xml:space="preserve"> (se pkt. 4.6).</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 xml:space="preserve">Luftveje, thorax og </w:t>
      </w:r>
      <w:proofErr w:type="spellStart"/>
      <w:r w:rsidRPr="005A2E0C">
        <w:rPr>
          <w:i/>
          <w:color w:val="000000"/>
          <w:sz w:val="24"/>
          <w:szCs w:val="24"/>
        </w:rPr>
        <w:t>mediastinum</w:t>
      </w:r>
      <w:proofErr w:type="spellEnd"/>
    </w:p>
    <w:p w:rsidR="005A2E0C" w:rsidRPr="005A2E0C" w:rsidRDefault="005A2E0C" w:rsidP="005A2E0C">
      <w:pPr>
        <w:pStyle w:val="Brdtekst"/>
        <w:spacing w:after="0"/>
        <w:ind w:left="851"/>
        <w:rPr>
          <w:iCs/>
          <w:color w:val="000000"/>
          <w:sz w:val="24"/>
          <w:szCs w:val="24"/>
        </w:rPr>
      </w:pPr>
      <w:r w:rsidRPr="005A2E0C">
        <w:rPr>
          <w:iCs/>
          <w:color w:val="000000"/>
          <w:sz w:val="24"/>
          <w:szCs w:val="24"/>
        </w:rPr>
        <w:t xml:space="preserve">Der er rapporteret om enkelte tilfælde af </w:t>
      </w:r>
      <w:proofErr w:type="spellStart"/>
      <w:r w:rsidRPr="005A2E0C">
        <w:rPr>
          <w:iCs/>
          <w:color w:val="000000"/>
          <w:sz w:val="24"/>
          <w:szCs w:val="24"/>
        </w:rPr>
        <w:t>interstitiel</w:t>
      </w:r>
      <w:proofErr w:type="spellEnd"/>
      <w:r w:rsidRPr="005A2E0C">
        <w:rPr>
          <w:iCs/>
          <w:color w:val="000000"/>
          <w:sz w:val="24"/>
          <w:szCs w:val="24"/>
        </w:rPr>
        <w:t xml:space="preserve"> lungesygdom og lungefibrose hos patienter, som fik </w:t>
      </w:r>
      <w:proofErr w:type="spellStart"/>
      <w:r w:rsidRPr="005A2E0C">
        <w:rPr>
          <w:sz w:val="24"/>
          <w:szCs w:val="24"/>
        </w:rPr>
        <w:t>mycophenolatmofetil</w:t>
      </w:r>
      <w:proofErr w:type="spellEnd"/>
      <w:r w:rsidRPr="005A2E0C">
        <w:rPr>
          <w:iCs/>
          <w:color w:val="000000"/>
          <w:sz w:val="24"/>
          <w:szCs w:val="24"/>
        </w:rPr>
        <w:t xml:space="preserve"> i kombination med andre </w:t>
      </w:r>
      <w:proofErr w:type="spellStart"/>
      <w:r w:rsidRPr="005A2E0C">
        <w:rPr>
          <w:iCs/>
          <w:color w:val="000000"/>
          <w:sz w:val="24"/>
          <w:szCs w:val="24"/>
        </w:rPr>
        <w:t>immunsuppressiva</w:t>
      </w:r>
      <w:proofErr w:type="spellEnd"/>
      <w:r w:rsidRPr="005A2E0C">
        <w:rPr>
          <w:iCs/>
          <w:color w:val="000000"/>
          <w:sz w:val="24"/>
          <w:szCs w:val="24"/>
        </w:rPr>
        <w:t xml:space="preserve">. Nogle af tilfældene var dødelige. Der er også rapporteret </w:t>
      </w:r>
      <w:proofErr w:type="spellStart"/>
      <w:r w:rsidRPr="005A2E0C">
        <w:rPr>
          <w:iCs/>
          <w:color w:val="000000"/>
          <w:sz w:val="24"/>
          <w:szCs w:val="24"/>
        </w:rPr>
        <w:t>bronkiektasi</w:t>
      </w:r>
      <w:proofErr w:type="spellEnd"/>
      <w:r w:rsidRPr="005A2E0C">
        <w:rPr>
          <w:iCs/>
          <w:color w:val="000000"/>
          <w:sz w:val="24"/>
          <w:szCs w:val="24"/>
        </w:rPr>
        <w:t xml:space="preserve"> hos børn og voksne.</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Immunsystemet</w:t>
      </w:r>
    </w:p>
    <w:p w:rsidR="005A2E0C" w:rsidRPr="005A2E0C" w:rsidRDefault="005A2E0C" w:rsidP="005A2E0C">
      <w:pPr>
        <w:pStyle w:val="Brdtekst"/>
        <w:spacing w:after="0"/>
        <w:ind w:left="851"/>
        <w:rPr>
          <w:iCs/>
          <w:color w:val="000000"/>
          <w:sz w:val="24"/>
          <w:szCs w:val="24"/>
        </w:rPr>
      </w:pPr>
      <w:proofErr w:type="spellStart"/>
      <w:r w:rsidRPr="005A2E0C">
        <w:rPr>
          <w:iCs/>
          <w:color w:val="000000"/>
          <w:sz w:val="24"/>
          <w:szCs w:val="24"/>
        </w:rPr>
        <w:t>Hypogammaglobulinæmi</w:t>
      </w:r>
      <w:proofErr w:type="spellEnd"/>
      <w:r w:rsidRPr="005A2E0C">
        <w:rPr>
          <w:iCs/>
          <w:color w:val="000000"/>
          <w:sz w:val="24"/>
          <w:szCs w:val="24"/>
        </w:rPr>
        <w:t xml:space="preserve"> er rapporteret hos patienter, der har fået </w:t>
      </w:r>
      <w:proofErr w:type="spellStart"/>
      <w:r w:rsidRPr="005A2E0C">
        <w:rPr>
          <w:sz w:val="24"/>
          <w:szCs w:val="24"/>
        </w:rPr>
        <w:t>mycophenolatmofetil</w:t>
      </w:r>
      <w:proofErr w:type="spellEnd"/>
      <w:r w:rsidRPr="005A2E0C">
        <w:rPr>
          <w:iCs/>
          <w:color w:val="000000"/>
          <w:sz w:val="24"/>
          <w:szCs w:val="24"/>
        </w:rPr>
        <w:t xml:space="preserve"> i kombination med andre </w:t>
      </w:r>
      <w:proofErr w:type="spellStart"/>
      <w:r w:rsidRPr="005A2E0C">
        <w:rPr>
          <w:iCs/>
          <w:color w:val="000000"/>
          <w:sz w:val="24"/>
          <w:szCs w:val="24"/>
        </w:rPr>
        <w:t>immunsuppressiva</w:t>
      </w:r>
      <w:proofErr w:type="spellEnd"/>
      <w:r w:rsidRPr="005A2E0C">
        <w:rPr>
          <w:iCs/>
          <w:color w:val="000000"/>
          <w:sz w:val="24"/>
          <w:szCs w:val="24"/>
        </w:rPr>
        <w:t>.</w:t>
      </w:r>
    </w:p>
    <w:p w:rsidR="005A2E0C" w:rsidRPr="005A2E0C" w:rsidRDefault="005A2E0C" w:rsidP="005A2E0C">
      <w:pPr>
        <w:pStyle w:val="Brdtekst"/>
        <w:spacing w:after="0"/>
        <w:ind w:left="851"/>
        <w:rPr>
          <w:i/>
          <w:color w:val="000000"/>
          <w:sz w:val="24"/>
          <w:szCs w:val="24"/>
        </w:rPr>
      </w:pPr>
    </w:p>
    <w:p w:rsidR="005A2E0C" w:rsidRPr="005A2E0C" w:rsidRDefault="005A2E0C" w:rsidP="005A2E0C">
      <w:pPr>
        <w:ind w:left="851"/>
        <w:rPr>
          <w:i/>
          <w:color w:val="000000"/>
          <w:sz w:val="24"/>
          <w:szCs w:val="24"/>
        </w:rPr>
      </w:pPr>
      <w:r w:rsidRPr="005A2E0C">
        <w:rPr>
          <w:i/>
          <w:color w:val="000000"/>
          <w:sz w:val="24"/>
          <w:szCs w:val="24"/>
        </w:rPr>
        <w:t>Almene symptomer og reaktioner på administrationsstedet</w:t>
      </w:r>
    </w:p>
    <w:p w:rsidR="005B1862" w:rsidRPr="00D666FC" w:rsidRDefault="005A2E0C" w:rsidP="005B1862">
      <w:pPr>
        <w:autoSpaceDE w:val="0"/>
        <w:autoSpaceDN w:val="0"/>
        <w:adjustRightInd w:val="0"/>
        <w:ind w:left="851"/>
        <w:rPr>
          <w:sz w:val="24"/>
          <w:szCs w:val="24"/>
        </w:rPr>
      </w:pPr>
      <w:r w:rsidRPr="005A2E0C">
        <w:rPr>
          <w:iCs/>
          <w:color w:val="000000"/>
          <w:sz w:val="24"/>
          <w:szCs w:val="24"/>
        </w:rPr>
        <w:t xml:space="preserve">Ødemer, inklusive perifere, ansigts- og </w:t>
      </w:r>
      <w:proofErr w:type="spellStart"/>
      <w:r w:rsidRPr="005A2E0C">
        <w:rPr>
          <w:iCs/>
          <w:color w:val="000000"/>
          <w:sz w:val="24"/>
          <w:szCs w:val="24"/>
        </w:rPr>
        <w:t>skrotalødemer</w:t>
      </w:r>
      <w:proofErr w:type="spellEnd"/>
      <w:r w:rsidRPr="005A2E0C">
        <w:rPr>
          <w:iCs/>
          <w:color w:val="000000"/>
          <w:sz w:val="24"/>
          <w:szCs w:val="24"/>
        </w:rPr>
        <w:t>, blev indberettet som meget almindelige bivirkninger i de pivotale kliniske studier. Smerter i led og muskler som myalgi, nakke- og rygsmerter blev også indberettet som meget almindelige bivirkninger.</w:t>
      </w:r>
      <w:r w:rsidR="005B1862">
        <w:rPr>
          <w:iCs/>
          <w:color w:val="000000"/>
          <w:sz w:val="24"/>
          <w:szCs w:val="24"/>
        </w:rPr>
        <w:t xml:space="preserve"> </w:t>
      </w:r>
      <w:r w:rsidR="005B1862" w:rsidRPr="00817D17">
        <w:rPr>
          <w:i/>
          <w:iCs/>
          <w:sz w:val="24"/>
          <w:szCs w:val="24"/>
        </w:rPr>
        <w:lastRenderedPageBreak/>
        <w:t xml:space="preserve">De </w:t>
      </w:r>
      <w:proofErr w:type="spellStart"/>
      <w:r w:rsidR="005B1862" w:rsidRPr="00817D17">
        <w:rPr>
          <w:i/>
          <w:iCs/>
          <w:sz w:val="24"/>
          <w:szCs w:val="24"/>
        </w:rPr>
        <w:t>novo</w:t>
      </w:r>
      <w:proofErr w:type="spellEnd"/>
      <w:r w:rsidR="005B1862" w:rsidRPr="00817D17">
        <w:rPr>
          <w:i/>
          <w:iCs/>
          <w:sz w:val="24"/>
          <w:szCs w:val="24"/>
        </w:rPr>
        <w:t xml:space="preserve"> </w:t>
      </w:r>
      <w:proofErr w:type="spellStart"/>
      <w:r w:rsidR="005B1862" w:rsidRPr="00817D17">
        <w:rPr>
          <w:sz w:val="24"/>
          <w:szCs w:val="24"/>
        </w:rPr>
        <w:t>purinsyntese</w:t>
      </w:r>
      <w:proofErr w:type="spellEnd"/>
      <w:r w:rsidR="005B1862" w:rsidRPr="00817D17">
        <w:rPr>
          <w:sz w:val="24"/>
          <w:szCs w:val="24"/>
        </w:rPr>
        <w:t xml:space="preserve"> </w:t>
      </w:r>
      <w:proofErr w:type="spellStart"/>
      <w:r w:rsidR="005B1862" w:rsidRPr="00817D17">
        <w:rPr>
          <w:sz w:val="24"/>
          <w:szCs w:val="24"/>
        </w:rPr>
        <w:t>hæmmere</w:t>
      </w:r>
      <w:proofErr w:type="spellEnd"/>
      <w:r w:rsidR="005B1862" w:rsidRPr="00817D17">
        <w:rPr>
          <w:sz w:val="24"/>
          <w:szCs w:val="24"/>
        </w:rPr>
        <w:t xml:space="preserve"> forbundet med akut inflammatorisk syndrom er blevet beskrevet efter markedsføringen som en paradoks proinflammatorisk reaktion forbundet med </w:t>
      </w:r>
      <w:proofErr w:type="spellStart"/>
      <w:r w:rsidR="005B1862" w:rsidRPr="00817D17">
        <w:rPr>
          <w:sz w:val="24"/>
          <w:szCs w:val="24"/>
        </w:rPr>
        <w:t>mycophenolatmofetil</w:t>
      </w:r>
      <w:proofErr w:type="spellEnd"/>
      <w:r w:rsidR="005B1862" w:rsidRPr="00817D17">
        <w:rPr>
          <w:sz w:val="24"/>
          <w:szCs w:val="24"/>
        </w:rPr>
        <w:t xml:space="preserve"> og </w:t>
      </w:r>
      <w:proofErr w:type="spellStart"/>
      <w:r w:rsidR="005B1862" w:rsidRPr="00817D17">
        <w:rPr>
          <w:sz w:val="24"/>
          <w:szCs w:val="24"/>
        </w:rPr>
        <w:t>mycophenolsyre</w:t>
      </w:r>
      <w:proofErr w:type="spellEnd"/>
      <w:r w:rsidR="005B1862" w:rsidRPr="00817D17">
        <w:rPr>
          <w:sz w:val="24"/>
          <w:szCs w:val="24"/>
        </w:rPr>
        <w:t xml:space="preserve">, karakteriseret ved feber, </w:t>
      </w:r>
      <w:proofErr w:type="spellStart"/>
      <w:r w:rsidR="005B1862" w:rsidRPr="00817D17">
        <w:rPr>
          <w:sz w:val="24"/>
          <w:szCs w:val="24"/>
        </w:rPr>
        <w:t>arthralgi</w:t>
      </w:r>
      <w:proofErr w:type="spellEnd"/>
      <w:r w:rsidR="005B1862" w:rsidRPr="00817D17">
        <w:rPr>
          <w:sz w:val="24"/>
          <w:szCs w:val="24"/>
        </w:rPr>
        <w:t xml:space="preserve">, artritis, muskelsmerter og forhøjede inflammatoriske markører. Kasuistikker fra litteraturen viste hurtig forbedring efter </w:t>
      </w:r>
      <w:proofErr w:type="spellStart"/>
      <w:r w:rsidR="005B1862" w:rsidRPr="00817D17">
        <w:rPr>
          <w:sz w:val="24"/>
          <w:szCs w:val="24"/>
        </w:rPr>
        <w:t>seponering</w:t>
      </w:r>
      <w:proofErr w:type="spellEnd"/>
      <w:r w:rsidR="005B1862" w:rsidRPr="00817D17">
        <w:rPr>
          <w:sz w:val="24"/>
          <w:szCs w:val="24"/>
        </w:rPr>
        <w:t xml:space="preserve"> af lægemidlet.</w:t>
      </w:r>
    </w:p>
    <w:p w:rsidR="005A2E0C" w:rsidRPr="005A2E0C" w:rsidRDefault="005A2E0C" w:rsidP="005A2E0C">
      <w:pPr>
        <w:pStyle w:val="Brdtekst"/>
        <w:spacing w:after="0"/>
        <w:ind w:left="851" w:hanging="1"/>
        <w:rPr>
          <w:iCs/>
          <w:color w:val="000000"/>
          <w:sz w:val="24"/>
          <w:szCs w:val="24"/>
        </w:rPr>
      </w:pPr>
    </w:p>
    <w:p w:rsidR="005A2E0C" w:rsidRPr="005A2E0C" w:rsidRDefault="005A2E0C" w:rsidP="005A2E0C">
      <w:pPr>
        <w:pStyle w:val="Brdtekst"/>
        <w:spacing w:after="0"/>
        <w:ind w:left="851"/>
        <w:rPr>
          <w:i/>
          <w:color w:val="000000"/>
          <w:sz w:val="24"/>
          <w:szCs w:val="24"/>
        </w:rPr>
      </w:pPr>
      <w:r w:rsidRPr="005A2E0C">
        <w:rPr>
          <w:i/>
          <w:color w:val="000000"/>
          <w:sz w:val="24"/>
          <w:szCs w:val="24"/>
        </w:rPr>
        <w:t>Særlige populationer</w:t>
      </w:r>
    </w:p>
    <w:p w:rsidR="005A2E0C" w:rsidRPr="005A2E0C" w:rsidRDefault="005A2E0C" w:rsidP="005A2E0C">
      <w:pPr>
        <w:ind w:left="851"/>
        <w:rPr>
          <w:i/>
          <w:color w:val="000000"/>
          <w:sz w:val="24"/>
          <w:szCs w:val="24"/>
        </w:rPr>
      </w:pPr>
      <w:r w:rsidRPr="005A2E0C">
        <w:rPr>
          <w:i/>
          <w:color w:val="000000"/>
          <w:sz w:val="24"/>
          <w:szCs w:val="24"/>
        </w:rPr>
        <w:t>Ældre</w:t>
      </w:r>
    </w:p>
    <w:p w:rsidR="005A2E0C" w:rsidRPr="005A2E0C" w:rsidRDefault="005A2E0C" w:rsidP="005A2E0C">
      <w:pPr>
        <w:autoSpaceDE w:val="0"/>
        <w:autoSpaceDN w:val="0"/>
        <w:adjustRightInd w:val="0"/>
        <w:ind w:left="851"/>
        <w:rPr>
          <w:iCs/>
          <w:color w:val="000000"/>
          <w:sz w:val="24"/>
          <w:szCs w:val="24"/>
        </w:rPr>
      </w:pPr>
      <w:r w:rsidRPr="005A2E0C">
        <w:rPr>
          <w:iCs/>
          <w:color w:val="000000"/>
          <w:sz w:val="24"/>
          <w:szCs w:val="24"/>
        </w:rPr>
        <w:t>Ældre patienter (</w:t>
      </w:r>
      <w:r w:rsidRPr="005A2E0C">
        <w:rPr>
          <w:color w:val="000000"/>
          <w:sz w:val="24"/>
          <w:szCs w:val="24"/>
        </w:rPr>
        <w:t>≥</w:t>
      </w:r>
      <w:r w:rsidRPr="005A2E0C">
        <w:rPr>
          <w:iCs/>
          <w:color w:val="000000"/>
          <w:sz w:val="24"/>
          <w:szCs w:val="24"/>
        </w:rPr>
        <w:t xml:space="preserve"> 65 år) har i almindelighed større risiko for bivirkninger pga. immunsuppression. Ældre patienter, som får </w:t>
      </w:r>
      <w:proofErr w:type="spellStart"/>
      <w:r w:rsidRPr="005A2E0C">
        <w:rPr>
          <w:sz w:val="24"/>
          <w:szCs w:val="24"/>
        </w:rPr>
        <w:t>mycophenolatmofetil</w:t>
      </w:r>
      <w:proofErr w:type="spellEnd"/>
      <w:r w:rsidRPr="005A2E0C">
        <w:rPr>
          <w:iCs/>
          <w:color w:val="000000"/>
          <w:sz w:val="24"/>
          <w:szCs w:val="24"/>
        </w:rPr>
        <w:t xml:space="preserve"> som led i et immunsuppressivt kombinationsregime har, sammenlignet med yngre patienter, højere risiko for visse infektioner (inklusiv invasiv vævssygdom forårsaget af </w:t>
      </w:r>
      <w:proofErr w:type="spellStart"/>
      <w:r w:rsidRPr="005A2E0C">
        <w:rPr>
          <w:iCs/>
          <w:color w:val="000000"/>
          <w:sz w:val="24"/>
          <w:szCs w:val="24"/>
        </w:rPr>
        <w:t>cytomegalovirus</w:t>
      </w:r>
      <w:proofErr w:type="spellEnd"/>
      <w:r w:rsidRPr="005A2E0C">
        <w:rPr>
          <w:iCs/>
          <w:color w:val="000000"/>
          <w:sz w:val="24"/>
          <w:szCs w:val="24"/>
        </w:rPr>
        <w:t xml:space="preserve">) og muligvis for </w:t>
      </w:r>
      <w:proofErr w:type="spellStart"/>
      <w:r w:rsidRPr="005A2E0C">
        <w:rPr>
          <w:iCs/>
          <w:color w:val="000000"/>
          <w:sz w:val="24"/>
          <w:szCs w:val="24"/>
        </w:rPr>
        <w:t>gastrointestinal</w:t>
      </w:r>
      <w:proofErr w:type="spellEnd"/>
      <w:r w:rsidRPr="005A2E0C">
        <w:rPr>
          <w:iCs/>
          <w:color w:val="000000"/>
          <w:sz w:val="24"/>
          <w:szCs w:val="24"/>
        </w:rPr>
        <w:t xml:space="preserve"> blødning og lungeødem.</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ind w:left="851"/>
        <w:rPr>
          <w:sz w:val="24"/>
          <w:szCs w:val="24"/>
          <w:u w:val="single"/>
          <w:lang w:eastAsia="da-DK"/>
        </w:rPr>
      </w:pPr>
      <w:r w:rsidRPr="005A2E0C">
        <w:rPr>
          <w:sz w:val="24"/>
          <w:szCs w:val="24"/>
          <w:u w:val="single"/>
          <w:lang w:eastAsia="da-DK"/>
        </w:rPr>
        <w:t>Indberetning af formodede bivirkninger</w:t>
      </w:r>
    </w:p>
    <w:p w:rsidR="005A2E0C" w:rsidRPr="005A2E0C" w:rsidRDefault="005A2E0C" w:rsidP="005A2E0C">
      <w:pPr>
        <w:ind w:left="851"/>
        <w:rPr>
          <w:sz w:val="24"/>
          <w:szCs w:val="24"/>
          <w:lang w:eastAsia="da-DK"/>
        </w:rPr>
      </w:pPr>
      <w:r w:rsidRPr="005A2E0C">
        <w:rPr>
          <w:sz w:val="24"/>
          <w:szCs w:val="24"/>
          <w:lang w:eastAsia="da-DK"/>
        </w:rPr>
        <w:t>Når lægemidlet er godkendt, er indberetning af formodede bivirkninger vigtig. Det muliggør løbende overvågning af benefit/</w:t>
      </w:r>
      <w:proofErr w:type="spellStart"/>
      <w:r w:rsidRPr="005A2E0C">
        <w:rPr>
          <w:sz w:val="24"/>
          <w:szCs w:val="24"/>
          <w:lang w:eastAsia="da-DK"/>
        </w:rPr>
        <w:t>risk</w:t>
      </w:r>
      <w:proofErr w:type="spellEnd"/>
      <w:r w:rsidRPr="005A2E0C">
        <w:rPr>
          <w:sz w:val="24"/>
          <w:szCs w:val="24"/>
          <w:lang w:eastAsia="da-DK"/>
        </w:rPr>
        <w:t>-forholdet for lægemidlet. Sundhedspersoner om at indberette alle formodede bivirkninger via:</w:t>
      </w:r>
    </w:p>
    <w:p w:rsidR="005A2E0C" w:rsidRPr="005A2E0C" w:rsidRDefault="005A2E0C" w:rsidP="005A2E0C">
      <w:pPr>
        <w:ind w:left="851"/>
        <w:rPr>
          <w:sz w:val="24"/>
          <w:szCs w:val="24"/>
          <w:lang w:eastAsia="da-DK"/>
        </w:rPr>
      </w:pPr>
    </w:p>
    <w:p w:rsidR="005A2E0C" w:rsidRPr="005A2E0C" w:rsidRDefault="005A2E0C" w:rsidP="005A2E0C">
      <w:pPr>
        <w:ind w:left="851"/>
        <w:rPr>
          <w:sz w:val="24"/>
          <w:szCs w:val="24"/>
          <w:lang w:eastAsia="da-DK"/>
        </w:rPr>
      </w:pPr>
      <w:r w:rsidRPr="005A2E0C">
        <w:rPr>
          <w:sz w:val="24"/>
          <w:szCs w:val="24"/>
          <w:lang w:eastAsia="da-DK"/>
        </w:rPr>
        <w:t>Lægemiddelstyrelsen</w:t>
      </w:r>
    </w:p>
    <w:p w:rsidR="005A2E0C" w:rsidRPr="005A2E0C" w:rsidRDefault="005A2E0C" w:rsidP="005A2E0C">
      <w:pPr>
        <w:ind w:left="851"/>
        <w:rPr>
          <w:sz w:val="24"/>
          <w:szCs w:val="24"/>
          <w:lang w:eastAsia="da-DK"/>
        </w:rPr>
      </w:pPr>
      <w:r w:rsidRPr="005A2E0C">
        <w:rPr>
          <w:sz w:val="24"/>
          <w:szCs w:val="24"/>
          <w:lang w:eastAsia="da-DK"/>
        </w:rPr>
        <w:t>Axel Heides Gade 1</w:t>
      </w:r>
    </w:p>
    <w:p w:rsidR="005A2E0C" w:rsidRPr="005A2E0C" w:rsidRDefault="005A2E0C" w:rsidP="005A2E0C">
      <w:pPr>
        <w:ind w:left="851"/>
        <w:rPr>
          <w:sz w:val="24"/>
          <w:szCs w:val="24"/>
          <w:lang w:eastAsia="da-DK"/>
        </w:rPr>
      </w:pPr>
      <w:r w:rsidRPr="005A2E0C">
        <w:rPr>
          <w:sz w:val="24"/>
          <w:szCs w:val="24"/>
          <w:lang w:eastAsia="da-DK"/>
        </w:rPr>
        <w:t>DK-2300 København S</w:t>
      </w:r>
    </w:p>
    <w:p w:rsidR="00B065AB" w:rsidRPr="00041BBE" w:rsidRDefault="005A2E0C" w:rsidP="00A77255">
      <w:pPr>
        <w:ind w:left="851"/>
        <w:rPr>
          <w:sz w:val="24"/>
          <w:szCs w:val="24"/>
          <w:lang w:eastAsia="da-DK"/>
        </w:rPr>
      </w:pPr>
      <w:r w:rsidRPr="005A2E0C">
        <w:rPr>
          <w:sz w:val="24"/>
          <w:szCs w:val="24"/>
          <w:lang w:eastAsia="da-DK"/>
        </w:rPr>
        <w:t xml:space="preserve">Websted: </w:t>
      </w:r>
      <w:hyperlink r:id="rId8" w:history="1">
        <w:r w:rsidRPr="005A2E0C">
          <w:rPr>
            <w:rStyle w:val="Hyperlink"/>
            <w:sz w:val="24"/>
            <w:szCs w:val="24"/>
            <w:lang w:eastAsia="da-DK"/>
          </w:rPr>
          <w:t>www.meldenbivirkning.dk</w:t>
        </w:r>
      </w:hyperlink>
      <w:r w:rsidRPr="005A2E0C">
        <w:rPr>
          <w:sz w:val="24"/>
          <w:szCs w:val="24"/>
          <w:lang w:eastAsia="da-DK"/>
        </w:rPr>
        <w:t xml:space="preserve"> </w:t>
      </w:r>
    </w:p>
    <w:p w:rsidR="00B065AB" w:rsidRPr="00041BBE" w:rsidRDefault="00B065AB" w:rsidP="00B065AB">
      <w:pPr>
        <w:autoSpaceDE w:val="0"/>
        <w:autoSpaceDN w:val="0"/>
        <w:adjustRightInd w:val="0"/>
        <w:ind w:left="851"/>
        <w:rPr>
          <w:bCs/>
          <w:color w:val="000000"/>
          <w:sz w:val="24"/>
          <w:szCs w:val="24"/>
        </w:rPr>
      </w:pPr>
    </w:p>
    <w:p w:rsidR="00B065AB" w:rsidRPr="007205D5" w:rsidRDefault="00B065AB" w:rsidP="00B065AB">
      <w:pPr>
        <w:ind w:left="851" w:hanging="851"/>
        <w:rPr>
          <w:b/>
          <w:sz w:val="24"/>
          <w:szCs w:val="24"/>
        </w:rPr>
      </w:pPr>
      <w:r w:rsidRPr="007205D5">
        <w:rPr>
          <w:b/>
          <w:sz w:val="24"/>
          <w:szCs w:val="24"/>
        </w:rPr>
        <w:t>4.9</w:t>
      </w:r>
      <w:r w:rsidRPr="007205D5">
        <w:rPr>
          <w:b/>
          <w:sz w:val="24"/>
          <w:szCs w:val="24"/>
        </w:rPr>
        <w:tab/>
        <w:t>Overdosering</w:t>
      </w:r>
    </w:p>
    <w:p w:rsidR="00B065AB" w:rsidRPr="007205D5" w:rsidRDefault="00B065AB" w:rsidP="00B065AB">
      <w:pPr>
        <w:autoSpaceDE w:val="0"/>
        <w:autoSpaceDN w:val="0"/>
        <w:adjustRightInd w:val="0"/>
        <w:ind w:left="851" w:hanging="851"/>
        <w:rPr>
          <w:color w:val="000000"/>
          <w:sz w:val="24"/>
          <w:szCs w:val="24"/>
        </w:rPr>
      </w:pPr>
      <w:r w:rsidRPr="007205D5">
        <w:rPr>
          <w:sz w:val="24"/>
          <w:szCs w:val="24"/>
        </w:rPr>
        <w:tab/>
      </w:r>
      <w:r w:rsidRPr="007205D5">
        <w:rPr>
          <w:color w:val="000000"/>
          <w:sz w:val="24"/>
          <w:szCs w:val="24"/>
        </w:rPr>
        <w:t xml:space="preserve">Der er modtaget rapporter om overdosering med </w:t>
      </w:r>
      <w:proofErr w:type="spellStart"/>
      <w:r w:rsidRPr="007205D5">
        <w:rPr>
          <w:color w:val="000000"/>
          <w:sz w:val="24"/>
          <w:szCs w:val="24"/>
        </w:rPr>
        <w:t>mycophenolatmofetil</w:t>
      </w:r>
      <w:proofErr w:type="spellEnd"/>
      <w:r w:rsidRPr="007205D5">
        <w:rPr>
          <w:color w:val="000000"/>
          <w:sz w:val="24"/>
          <w:szCs w:val="24"/>
        </w:rPr>
        <w:t xml:space="preserve"> fra kliniske forsøg og efter markedsføring. I mange af disse tilfælde blev der ikke rapporteret uønskede hændelser. I de tilfælde af overdosis, hvor der var uønskede hændelser, lå disse at være inden for den kendte sikkerhedsprofil for lægemidlet.</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Det forventes, at en overdosis af </w:t>
      </w:r>
      <w:proofErr w:type="spellStart"/>
      <w:r w:rsidRPr="007205D5">
        <w:rPr>
          <w:color w:val="000000"/>
          <w:sz w:val="24"/>
          <w:szCs w:val="24"/>
        </w:rPr>
        <w:t>mycophenolatmofetil</w:t>
      </w:r>
      <w:proofErr w:type="spellEnd"/>
      <w:r w:rsidRPr="007205D5">
        <w:rPr>
          <w:color w:val="000000"/>
          <w:sz w:val="24"/>
          <w:szCs w:val="24"/>
        </w:rPr>
        <w:t xml:space="preserve"> muligvis kan medføre oversuppression af immunsystemet og dermed forøge modtageligheden over for infektioner og knoglemarvsdepression (se pkt. 4.4). Hvis der udvikles </w:t>
      </w:r>
      <w:proofErr w:type="spellStart"/>
      <w:r w:rsidRPr="007205D5">
        <w:rPr>
          <w:color w:val="000000"/>
          <w:sz w:val="24"/>
          <w:szCs w:val="24"/>
        </w:rPr>
        <w:t>neutropeni</w:t>
      </w:r>
      <w:proofErr w:type="spellEnd"/>
      <w:r w:rsidRPr="007205D5">
        <w:rPr>
          <w:color w:val="000000"/>
          <w:sz w:val="24"/>
          <w:szCs w:val="24"/>
        </w:rPr>
        <w:t xml:space="preserve">, skal administrationen af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afbrydes eller dosis nedsættes (se pkt. 4.4).</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Hæmodialyse forventes ikke at kunne fjerne klinisk signifikante mængder af MPA eller MPAG. Galdesyrebindende stoffer, såsom </w:t>
      </w:r>
      <w:proofErr w:type="spellStart"/>
      <w:r w:rsidRPr="007205D5">
        <w:rPr>
          <w:color w:val="000000"/>
          <w:sz w:val="24"/>
          <w:szCs w:val="24"/>
        </w:rPr>
        <w:t>colestyramin</w:t>
      </w:r>
      <w:proofErr w:type="spellEnd"/>
      <w:r w:rsidRPr="007205D5">
        <w:rPr>
          <w:color w:val="000000"/>
          <w:sz w:val="24"/>
          <w:szCs w:val="24"/>
        </w:rPr>
        <w:t xml:space="preserve">, kan fjerne MPA ved at nedsætte den </w:t>
      </w:r>
      <w:proofErr w:type="spellStart"/>
      <w:r w:rsidRPr="007205D5">
        <w:rPr>
          <w:color w:val="000000"/>
          <w:sz w:val="24"/>
          <w:szCs w:val="24"/>
        </w:rPr>
        <w:t>enterohepatiske</w:t>
      </w:r>
      <w:proofErr w:type="spellEnd"/>
      <w:r w:rsidRPr="007205D5">
        <w:rPr>
          <w:color w:val="000000"/>
          <w:sz w:val="24"/>
          <w:szCs w:val="24"/>
        </w:rPr>
        <w:t xml:space="preserve"> recirkulation af stoffet (se pkt. 5.2).</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4.10</w:t>
      </w:r>
      <w:r w:rsidRPr="007205D5">
        <w:rPr>
          <w:b/>
          <w:sz w:val="24"/>
          <w:szCs w:val="24"/>
        </w:rPr>
        <w:tab/>
        <w:t>Udlevering</w:t>
      </w:r>
    </w:p>
    <w:p w:rsidR="00B065AB" w:rsidRPr="00AC609B" w:rsidRDefault="00B065AB" w:rsidP="00B065AB">
      <w:pPr>
        <w:pStyle w:val="Default"/>
        <w:ind w:left="851"/>
        <w:rPr>
          <w:color w:val="auto"/>
        </w:rPr>
      </w:pPr>
      <w:r w:rsidRPr="00AC609B">
        <w:rPr>
          <w:color w:val="auto"/>
        </w:rPr>
        <w:t>NBS</w:t>
      </w:r>
      <w:r>
        <w:rPr>
          <w:color w:val="auto"/>
        </w:rPr>
        <w:t xml:space="preserve"> (kun til sygehuse samt efter ordination af speciallæger i </w:t>
      </w:r>
      <w:proofErr w:type="spellStart"/>
      <w:r>
        <w:rPr>
          <w:color w:val="auto"/>
        </w:rPr>
        <w:t>gastroenterologi</w:t>
      </w:r>
      <w:proofErr w:type="spellEnd"/>
      <w:r>
        <w:rPr>
          <w:color w:val="auto"/>
        </w:rPr>
        <w:t xml:space="preserve">, </w:t>
      </w:r>
      <w:proofErr w:type="spellStart"/>
      <w:r>
        <w:rPr>
          <w:color w:val="auto"/>
        </w:rPr>
        <w:t>hepatologi</w:t>
      </w:r>
      <w:proofErr w:type="spellEnd"/>
      <w:r>
        <w:rPr>
          <w:color w:val="auto"/>
        </w:rPr>
        <w:t>, kardiologi, lungemedicin eller nefrologi)</w:t>
      </w:r>
    </w:p>
    <w:p w:rsidR="00B065AB" w:rsidRPr="007205D5" w:rsidRDefault="00B065AB" w:rsidP="00B065AB">
      <w:pPr>
        <w:ind w:left="851" w:hanging="851"/>
        <w:rPr>
          <w:sz w:val="24"/>
          <w:szCs w:val="24"/>
        </w:rPr>
      </w:pPr>
    </w:p>
    <w:p w:rsidR="00B065AB" w:rsidRPr="007205D5" w:rsidRDefault="00B065AB" w:rsidP="00B065AB">
      <w:pPr>
        <w:ind w:left="851" w:hanging="851"/>
        <w:rPr>
          <w:sz w:val="24"/>
          <w:szCs w:val="24"/>
        </w:rPr>
      </w:pPr>
    </w:p>
    <w:p w:rsidR="00B065AB" w:rsidRPr="007205D5" w:rsidRDefault="00B065AB" w:rsidP="00B065AB">
      <w:pPr>
        <w:keepNext/>
        <w:ind w:left="851" w:hanging="851"/>
        <w:rPr>
          <w:b/>
          <w:sz w:val="24"/>
          <w:szCs w:val="24"/>
        </w:rPr>
      </w:pPr>
      <w:r w:rsidRPr="007205D5">
        <w:rPr>
          <w:b/>
          <w:sz w:val="24"/>
          <w:szCs w:val="24"/>
        </w:rPr>
        <w:t>5.</w:t>
      </w:r>
      <w:r w:rsidRPr="007205D5">
        <w:rPr>
          <w:b/>
          <w:sz w:val="24"/>
          <w:szCs w:val="24"/>
        </w:rPr>
        <w:tab/>
        <w:t>FARMAKOLOGISKE EGENSKABER</w:t>
      </w:r>
    </w:p>
    <w:p w:rsidR="00B065AB" w:rsidRPr="007205D5" w:rsidRDefault="00B065AB" w:rsidP="00B065AB">
      <w:pPr>
        <w:ind w:left="851" w:hanging="851"/>
        <w:rPr>
          <w:sz w:val="24"/>
          <w:szCs w:val="24"/>
        </w:rPr>
      </w:pPr>
    </w:p>
    <w:p w:rsidR="00B065AB" w:rsidRPr="007205D5" w:rsidRDefault="00B065AB" w:rsidP="00B065AB">
      <w:pPr>
        <w:keepNext/>
        <w:ind w:left="851" w:hanging="851"/>
        <w:rPr>
          <w:b/>
          <w:sz w:val="24"/>
          <w:szCs w:val="24"/>
        </w:rPr>
      </w:pPr>
      <w:r w:rsidRPr="007205D5">
        <w:rPr>
          <w:b/>
          <w:sz w:val="24"/>
          <w:szCs w:val="24"/>
        </w:rPr>
        <w:t>5.1</w:t>
      </w:r>
      <w:r w:rsidRPr="007205D5">
        <w:rPr>
          <w:b/>
          <w:sz w:val="24"/>
          <w:szCs w:val="24"/>
        </w:rPr>
        <w:tab/>
      </w:r>
      <w:proofErr w:type="spellStart"/>
      <w:r w:rsidRPr="007205D5">
        <w:rPr>
          <w:b/>
          <w:sz w:val="24"/>
          <w:szCs w:val="24"/>
        </w:rPr>
        <w:t>Farmakodynamiske</w:t>
      </w:r>
      <w:proofErr w:type="spellEnd"/>
      <w:r w:rsidRPr="007205D5">
        <w:rPr>
          <w:b/>
          <w:sz w:val="24"/>
          <w:szCs w:val="24"/>
        </w:rPr>
        <w:t xml:space="preserve"> egenskaber</w:t>
      </w:r>
    </w:p>
    <w:p w:rsidR="00481458" w:rsidRPr="007205D5" w:rsidRDefault="00481458" w:rsidP="00481458">
      <w:pPr>
        <w:ind w:left="851"/>
        <w:rPr>
          <w:sz w:val="24"/>
          <w:szCs w:val="24"/>
        </w:rPr>
      </w:pPr>
      <w:proofErr w:type="spellStart"/>
      <w:r w:rsidRPr="00481458">
        <w:rPr>
          <w:sz w:val="24"/>
          <w:szCs w:val="24"/>
        </w:rPr>
        <w:t>Farmakoterapeutisk</w:t>
      </w:r>
      <w:proofErr w:type="spellEnd"/>
      <w:r w:rsidRPr="00481458">
        <w:rPr>
          <w:sz w:val="24"/>
          <w:szCs w:val="24"/>
        </w:rPr>
        <w:t xml:space="preserve"> klassifikation</w:t>
      </w:r>
      <w:r>
        <w:rPr>
          <w:sz w:val="24"/>
          <w:szCs w:val="24"/>
        </w:rPr>
        <w:t xml:space="preserve">. </w:t>
      </w:r>
      <w:proofErr w:type="spellStart"/>
      <w:r w:rsidRPr="007205D5">
        <w:rPr>
          <w:color w:val="000000"/>
          <w:sz w:val="24"/>
          <w:szCs w:val="24"/>
        </w:rPr>
        <w:t>Immunosuppressive</w:t>
      </w:r>
      <w:proofErr w:type="spellEnd"/>
      <w:r w:rsidRPr="007205D5">
        <w:rPr>
          <w:color w:val="000000"/>
          <w:sz w:val="24"/>
          <w:szCs w:val="24"/>
        </w:rPr>
        <w:t xml:space="preserve"> midler.</w:t>
      </w:r>
      <w:r>
        <w:rPr>
          <w:color w:val="000000"/>
          <w:sz w:val="24"/>
          <w:szCs w:val="24"/>
        </w:rPr>
        <w:t xml:space="preserve"> </w:t>
      </w:r>
      <w:r w:rsidRPr="007205D5">
        <w:rPr>
          <w:color w:val="000000"/>
          <w:sz w:val="24"/>
          <w:szCs w:val="24"/>
        </w:rPr>
        <w:t>ATC-kode: L</w:t>
      </w:r>
      <w:r>
        <w:rPr>
          <w:color w:val="000000"/>
          <w:sz w:val="24"/>
          <w:szCs w:val="24"/>
        </w:rPr>
        <w:t xml:space="preserve"> </w:t>
      </w:r>
      <w:r w:rsidRPr="007205D5">
        <w:rPr>
          <w:color w:val="000000"/>
          <w:sz w:val="24"/>
          <w:szCs w:val="24"/>
        </w:rPr>
        <w:t>04</w:t>
      </w:r>
      <w:r>
        <w:rPr>
          <w:color w:val="000000"/>
          <w:sz w:val="24"/>
          <w:szCs w:val="24"/>
        </w:rPr>
        <w:t xml:space="preserve"> </w:t>
      </w:r>
      <w:r w:rsidRPr="007205D5">
        <w:rPr>
          <w:color w:val="000000"/>
          <w:sz w:val="24"/>
          <w:szCs w:val="24"/>
        </w:rPr>
        <w:t>AA</w:t>
      </w:r>
      <w:r>
        <w:rPr>
          <w:color w:val="000000"/>
          <w:sz w:val="24"/>
          <w:szCs w:val="24"/>
        </w:rPr>
        <w:t xml:space="preserve"> </w:t>
      </w:r>
      <w:r w:rsidRPr="007205D5">
        <w:rPr>
          <w:color w:val="000000"/>
          <w:sz w:val="24"/>
          <w:szCs w:val="24"/>
        </w:rPr>
        <w:t>06.</w:t>
      </w:r>
    </w:p>
    <w:p w:rsidR="00B065AB" w:rsidRDefault="00B065AB" w:rsidP="00B065AB">
      <w:pPr>
        <w:keepNext/>
        <w:autoSpaceDE w:val="0"/>
        <w:autoSpaceDN w:val="0"/>
        <w:adjustRightInd w:val="0"/>
        <w:ind w:left="851" w:hanging="851"/>
        <w:rPr>
          <w:sz w:val="24"/>
          <w:szCs w:val="24"/>
        </w:rPr>
      </w:pPr>
      <w:r w:rsidRPr="007205D5">
        <w:rPr>
          <w:sz w:val="24"/>
          <w:szCs w:val="24"/>
        </w:rPr>
        <w:lastRenderedPageBreak/>
        <w:tab/>
      </w:r>
    </w:p>
    <w:p w:rsidR="00B065AB" w:rsidRPr="007205D5" w:rsidRDefault="00B065AB" w:rsidP="00B065AB">
      <w:pPr>
        <w:keepNext/>
        <w:autoSpaceDE w:val="0"/>
        <w:autoSpaceDN w:val="0"/>
        <w:adjustRightInd w:val="0"/>
        <w:ind w:left="851"/>
        <w:rPr>
          <w:color w:val="000000"/>
          <w:sz w:val="24"/>
          <w:szCs w:val="24"/>
          <w:u w:val="single"/>
        </w:rPr>
      </w:pPr>
      <w:r w:rsidRPr="007205D5">
        <w:rPr>
          <w:color w:val="000000"/>
          <w:sz w:val="24"/>
          <w:szCs w:val="24"/>
          <w:u w:val="single"/>
        </w:rPr>
        <w:t>Virkningsmekanisme</w:t>
      </w:r>
    </w:p>
    <w:p w:rsidR="006D107B" w:rsidRDefault="006D107B" w:rsidP="006D107B">
      <w:pPr>
        <w:autoSpaceDE w:val="0"/>
        <w:autoSpaceDN w:val="0"/>
        <w:adjustRightInd w:val="0"/>
        <w:ind w:left="851"/>
        <w:rPr>
          <w:color w:val="000000"/>
          <w:sz w:val="24"/>
          <w:szCs w:val="24"/>
        </w:rPr>
      </w:pPr>
      <w:proofErr w:type="spellStart"/>
      <w:r w:rsidRPr="007205D5">
        <w:rPr>
          <w:color w:val="000000"/>
          <w:sz w:val="24"/>
          <w:szCs w:val="24"/>
        </w:rPr>
        <w:t>Mycophenolatmofetil</w:t>
      </w:r>
      <w:proofErr w:type="spellEnd"/>
      <w:r w:rsidRPr="007205D5">
        <w:rPr>
          <w:color w:val="000000"/>
          <w:sz w:val="24"/>
          <w:szCs w:val="24"/>
        </w:rPr>
        <w:t xml:space="preserve"> er 2-morpholinoethyl-esteren af </w:t>
      </w:r>
      <w:proofErr w:type="spellStart"/>
      <w:r w:rsidRPr="007205D5">
        <w:rPr>
          <w:color w:val="000000"/>
          <w:sz w:val="24"/>
          <w:szCs w:val="24"/>
        </w:rPr>
        <w:t>mycophenolsyre</w:t>
      </w:r>
      <w:proofErr w:type="spellEnd"/>
      <w:r w:rsidRPr="007205D5">
        <w:rPr>
          <w:color w:val="000000"/>
          <w:sz w:val="24"/>
          <w:szCs w:val="24"/>
        </w:rPr>
        <w:t xml:space="preserve"> (MPA). MPA er en selektiv, ikke-</w:t>
      </w:r>
      <w:proofErr w:type="spellStart"/>
      <w:r w:rsidRPr="007205D5">
        <w:rPr>
          <w:color w:val="000000"/>
          <w:sz w:val="24"/>
          <w:szCs w:val="24"/>
        </w:rPr>
        <w:t>kompetitiv</w:t>
      </w:r>
      <w:proofErr w:type="spellEnd"/>
      <w:r w:rsidRPr="007205D5">
        <w:rPr>
          <w:color w:val="000000"/>
          <w:sz w:val="24"/>
          <w:szCs w:val="24"/>
        </w:rPr>
        <w:t xml:space="preserve"> og reversibel inhibitor af </w:t>
      </w:r>
      <w:proofErr w:type="spellStart"/>
      <w:r w:rsidRPr="007205D5">
        <w:rPr>
          <w:color w:val="000000"/>
          <w:sz w:val="24"/>
          <w:szCs w:val="24"/>
        </w:rPr>
        <w:t>inosin</w:t>
      </w:r>
      <w:proofErr w:type="spellEnd"/>
      <w:r w:rsidRPr="007205D5">
        <w:rPr>
          <w:color w:val="000000"/>
          <w:sz w:val="24"/>
          <w:szCs w:val="24"/>
        </w:rPr>
        <w:t>-monofosfat-</w:t>
      </w:r>
      <w:proofErr w:type="spellStart"/>
      <w:r w:rsidRPr="007205D5">
        <w:rPr>
          <w:color w:val="000000"/>
          <w:sz w:val="24"/>
          <w:szCs w:val="24"/>
        </w:rPr>
        <w:t>dehydrogenase</w:t>
      </w:r>
      <w:proofErr w:type="spellEnd"/>
      <w:r w:rsidRPr="007205D5">
        <w:rPr>
          <w:color w:val="000000"/>
          <w:sz w:val="24"/>
          <w:szCs w:val="24"/>
        </w:rPr>
        <w:t xml:space="preserve"> og hæmmer derfor </w:t>
      </w:r>
      <w:r w:rsidRPr="007205D5">
        <w:rPr>
          <w:i/>
          <w:color w:val="000000"/>
          <w:sz w:val="24"/>
          <w:szCs w:val="24"/>
        </w:rPr>
        <w:t xml:space="preserve">de </w:t>
      </w:r>
      <w:proofErr w:type="spellStart"/>
      <w:r w:rsidRPr="007205D5">
        <w:rPr>
          <w:i/>
          <w:color w:val="000000"/>
          <w:sz w:val="24"/>
          <w:szCs w:val="24"/>
        </w:rPr>
        <w:t>novo</w:t>
      </w:r>
      <w:proofErr w:type="spellEnd"/>
      <w:r w:rsidRPr="007205D5">
        <w:rPr>
          <w:color w:val="000000"/>
          <w:sz w:val="24"/>
          <w:szCs w:val="24"/>
        </w:rPr>
        <w:t xml:space="preserve">-vejen for en </w:t>
      </w:r>
      <w:proofErr w:type="spellStart"/>
      <w:r w:rsidRPr="007205D5">
        <w:rPr>
          <w:color w:val="000000"/>
          <w:sz w:val="24"/>
          <w:szCs w:val="24"/>
        </w:rPr>
        <w:t>guanosin</w:t>
      </w:r>
      <w:proofErr w:type="spellEnd"/>
      <w:r w:rsidRPr="007205D5">
        <w:rPr>
          <w:color w:val="000000"/>
          <w:sz w:val="24"/>
          <w:szCs w:val="24"/>
        </w:rPr>
        <w:t>-</w:t>
      </w:r>
      <w:proofErr w:type="spellStart"/>
      <w:r w:rsidRPr="007205D5">
        <w:rPr>
          <w:color w:val="000000"/>
          <w:sz w:val="24"/>
          <w:szCs w:val="24"/>
        </w:rPr>
        <w:t>nucleotid</w:t>
      </w:r>
      <w:proofErr w:type="spellEnd"/>
      <w:r w:rsidRPr="007205D5">
        <w:rPr>
          <w:color w:val="000000"/>
          <w:sz w:val="24"/>
          <w:szCs w:val="24"/>
        </w:rPr>
        <w:t xml:space="preserve">-syntese uden inkorporering i DNA. Da T- og B-lymfocytter i deres </w:t>
      </w:r>
      <w:proofErr w:type="spellStart"/>
      <w:r w:rsidRPr="007205D5">
        <w:rPr>
          <w:color w:val="000000"/>
          <w:sz w:val="24"/>
          <w:szCs w:val="24"/>
        </w:rPr>
        <w:t>proliferation</w:t>
      </w:r>
      <w:proofErr w:type="spellEnd"/>
      <w:r w:rsidRPr="007205D5">
        <w:rPr>
          <w:color w:val="000000"/>
          <w:sz w:val="24"/>
          <w:szCs w:val="24"/>
        </w:rPr>
        <w:t xml:space="preserve"> er kritisk afhængige af </w:t>
      </w:r>
      <w:r w:rsidRPr="007205D5">
        <w:rPr>
          <w:i/>
          <w:color w:val="000000"/>
          <w:sz w:val="24"/>
          <w:szCs w:val="24"/>
        </w:rPr>
        <w:t xml:space="preserve">de </w:t>
      </w:r>
      <w:proofErr w:type="spellStart"/>
      <w:r w:rsidRPr="007205D5">
        <w:rPr>
          <w:i/>
          <w:color w:val="000000"/>
          <w:sz w:val="24"/>
          <w:szCs w:val="24"/>
        </w:rPr>
        <w:t>novo</w:t>
      </w:r>
      <w:proofErr w:type="spellEnd"/>
      <w:r w:rsidRPr="007205D5">
        <w:rPr>
          <w:color w:val="000000"/>
          <w:sz w:val="24"/>
          <w:szCs w:val="24"/>
        </w:rPr>
        <w:t xml:space="preserve">-syntese af </w:t>
      </w:r>
      <w:proofErr w:type="spellStart"/>
      <w:r w:rsidRPr="007205D5">
        <w:rPr>
          <w:color w:val="000000"/>
          <w:sz w:val="24"/>
          <w:szCs w:val="24"/>
        </w:rPr>
        <w:t>puriner</w:t>
      </w:r>
      <w:proofErr w:type="spellEnd"/>
      <w:r w:rsidRPr="007205D5">
        <w:rPr>
          <w:color w:val="000000"/>
          <w:sz w:val="24"/>
          <w:szCs w:val="24"/>
        </w:rPr>
        <w:t xml:space="preserve">, mens andre celletyper kan anvende alternative veje, har MPA en mere potent </w:t>
      </w:r>
      <w:proofErr w:type="spellStart"/>
      <w:r w:rsidRPr="007205D5">
        <w:rPr>
          <w:color w:val="000000"/>
          <w:sz w:val="24"/>
          <w:szCs w:val="24"/>
        </w:rPr>
        <w:t>cytostatisk</w:t>
      </w:r>
      <w:proofErr w:type="spellEnd"/>
      <w:r w:rsidRPr="007205D5">
        <w:rPr>
          <w:color w:val="000000"/>
          <w:sz w:val="24"/>
          <w:szCs w:val="24"/>
        </w:rPr>
        <w:t xml:space="preserve"> virkning på lymfocytter end på andre celler.</w:t>
      </w:r>
    </w:p>
    <w:p w:rsidR="006D107B" w:rsidRDefault="006D107B" w:rsidP="006D107B">
      <w:pPr>
        <w:autoSpaceDE w:val="0"/>
        <w:autoSpaceDN w:val="0"/>
        <w:adjustRightInd w:val="0"/>
        <w:ind w:left="851"/>
        <w:rPr>
          <w:color w:val="000000"/>
          <w:sz w:val="24"/>
          <w:szCs w:val="24"/>
        </w:rPr>
      </w:pPr>
    </w:p>
    <w:p w:rsidR="006D107B" w:rsidRPr="007205D5" w:rsidRDefault="006D107B" w:rsidP="006D107B">
      <w:pPr>
        <w:autoSpaceDE w:val="0"/>
        <w:autoSpaceDN w:val="0"/>
        <w:adjustRightInd w:val="0"/>
        <w:ind w:left="851"/>
        <w:rPr>
          <w:color w:val="000000"/>
          <w:sz w:val="24"/>
          <w:szCs w:val="24"/>
        </w:rPr>
      </w:pPr>
      <w:r>
        <w:t xml:space="preserve">Ud over hæmningen af IMPDH og den deraf følgende deprivation af lymfocytter påvirker MPA også cellulære kontrolpunkter, som er ansvarlige for metabolisk programmering af lymfocytter. Det er blevet vist ved at bruge humane CD4+ T-celler, at MPA skifter transskriptionsaktiviteter i lymfocytter fra et </w:t>
      </w:r>
      <w:proofErr w:type="spellStart"/>
      <w:r>
        <w:t>proliferativt</w:t>
      </w:r>
      <w:proofErr w:type="spellEnd"/>
      <w:r>
        <w:t xml:space="preserve"> stadie til </w:t>
      </w:r>
      <w:proofErr w:type="spellStart"/>
      <w:r>
        <w:t>katabolske</w:t>
      </w:r>
      <w:proofErr w:type="spellEnd"/>
      <w:r>
        <w:t xml:space="preserve"> processer som er relevante for metabolismen og overlevelse, til et </w:t>
      </w:r>
      <w:proofErr w:type="spellStart"/>
      <w:r>
        <w:t>anergisk</w:t>
      </w:r>
      <w:proofErr w:type="spellEnd"/>
      <w:r>
        <w:t xml:space="preserve"> stadie af T-celler, hvorved cellerne ikke reagerer på deres specifikke antigen.</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5.2</w:t>
      </w:r>
      <w:r w:rsidRPr="007205D5">
        <w:rPr>
          <w:b/>
          <w:sz w:val="24"/>
          <w:szCs w:val="24"/>
        </w:rPr>
        <w:tab/>
      </w:r>
      <w:proofErr w:type="spellStart"/>
      <w:r w:rsidRPr="007205D5">
        <w:rPr>
          <w:b/>
          <w:sz w:val="24"/>
          <w:szCs w:val="24"/>
        </w:rPr>
        <w:t>Farmakokinetiske</w:t>
      </w:r>
      <w:proofErr w:type="spellEnd"/>
      <w:r w:rsidRPr="007205D5">
        <w:rPr>
          <w:b/>
          <w:sz w:val="24"/>
          <w:szCs w:val="24"/>
        </w:rPr>
        <w:t xml:space="preserve"> egenskaber</w:t>
      </w:r>
    </w:p>
    <w:p w:rsidR="00B065AB" w:rsidRDefault="00B065AB" w:rsidP="00B065AB">
      <w:pPr>
        <w:autoSpaceDE w:val="0"/>
        <w:autoSpaceDN w:val="0"/>
        <w:adjustRightInd w:val="0"/>
        <w:ind w:left="851" w:hanging="851"/>
        <w:rPr>
          <w:sz w:val="24"/>
          <w:szCs w:val="24"/>
        </w:rPr>
      </w:pPr>
      <w:r w:rsidRPr="007205D5">
        <w:rPr>
          <w:sz w:val="24"/>
          <w:szCs w:val="24"/>
        </w:rPr>
        <w:tab/>
      </w:r>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u w:val="single"/>
        </w:rPr>
        <w:t>Fordeling</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Efter intravenøs administration gennemgår </w:t>
      </w:r>
      <w:proofErr w:type="spellStart"/>
      <w:r w:rsidRPr="005A2E0C">
        <w:rPr>
          <w:color w:val="000000"/>
          <w:sz w:val="24"/>
          <w:szCs w:val="24"/>
        </w:rPr>
        <w:t>mycophenolatmofetil</w:t>
      </w:r>
      <w:proofErr w:type="spellEnd"/>
      <w:r w:rsidRPr="005A2E0C">
        <w:rPr>
          <w:color w:val="000000"/>
          <w:sz w:val="24"/>
          <w:szCs w:val="24"/>
        </w:rPr>
        <w:t xml:space="preserve"> en hurtig og udstrakt </w:t>
      </w:r>
      <w:proofErr w:type="spellStart"/>
      <w:r w:rsidRPr="005A2E0C">
        <w:rPr>
          <w:color w:val="000000"/>
          <w:sz w:val="24"/>
          <w:szCs w:val="24"/>
        </w:rPr>
        <w:t>metabolisering</w:t>
      </w:r>
      <w:proofErr w:type="spellEnd"/>
      <w:r w:rsidRPr="005A2E0C">
        <w:rPr>
          <w:color w:val="000000"/>
          <w:sz w:val="24"/>
          <w:szCs w:val="24"/>
        </w:rPr>
        <w:t xml:space="preserve"> til den aktive metabolit, MPA. Moderstoffet </w:t>
      </w:r>
      <w:proofErr w:type="spellStart"/>
      <w:r w:rsidRPr="005A2E0C">
        <w:rPr>
          <w:color w:val="000000"/>
          <w:sz w:val="24"/>
          <w:szCs w:val="24"/>
        </w:rPr>
        <w:t>mycophenolatmofetil</w:t>
      </w:r>
      <w:proofErr w:type="spellEnd"/>
      <w:r w:rsidRPr="005A2E0C">
        <w:rPr>
          <w:color w:val="000000"/>
          <w:sz w:val="24"/>
          <w:szCs w:val="24"/>
        </w:rPr>
        <w:t xml:space="preserve"> kan måles systemiskunder intravenøs infusion. MPA i klinisk relevante koncentrationer er 97 % bundet til plasmaalbumin.</w:t>
      </w:r>
    </w:p>
    <w:p w:rsidR="005A2E0C" w:rsidRPr="005A2E0C" w:rsidRDefault="005A2E0C" w:rsidP="005A2E0C">
      <w:pPr>
        <w:autoSpaceDE w:val="0"/>
        <w:autoSpaceDN w:val="0"/>
        <w:adjustRightInd w:val="0"/>
        <w:ind w:left="851" w:hanging="851"/>
        <w:rPr>
          <w:color w:val="000000"/>
          <w:sz w:val="24"/>
          <w:szCs w:val="24"/>
        </w:rPr>
      </w:pPr>
    </w:p>
    <w:p w:rsidR="005A2E0C" w:rsidRDefault="005A2E0C" w:rsidP="006D107B">
      <w:pPr>
        <w:autoSpaceDE w:val="0"/>
        <w:autoSpaceDN w:val="0"/>
        <w:adjustRightInd w:val="0"/>
        <w:ind w:left="851"/>
        <w:rPr>
          <w:color w:val="000000"/>
          <w:sz w:val="24"/>
          <w:szCs w:val="24"/>
        </w:rPr>
      </w:pPr>
      <w:r w:rsidRPr="005A2E0C">
        <w:rPr>
          <w:color w:val="000000"/>
          <w:sz w:val="24"/>
          <w:szCs w:val="24"/>
        </w:rPr>
        <w:t xml:space="preserve">Som et resultat af det </w:t>
      </w:r>
      <w:proofErr w:type="spellStart"/>
      <w:r w:rsidRPr="005A2E0C">
        <w:rPr>
          <w:color w:val="000000"/>
          <w:sz w:val="24"/>
          <w:szCs w:val="24"/>
        </w:rPr>
        <w:t>enterohepatiske</w:t>
      </w:r>
      <w:proofErr w:type="spellEnd"/>
      <w:r w:rsidRPr="005A2E0C">
        <w:rPr>
          <w:color w:val="000000"/>
          <w:sz w:val="24"/>
          <w:szCs w:val="24"/>
        </w:rPr>
        <w:t xml:space="preserve"> kredsløb observeres sædvanligvis sekundære stigninger i plasmakoncentrationen af MPA omkring 6-12 timer efter indgift. En reduktion af MPA-AUC på ca. 40 % er associeret med den samtidige administration af </w:t>
      </w:r>
      <w:proofErr w:type="spellStart"/>
      <w:r w:rsidRPr="005A2E0C">
        <w:rPr>
          <w:color w:val="000000"/>
          <w:sz w:val="24"/>
          <w:szCs w:val="24"/>
        </w:rPr>
        <w:t>colestyramin</w:t>
      </w:r>
      <w:proofErr w:type="spellEnd"/>
      <w:r w:rsidRPr="005A2E0C">
        <w:rPr>
          <w:color w:val="000000"/>
          <w:sz w:val="24"/>
          <w:szCs w:val="24"/>
        </w:rPr>
        <w:t xml:space="preserve"> (4 g tre gange daglig), hvilket indikerer, at der er en betragtelig </w:t>
      </w:r>
      <w:proofErr w:type="spellStart"/>
      <w:r w:rsidRPr="005A2E0C">
        <w:rPr>
          <w:color w:val="000000"/>
          <w:sz w:val="24"/>
          <w:szCs w:val="24"/>
        </w:rPr>
        <w:t>enterohepatisk</w:t>
      </w:r>
      <w:proofErr w:type="spellEnd"/>
      <w:r w:rsidRPr="005A2E0C">
        <w:rPr>
          <w:color w:val="000000"/>
          <w:sz w:val="24"/>
          <w:szCs w:val="24"/>
        </w:rPr>
        <w:t xml:space="preserve"> recirkulation.</w:t>
      </w:r>
    </w:p>
    <w:p w:rsidR="006D107B" w:rsidRDefault="006D107B" w:rsidP="006D107B">
      <w:pPr>
        <w:autoSpaceDE w:val="0"/>
        <w:autoSpaceDN w:val="0"/>
        <w:adjustRightInd w:val="0"/>
        <w:ind w:left="851"/>
        <w:rPr>
          <w:color w:val="000000"/>
          <w:sz w:val="24"/>
          <w:szCs w:val="24"/>
        </w:rPr>
      </w:pPr>
    </w:p>
    <w:p w:rsidR="006D107B" w:rsidRPr="005A2E0C" w:rsidRDefault="006D107B" w:rsidP="006D107B">
      <w:pPr>
        <w:autoSpaceDE w:val="0"/>
        <w:autoSpaceDN w:val="0"/>
        <w:adjustRightInd w:val="0"/>
        <w:ind w:left="851"/>
        <w:rPr>
          <w:color w:val="000000"/>
          <w:sz w:val="24"/>
          <w:szCs w:val="24"/>
        </w:rPr>
      </w:pPr>
      <w:r>
        <w:t xml:space="preserve">I den tidlige posttransplantationsperiode (&lt; 40 dage efter transplantationen) var den gennemsnitlige MPA-AUC hos nyre-, hjerte- og levertransplanterede patienter ca. 30 % lavere og </w:t>
      </w:r>
      <w:proofErr w:type="spellStart"/>
      <w:r>
        <w:t>Cmax</w:t>
      </w:r>
      <w:proofErr w:type="spellEnd"/>
      <w:r>
        <w:t xml:space="preserve"> ca. 40 % lavere sammenlignet med den sene posttransplantationsperiode (3–6 måneder efter transplantationen).</w:t>
      </w:r>
    </w:p>
    <w:p w:rsidR="006D107B" w:rsidRPr="005A2E0C" w:rsidRDefault="006D107B" w:rsidP="006D107B">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u w:val="single"/>
        </w:rPr>
        <w:t>Biotransformation</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MPA </w:t>
      </w:r>
      <w:proofErr w:type="spellStart"/>
      <w:r w:rsidRPr="005A2E0C">
        <w:rPr>
          <w:color w:val="000000"/>
          <w:sz w:val="24"/>
          <w:szCs w:val="24"/>
        </w:rPr>
        <w:t>metaboliseres</w:t>
      </w:r>
      <w:proofErr w:type="spellEnd"/>
      <w:r w:rsidRPr="005A2E0C">
        <w:rPr>
          <w:color w:val="000000"/>
          <w:sz w:val="24"/>
          <w:szCs w:val="24"/>
        </w:rPr>
        <w:t xml:space="preserve"> primært af </w:t>
      </w:r>
      <w:proofErr w:type="spellStart"/>
      <w:r w:rsidRPr="005A2E0C">
        <w:rPr>
          <w:color w:val="000000"/>
          <w:sz w:val="24"/>
          <w:szCs w:val="24"/>
        </w:rPr>
        <w:t>glucuronyltransferase</w:t>
      </w:r>
      <w:proofErr w:type="spellEnd"/>
      <w:r w:rsidRPr="005A2E0C">
        <w:rPr>
          <w:color w:val="000000"/>
          <w:sz w:val="24"/>
          <w:szCs w:val="24"/>
        </w:rPr>
        <w:t xml:space="preserve"> </w:t>
      </w:r>
      <w:r w:rsidRPr="005A2E0C">
        <w:rPr>
          <w:sz w:val="24"/>
          <w:szCs w:val="24"/>
        </w:rPr>
        <w:t>(</w:t>
      </w:r>
      <w:proofErr w:type="spellStart"/>
      <w:r w:rsidRPr="005A2E0C">
        <w:rPr>
          <w:sz w:val="24"/>
          <w:szCs w:val="24"/>
        </w:rPr>
        <w:t>isoform</w:t>
      </w:r>
      <w:proofErr w:type="spellEnd"/>
      <w:r w:rsidRPr="005A2E0C">
        <w:rPr>
          <w:sz w:val="24"/>
          <w:szCs w:val="24"/>
        </w:rPr>
        <w:t xml:space="preserve"> UGT1A9) til et inaktivt </w:t>
      </w:r>
      <w:proofErr w:type="spellStart"/>
      <w:r w:rsidRPr="005A2E0C">
        <w:rPr>
          <w:sz w:val="24"/>
          <w:szCs w:val="24"/>
        </w:rPr>
        <w:t>phenolglukuronid</w:t>
      </w:r>
      <w:proofErr w:type="spellEnd"/>
      <w:r w:rsidRPr="005A2E0C">
        <w:rPr>
          <w:sz w:val="24"/>
          <w:szCs w:val="24"/>
        </w:rPr>
        <w:t xml:space="preserve"> af MPA (MPAG). </w:t>
      </w:r>
      <w:r w:rsidRPr="005A2E0C">
        <w:rPr>
          <w:i/>
          <w:iCs/>
          <w:sz w:val="24"/>
          <w:szCs w:val="24"/>
        </w:rPr>
        <w:t xml:space="preserve">In </w:t>
      </w:r>
      <w:proofErr w:type="spellStart"/>
      <w:r w:rsidRPr="005A2E0C">
        <w:rPr>
          <w:i/>
          <w:iCs/>
          <w:sz w:val="24"/>
          <w:szCs w:val="24"/>
        </w:rPr>
        <w:t>vivo</w:t>
      </w:r>
      <w:proofErr w:type="spellEnd"/>
      <w:r w:rsidRPr="005A2E0C">
        <w:rPr>
          <w:i/>
          <w:iCs/>
          <w:sz w:val="24"/>
          <w:szCs w:val="24"/>
        </w:rPr>
        <w:t xml:space="preserve"> </w:t>
      </w:r>
      <w:r w:rsidRPr="005A2E0C">
        <w:rPr>
          <w:sz w:val="24"/>
          <w:szCs w:val="24"/>
        </w:rPr>
        <w:t xml:space="preserve">bliver MPAG omdannet tilbage til frit MPA via det </w:t>
      </w:r>
      <w:proofErr w:type="spellStart"/>
      <w:r w:rsidRPr="005A2E0C">
        <w:rPr>
          <w:sz w:val="24"/>
          <w:szCs w:val="24"/>
        </w:rPr>
        <w:t>enterohepatiske</w:t>
      </w:r>
      <w:proofErr w:type="spellEnd"/>
      <w:r w:rsidRPr="005A2E0C">
        <w:rPr>
          <w:sz w:val="24"/>
          <w:szCs w:val="24"/>
        </w:rPr>
        <w:t xml:space="preserve"> kredsløb. Et </w:t>
      </w:r>
      <w:proofErr w:type="spellStart"/>
      <w:r w:rsidRPr="005A2E0C">
        <w:rPr>
          <w:sz w:val="24"/>
          <w:szCs w:val="24"/>
        </w:rPr>
        <w:t>acylglukuronid</w:t>
      </w:r>
      <w:proofErr w:type="spellEnd"/>
      <w:r w:rsidRPr="005A2E0C">
        <w:rPr>
          <w:sz w:val="24"/>
          <w:szCs w:val="24"/>
        </w:rPr>
        <w:t xml:space="preserve"> (</w:t>
      </w:r>
      <w:proofErr w:type="spellStart"/>
      <w:r w:rsidRPr="005A2E0C">
        <w:rPr>
          <w:sz w:val="24"/>
          <w:szCs w:val="24"/>
        </w:rPr>
        <w:t>AcMPAG</w:t>
      </w:r>
      <w:proofErr w:type="spellEnd"/>
      <w:r w:rsidRPr="005A2E0C">
        <w:rPr>
          <w:sz w:val="24"/>
          <w:szCs w:val="24"/>
        </w:rPr>
        <w:t xml:space="preserve">) bliver også dannet i mindre omfang. </w:t>
      </w:r>
      <w:proofErr w:type="spellStart"/>
      <w:r w:rsidRPr="005A2E0C">
        <w:rPr>
          <w:sz w:val="24"/>
          <w:szCs w:val="24"/>
        </w:rPr>
        <w:t>AcMPAG</w:t>
      </w:r>
      <w:proofErr w:type="spellEnd"/>
      <w:r w:rsidRPr="005A2E0C">
        <w:rPr>
          <w:sz w:val="24"/>
          <w:szCs w:val="24"/>
        </w:rPr>
        <w:t xml:space="preserve"> er farmakologisk aktiv og mistænkes for at være ansvarlig for nogle af </w:t>
      </w:r>
      <w:proofErr w:type="spellStart"/>
      <w:r w:rsidRPr="005A2E0C">
        <w:rPr>
          <w:sz w:val="24"/>
          <w:szCs w:val="24"/>
        </w:rPr>
        <w:t>mycophenolatmofetils</w:t>
      </w:r>
      <w:proofErr w:type="spellEnd"/>
      <w:r w:rsidRPr="005A2E0C">
        <w:rPr>
          <w:sz w:val="24"/>
          <w:szCs w:val="24"/>
        </w:rPr>
        <w:t xml:space="preserve"> bivirkninger (diarré, </w:t>
      </w:r>
      <w:proofErr w:type="spellStart"/>
      <w:r w:rsidRPr="005A2E0C">
        <w:rPr>
          <w:sz w:val="24"/>
          <w:szCs w:val="24"/>
        </w:rPr>
        <w:t>leukopeni</w:t>
      </w:r>
      <w:proofErr w:type="spellEnd"/>
      <w:r w:rsidRPr="005A2E0C">
        <w:rPr>
          <w:sz w:val="24"/>
          <w:szCs w:val="24"/>
        </w:rPr>
        <w:t>).</w:t>
      </w:r>
    </w:p>
    <w:p w:rsidR="005A2E0C" w:rsidRPr="005A2E0C" w:rsidRDefault="005A2E0C" w:rsidP="005A2E0C">
      <w:pPr>
        <w:autoSpaceDE w:val="0"/>
        <w:autoSpaceDN w:val="0"/>
        <w:adjustRightInd w:val="0"/>
        <w:ind w:left="851" w:hanging="851"/>
        <w:rPr>
          <w:color w:val="000000"/>
          <w:sz w:val="24"/>
          <w:szCs w:val="24"/>
        </w:rPr>
      </w:pPr>
    </w:p>
    <w:p w:rsidR="005A2E0C" w:rsidRPr="005A2E0C" w:rsidRDefault="005A2E0C" w:rsidP="005A2E0C">
      <w:pPr>
        <w:autoSpaceDE w:val="0"/>
        <w:autoSpaceDN w:val="0"/>
        <w:adjustRightInd w:val="0"/>
        <w:ind w:left="851"/>
        <w:rPr>
          <w:color w:val="000000"/>
          <w:sz w:val="24"/>
          <w:szCs w:val="24"/>
          <w:u w:val="single"/>
        </w:rPr>
      </w:pPr>
      <w:r w:rsidRPr="005A2E0C">
        <w:rPr>
          <w:color w:val="000000"/>
          <w:sz w:val="24"/>
          <w:szCs w:val="24"/>
          <w:u w:val="single"/>
        </w:rPr>
        <w:t>Elimination</w:t>
      </w:r>
    </w:p>
    <w:p w:rsidR="006D107B" w:rsidRPr="005A2E0C" w:rsidRDefault="006D107B" w:rsidP="006D107B">
      <w:pPr>
        <w:autoSpaceDE w:val="0"/>
        <w:autoSpaceDN w:val="0"/>
        <w:adjustRightInd w:val="0"/>
        <w:ind w:left="851"/>
        <w:rPr>
          <w:color w:val="000000"/>
          <w:sz w:val="24"/>
          <w:szCs w:val="24"/>
        </w:rPr>
      </w:pPr>
      <w:r w:rsidRPr="005A2E0C">
        <w:rPr>
          <w:color w:val="000000"/>
          <w:sz w:val="24"/>
          <w:szCs w:val="24"/>
        </w:rPr>
        <w:t xml:space="preserve">En ubetydelig mængde af stoffet udskilles som MPA (&lt; 1 % af dosis) i urinen. Oral </w:t>
      </w:r>
      <w:r>
        <w:rPr>
          <w:color w:val="000000"/>
          <w:sz w:val="24"/>
          <w:szCs w:val="24"/>
        </w:rPr>
        <w:t xml:space="preserve">administration af </w:t>
      </w:r>
      <w:r w:rsidRPr="005A2E0C">
        <w:rPr>
          <w:color w:val="000000"/>
          <w:sz w:val="24"/>
          <w:szCs w:val="24"/>
        </w:rPr>
        <w:t xml:space="preserve">radioaktivt mærket </w:t>
      </w:r>
      <w:proofErr w:type="spellStart"/>
      <w:r w:rsidRPr="005A2E0C">
        <w:rPr>
          <w:color w:val="000000"/>
          <w:sz w:val="24"/>
          <w:szCs w:val="24"/>
        </w:rPr>
        <w:t>mycophenolatmofetil</w:t>
      </w:r>
      <w:proofErr w:type="spellEnd"/>
      <w:r w:rsidRPr="005A2E0C">
        <w:rPr>
          <w:color w:val="000000"/>
          <w:sz w:val="24"/>
          <w:szCs w:val="24"/>
        </w:rPr>
        <w:t xml:space="preserve"> resulterede i fuldstændig genfinding af den administrerede dosis: 93 % af den administrerede dosis genfundet i urinen og 6 % genfundet i fæces. Det meste (ca. 87 %) af den administrerede dosis udskilles i urinen som MPAG.</w:t>
      </w:r>
    </w:p>
    <w:p w:rsidR="005A2E0C" w:rsidRPr="005A2E0C" w:rsidRDefault="005A2E0C" w:rsidP="005A2E0C">
      <w:pPr>
        <w:autoSpaceDE w:val="0"/>
        <w:autoSpaceDN w:val="0"/>
        <w:adjustRightInd w:val="0"/>
        <w:ind w:left="851" w:hanging="851"/>
        <w:rPr>
          <w:color w:val="000000"/>
          <w:sz w:val="24"/>
          <w:szCs w:val="24"/>
        </w:rPr>
      </w:pPr>
      <w:r w:rsidRPr="005A2E0C">
        <w:rPr>
          <w:color w:val="000000"/>
          <w:sz w:val="24"/>
          <w:szCs w:val="24"/>
        </w:rPr>
        <w:tab/>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MPA og MPAG i kliniske koncentrationer fjernes ikke med hæmodialyse. Ved høje MPAG-plasmakoncentrationer (&gt; 100 µg/ml) fjernes dog mindre mængder MPAG. </w:t>
      </w:r>
      <w:proofErr w:type="spellStart"/>
      <w:r w:rsidRPr="005A2E0C">
        <w:rPr>
          <w:color w:val="000000"/>
          <w:sz w:val="24"/>
          <w:szCs w:val="24"/>
        </w:rPr>
        <w:lastRenderedPageBreak/>
        <w:t>Galdesyrekompleksdannere</w:t>
      </w:r>
      <w:proofErr w:type="spellEnd"/>
      <w:r w:rsidRPr="005A2E0C">
        <w:rPr>
          <w:color w:val="000000"/>
          <w:sz w:val="24"/>
          <w:szCs w:val="24"/>
        </w:rPr>
        <w:t xml:space="preserve"> såsom </w:t>
      </w:r>
      <w:proofErr w:type="spellStart"/>
      <w:r w:rsidRPr="005A2E0C">
        <w:rPr>
          <w:color w:val="000000"/>
          <w:sz w:val="24"/>
          <w:szCs w:val="24"/>
        </w:rPr>
        <w:t>colestyramin</w:t>
      </w:r>
      <w:proofErr w:type="spellEnd"/>
      <w:r w:rsidRPr="005A2E0C">
        <w:rPr>
          <w:color w:val="000000"/>
          <w:sz w:val="24"/>
          <w:szCs w:val="24"/>
        </w:rPr>
        <w:t xml:space="preserve">, reducerer </w:t>
      </w:r>
      <w:proofErr w:type="spellStart"/>
      <w:r w:rsidRPr="005A2E0C">
        <w:rPr>
          <w:color w:val="000000"/>
          <w:sz w:val="24"/>
          <w:szCs w:val="24"/>
        </w:rPr>
        <w:t>MPAs</w:t>
      </w:r>
      <w:proofErr w:type="spellEnd"/>
      <w:r w:rsidRPr="005A2E0C">
        <w:rPr>
          <w:color w:val="000000"/>
          <w:sz w:val="24"/>
          <w:szCs w:val="24"/>
        </w:rPr>
        <w:t xml:space="preserve"> AUC ved at interferere med det </w:t>
      </w:r>
      <w:proofErr w:type="spellStart"/>
      <w:r w:rsidRPr="005A2E0C">
        <w:rPr>
          <w:color w:val="000000"/>
          <w:sz w:val="24"/>
          <w:szCs w:val="24"/>
        </w:rPr>
        <w:t>enterohepatiske</w:t>
      </w:r>
      <w:proofErr w:type="spellEnd"/>
      <w:r w:rsidRPr="005A2E0C">
        <w:rPr>
          <w:color w:val="000000"/>
          <w:sz w:val="24"/>
          <w:szCs w:val="24"/>
        </w:rPr>
        <w:t xml:space="preserve"> </w:t>
      </w:r>
      <w:proofErr w:type="spellStart"/>
      <w:r w:rsidRPr="005A2E0C">
        <w:rPr>
          <w:color w:val="000000"/>
          <w:sz w:val="24"/>
          <w:szCs w:val="24"/>
        </w:rPr>
        <w:t>rekredsløb</w:t>
      </w:r>
      <w:proofErr w:type="spellEnd"/>
      <w:r w:rsidRPr="005A2E0C">
        <w:rPr>
          <w:color w:val="000000"/>
          <w:sz w:val="24"/>
          <w:szCs w:val="24"/>
        </w:rPr>
        <w:t xml:space="preserve"> af lægemidlet (se pkt. 4.9).</w:t>
      </w:r>
    </w:p>
    <w:p w:rsidR="005A2E0C" w:rsidRPr="005A2E0C" w:rsidRDefault="005A2E0C" w:rsidP="005A2E0C">
      <w:pPr>
        <w:autoSpaceDE w:val="0"/>
        <w:autoSpaceDN w:val="0"/>
        <w:adjustRightInd w:val="0"/>
        <w:ind w:left="851"/>
        <w:rPr>
          <w:color w:val="000000"/>
          <w:sz w:val="24"/>
          <w:szCs w:val="24"/>
        </w:rPr>
      </w:pPr>
    </w:p>
    <w:p w:rsidR="005A2E0C" w:rsidRPr="005A2E0C" w:rsidRDefault="005A2E0C" w:rsidP="005A2E0C">
      <w:pPr>
        <w:autoSpaceDE w:val="0"/>
        <w:autoSpaceDN w:val="0"/>
        <w:adjustRightInd w:val="0"/>
        <w:ind w:left="851"/>
        <w:rPr>
          <w:color w:val="000000"/>
          <w:sz w:val="24"/>
          <w:szCs w:val="24"/>
        </w:rPr>
      </w:pPr>
      <w:proofErr w:type="spellStart"/>
      <w:r w:rsidRPr="005A2E0C">
        <w:rPr>
          <w:color w:val="000000"/>
          <w:sz w:val="24"/>
          <w:szCs w:val="24"/>
        </w:rPr>
        <w:t>MPAs</w:t>
      </w:r>
      <w:proofErr w:type="spellEnd"/>
      <w:r w:rsidRPr="005A2E0C">
        <w:rPr>
          <w:color w:val="000000"/>
          <w:sz w:val="24"/>
          <w:szCs w:val="24"/>
        </w:rPr>
        <w:t xml:space="preserve"> fordeling afhænger af adskillige transportører. Organisk </w:t>
      </w:r>
      <w:proofErr w:type="spellStart"/>
      <w:r w:rsidRPr="005A2E0C">
        <w:rPr>
          <w:color w:val="000000"/>
          <w:sz w:val="24"/>
          <w:szCs w:val="24"/>
        </w:rPr>
        <w:t>aniontransporterende</w:t>
      </w:r>
      <w:proofErr w:type="spellEnd"/>
      <w:r w:rsidRPr="005A2E0C">
        <w:rPr>
          <w:color w:val="000000"/>
          <w:sz w:val="24"/>
          <w:szCs w:val="24"/>
        </w:rPr>
        <w:t xml:space="preserve"> polypeptider (</w:t>
      </w:r>
      <w:proofErr w:type="spellStart"/>
      <w:r w:rsidRPr="005A2E0C">
        <w:rPr>
          <w:color w:val="000000"/>
          <w:sz w:val="24"/>
          <w:szCs w:val="24"/>
        </w:rPr>
        <w:t>OATer</w:t>
      </w:r>
      <w:proofErr w:type="spellEnd"/>
      <w:r w:rsidRPr="005A2E0C">
        <w:rPr>
          <w:color w:val="000000"/>
          <w:sz w:val="24"/>
          <w:szCs w:val="24"/>
        </w:rPr>
        <w:t xml:space="preserve">) og multidrug </w:t>
      </w:r>
      <w:proofErr w:type="spellStart"/>
      <w:r w:rsidRPr="005A2E0C">
        <w:rPr>
          <w:color w:val="000000"/>
          <w:sz w:val="24"/>
          <w:szCs w:val="24"/>
        </w:rPr>
        <w:t>resistance</w:t>
      </w:r>
      <w:proofErr w:type="spellEnd"/>
      <w:r w:rsidRPr="005A2E0C">
        <w:rPr>
          <w:color w:val="000000"/>
          <w:sz w:val="24"/>
          <w:szCs w:val="24"/>
        </w:rPr>
        <w:t xml:space="preserve"> protein 2 (MRP2) er involverede i fordelingen af MPA; OATP </w:t>
      </w:r>
      <w:proofErr w:type="spellStart"/>
      <w:r w:rsidRPr="005A2E0C">
        <w:rPr>
          <w:color w:val="000000"/>
          <w:sz w:val="24"/>
          <w:szCs w:val="24"/>
        </w:rPr>
        <w:t>isoformer</w:t>
      </w:r>
      <w:proofErr w:type="spellEnd"/>
      <w:r w:rsidRPr="005A2E0C">
        <w:rPr>
          <w:color w:val="000000"/>
          <w:sz w:val="24"/>
          <w:szCs w:val="24"/>
        </w:rPr>
        <w:t xml:space="preserve">, MRP2 og brystcancer-resistent protein er transportører som er associeret med </w:t>
      </w:r>
      <w:proofErr w:type="spellStart"/>
      <w:r w:rsidRPr="005A2E0C">
        <w:rPr>
          <w:color w:val="000000"/>
          <w:sz w:val="24"/>
          <w:szCs w:val="24"/>
        </w:rPr>
        <w:t>glukoroniders</w:t>
      </w:r>
      <w:proofErr w:type="spellEnd"/>
      <w:r w:rsidRPr="005A2E0C">
        <w:rPr>
          <w:color w:val="000000"/>
          <w:sz w:val="24"/>
          <w:szCs w:val="24"/>
        </w:rPr>
        <w:t xml:space="preserve"> galdesekretion. Multidrug </w:t>
      </w:r>
      <w:proofErr w:type="spellStart"/>
      <w:r w:rsidRPr="005A2E0C">
        <w:rPr>
          <w:color w:val="000000"/>
          <w:sz w:val="24"/>
          <w:szCs w:val="24"/>
        </w:rPr>
        <w:t>resistance</w:t>
      </w:r>
      <w:proofErr w:type="spellEnd"/>
      <w:r w:rsidRPr="005A2E0C">
        <w:rPr>
          <w:color w:val="000000"/>
          <w:sz w:val="24"/>
          <w:szCs w:val="24"/>
        </w:rPr>
        <w:t xml:space="preserve"> protein 1 (MRP1) er ligeledes i stand til at transportere MPA, men synes at være begrænset til absorptionsprocessen. I nyrerne kan MPA og dets metabolitter i vidt omfang interagere med </w:t>
      </w:r>
      <w:proofErr w:type="spellStart"/>
      <w:r w:rsidRPr="005A2E0C">
        <w:rPr>
          <w:color w:val="000000"/>
          <w:sz w:val="24"/>
          <w:szCs w:val="24"/>
        </w:rPr>
        <w:t>renale</w:t>
      </w:r>
      <w:proofErr w:type="spellEnd"/>
      <w:r w:rsidRPr="005A2E0C">
        <w:rPr>
          <w:color w:val="000000"/>
          <w:sz w:val="24"/>
          <w:szCs w:val="24"/>
        </w:rPr>
        <w:t xml:space="preserve"> organisk </w:t>
      </w:r>
      <w:proofErr w:type="spellStart"/>
      <w:r w:rsidRPr="005A2E0C">
        <w:rPr>
          <w:color w:val="000000"/>
          <w:sz w:val="24"/>
          <w:szCs w:val="24"/>
        </w:rPr>
        <w:t>aniontransportører</w:t>
      </w:r>
      <w:proofErr w:type="spellEnd"/>
      <w:r w:rsidRPr="005A2E0C">
        <w:rPr>
          <w:color w:val="000000"/>
          <w:sz w:val="24"/>
          <w:szCs w:val="24"/>
        </w:rPr>
        <w:t>.</w:t>
      </w:r>
    </w:p>
    <w:p w:rsidR="005A2E0C" w:rsidRPr="005A2E0C" w:rsidRDefault="005A2E0C" w:rsidP="005A2E0C">
      <w:pPr>
        <w:autoSpaceDE w:val="0"/>
        <w:autoSpaceDN w:val="0"/>
        <w:adjustRightInd w:val="0"/>
        <w:ind w:left="851" w:hanging="851"/>
        <w:rPr>
          <w:color w:val="000000"/>
          <w:sz w:val="24"/>
          <w:szCs w:val="24"/>
        </w:rPr>
      </w:pPr>
    </w:p>
    <w:p w:rsidR="006D107B" w:rsidRPr="005A2E0C" w:rsidRDefault="006D107B" w:rsidP="006D107B">
      <w:pPr>
        <w:autoSpaceDE w:val="0"/>
        <w:autoSpaceDN w:val="0"/>
        <w:adjustRightInd w:val="0"/>
        <w:ind w:left="851"/>
        <w:rPr>
          <w:color w:val="000000"/>
          <w:sz w:val="24"/>
          <w:szCs w:val="24"/>
        </w:rPr>
      </w:pPr>
      <w:proofErr w:type="spellStart"/>
      <w:r>
        <w:t>Enterohepatiske</w:t>
      </w:r>
      <w:proofErr w:type="spellEnd"/>
      <w:r>
        <w:t xml:space="preserve"> recirkulation interfererer med nøjagtig bestemmelse af </w:t>
      </w:r>
      <w:proofErr w:type="spellStart"/>
      <w:r>
        <w:t>MPA's</w:t>
      </w:r>
      <w:proofErr w:type="spellEnd"/>
      <w:r>
        <w:t xml:space="preserve"> dispositionsparametre. Der kan kun angives tilsyneladende værdier. Hos raske frivillige og patienter med autoimmune sygdomme blev der set omtrentlige </w:t>
      </w:r>
      <w:proofErr w:type="spellStart"/>
      <w:r>
        <w:t>clearanceværdier</w:t>
      </w:r>
      <w:proofErr w:type="spellEnd"/>
      <w:r>
        <w:t xml:space="preserve"> på henholdsvis 10,6 l/time og 8,27 l/time og værdier for halveringstid på 17 timer. Hos transplantationspatienter var de gennemsnitlige </w:t>
      </w:r>
      <w:proofErr w:type="spellStart"/>
      <w:r>
        <w:t>clearanceværdier</w:t>
      </w:r>
      <w:proofErr w:type="spellEnd"/>
      <w:r>
        <w:t xml:space="preserve"> højere (interval fra 11,9-34,9 l/time) og de gennemsnitlige værdier for halveringstid var kortere (5-11 timer) med en lille forskel mellem nyre-, lever- eller hjertetransplantationspatienter. Hos de enkelte patienter varierede disse eliminationsparametre baseret på typen af </w:t>
      </w:r>
      <w:proofErr w:type="spellStart"/>
      <w:r>
        <w:t>immunsuppressiva</w:t>
      </w:r>
      <w:proofErr w:type="spellEnd"/>
      <w:r>
        <w:t xml:space="preserve">, der blev givet samtidig, tid efter transplantation og plasmakoncentration af albumin og nyrefunktion. Disse faktorer forklarer, hvorfor nedsat eksponering ses, når </w:t>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w:t>
      </w:r>
      <w:r>
        <w:t xml:space="preserve"> administreres sammen med </w:t>
      </w:r>
      <w:proofErr w:type="spellStart"/>
      <w:r>
        <w:t>cyclosporin</w:t>
      </w:r>
      <w:proofErr w:type="spellEnd"/>
      <w:r>
        <w:t xml:space="preserve"> (se pkt. 4.5), og hvorfor plasmakoncentrationer har tendens til at stige over tid sammenlignet med, hvad der observeres umiddelbart efter transplantation.</w:t>
      </w:r>
    </w:p>
    <w:p w:rsidR="005A2E0C" w:rsidRPr="005A2E0C" w:rsidRDefault="005A2E0C" w:rsidP="005A2E0C">
      <w:pPr>
        <w:autoSpaceDE w:val="0"/>
        <w:autoSpaceDN w:val="0"/>
        <w:adjustRightInd w:val="0"/>
        <w:ind w:left="851" w:hanging="851"/>
        <w:rPr>
          <w:color w:val="000000"/>
          <w:sz w:val="24"/>
          <w:szCs w:val="24"/>
        </w:rPr>
      </w:pPr>
    </w:p>
    <w:p w:rsidR="005A2E0C" w:rsidRPr="005A2E0C" w:rsidRDefault="005A2E0C" w:rsidP="008E6284">
      <w:pPr>
        <w:keepNext/>
        <w:autoSpaceDE w:val="0"/>
        <w:autoSpaceDN w:val="0"/>
        <w:adjustRightInd w:val="0"/>
        <w:ind w:left="851"/>
        <w:rPr>
          <w:color w:val="000000"/>
          <w:sz w:val="24"/>
          <w:szCs w:val="24"/>
          <w:u w:val="single"/>
        </w:rPr>
      </w:pPr>
      <w:r w:rsidRPr="005A2E0C">
        <w:rPr>
          <w:color w:val="000000"/>
          <w:sz w:val="24"/>
          <w:szCs w:val="24"/>
          <w:u w:val="single"/>
        </w:rPr>
        <w:t>Ækvivalens med oral administration</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MPA-AUC-værdier målt efter administration af 1 g intravenøs </w:t>
      </w:r>
      <w:proofErr w:type="spellStart"/>
      <w:r w:rsidRPr="005A2E0C">
        <w:rPr>
          <w:color w:val="000000"/>
          <w:sz w:val="24"/>
          <w:szCs w:val="24"/>
        </w:rPr>
        <w:t>mycophenolatmofetil</w:t>
      </w:r>
      <w:proofErr w:type="spellEnd"/>
      <w:r w:rsidRPr="005A2E0C">
        <w:rPr>
          <w:color w:val="000000"/>
          <w:sz w:val="24"/>
          <w:szCs w:val="24"/>
        </w:rPr>
        <w:t xml:space="preserve"> 2 gange daglig til nyretransplanterede patienter i den tidlige posttransplantationsfase er sammenlignelige med dem, der er observeret efter oral administration af 1 g </w:t>
      </w:r>
      <w:proofErr w:type="spellStart"/>
      <w:r w:rsidRPr="005A2E0C">
        <w:rPr>
          <w:color w:val="000000"/>
          <w:sz w:val="24"/>
          <w:szCs w:val="24"/>
        </w:rPr>
        <w:t>mycophenolatmofetil</w:t>
      </w:r>
      <w:proofErr w:type="spellEnd"/>
      <w:r w:rsidRPr="005A2E0C">
        <w:rPr>
          <w:color w:val="000000"/>
          <w:sz w:val="24"/>
          <w:szCs w:val="24"/>
        </w:rPr>
        <w:t xml:space="preserve"> to gange daglig. Hos levertransplanterede patienter resulterede administration af 1 g intravenøs </w:t>
      </w:r>
      <w:proofErr w:type="spellStart"/>
      <w:r w:rsidRPr="005A2E0C">
        <w:rPr>
          <w:color w:val="000000"/>
          <w:sz w:val="24"/>
          <w:szCs w:val="24"/>
        </w:rPr>
        <w:t>mycophenolatmofetil</w:t>
      </w:r>
      <w:proofErr w:type="spellEnd"/>
      <w:r w:rsidRPr="005A2E0C">
        <w:rPr>
          <w:color w:val="000000"/>
          <w:sz w:val="24"/>
          <w:szCs w:val="24"/>
        </w:rPr>
        <w:t xml:space="preserve"> to gange daglig fulgt af 1,5 g oral </w:t>
      </w:r>
      <w:proofErr w:type="spellStart"/>
      <w:r w:rsidRPr="005A2E0C">
        <w:rPr>
          <w:color w:val="000000"/>
          <w:sz w:val="24"/>
          <w:szCs w:val="24"/>
        </w:rPr>
        <w:t>mycophenolatmofetil</w:t>
      </w:r>
      <w:proofErr w:type="spellEnd"/>
      <w:r w:rsidRPr="005A2E0C">
        <w:rPr>
          <w:color w:val="000000"/>
          <w:sz w:val="24"/>
          <w:szCs w:val="24"/>
        </w:rPr>
        <w:t xml:space="preserve"> to gange daglig i MPA-AUC-værdier svarende til dem, man fandt hos nyretransplanterede patienter, der fik 1 g </w:t>
      </w:r>
      <w:proofErr w:type="spellStart"/>
      <w:r w:rsidRPr="005A2E0C">
        <w:rPr>
          <w:color w:val="000000"/>
          <w:sz w:val="24"/>
          <w:szCs w:val="24"/>
        </w:rPr>
        <w:t>mycophenolatmofetil</w:t>
      </w:r>
      <w:proofErr w:type="spellEnd"/>
      <w:r w:rsidRPr="005A2E0C">
        <w:rPr>
          <w:color w:val="000000"/>
          <w:sz w:val="24"/>
          <w:szCs w:val="24"/>
        </w:rPr>
        <w:t xml:space="preserve"> to gange daglig.</w:t>
      </w:r>
    </w:p>
    <w:p w:rsidR="005A2E0C" w:rsidRPr="005A2E0C" w:rsidRDefault="005A2E0C" w:rsidP="005A2E0C">
      <w:pPr>
        <w:autoSpaceDE w:val="0"/>
        <w:autoSpaceDN w:val="0"/>
        <w:adjustRightInd w:val="0"/>
        <w:ind w:left="851" w:hanging="851"/>
        <w:rPr>
          <w:color w:val="000000"/>
          <w:sz w:val="24"/>
          <w:szCs w:val="24"/>
          <w:u w:val="single"/>
        </w:rPr>
      </w:pPr>
    </w:p>
    <w:p w:rsidR="005A2E0C" w:rsidRPr="005A2E0C" w:rsidRDefault="005A2E0C" w:rsidP="00A77255">
      <w:pPr>
        <w:keepNext/>
        <w:autoSpaceDE w:val="0"/>
        <w:autoSpaceDN w:val="0"/>
        <w:adjustRightInd w:val="0"/>
        <w:ind w:left="851"/>
        <w:rPr>
          <w:color w:val="000000"/>
          <w:sz w:val="24"/>
          <w:szCs w:val="24"/>
          <w:u w:val="single"/>
        </w:rPr>
      </w:pPr>
      <w:r w:rsidRPr="005A2E0C">
        <w:rPr>
          <w:color w:val="000000"/>
          <w:sz w:val="24"/>
          <w:szCs w:val="24"/>
          <w:u w:val="single"/>
        </w:rPr>
        <w:t>Særlige populationer</w:t>
      </w:r>
    </w:p>
    <w:p w:rsidR="005A2E0C" w:rsidRPr="005A2E0C" w:rsidRDefault="005A2E0C" w:rsidP="005A2E0C">
      <w:pPr>
        <w:autoSpaceDE w:val="0"/>
        <w:autoSpaceDN w:val="0"/>
        <w:adjustRightInd w:val="0"/>
        <w:ind w:left="851"/>
        <w:rPr>
          <w:color w:val="000000"/>
          <w:sz w:val="24"/>
          <w:szCs w:val="24"/>
          <w:u w:val="single"/>
        </w:rPr>
      </w:pPr>
    </w:p>
    <w:p w:rsidR="005A2E0C" w:rsidRPr="005A2E0C" w:rsidRDefault="005A2E0C" w:rsidP="005A2E0C">
      <w:pPr>
        <w:autoSpaceDE w:val="0"/>
        <w:autoSpaceDN w:val="0"/>
        <w:adjustRightInd w:val="0"/>
        <w:ind w:left="851"/>
        <w:rPr>
          <w:i/>
          <w:color w:val="000000"/>
          <w:sz w:val="24"/>
          <w:szCs w:val="24"/>
        </w:rPr>
      </w:pPr>
      <w:r w:rsidRPr="005A2E0C">
        <w:rPr>
          <w:i/>
          <w:color w:val="000000"/>
          <w:sz w:val="24"/>
          <w:szCs w:val="24"/>
        </w:rPr>
        <w:t>Nyreinsufficiens</w:t>
      </w:r>
    </w:p>
    <w:p w:rsidR="006D107B" w:rsidRPr="005A2E0C" w:rsidRDefault="006D107B" w:rsidP="006D107B">
      <w:pPr>
        <w:autoSpaceDE w:val="0"/>
        <w:autoSpaceDN w:val="0"/>
        <w:adjustRightInd w:val="0"/>
        <w:ind w:left="851"/>
        <w:rPr>
          <w:color w:val="000000"/>
          <w:sz w:val="24"/>
          <w:szCs w:val="24"/>
        </w:rPr>
      </w:pPr>
      <w:r w:rsidRPr="005A2E0C">
        <w:rPr>
          <w:color w:val="000000"/>
          <w:sz w:val="24"/>
          <w:szCs w:val="24"/>
        </w:rPr>
        <w:t>I et enkeltdosis-studie (6 personer per gruppe) var det gennemsnitlige plasma-MPA-AUC, der observeredes hos personer med svær, kronisk nyreinsufficiens (</w:t>
      </w:r>
      <w:proofErr w:type="spellStart"/>
      <w:r w:rsidRPr="005A2E0C">
        <w:rPr>
          <w:color w:val="000000"/>
          <w:sz w:val="24"/>
          <w:szCs w:val="24"/>
        </w:rPr>
        <w:t>glomerulær</w:t>
      </w:r>
      <w:proofErr w:type="spellEnd"/>
      <w:r w:rsidRPr="005A2E0C">
        <w:rPr>
          <w:color w:val="000000"/>
          <w:sz w:val="24"/>
          <w:szCs w:val="24"/>
        </w:rPr>
        <w:t xml:space="preserve"> filtrationsrate &lt; 25 ml/min/1,73 m</w:t>
      </w:r>
      <w:r w:rsidRPr="005A2E0C">
        <w:rPr>
          <w:color w:val="000000"/>
          <w:sz w:val="24"/>
          <w:szCs w:val="24"/>
          <w:vertAlign w:val="superscript"/>
        </w:rPr>
        <w:t>2</w:t>
      </w:r>
      <w:r w:rsidRPr="005A2E0C">
        <w:rPr>
          <w:color w:val="000000"/>
          <w:sz w:val="24"/>
          <w:szCs w:val="24"/>
        </w:rPr>
        <w:t xml:space="preserve">), 28-75 % højere end middelværdierne hos normale, sunde personer eller personer med mindre grad af nyreinsufficiens. </w:t>
      </w:r>
      <w:r>
        <w:rPr>
          <w:color w:val="000000"/>
          <w:sz w:val="24"/>
          <w:szCs w:val="24"/>
        </w:rPr>
        <w:t>D</w:t>
      </w:r>
      <w:r w:rsidRPr="005A2E0C">
        <w:rPr>
          <w:color w:val="000000"/>
          <w:sz w:val="24"/>
          <w:szCs w:val="24"/>
        </w:rPr>
        <w:t xml:space="preserve">et gennemsnitlige enkelt-dosis-MPAG-AUC </w:t>
      </w:r>
      <w:r>
        <w:rPr>
          <w:color w:val="000000"/>
          <w:sz w:val="24"/>
          <w:szCs w:val="24"/>
        </w:rPr>
        <w:t xml:space="preserve">var </w:t>
      </w:r>
      <w:r w:rsidRPr="005A2E0C">
        <w:rPr>
          <w:color w:val="000000"/>
          <w:sz w:val="24"/>
          <w:szCs w:val="24"/>
        </w:rPr>
        <w:t xml:space="preserve">3-6 gange højere hos personer med svær nyreinsufficiens end hos personer med let nyreinsufficiens eller normale, sunde personer, hvilket er i overensstemmelse med den kendte </w:t>
      </w:r>
      <w:proofErr w:type="spellStart"/>
      <w:r w:rsidRPr="005A2E0C">
        <w:rPr>
          <w:color w:val="000000"/>
          <w:sz w:val="24"/>
          <w:szCs w:val="24"/>
        </w:rPr>
        <w:t>renale</w:t>
      </w:r>
      <w:proofErr w:type="spellEnd"/>
      <w:r w:rsidRPr="005A2E0C">
        <w:rPr>
          <w:color w:val="000000"/>
          <w:sz w:val="24"/>
          <w:szCs w:val="24"/>
        </w:rPr>
        <w:t xml:space="preserve"> udskillelse af MPAG. Indgift af flere doser af </w:t>
      </w:r>
      <w:proofErr w:type="spellStart"/>
      <w:r w:rsidRPr="005A2E0C">
        <w:rPr>
          <w:color w:val="000000"/>
          <w:sz w:val="24"/>
          <w:szCs w:val="24"/>
        </w:rPr>
        <w:t>mycophenolatmofetil</w:t>
      </w:r>
      <w:proofErr w:type="spellEnd"/>
      <w:r w:rsidRPr="005A2E0C">
        <w:rPr>
          <w:color w:val="000000"/>
          <w:sz w:val="24"/>
          <w:szCs w:val="24"/>
        </w:rPr>
        <w:t xml:space="preserve"> til patienter med svær, kronisk nyreinsufficiens er ikke blevet studeret. Der er ingen tilgængelige data for levertransplanterede patienter med svær kronisk nyreinsufficiens.</w:t>
      </w:r>
    </w:p>
    <w:p w:rsidR="005A2E0C" w:rsidRPr="005A2E0C" w:rsidRDefault="005A2E0C" w:rsidP="005A2E0C">
      <w:pPr>
        <w:autoSpaceDE w:val="0"/>
        <w:autoSpaceDN w:val="0"/>
        <w:adjustRightInd w:val="0"/>
        <w:ind w:left="851" w:hanging="851"/>
        <w:rPr>
          <w:color w:val="000000"/>
          <w:sz w:val="24"/>
          <w:szCs w:val="24"/>
        </w:rPr>
      </w:pPr>
    </w:p>
    <w:p w:rsidR="005A2E0C" w:rsidRPr="005A2E0C" w:rsidRDefault="005A2E0C" w:rsidP="005A2E0C">
      <w:pPr>
        <w:autoSpaceDE w:val="0"/>
        <w:autoSpaceDN w:val="0"/>
        <w:adjustRightInd w:val="0"/>
        <w:ind w:left="851"/>
        <w:rPr>
          <w:i/>
          <w:color w:val="000000"/>
          <w:sz w:val="24"/>
          <w:szCs w:val="24"/>
        </w:rPr>
      </w:pPr>
      <w:r w:rsidRPr="005A2E0C">
        <w:rPr>
          <w:i/>
          <w:color w:val="000000"/>
          <w:sz w:val="24"/>
          <w:szCs w:val="24"/>
        </w:rPr>
        <w:t xml:space="preserve">Forsinket </w:t>
      </w:r>
      <w:proofErr w:type="spellStart"/>
      <w:r w:rsidRPr="005A2E0C">
        <w:rPr>
          <w:i/>
          <w:color w:val="000000"/>
          <w:sz w:val="24"/>
          <w:szCs w:val="24"/>
        </w:rPr>
        <w:t>renal</w:t>
      </w:r>
      <w:proofErr w:type="spellEnd"/>
      <w:r w:rsidRPr="005A2E0C">
        <w:rPr>
          <w:i/>
          <w:color w:val="000000"/>
          <w:sz w:val="24"/>
          <w:szCs w:val="24"/>
        </w:rPr>
        <w:t xml:space="preserve"> transplantatfunktion</w:t>
      </w:r>
    </w:p>
    <w:p w:rsidR="006D107B" w:rsidRPr="005A2E0C" w:rsidRDefault="006D107B" w:rsidP="006D107B">
      <w:pPr>
        <w:autoSpaceDE w:val="0"/>
        <w:autoSpaceDN w:val="0"/>
        <w:adjustRightInd w:val="0"/>
        <w:ind w:left="851"/>
        <w:rPr>
          <w:color w:val="000000"/>
          <w:sz w:val="24"/>
          <w:szCs w:val="24"/>
        </w:rPr>
      </w:pPr>
      <w:r w:rsidRPr="005A2E0C">
        <w:rPr>
          <w:color w:val="000000"/>
          <w:sz w:val="24"/>
          <w:szCs w:val="24"/>
        </w:rPr>
        <w:t xml:space="preserve">Hos patienter med forsinket </w:t>
      </w:r>
      <w:proofErr w:type="spellStart"/>
      <w:r w:rsidRPr="005A2E0C">
        <w:rPr>
          <w:color w:val="000000"/>
          <w:sz w:val="24"/>
          <w:szCs w:val="24"/>
        </w:rPr>
        <w:t>renal</w:t>
      </w:r>
      <w:proofErr w:type="spellEnd"/>
      <w:r w:rsidRPr="005A2E0C">
        <w:rPr>
          <w:color w:val="000000"/>
          <w:sz w:val="24"/>
          <w:szCs w:val="24"/>
        </w:rPr>
        <w:t xml:space="preserve"> graftfunktion post-</w:t>
      </w:r>
      <w:proofErr w:type="spellStart"/>
      <w:r w:rsidRPr="005A2E0C">
        <w:rPr>
          <w:color w:val="000000"/>
          <w:sz w:val="24"/>
          <w:szCs w:val="24"/>
        </w:rPr>
        <w:t>transplantativt</w:t>
      </w:r>
      <w:proofErr w:type="spellEnd"/>
      <w:r w:rsidRPr="005A2E0C">
        <w:rPr>
          <w:color w:val="000000"/>
          <w:sz w:val="24"/>
          <w:szCs w:val="24"/>
        </w:rPr>
        <w:t xml:space="preserve"> var det gennemsnitlige MPA-</w:t>
      </w:r>
      <w:proofErr w:type="gramStart"/>
      <w:r w:rsidRPr="005A2E0C">
        <w:rPr>
          <w:color w:val="000000"/>
          <w:sz w:val="24"/>
          <w:szCs w:val="24"/>
        </w:rPr>
        <w:t>AUC</w:t>
      </w:r>
      <w:r w:rsidRPr="005A2E0C">
        <w:rPr>
          <w:color w:val="000000"/>
          <w:sz w:val="24"/>
          <w:szCs w:val="24"/>
          <w:vertAlign w:val="subscript"/>
        </w:rPr>
        <w:t>(</w:t>
      </w:r>
      <w:proofErr w:type="gramEnd"/>
      <w:r w:rsidRPr="005A2E0C">
        <w:rPr>
          <w:color w:val="000000"/>
          <w:sz w:val="24"/>
          <w:szCs w:val="24"/>
          <w:vertAlign w:val="subscript"/>
        </w:rPr>
        <w:t>0–12 timer)</w:t>
      </w:r>
      <w:r w:rsidRPr="005A2E0C">
        <w:rPr>
          <w:color w:val="000000"/>
          <w:sz w:val="24"/>
          <w:szCs w:val="24"/>
        </w:rPr>
        <w:t xml:space="preserve"> sammenligneligt med, hvad man så hos post-transplantations</w:t>
      </w:r>
      <w:r w:rsidRPr="005A2E0C">
        <w:rPr>
          <w:color w:val="000000"/>
          <w:sz w:val="24"/>
          <w:szCs w:val="24"/>
        </w:rPr>
        <w:softHyphen/>
        <w:t>patienter uden forsinket graftfunktion. Det gennemsnitlige plasma-MPAG-</w:t>
      </w:r>
      <w:proofErr w:type="gramStart"/>
      <w:r w:rsidRPr="005A2E0C">
        <w:rPr>
          <w:color w:val="000000"/>
          <w:sz w:val="24"/>
          <w:szCs w:val="24"/>
        </w:rPr>
        <w:t>AUC</w:t>
      </w:r>
      <w:r w:rsidRPr="005A2E0C">
        <w:rPr>
          <w:color w:val="000000"/>
          <w:sz w:val="24"/>
          <w:szCs w:val="24"/>
          <w:vertAlign w:val="subscript"/>
        </w:rPr>
        <w:t>(</w:t>
      </w:r>
      <w:proofErr w:type="gramEnd"/>
      <w:r w:rsidRPr="005A2E0C">
        <w:rPr>
          <w:color w:val="000000"/>
          <w:sz w:val="24"/>
          <w:szCs w:val="24"/>
          <w:vertAlign w:val="subscript"/>
        </w:rPr>
        <w:t>0–12 timer)</w:t>
      </w:r>
      <w:r w:rsidRPr="005A2E0C">
        <w:rPr>
          <w:color w:val="000000"/>
          <w:sz w:val="24"/>
          <w:szCs w:val="24"/>
        </w:rPr>
        <w:t xml:space="preserve"> var 2-3 </w:t>
      </w:r>
      <w:r w:rsidRPr="005A2E0C">
        <w:rPr>
          <w:color w:val="000000"/>
          <w:sz w:val="24"/>
          <w:szCs w:val="24"/>
        </w:rPr>
        <w:lastRenderedPageBreak/>
        <w:t xml:space="preserve">gange højere end hos post-transplantationspatienter uden forsinket graftfunktion. Der kan være en forbigående stigning i den frie fraktion og i koncentrationen af plasma-MPA hos patienter med forsinket </w:t>
      </w:r>
      <w:proofErr w:type="spellStart"/>
      <w:r w:rsidRPr="005A2E0C">
        <w:rPr>
          <w:color w:val="000000"/>
          <w:sz w:val="24"/>
          <w:szCs w:val="24"/>
        </w:rPr>
        <w:t>renal</w:t>
      </w:r>
      <w:proofErr w:type="spellEnd"/>
      <w:r w:rsidRPr="005A2E0C">
        <w:rPr>
          <w:color w:val="000000"/>
          <w:sz w:val="24"/>
          <w:szCs w:val="24"/>
        </w:rPr>
        <w:t xml:space="preserve"> graftfunktion. Det ser ikke ud til, at justering af </w:t>
      </w:r>
      <w:proofErr w:type="spellStart"/>
      <w:r w:rsidRPr="005A2E0C">
        <w:rPr>
          <w:color w:val="000000"/>
          <w:sz w:val="24"/>
          <w:szCs w:val="24"/>
        </w:rPr>
        <w:t>Mycophenolatmofetil</w:t>
      </w:r>
      <w:proofErr w:type="spellEnd"/>
      <w:r w:rsidRPr="005A2E0C">
        <w:rPr>
          <w:color w:val="000000"/>
          <w:sz w:val="24"/>
          <w:szCs w:val="24"/>
        </w:rPr>
        <w:t xml:space="preserve"> </w:t>
      </w:r>
      <w:r>
        <w:rPr>
          <w:color w:val="000000"/>
          <w:sz w:val="24"/>
          <w:szCs w:val="24"/>
        </w:rPr>
        <w:t>”</w:t>
      </w:r>
      <w:proofErr w:type="spellStart"/>
      <w:r w:rsidRPr="005A2E0C">
        <w:rPr>
          <w:color w:val="000000"/>
          <w:sz w:val="24"/>
          <w:szCs w:val="24"/>
        </w:rPr>
        <w:t>Accord</w:t>
      </w:r>
      <w:proofErr w:type="spellEnd"/>
      <w:r>
        <w:rPr>
          <w:color w:val="000000"/>
          <w:sz w:val="24"/>
          <w:szCs w:val="24"/>
        </w:rPr>
        <w:t>”</w:t>
      </w:r>
      <w:r w:rsidRPr="005A2E0C">
        <w:rPr>
          <w:color w:val="000000"/>
          <w:sz w:val="24"/>
          <w:szCs w:val="24"/>
        </w:rPr>
        <w:t>-dosis er nødvendig.</w:t>
      </w:r>
    </w:p>
    <w:p w:rsidR="005A2E0C" w:rsidRPr="005A2E0C" w:rsidRDefault="005A2E0C" w:rsidP="005A2E0C">
      <w:pPr>
        <w:autoSpaceDE w:val="0"/>
        <w:autoSpaceDN w:val="0"/>
        <w:adjustRightInd w:val="0"/>
        <w:ind w:left="851" w:hanging="851"/>
        <w:rPr>
          <w:color w:val="000000"/>
          <w:sz w:val="24"/>
          <w:szCs w:val="24"/>
        </w:rPr>
      </w:pPr>
    </w:p>
    <w:p w:rsidR="005A2E0C" w:rsidRPr="005A2E0C" w:rsidRDefault="005A2E0C" w:rsidP="005A2E0C">
      <w:pPr>
        <w:autoSpaceDE w:val="0"/>
        <w:autoSpaceDN w:val="0"/>
        <w:adjustRightInd w:val="0"/>
        <w:ind w:left="851"/>
        <w:rPr>
          <w:i/>
          <w:color w:val="000000"/>
          <w:sz w:val="24"/>
          <w:szCs w:val="24"/>
        </w:rPr>
      </w:pPr>
      <w:r w:rsidRPr="005A2E0C">
        <w:rPr>
          <w:i/>
          <w:color w:val="000000"/>
          <w:sz w:val="24"/>
          <w:szCs w:val="24"/>
        </w:rPr>
        <w:t>Leverinsufficiens</w:t>
      </w:r>
    </w:p>
    <w:p w:rsidR="006D107B" w:rsidRPr="005A2E0C" w:rsidRDefault="006D107B" w:rsidP="006D107B">
      <w:pPr>
        <w:autoSpaceDE w:val="0"/>
        <w:autoSpaceDN w:val="0"/>
        <w:adjustRightInd w:val="0"/>
        <w:ind w:left="851"/>
        <w:rPr>
          <w:color w:val="000000"/>
          <w:sz w:val="24"/>
          <w:szCs w:val="24"/>
        </w:rPr>
      </w:pPr>
      <w:r w:rsidRPr="005A2E0C">
        <w:rPr>
          <w:color w:val="000000"/>
          <w:sz w:val="24"/>
          <w:szCs w:val="24"/>
        </w:rPr>
        <w:t xml:space="preserve">Hos frivillige forsøgspersoner med alkoholisk </w:t>
      </w:r>
      <w:proofErr w:type="spellStart"/>
      <w:r w:rsidRPr="005A2E0C">
        <w:rPr>
          <w:color w:val="000000"/>
          <w:sz w:val="24"/>
          <w:szCs w:val="24"/>
        </w:rPr>
        <w:t>cirrhose</w:t>
      </w:r>
      <w:proofErr w:type="spellEnd"/>
      <w:r w:rsidRPr="005A2E0C">
        <w:rPr>
          <w:color w:val="000000"/>
          <w:sz w:val="24"/>
          <w:szCs w:val="24"/>
        </w:rPr>
        <w:t xml:space="preserve"> var de </w:t>
      </w:r>
      <w:proofErr w:type="spellStart"/>
      <w:r w:rsidRPr="005A2E0C">
        <w:rPr>
          <w:color w:val="000000"/>
          <w:sz w:val="24"/>
          <w:szCs w:val="24"/>
        </w:rPr>
        <w:t>hepatiske</w:t>
      </w:r>
      <w:proofErr w:type="spellEnd"/>
      <w:r w:rsidRPr="005A2E0C">
        <w:rPr>
          <w:color w:val="000000"/>
          <w:sz w:val="24"/>
          <w:szCs w:val="24"/>
        </w:rPr>
        <w:t xml:space="preserve"> MPA-</w:t>
      </w:r>
      <w:proofErr w:type="spellStart"/>
      <w:r w:rsidRPr="005A2E0C">
        <w:rPr>
          <w:color w:val="000000"/>
          <w:sz w:val="24"/>
          <w:szCs w:val="24"/>
        </w:rPr>
        <w:t>glucuronideringsprocesser</w:t>
      </w:r>
      <w:proofErr w:type="spellEnd"/>
      <w:r w:rsidRPr="005A2E0C">
        <w:rPr>
          <w:color w:val="000000"/>
          <w:sz w:val="24"/>
          <w:szCs w:val="24"/>
        </w:rPr>
        <w:t xml:space="preserve"> forholdsvis upåvirkede af den </w:t>
      </w:r>
      <w:proofErr w:type="spellStart"/>
      <w:r w:rsidRPr="005A2E0C">
        <w:rPr>
          <w:color w:val="000000"/>
          <w:sz w:val="24"/>
          <w:szCs w:val="24"/>
        </w:rPr>
        <w:t>hepatiske</w:t>
      </w:r>
      <w:proofErr w:type="spellEnd"/>
      <w:r w:rsidRPr="005A2E0C">
        <w:rPr>
          <w:color w:val="000000"/>
          <w:sz w:val="24"/>
          <w:szCs w:val="24"/>
        </w:rPr>
        <w:t xml:space="preserve"> </w:t>
      </w:r>
      <w:proofErr w:type="spellStart"/>
      <w:r w:rsidRPr="005A2E0C">
        <w:rPr>
          <w:color w:val="000000"/>
          <w:sz w:val="24"/>
          <w:szCs w:val="24"/>
        </w:rPr>
        <w:t>parenkymsygdom</w:t>
      </w:r>
      <w:proofErr w:type="spellEnd"/>
      <w:r w:rsidRPr="005A2E0C">
        <w:rPr>
          <w:color w:val="000000"/>
          <w:sz w:val="24"/>
          <w:szCs w:val="24"/>
        </w:rPr>
        <w:t xml:space="preserve">. Virkningerne af </w:t>
      </w:r>
      <w:proofErr w:type="spellStart"/>
      <w:r w:rsidRPr="005A2E0C">
        <w:rPr>
          <w:color w:val="000000"/>
          <w:sz w:val="24"/>
          <w:szCs w:val="24"/>
        </w:rPr>
        <w:t>hepatisk</w:t>
      </w:r>
      <w:proofErr w:type="spellEnd"/>
      <w:r w:rsidRPr="005A2E0C">
        <w:rPr>
          <w:color w:val="000000"/>
          <w:sz w:val="24"/>
          <w:szCs w:val="24"/>
        </w:rPr>
        <w:t xml:space="preserve"> sygdom på d</w:t>
      </w:r>
      <w:r>
        <w:rPr>
          <w:color w:val="000000"/>
          <w:sz w:val="24"/>
          <w:szCs w:val="24"/>
        </w:rPr>
        <w:t>isse</w:t>
      </w:r>
      <w:r w:rsidRPr="005A2E0C">
        <w:rPr>
          <w:color w:val="000000"/>
          <w:sz w:val="24"/>
          <w:szCs w:val="24"/>
        </w:rPr>
        <w:t xml:space="preserve"> proces</w:t>
      </w:r>
      <w:r>
        <w:rPr>
          <w:color w:val="000000"/>
          <w:sz w:val="24"/>
          <w:szCs w:val="24"/>
        </w:rPr>
        <w:t>ser</w:t>
      </w:r>
      <w:r w:rsidRPr="005A2E0C">
        <w:rPr>
          <w:color w:val="000000"/>
          <w:sz w:val="24"/>
          <w:szCs w:val="24"/>
        </w:rPr>
        <w:t xml:space="preserve"> afhænger sandsynligvis af den enkelte sygdom. </w:t>
      </w:r>
      <w:proofErr w:type="spellStart"/>
      <w:r>
        <w:rPr>
          <w:color w:val="000000"/>
          <w:sz w:val="24"/>
          <w:szCs w:val="24"/>
        </w:rPr>
        <w:t>H</w:t>
      </w:r>
      <w:r w:rsidRPr="005A2E0C">
        <w:rPr>
          <w:color w:val="000000"/>
          <w:sz w:val="24"/>
          <w:szCs w:val="24"/>
        </w:rPr>
        <w:t>epatisk</w:t>
      </w:r>
      <w:proofErr w:type="spellEnd"/>
      <w:r w:rsidRPr="005A2E0C">
        <w:rPr>
          <w:color w:val="000000"/>
          <w:sz w:val="24"/>
          <w:szCs w:val="24"/>
        </w:rPr>
        <w:t xml:space="preserve"> sygdom med overvejende biliær skade som f.eks. primær biliær </w:t>
      </w:r>
      <w:proofErr w:type="spellStart"/>
      <w:r w:rsidRPr="005A2E0C">
        <w:rPr>
          <w:color w:val="000000"/>
          <w:sz w:val="24"/>
          <w:szCs w:val="24"/>
        </w:rPr>
        <w:t>cirrhose</w:t>
      </w:r>
      <w:proofErr w:type="spellEnd"/>
      <w:r>
        <w:rPr>
          <w:color w:val="000000"/>
          <w:sz w:val="24"/>
          <w:szCs w:val="24"/>
        </w:rPr>
        <w:t xml:space="preserve"> kan</w:t>
      </w:r>
      <w:r w:rsidRPr="005A2E0C">
        <w:rPr>
          <w:color w:val="000000"/>
          <w:sz w:val="24"/>
          <w:szCs w:val="24"/>
        </w:rPr>
        <w:t xml:space="preserve"> vise en anden virkning.</w:t>
      </w:r>
    </w:p>
    <w:p w:rsidR="006D107B" w:rsidRPr="005A2E0C" w:rsidRDefault="006D107B" w:rsidP="006D107B">
      <w:pPr>
        <w:autoSpaceDE w:val="0"/>
        <w:autoSpaceDN w:val="0"/>
        <w:adjustRightInd w:val="0"/>
        <w:ind w:left="851" w:hanging="851"/>
        <w:rPr>
          <w:color w:val="000000"/>
          <w:sz w:val="24"/>
          <w:szCs w:val="24"/>
        </w:rPr>
      </w:pPr>
    </w:p>
    <w:p w:rsidR="005A2E0C" w:rsidRPr="005A2E0C" w:rsidRDefault="005A2E0C" w:rsidP="005A2E0C">
      <w:pPr>
        <w:autoSpaceDE w:val="0"/>
        <w:autoSpaceDN w:val="0"/>
        <w:adjustRightInd w:val="0"/>
        <w:ind w:left="851"/>
        <w:rPr>
          <w:i/>
          <w:color w:val="000000"/>
          <w:sz w:val="24"/>
          <w:szCs w:val="24"/>
        </w:rPr>
      </w:pPr>
      <w:r w:rsidRPr="005A2E0C">
        <w:rPr>
          <w:i/>
          <w:color w:val="000000"/>
          <w:sz w:val="24"/>
          <w:szCs w:val="24"/>
        </w:rPr>
        <w:t>Ældre</w:t>
      </w:r>
    </w:p>
    <w:p w:rsidR="005A2E0C" w:rsidRPr="005A2E0C" w:rsidRDefault="005A2E0C" w:rsidP="005A2E0C">
      <w:pPr>
        <w:autoSpaceDE w:val="0"/>
        <w:autoSpaceDN w:val="0"/>
        <w:adjustRightInd w:val="0"/>
        <w:ind w:left="851"/>
        <w:rPr>
          <w:color w:val="000000"/>
          <w:sz w:val="24"/>
          <w:szCs w:val="24"/>
        </w:rPr>
      </w:pPr>
      <w:r w:rsidRPr="005A2E0C">
        <w:rPr>
          <w:color w:val="000000"/>
          <w:sz w:val="24"/>
          <w:szCs w:val="24"/>
        </w:rPr>
        <w:t xml:space="preserve">Farmakokinetikken af </w:t>
      </w:r>
      <w:proofErr w:type="spellStart"/>
      <w:r w:rsidRPr="005A2E0C">
        <w:rPr>
          <w:color w:val="000000"/>
          <w:sz w:val="24"/>
          <w:szCs w:val="24"/>
        </w:rPr>
        <w:t>mycophenolatmofetils</w:t>
      </w:r>
      <w:proofErr w:type="spellEnd"/>
      <w:r w:rsidRPr="005A2E0C">
        <w:rPr>
          <w:color w:val="000000"/>
          <w:sz w:val="24"/>
          <w:szCs w:val="24"/>
        </w:rPr>
        <w:t xml:space="preserve"> og dets metabolitter er ikke observeret at være anderledes hos ældre patienter (≥ 65 år)</w:t>
      </w:r>
      <w:r w:rsidR="00481458">
        <w:rPr>
          <w:color w:val="000000"/>
          <w:sz w:val="24"/>
          <w:szCs w:val="24"/>
        </w:rPr>
        <w:t xml:space="preserve"> </w:t>
      </w:r>
      <w:r w:rsidRPr="005A2E0C">
        <w:rPr>
          <w:color w:val="000000"/>
          <w:sz w:val="24"/>
          <w:szCs w:val="24"/>
        </w:rPr>
        <w:t>sammenlignet med yngre transplanterede patienter.</w:t>
      </w:r>
    </w:p>
    <w:p w:rsidR="005A2E0C" w:rsidRPr="005A2E0C" w:rsidRDefault="005A2E0C" w:rsidP="005A2E0C">
      <w:pPr>
        <w:autoSpaceDE w:val="0"/>
        <w:autoSpaceDN w:val="0"/>
        <w:adjustRightInd w:val="0"/>
        <w:ind w:left="851" w:hanging="851"/>
        <w:rPr>
          <w:color w:val="000000"/>
          <w:sz w:val="24"/>
          <w:szCs w:val="24"/>
        </w:rPr>
      </w:pPr>
    </w:p>
    <w:p w:rsidR="005A2E0C" w:rsidRPr="005A2E0C" w:rsidRDefault="005A2E0C" w:rsidP="005A2E0C">
      <w:pPr>
        <w:keepNext/>
        <w:autoSpaceDE w:val="0"/>
        <w:autoSpaceDN w:val="0"/>
        <w:adjustRightInd w:val="0"/>
        <w:ind w:left="851"/>
        <w:rPr>
          <w:i/>
          <w:color w:val="000000"/>
          <w:sz w:val="24"/>
          <w:szCs w:val="24"/>
        </w:rPr>
      </w:pPr>
      <w:r w:rsidRPr="005A2E0C">
        <w:rPr>
          <w:i/>
          <w:color w:val="000000"/>
          <w:sz w:val="24"/>
          <w:szCs w:val="24"/>
        </w:rPr>
        <w:t xml:space="preserve">Patienter, der tager orale </w:t>
      </w:r>
      <w:proofErr w:type="spellStart"/>
      <w:r w:rsidRPr="005A2E0C">
        <w:rPr>
          <w:i/>
          <w:color w:val="000000"/>
          <w:sz w:val="24"/>
          <w:szCs w:val="24"/>
        </w:rPr>
        <w:t>kontraceptiva</w:t>
      </w:r>
      <w:proofErr w:type="spellEnd"/>
    </w:p>
    <w:p w:rsidR="006D107B" w:rsidRPr="005A2E0C" w:rsidRDefault="006D107B" w:rsidP="006D107B">
      <w:pPr>
        <w:ind w:left="851"/>
        <w:rPr>
          <w:color w:val="000000"/>
          <w:sz w:val="24"/>
          <w:szCs w:val="24"/>
        </w:rPr>
      </w:pPr>
      <w:r w:rsidRPr="005A2E0C">
        <w:rPr>
          <w:color w:val="000000"/>
          <w:sz w:val="24"/>
          <w:szCs w:val="24"/>
        </w:rPr>
        <w:t xml:space="preserve">Et studie af samtidig administration af </w:t>
      </w:r>
      <w:proofErr w:type="spellStart"/>
      <w:r w:rsidRPr="005A2E0C">
        <w:rPr>
          <w:color w:val="000000"/>
          <w:sz w:val="24"/>
          <w:szCs w:val="24"/>
        </w:rPr>
        <w:t>mycophenolatmofetil</w:t>
      </w:r>
      <w:proofErr w:type="spellEnd"/>
      <w:r w:rsidRPr="005A2E0C">
        <w:rPr>
          <w:color w:val="000000"/>
          <w:sz w:val="24"/>
          <w:szCs w:val="24"/>
        </w:rPr>
        <w:t xml:space="preserve"> (1 g to gange daglig) og orale </w:t>
      </w:r>
      <w:proofErr w:type="spellStart"/>
      <w:r w:rsidRPr="005A2E0C">
        <w:rPr>
          <w:color w:val="000000"/>
          <w:sz w:val="24"/>
          <w:szCs w:val="24"/>
        </w:rPr>
        <w:t>kontraceptiva</w:t>
      </w:r>
      <w:proofErr w:type="spellEnd"/>
      <w:r w:rsidRPr="005A2E0C">
        <w:rPr>
          <w:color w:val="000000"/>
          <w:sz w:val="24"/>
          <w:szCs w:val="24"/>
        </w:rPr>
        <w:t xml:space="preserve"> af kombinationstypen indeholdende </w:t>
      </w:r>
      <w:proofErr w:type="spellStart"/>
      <w:r w:rsidRPr="005A2E0C">
        <w:rPr>
          <w:color w:val="000000"/>
          <w:sz w:val="24"/>
          <w:szCs w:val="24"/>
        </w:rPr>
        <w:t>ethinylestradiol</w:t>
      </w:r>
      <w:proofErr w:type="spellEnd"/>
      <w:r w:rsidRPr="005A2E0C">
        <w:rPr>
          <w:color w:val="000000"/>
          <w:sz w:val="24"/>
          <w:szCs w:val="24"/>
        </w:rPr>
        <w:t xml:space="preserve"> (0,02-0,04 mg) og </w:t>
      </w:r>
      <w:proofErr w:type="spellStart"/>
      <w:r w:rsidRPr="005A2E0C">
        <w:rPr>
          <w:color w:val="000000"/>
          <w:sz w:val="24"/>
          <w:szCs w:val="24"/>
        </w:rPr>
        <w:t>levonorgestrel</w:t>
      </w:r>
      <w:proofErr w:type="spellEnd"/>
      <w:r w:rsidRPr="005A2E0C">
        <w:rPr>
          <w:color w:val="000000"/>
          <w:sz w:val="24"/>
          <w:szCs w:val="24"/>
        </w:rPr>
        <w:t xml:space="preserve"> (0,05-0,</w:t>
      </w:r>
      <w:r>
        <w:rPr>
          <w:color w:val="000000"/>
          <w:sz w:val="24"/>
          <w:szCs w:val="24"/>
        </w:rPr>
        <w:t>20</w:t>
      </w:r>
      <w:r w:rsidRPr="005A2E0C">
        <w:rPr>
          <w:color w:val="000000"/>
          <w:sz w:val="24"/>
          <w:szCs w:val="24"/>
        </w:rPr>
        <w:t xml:space="preserve"> mg), </w:t>
      </w:r>
      <w:proofErr w:type="spellStart"/>
      <w:r w:rsidRPr="005A2E0C">
        <w:rPr>
          <w:color w:val="000000"/>
          <w:sz w:val="24"/>
          <w:szCs w:val="24"/>
        </w:rPr>
        <w:t>desogestrel</w:t>
      </w:r>
      <w:proofErr w:type="spellEnd"/>
      <w:r w:rsidRPr="005A2E0C">
        <w:rPr>
          <w:color w:val="000000"/>
          <w:sz w:val="24"/>
          <w:szCs w:val="24"/>
        </w:rPr>
        <w:t xml:space="preserve"> (0,15 mg) eller gestoden (0,05–0,10 mg) hos 18 ikke-transplanterede kvinder (som ikke fik andre </w:t>
      </w:r>
      <w:proofErr w:type="spellStart"/>
      <w:r w:rsidRPr="005A2E0C">
        <w:rPr>
          <w:color w:val="000000"/>
          <w:sz w:val="24"/>
          <w:szCs w:val="24"/>
        </w:rPr>
        <w:t>immunosuppressiva</w:t>
      </w:r>
      <w:proofErr w:type="spellEnd"/>
      <w:r w:rsidRPr="005A2E0C">
        <w:rPr>
          <w:color w:val="000000"/>
          <w:sz w:val="24"/>
          <w:szCs w:val="24"/>
        </w:rPr>
        <w:t xml:space="preserve">) i 3 konsekutive menstruationscykler viste ingen klinisk relevant påvirkning af </w:t>
      </w:r>
      <w:proofErr w:type="spellStart"/>
      <w:r w:rsidRPr="005A2E0C">
        <w:rPr>
          <w:color w:val="000000"/>
          <w:sz w:val="24"/>
          <w:szCs w:val="24"/>
        </w:rPr>
        <w:t>mycophenolatmofetil</w:t>
      </w:r>
      <w:proofErr w:type="spellEnd"/>
      <w:r w:rsidRPr="005A2E0C">
        <w:rPr>
          <w:color w:val="000000"/>
          <w:sz w:val="24"/>
          <w:szCs w:val="24"/>
        </w:rPr>
        <w:t xml:space="preserve"> på den ovulationshæmmende virkning af de orale </w:t>
      </w:r>
      <w:proofErr w:type="spellStart"/>
      <w:r w:rsidRPr="005A2E0C">
        <w:rPr>
          <w:color w:val="000000"/>
          <w:sz w:val="24"/>
          <w:szCs w:val="24"/>
        </w:rPr>
        <w:t>kontraceptiva</w:t>
      </w:r>
      <w:proofErr w:type="spellEnd"/>
      <w:r w:rsidRPr="005A2E0C">
        <w:rPr>
          <w:color w:val="000000"/>
          <w:sz w:val="24"/>
          <w:szCs w:val="24"/>
        </w:rPr>
        <w:t xml:space="preserve">. Serumniveauet af </w:t>
      </w:r>
      <w:proofErr w:type="spellStart"/>
      <w:r w:rsidRPr="005A2E0C">
        <w:rPr>
          <w:color w:val="000000"/>
          <w:sz w:val="24"/>
          <w:szCs w:val="24"/>
        </w:rPr>
        <w:t>luteiniserende</w:t>
      </w:r>
      <w:proofErr w:type="spellEnd"/>
      <w:r w:rsidRPr="005A2E0C">
        <w:rPr>
          <w:color w:val="000000"/>
          <w:sz w:val="24"/>
          <w:szCs w:val="24"/>
        </w:rPr>
        <w:t xml:space="preserve"> hormon (LH), </w:t>
      </w:r>
      <w:proofErr w:type="spellStart"/>
      <w:r w:rsidRPr="005A2E0C">
        <w:rPr>
          <w:color w:val="000000"/>
          <w:sz w:val="24"/>
          <w:szCs w:val="24"/>
        </w:rPr>
        <w:t>folikelstimulerende</w:t>
      </w:r>
      <w:proofErr w:type="spellEnd"/>
      <w:r w:rsidRPr="005A2E0C">
        <w:rPr>
          <w:color w:val="000000"/>
          <w:sz w:val="24"/>
          <w:szCs w:val="24"/>
        </w:rPr>
        <w:t xml:space="preserve"> hormon (FSH) og progesteron blev ikke signifikant påvirket. Farmakokinetikken af orale </w:t>
      </w:r>
      <w:proofErr w:type="spellStart"/>
      <w:r w:rsidRPr="005A2E0C">
        <w:rPr>
          <w:color w:val="000000"/>
          <w:sz w:val="24"/>
          <w:szCs w:val="24"/>
        </w:rPr>
        <w:t>kontraceptiva</w:t>
      </w:r>
      <w:proofErr w:type="spellEnd"/>
      <w:r w:rsidRPr="005A2E0C">
        <w:rPr>
          <w:color w:val="000000"/>
          <w:sz w:val="24"/>
          <w:szCs w:val="24"/>
        </w:rPr>
        <w:t xml:space="preserve"> påvirkedes ikke </w:t>
      </w:r>
      <w:r>
        <w:rPr>
          <w:color w:val="000000"/>
          <w:sz w:val="24"/>
          <w:szCs w:val="24"/>
        </w:rPr>
        <w:t xml:space="preserve">i klinisk relevant grad </w:t>
      </w:r>
      <w:r w:rsidRPr="005A2E0C">
        <w:rPr>
          <w:color w:val="000000"/>
          <w:sz w:val="24"/>
          <w:szCs w:val="24"/>
        </w:rPr>
        <w:t xml:space="preserve">af samtidig administration af </w:t>
      </w:r>
      <w:proofErr w:type="spellStart"/>
      <w:r w:rsidRPr="005A2E0C">
        <w:rPr>
          <w:color w:val="000000"/>
          <w:sz w:val="24"/>
          <w:szCs w:val="24"/>
        </w:rPr>
        <w:t>Mycophenolatmofetil</w:t>
      </w:r>
      <w:proofErr w:type="spellEnd"/>
      <w:r w:rsidRPr="005A2E0C">
        <w:rPr>
          <w:color w:val="000000"/>
          <w:sz w:val="24"/>
          <w:szCs w:val="24"/>
        </w:rPr>
        <w:t xml:space="preserve"> "</w:t>
      </w:r>
      <w:proofErr w:type="spellStart"/>
      <w:r w:rsidRPr="005A2E0C">
        <w:rPr>
          <w:color w:val="000000"/>
          <w:sz w:val="24"/>
          <w:szCs w:val="24"/>
        </w:rPr>
        <w:t>Accord</w:t>
      </w:r>
      <w:proofErr w:type="spellEnd"/>
      <w:r w:rsidRPr="005A2E0C">
        <w:rPr>
          <w:color w:val="000000"/>
          <w:sz w:val="24"/>
          <w:szCs w:val="24"/>
        </w:rPr>
        <w:t xml:space="preserve">" (se også pkt. 4.5).  </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5.3</w:t>
      </w:r>
      <w:r w:rsidRPr="007205D5">
        <w:rPr>
          <w:b/>
          <w:sz w:val="24"/>
          <w:szCs w:val="24"/>
        </w:rPr>
        <w:tab/>
      </w:r>
      <w:r w:rsidR="00481458">
        <w:rPr>
          <w:b/>
          <w:sz w:val="24"/>
          <w:szCs w:val="24"/>
        </w:rPr>
        <w:t>Non-</w:t>
      </w:r>
      <w:r w:rsidRPr="007205D5">
        <w:rPr>
          <w:b/>
          <w:sz w:val="24"/>
          <w:szCs w:val="24"/>
        </w:rPr>
        <w:t>kliniske sikkerhedsdata</w:t>
      </w:r>
    </w:p>
    <w:p w:rsidR="00B065AB" w:rsidRPr="007205D5" w:rsidRDefault="00B065AB" w:rsidP="00B065AB">
      <w:pPr>
        <w:autoSpaceDE w:val="0"/>
        <w:autoSpaceDN w:val="0"/>
        <w:adjustRightInd w:val="0"/>
        <w:ind w:left="851" w:hanging="851"/>
        <w:rPr>
          <w:color w:val="000000"/>
          <w:sz w:val="24"/>
          <w:szCs w:val="24"/>
        </w:rPr>
      </w:pPr>
      <w:r w:rsidRPr="007205D5">
        <w:rPr>
          <w:sz w:val="24"/>
          <w:szCs w:val="24"/>
        </w:rPr>
        <w:tab/>
      </w:r>
      <w:r w:rsidRPr="007205D5">
        <w:rPr>
          <w:color w:val="000000"/>
          <w:sz w:val="24"/>
          <w:szCs w:val="24"/>
        </w:rPr>
        <w:t xml:space="preserve">I forsøgsmodeller var </w:t>
      </w:r>
      <w:proofErr w:type="spellStart"/>
      <w:r w:rsidRPr="007205D5">
        <w:rPr>
          <w:color w:val="000000"/>
          <w:sz w:val="24"/>
          <w:szCs w:val="24"/>
        </w:rPr>
        <w:t>mycophenolatmofetil</w:t>
      </w:r>
      <w:proofErr w:type="spellEnd"/>
      <w:r w:rsidRPr="007205D5">
        <w:rPr>
          <w:color w:val="000000"/>
          <w:sz w:val="24"/>
          <w:szCs w:val="24"/>
        </w:rPr>
        <w:t xml:space="preserve"> ikke tumordannende. Den højeste testede dosis i dyre-</w:t>
      </w:r>
      <w:proofErr w:type="spellStart"/>
      <w:r w:rsidRPr="007205D5">
        <w:rPr>
          <w:color w:val="000000"/>
          <w:sz w:val="24"/>
          <w:szCs w:val="24"/>
        </w:rPr>
        <w:t>carcinogenicitetsundersøgelser</w:t>
      </w:r>
      <w:proofErr w:type="spellEnd"/>
      <w:r w:rsidRPr="007205D5">
        <w:rPr>
          <w:color w:val="000000"/>
          <w:sz w:val="24"/>
          <w:szCs w:val="24"/>
        </w:rPr>
        <w:t xml:space="preserve"> resulterede i en systemiske eksponering (AUC eller </w:t>
      </w:r>
      <w:proofErr w:type="spellStart"/>
      <w:r w:rsidRPr="007205D5">
        <w:rPr>
          <w:color w:val="000000"/>
          <w:sz w:val="24"/>
          <w:szCs w:val="24"/>
        </w:rPr>
        <w:t>C</w:t>
      </w:r>
      <w:r w:rsidRPr="007205D5">
        <w:rPr>
          <w:color w:val="000000"/>
          <w:sz w:val="24"/>
          <w:szCs w:val="24"/>
          <w:vertAlign w:val="subscript"/>
        </w:rPr>
        <w:t>max</w:t>
      </w:r>
      <w:proofErr w:type="spellEnd"/>
      <w:r w:rsidRPr="007205D5">
        <w:rPr>
          <w:color w:val="000000"/>
          <w:sz w:val="24"/>
          <w:szCs w:val="24"/>
        </w:rPr>
        <w:t>), der var ca. 2-3 gange højere end den, der er observeret hos nyretransplantations</w:t>
      </w:r>
      <w:r w:rsidRPr="007205D5">
        <w:rPr>
          <w:color w:val="000000"/>
          <w:sz w:val="24"/>
          <w:szCs w:val="24"/>
        </w:rPr>
        <w:softHyphen/>
        <w:t>patienter, som fik den anbefalede kliniske dosis på 2 g daglig.</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To </w:t>
      </w:r>
      <w:proofErr w:type="spellStart"/>
      <w:r w:rsidRPr="007205D5">
        <w:rPr>
          <w:color w:val="000000"/>
          <w:sz w:val="24"/>
          <w:szCs w:val="24"/>
        </w:rPr>
        <w:t>genotoksicitetstest</w:t>
      </w:r>
      <w:proofErr w:type="spellEnd"/>
      <w:r w:rsidRPr="007205D5">
        <w:rPr>
          <w:color w:val="000000"/>
          <w:sz w:val="24"/>
          <w:szCs w:val="24"/>
        </w:rPr>
        <w:t xml:space="preserve"> (en </w:t>
      </w:r>
      <w:r w:rsidRPr="007205D5">
        <w:rPr>
          <w:i/>
          <w:color w:val="000000"/>
          <w:sz w:val="24"/>
          <w:szCs w:val="24"/>
        </w:rPr>
        <w:t xml:space="preserve">in </w:t>
      </w:r>
      <w:proofErr w:type="spellStart"/>
      <w:r w:rsidRPr="007205D5">
        <w:rPr>
          <w:i/>
          <w:color w:val="000000"/>
          <w:sz w:val="24"/>
          <w:szCs w:val="24"/>
        </w:rPr>
        <w:t>vitro</w:t>
      </w:r>
      <w:proofErr w:type="spellEnd"/>
      <w:r w:rsidRPr="007205D5">
        <w:rPr>
          <w:color w:val="000000"/>
          <w:sz w:val="24"/>
          <w:szCs w:val="24"/>
        </w:rPr>
        <w:t>-</w:t>
      </w:r>
      <w:proofErr w:type="spellStart"/>
      <w:r w:rsidRPr="007205D5">
        <w:rPr>
          <w:color w:val="000000"/>
          <w:sz w:val="24"/>
          <w:szCs w:val="24"/>
        </w:rPr>
        <w:t>muselymfom</w:t>
      </w:r>
      <w:proofErr w:type="spellEnd"/>
      <w:r w:rsidRPr="007205D5">
        <w:rPr>
          <w:color w:val="000000"/>
          <w:sz w:val="24"/>
          <w:szCs w:val="24"/>
        </w:rPr>
        <w:t xml:space="preserve">-test og </w:t>
      </w:r>
      <w:proofErr w:type="spellStart"/>
      <w:r w:rsidRPr="007205D5">
        <w:rPr>
          <w:color w:val="000000"/>
          <w:sz w:val="24"/>
          <w:szCs w:val="24"/>
        </w:rPr>
        <w:t>en</w:t>
      </w:r>
      <w:r w:rsidRPr="007205D5">
        <w:rPr>
          <w:i/>
          <w:color w:val="000000"/>
          <w:sz w:val="24"/>
          <w:szCs w:val="24"/>
        </w:rPr>
        <w:t>in</w:t>
      </w:r>
      <w:proofErr w:type="spellEnd"/>
      <w:r w:rsidRPr="007205D5">
        <w:rPr>
          <w:i/>
          <w:color w:val="000000"/>
          <w:sz w:val="24"/>
          <w:szCs w:val="24"/>
        </w:rPr>
        <w:t xml:space="preserve"> </w:t>
      </w:r>
      <w:proofErr w:type="spellStart"/>
      <w:r w:rsidRPr="007205D5">
        <w:rPr>
          <w:i/>
          <w:color w:val="000000"/>
          <w:sz w:val="24"/>
          <w:szCs w:val="24"/>
        </w:rPr>
        <w:t>vivo</w:t>
      </w:r>
      <w:proofErr w:type="spellEnd"/>
      <w:r w:rsidRPr="007205D5">
        <w:rPr>
          <w:color w:val="000000"/>
          <w:sz w:val="24"/>
          <w:szCs w:val="24"/>
        </w:rPr>
        <w:t>-museknoglemarvs-</w:t>
      </w:r>
      <w:proofErr w:type="spellStart"/>
      <w:r w:rsidRPr="007205D5">
        <w:rPr>
          <w:color w:val="000000"/>
          <w:sz w:val="24"/>
          <w:szCs w:val="24"/>
        </w:rPr>
        <w:t>mikronucleus</w:t>
      </w:r>
      <w:proofErr w:type="spellEnd"/>
      <w:r w:rsidRPr="007205D5">
        <w:rPr>
          <w:color w:val="000000"/>
          <w:sz w:val="24"/>
          <w:szCs w:val="24"/>
        </w:rPr>
        <w:t xml:space="preserve">-test) viste, at </w:t>
      </w:r>
      <w:proofErr w:type="spellStart"/>
      <w:r w:rsidRPr="007205D5">
        <w:rPr>
          <w:color w:val="000000"/>
          <w:sz w:val="24"/>
          <w:szCs w:val="24"/>
        </w:rPr>
        <w:t>mycophenolatmofetil</w:t>
      </w:r>
      <w:proofErr w:type="spellEnd"/>
      <w:r w:rsidRPr="007205D5">
        <w:rPr>
          <w:color w:val="000000"/>
          <w:sz w:val="24"/>
          <w:szCs w:val="24"/>
        </w:rPr>
        <w:t xml:space="preserve"> potentielt kan forårsage kromosomaberrationer. Det kan skyldes den </w:t>
      </w:r>
      <w:proofErr w:type="spellStart"/>
      <w:r w:rsidRPr="007205D5">
        <w:rPr>
          <w:color w:val="000000"/>
          <w:sz w:val="24"/>
          <w:szCs w:val="24"/>
        </w:rPr>
        <w:t>farmakodynamiske</w:t>
      </w:r>
      <w:proofErr w:type="spellEnd"/>
      <w:r w:rsidRPr="007205D5">
        <w:rPr>
          <w:color w:val="000000"/>
          <w:sz w:val="24"/>
          <w:szCs w:val="24"/>
        </w:rPr>
        <w:t xml:space="preserve"> effekt, dvs. hæmning af nukleotidsyntesen i sensitive celler. Andre </w:t>
      </w:r>
      <w:r w:rsidRPr="007205D5">
        <w:rPr>
          <w:i/>
          <w:color w:val="000000"/>
          <w:sz w:val="24"/>
          <w:szCs w:val="24"/>
        </w:rPr>
        <w:t xml:space="preserve">in </w:t>
      </w:r>
      <w:proofErr w:type="spellStart"/>
      <w:r w:rsidRPr="007205D5">
        <w:rPr>
          <w:i/>
          <w:color w:val="000000"/>
          <w:sz w:val="24"/>
          <w:szCs w:val="24"/>
        </w:rPr>
        <w:t>vitro</w:t>
      </w:r>
      <w:proofErr w:type="spellEnd"/>
      <w:r w:rsidRPr="007205D5">
        <w:rPr>
          <w:color w:val="000000"/>
          <w:sz w:val="24"/>
          <w:szCs w:val="24"/>
        </w:rPr>
        <w:t>-test for genmutation kunne ikke påvise genotoksisk aktivitet.</w:t>
      </w:r>
    </w:p>
    <w:p w:rsidR="00B065AB" w:rsidRPr="007205D5" w:rsidRDefault="00B065AB" w:rsidP="00B065AB">
      <w:pPr>
        <w:autoSpaceDE w:val="0"/>
        <w:autoSpaceDN w:val="0"/>
        <w:adjustRightInd w:val="0"/>
        <w:ind w:left="851" w:hanging="851"/>
        <w:rPr>
          <w:color w:val="000000"/>
          <w:sz w:val="24"/>
          <w:szCs w:val="24"/>
        </w:rPr>
      </w:pPr>
    </w:p>
    <w:p w:rsidR="006D107B" w:rsidRPr="007205D5" w:rsidRDefault="006D107B" w:rsidP="006D107B">
      <w:pPr>
        <w:autoSpaceDE w:val="0"/>
        <w:autoSpaceDN w:val="0"/>
        <w:adjustRightInd w:val="0"/>
        <w:ind w:left="851"/>
        <w:rPr>
          <w:color w:val="000000"/>
          <w:sz w:val="24"/>
          <w:szCs w:val="24"/>
        </w:rPr>
      </w:pPr>
      <w:r w:rsidRPr="007205D5">
        <w:rPr>
          <w:color w:val="000000"/>
          <w:sz w:val="24"/>
          <w:szCs w:val="24"/>
        </w:rPr>
        <w:t xml:space="preserve">I </w:t>
      </w:r>
      <w:proofErr w:type="spellStart"/>
      <w:r w:rsidRPr="007205D5">
        <w:rPr>
          <w:color w:val="000000"/>
          <w:sz w:val="24"/>
          <w:szCs w:val="24"/>
        </w:rPr>
        <w:t>teratologiske</w:t>
      </w:r>
      <w:proofErr w:type="spellEnd"/>
      <w:r w:rsidRPr="007205D5">
        <w:rPr>
          <w:color w:val="000000"/>
          <w:sz w:val="24"/>
          <w:szCs w:val="24"/>
        </w:rPr>
        <w:t xml:space="preserve"> studier med rotter og kaniner forekom der </w:t>
      </w:r>
      <w:proofErr w:type="spellStart"/>
      <w:r w:rsidRPr="007205D5">
        <w:rPr>
          <w:color w:val="000000"/>
          <w:sz w:val="24"/>
          <w:szCs w:val="24"/>
        </w:rPr>
        <w:t>føtal</w:t>
      </w:r>
      <w:proofErr w:type="spellEnd"/>
      <w:r w:rsidRPr="007205D5">
        <w:rPr>
          <w:color w:val="000000"/>
          <w:sz w:val="24"/>
          <w:szCs w:val="24"/>
        </w:rPr>
        <w:t xml:space="preserve"> resorption og misdannelser hos rotter ved 6 mg</w:t>
      </w:r>
      <w:r>
        <w:rPr>
          <w:color w:val="000000"/>
          <w:sz w:val="24"/>
          <w:szCs w:val="24"/>
        </w:rPr>
        <w:t>/</w:t>
      </w:r>
      <w:r w:rsidRPr="007205D5">
        <w:rPr>
          <w:color w:val="000000"/>
          <w:sz w:val="24"/>
          <w:szCs w:val="24"/>
        </w:rPr>
        <w:t>kg</w:t>
      </w:r>
      <w:r>
        <w:rPr>
          <w:color w:val="000000"/>
          <w:sz w:val="24"/>
          <w:szCs w:val="24"/>
        </w:rPr>
        <w:t>/</w:t>
      </w:r>
      <w:r w:rsidRPr="007205D5">
        <w:rPr>
          <w:color w:val="000000"/>
          <w:sz w:val="24"/>
          <w:szCs w:val="24"/>
        </w:rPr>
        <w:t xml:space="preserve">dag (herunder </w:t>
      </w:r>
      <w:proofErr w:type="spellStart"/>
      <w:r w:rsidRPr="007205D5">
        <w:rPr>
          <w:color w:val="000000"/>
          <w:sz w:val="24"/>
          <w:szCs w:val="24"/>
        </w:rPr>
        <w:t>anophthalmi</w:t>
      </w:r>
      <w:proofErr w:type="spellEnd"/>
      <w:r w:rsidRPr="007205D5">
        <w:rPr>
          <w:color w:val="000000"/>
          <w:sz w:val="24"/>
          <w:szCs w:val="24"/>
        </w:rPr>
        <w:t xml:space="preserve">, </w:t>
      </w:r>
      <w:proofErr w:type="spellStart"/>
      <w:r w:rsidRPr="007205D5">
        <w:rPr>
          <w:color w:val="000000"/>
          <w:sz w:val="24"/>
          <w:szCs w:val="24"/>
        </w:rPr>
        <w:t>agnathi</w:t>
      </w:r>
      <w:proofErr w:type="spellEnd"/>
      <w:r w:rsidRPr="007205D5">
        <w:rPr>
          <w:color w:val="000000"/>
          <w:sz w:val="24"/>
          <w:szCs w:val="24"/>
        </w:rPr>
        <w:t xml:space="preserve"> og </w:t>
      </w:r>
      <w:proofErr w:type="spellStart"/>
      <w:r w:rsidRPr="007205D5">
        <w:rPr>
          <w:color w:val="000000"/>
          <w:sz w:val="24"/>
          <w:szCs w:val="24"/>
        </w:rPr>
        <w:t>hydrocephalus</w:t>
      </w:r>
      <w:proofErr w:type="spellEnd"/>
      <w:r w:rsidRPr="007205D5">
        <w:rPr>
          <w:color w:val="000000"/>
          <w:sz w:val="24"/>
          <w:szCs w:val="24"/>
        </w:rPr>
        <w:t>) og hos kaniner ved 90 mg</w:t>
      </w:r>
      <w:r>
        <w:rPr>
          <w:color w:val="000000"/>
          <w:sz w:val="24"/>
          <w:szCs w:val="24"/>
        </w:rPr>
        <w:t>/</w:t>
      </w:r>
      <w:r w:rsidRPr="007205D5">
        <w:rPr>
          <w:color w:val="000000"/>
          <w:sz w:val="24"/>
          <w:szCs w:val="24"/>
        </w:rPr>
        <w:t>kg</w:t>
      </w:r>
      <w:r>
        <w:rPr>
          <w:color w:val="000000"/>
          <w:sz w:val="24"/>
          <w:szCs w:val="24"/>
        </w:rPr>
        <w:t>/</w:t>
      </w:r>
      <w:r w:rsidRPr="007205D5">
        <w:rPr>
          <w:color w:val="000000"/>
          <w:sz w:val="24"/>
          <w:szCs w:val="24"/>
        </w:rPr>
        <w:t xml:space="preserve">dag (herunder </w:t>
      </w:r>
      <w:proofErr w:type="spellStart"/>
      <w:r w:rsidRPr="007205D5">
        <w:rPr>
          <w:color w:val="000000"/>
          <w:sz w:val="24"/>
          <w:szCs w:val="24"/>
        </w:rPr>
        <w:t>kardiovaskulære</w:t>
      </w:r>
      <w:proofErr w:type="spellEnd"/>
      <w:r w:rsidRPr="007205D5">
        <w:rPr>
          <w:color w:val="000000"/>
          <w:sz w:val="24"/>
          <w:szCs w:val="24"/>
        </w:rPr>
        <w:t xml:space="preserve"> og </w:t>
      </w:r>
      <w:proofErr w:type="spellStart"/>
      <w:r w:rsidRPr="007205D5">
        <w:rPr>
          <w:color w:val="000000"/>
          <w:sz w:val="24"/>
          <w:szCs w:val="24"/>
        </w:rPr>
        <w:t>renale</w:t>
      </w:r>
      <w:proofErr w:type="spellEnd"/>
      <w:r w:rsidRPr="007205D5">
        <w:rPr>
          <w:color w:val="000000"/>
          <w:sz w:val="24"/>
          <w:szCs w:val="24"/>
        </w:rPr>
        <w:t xml:space="preserve"> anomalier, såsom </w:t>
      </w:r>
      <w:proofErr w:type="spellStart"/>
      <w:r w:rsidRPr="007205D5">
        <w:rPr>
          <w:color w:val="000000"/>
          <w:sz w:val="24"/>
          <w:szCs w:val="24"/>
        </w:rPr>
        <w:t>cordis</w:t>
      </w:r>
      <w:proofErr w:type="spellEnd"/>
      <w:r w:rsidRPr="007205D5">
        <w:rPr>
          <w:color w:val="000000"/>
          <w:sz w:val="24"/>
          <w:szCs w:val="24"/>
        </w:rPr>
        <w:t xml:space="preserve"> </w:t>
      </w:r>
      <w:proofErr w:type="spellStart"/>
      <w:r w:rsidRPr="007205D5">
        <w:rPr>
          <w:color w:val="000000"/>
          <w:sz w:val="24"/>
          <w:szCs w:val="24"/>
        </w:rPr>
        <w:t>ectopia</w:t>
      </w:r>
      <w:proofErr w:type="spellEnd"/>
      <w:r w:rsidRPr="007205D5">
        <w:rPr>
          <w:color w:val="000000"/>
          <w:sz w:val="24"/>
          <w:szCs w:val="24"/>
        </w:rPr>
        <w:t xml:space="preserve"> og </w:t>
      </w:r>
      <w:proofErr w:type="spellStart"/>
      <w:r w:rsidRPr="007205D5">
        <w:rPr>
          <w:color w:val="000000"/>
          <w:sz w:val="24"/>
          <w:szCs w:val="24"/>
        </w:rPr>
        <w:t>ectopiske</w:t>
      </w:r>
      <w:proofErr w:type="spellEnd"/>
      <w:r w:rsidRPr="007205D5">
        <w:rPr>
          <w:color w:val="000000"/>
          <w:sz w:val="24"/>
          <w:szCs w:val="24"/>
        </w:rPr>
        <w:t xml:space="preserve"> nyrer og diafragma og </w:t>
      </w:r>
      <w:proofErr w:type="spellStart"/>
      <w:r w:rsidRPr="007205D5">
        <w:rPr>
          <w:color w:val="000000"/>
          <w:sz w:val="24"/>
          <w:szCs w:val="24"/>
        </w:rPr>
        <w:t>umbilical</w:t>
      </w:r>
      <w:proofErr w:type="spellEnd"/>
      <w:r w:rsidRPr="007205D5">
        <w:rPr>
          <w:color w:val="000000"/>
          <w:sz w:val="24"/>
          <w:szCs w:val="24"/>
        </w:rPr>
        <w:t xml:space="preserve"> brok) ved fravær af </w:t>
      </w:r>
      <w:proofErr w:type="spellStart"/>
      <w:r w:rsidRPr="007205D5">
        <w:rPr>
          <w:color w:val="000000"/>
          <w:sz w:val="24"/>
          <w:szCs w:val="24"/>
        </w:rPr>
        <w:t>maternel</w:t>
      </w:r>
      <w:proofErr w:type="spellEnd"/>
      <w:r w:rsidRPr="007205D5">
        <w:rPr>
          <w:color w:val="000000"/>
          <w:sz w:val="24"/>
          <w:szCs w:val="24"/>
        </w:rPr>
        <w:t xml:space="preserve"> toksicitet. Den systemiske eksponering på disse niveauer er omtrent lig med eller mindre end 0,5 gange den kliniske eksponering ved den anbefalede dosis på 2 g daglig (se pkt. 4.6).</w:t>
      </w:r>
    </w:p>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De </w:t>
      </w:r>
      <w:proofErr w:type="spellStart"/>
      <w:r w:rsidRPr="007205D5">
        <w:rPr>
          <w:color w:val="000000"/>
          <w:sz w:val="24"/>
          <w:szCs w:val="24"/>
        </w:rPr>
        <w:t>hæmopoietiske</w:t>
      </w:r>
      <w:proofErr w:type="spellEnd"/>
      <w:r w:rsidRPr="007205D5">
        <w:rPr>
          <w:color w:val="000000"/>
          <w:sz w:val="24"/>
          <w:szCs w:val="24"/>
        </w:rPr>
        <w:t xml:space="preserve"> og </w:t>
      </w:r>
      <w:proofErr w:type="spellStart"/>
      <w:r w:rsidRPr="007205D5">
        <w:rPr>
          <w:color w:val="000000"/>
          <w:sz w:val="24"/>
          <w:szCs w:val="24"/>
        </w:rPr>
        <w:t>lymfoide</w:t>
      </w:r>
      <w:proofErr w:type="spellEnd"/>
      <w:r w:rsidRPr="007205D5">
        <w:rPr>
          <w:color w:val="000000"/>
          <w:sz w:val="24"/>
          <w:szCs w:val="24"/>
        </w:rPr>
        <w:t xml:space="preserve"> organsystemer var de primære organer, der blev påvirket i de toksikologiske studier, som blev foretaget med </w:t>
      </w:r>
      <w:proofErr w:type="spellStart"/>
      <w:r w:rsidRPr="007205D5">
        <w:rPr>
          <w:color w:val="000000"/>
          <w:sz w:val="24"/>
          <w:szCs w:val="24"/>
        </w:rPr>
        <w:t>mycophenolatmofetil</w:t>
      </w:r>
      <w:proofErr w:type="spellEnd"/>
      <w:r w:rsidRPr="007205D5">
        <w:rPr>
          <w:color w:val="000000"/>
          <w:sz w:val="24"/>
          <w:szCs w:val="24"/>
        </w:rPr>
        <w:t xml:space="preserve"> til rotter, mus, hunde og aber. Disse effekter forekom ved systemiske eksponeringsniveauer som er lig </w:t>
      </w:r>
      <w:r w:rsidRPr="007205D5">
        <w:rPr>
          <w:color w:val="000000"/>
          <w:sz w:val="24"/>
          <w:szCs w:val="24"/>
        </w:rPr>
        <w:lastRenderedPageBreak/>
        <w:t xml:space="preserve">med eller mindre end de kliniske niveauer ved den anbefalede dosis på 2 g daglig. </w:t>
      </w:r>
      <w:proofErr w:type="spellStart"/>
      <w:r w:rsidRPr="007205D5">
        <w:rPr>
          <w:color w:val="000000"/>
          <w:sz w:val="24"/>
          <w:szCs w:val="24"/>
        </w:rPr>
        <w:t>Gastrointestinale</w:t>
      </w:r>
      <w:proofErr w:type="spellEnd"/>
      <w:r w:rsidRPr="007205D5">
        <w:rPr>
          <w:color w:val="000000"/>
          <w:sz w:val="24"/>
          <w:szCs w:val="24"/>
        </w:rPr>
        <w:t xml:space="preserve"> virkninger blev observeret hos hunde ved systemiske niveauer lig med eller mindre end det kliniske niveau ved den anbefalede dosis. Dehydreringslignende </w:t>
      </w:r>
      <w:proofErr w:type="spellStart"/>
      <w:r w:rsidRPr="007205D5">
        <w:rPr>
          <w:color w:val="000000"/>
          <w:sz w:val="24"/>
          <w:szCs w:val="24"/>
        </w:rPr>
        <w:t>gastrointestinale</w:t>
      </w:r>
      <w:proofErr w:type="spellEnd"/>
      <w:r w:rsidRPr="007205D5">
        <w:rPr>
          <w:color w:val="000000"/>
          <w:sz w:val="24"/>
          <w:szCs w:val="24"/>
        </w:rPr>
        <w:t xml:space="preserve"> og </w:t>
      </w:r>
      <w:proofErr w:type="spellStart"/>
      <w:r w:rsidRPr="007205D5">
        <w:rPr>
          <w:color w:val="000000"/>
          <w:sz w:val="24"/>
          <w:szCs w:val="24"/>
        </w:rPr>
        <w:t>renale</w:t>
      </w:r>
      <w:proofErr w:type="spellEnd"/>
      <w:r w:rsidRPr="007205D5">
        <w:rPr>
          <w:color w:val="000000"/>
          <w:sz w:val="24"/>
          <w:szCs w:val="24"/>
        </w:rPr>
        <w:t xml:space="preserve"> påvirkninger observeredes også hos aber ved de højeste doser (systemiske niveauer lig med eller større end kliniske niveauer). Den ikke-kliniske toksikologiske profil af </w:t>
      </w:r>
      <w:proofErr w:type="spellStart"/>
      <w:r w:rsidRPr="007205D5">
        <w:rPr>
          <w:color w:val="000000"/>
          <w:sz w:val="24"/>
          <w:szCs w:val="24"/>
        </w:rPr>
        <w:t>mycophenolatmofetil</w:t>
      </w:r>
      <w:proofErr w:type="spellEnd"/>
      <w:r w:rsidRPr="007205D5">
        <w:rPr>
          <w:color w:val="000000"/>
          <w:sz w:val="24"/>
          <w:szCs w:val="24"/>
        </w:rPr>
        <w:t xml:space="preserve"> forekommer at være i overensstemmelse med uønskede hændelser observeret i kliniske forsøg med mennesker, som nu giver sikkerhedsdata, der er mere relevante for patientpopulationen (se pkt. 4.8).</w:t>
      </w:r>
    </w:p>
    <w:p w:rsidR="00B065AB" w:rsidRPr="007205D5" w:rsidRDefault="00B065AB" w:rsidP="00B065AB">
      <w:pPr>
        <w:ind w:left="851" w:hanging="851"/>
        <w:rPr>
          <w:sz w:val="24"/>
          <w:szCs w:val="24"/>
        </w:rPr>
      </w:pPr>
    </w:p>
    <w:p w:rsidR="00B065AB" w:rsidRPr="007205D5" w:rsidRDefault="00B065AB" w:rsidP="00B065AB">
      <w:pPr>
        <w:ind w:left="851" w:hanging="851"/>
        <w:rPr>
          <w:sz w:val="24"/>
          <w:szCs w:val="24"/>
        </w:rPr>
      </w:pPr>
    </w:p>
    <w:p w:rsidR="00B065AB" w:rsidRPr="007205D5" w:rsidRDefault="00B065AB" w:rsidP="008E6284">
      <w:pPr>
        <w:keepNext/>
        <w:ind w:left="851" w:hanging="851"/>
        <w:rPr>
          <w:b/>
          <w:sz w:val="24"/>
          <w:szCs w:val="24"/>
        </w:rPr>
      </w:pPr>
      <w:r w:rsidRPr="007205D5">
        <w:rPr>
          <w:b/>
          <w:sz w:val="24"/>
          <w:szCs w:val="24"/>
        </w:rPr>
        <w:t>6.</w:t>
      </w:r>
      <w:r w:rsidRPr="007205D5">
        <w:rPr>
          <w:b/>
          <w:sz w:val="24"/>
          <w:szCs w:val="24"/>
        </w:rPr>
        <w:tab/>
        <w:t>FARMACEUTISKE OPLYSNINGER</w:t>
      </w:r>
    </w:p>
    <w:p w:rsidR="00B065AB" w:rsidRPr="007205D5" w:rsidRDefault="00B065AB" w:rsidP="008E6284">
      <w:pPr>
        <w:keepNext/>
        <w:ind w:left="851" w:hanging="851"/>
        <w:rPr>
          <w:b/>
          <w:sz w:val="24"/>
          <w:szCs w:val="24"/>
        </w:rPr>
      </w:pPr>
    </w:p>
    <w:p w:rsidR="00B065AB" w:rsidRPr="007205D5" w:rsidRDefault="00B065AB" w:rsidP="008E6284">
      <w:pPr>
        <w:keepNext/>
        <w:ind w:left="851" w:hanging="851"/>
        <w:rPr>
          <w:b/>
          <w:sz w:val="24"/>
          <w:szCs w:val="24"/>
        </w:rPr>
      </w:pPr>
      <w:r w:rsidRPr="007205D5">
        <w:rPr>
          <w:b/>
          <w:sz w:val="24"/>
          <w:szCs w:val="24"/>
        </w:rPr>
        <w:t>6.1</w:t>
      </w:r>
      <w:r w:rsidRPr="007205D5">
        <w:rPr>
          <w:b/>
          <w:sz w:val="24"/>
          <w:szCs w:val="24"/>
        </w:rPr>
        <w:tab/>
        <w:t>Hjælpestoffer</w:t>
      </w:r>
    </w:p>
    <w:p w:rsidR="00B065AB" w:rsidRPr="007205D5" w:rsidRDefault="00B065AB" w:rsidP="008E6284">
      <w:pPr>
        <w:keepNext/>
        <w:autoSpaceDE w:val="0"/>
        <w:autoSpaceDN w:val="0"/>
        <w:adjustRightInd w:val="0"/>
        <w:ind w:left="851"/>
        <w:rPr>
          <w:color w:val="000000"/>
          <w:sz w:val="24"/>
          <w:szCs w:val="24"/>
        </w:rPr>
      </w:pPr>
      <w:proofErr w:type="spellStart"/>
      <w:r w:rsidRPr="007205D5">
        <w:rPr>
          <w:color w:val="000000"/>
          <w:sz w:val="24"/>
          <w:szCs w:val="24"/>
        </w:rPr>
        <w:t>Polysorbat</w:t>
      </w:r>
      <w:proofErr w:type="spellEnd"/>
      <w:r w:rsidRPr="007205D5">
        <w:rPr>
          <w:color w:val="000000"/>
          <w:sz w:val="24"/>
          <w:szCs w:val="24"/>
        </w:rPr>
        <w:t xml:space="preserve"> 80</w:t>
      </w: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Citronsyre</w:t>
      </w: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Saltsyre</w:t>
      </w:r>
    </w:p>
    <w:p w:rsidR="00B065AB" w:rsidRPr="007205D5" w:rsidRDefault="00B065AB" w:rsidP="00B065AB">
      <w:pPr>
        <w:autoSpaceDE w:val="0"/>
        <w:autoSpaceDN w:val="0"/>
        <w:adjustRightInd w:val="0"/>
        <w:ind w:left="851"/>
        <w:rPr>
          <w:color w:val="000000"/>
          <w:sz w:val="24"/>
          <w:szCs w:val="24"/>
        </w:rPr>
      </w:pPr>
      <w:proofErr w:type="spellStart"/>
      <w:r w:rsidRPr="007205D5">
        <w:rPr>
          <w:color w:val="000000"/>
          <w:sz w:val="24"/>
          <w:szCs w:val="24"/>
        </w:rPr>
        <w:t>Natriumchlorid</w:t>
      </w:r>
      <w:proofErr w:type="spellEnd"/>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Nat</w:t>
      </w:r>
      <w:r>
        <w:rPr>
          <w:color w:val="000000"/>
          <w:sz w:val="24"/>
          <w:szCs w:val="24"/>
        </w:rPr>
        <w:t>riumhydroxid (til pH-justering)</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6.2</w:t>
      </w:r>
      <w:r w:rsidRPr="007205D5">
        <w:rPr>
          <w:b/>
          <w:sz w:val="24"/>
          <w:szCs w:val="24"/>
        </w:rPr>
        <w:tab/>
        <w:t>Uforligeligheder</w:t>
      </w:r>
    </w:p>
    <w:p w:rsidR="00B065AB" w:rsidRPr="007205D5" w:rsidRDefault="00B065AB" w:rsidP="00B065AB">
      <w:pPr>
        <w:autoSpaceDE w:val="0"/>
        <w:autoSpaceDN w:val="0"/>
        <w:adjustRightInd w:val="0"/>
        <w:ind w:left="851" w:hanging="851"/>
        <w:rPr>
          <w:color w:val="000000"/>
          <w:sz w:val="24"/>
          <w:szCs w:val="24"/>
        </w:rPr>
      </w:pPr>
      <w:r w:rsidRPr="007205D5">
        <w:rPr>
          <w:sz w:val="24"/>
          <w:szCs w:val="24"/>
        </w:rPr>
        <w:tab/>
      </w: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må ikke blandes med eller administreres samtidig med og via samme kateter som andre intravenøse lægemidler eller infusionsblandinger.</w:t>
      </w:r>
    </w:p>
    <w:p w:rsidR="00B065AB" w:rsidRPr="007205D5" w:rsidRDefault="00B065AB" w:rsidP="00B065AB">
      <w:pPr>
        <w:autoSpaceDE w:val="0"/>
        <w:autoSpaceDN w:val="0"/>
        <w:adjustRightInd w:val="0"/>
        <w:ind w:left="851" w:hanging="851"/>
        <w:rPr>
          <w:color w:val="000000"/>
          <w:sz w:val="24"/>
          <w:szCs w:val="24"/>
          <w:highlight w:val="green"/>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Dette lægemiddel må ikke blandes med andre lægemidler, bortset fra dem, der er nævnt i pkt. 6.6.</w:t>
      </w:r>
    </w:p>
    <w:p w:rsidR="00B065AB" w:rsidRPr="007205D5" w:rsidRDefault="00B065AB" w:rsidP="00B065AB">
      <w:pPr>
        <w:ind w:left="851" w:hanging="851"/>
        <w:rPr>
          <w:sz w:val="24"/>
          <w:szCs w:val="24"/>
        </w:rPr>
      </w:pPr>
    </w:p>
    <w:p w:rsidR="0040450E" w:rsidRPr="0040450E" w:rsidRDefault="00B065AB" w:rsidP="0040450E">
      <w:pPr>
        <w:ind w:left="851" w:hanging="851"/>
        <w:rPr>
          <w:b/>
          <w:sz w:val="24"/>
          <w:szCs w:val="24"/>
        </w:rPr>
      </w:pPr>
      <w:r w:rsidRPr="007205D5">
        <w:rPr>
          <w:b/>
          <w:sz w:val="24"/>
          <w:szCs w:val="24"/>
        </w:rPr>
        <w:t>6.3</w:t>
      </w:r>
      <w:r w:rsidRPr="007205D5">
        <w:rPr>
          <w:b/>
          <w:sz w:val="24"/>
          <w:szCs w:val="24"/>
        </w:rPr>
        <w:tab/>
        <w:t>Opbevaringstid</w:t>
      </w:r>
    </w:p>
    <w:p w:rsidR="0040450E" w:rsidRPr="0040450E" w:rsidRDefault="0040450E" w:rsidP="0040450E">
      <w:pPr>
        <w:autoSpaceDE w:val="0"/>
        <w:autoSpaceDN w:val="0"/>
        <w:adjustRightInd w:val="0"/>
        <w:ind w:left="851"/>
        <w:rPr>
          <w:color w:val="000000"/>
          <w:sz w:val="24"/>
          <w:szCs w:val="24"/>
        </w:rPr>
      </w:pPr>
      <w:r w:rsidRPr="0040450E">
        <w:rPr>
          <w:color w:val="000000"/>
          <w:sz w:val="24"/>
          <w:szCs w:val="24"/>
        </w:rPr>
        <w:t>Pulver til koncentrat til infusionsvæske, opløsning: 2 år.</w:t>
      </w:r>
    </w:p>
    <w:p w:rsidR="00B065AB" w:rsidRPr="0040450E" w:rsidRDefault="00B065AB" w:rsidP="00B065AB">
      <w:pPr>
        <w:autoSpaceDE w:val="0"/>
        <w:autoSpaceDN w:val="0"/>
        <w:adjustRightInd w:val="0"/>
        <w:ind w:left="851" w:hanging="851"/>
        <w:rPr>
          <w:color w:val="000000"/>
          <w:sz w:val="24"/>
          <w:szCs w:val="24"/>
          <w:highlight w:val="green"/>
        </w:rPr>
      </w:pPr>
    </w:p>
    <w:p w:rsidR="00B065AB" w:rsidRPr="007205D5" w:rsidRDefault="00B065AB" w:rsidP="00B065AB">
      <w:pPr>
        <w:autoSpaceDE w:val="0"/>
        <w:autoSpaceDN w:val="0"/>
        <w:adjustRightInd w:val="0"/>
        <w:ind w:left="851"/>
        <w:rPr>
          <w:color w:val="000000"/>
          <w:sz w:val="24"/>
          <w:szCs w:val="24"/>
          <w:u w:val="single"/>
        </w:rPr>
      </w:pPr>
      <w:proofErr w:type="spellStart"/>
      <w:r w:rsidRPr="007205D5">
        <w:rPr>
          <w:sz w:val="24"/>
          <w:szCs w:val="24"/>
          <w:u w:val="single"/>
        </w:rPr>
        <w:t>Rekonstitution</w:t>
      </w:r>
      <w:proofErr w:type="spellEnd"/>
      <w:r w:rsidRPr="007205D5">
        <w:rPr>
          <w:sz w:val="24"/>
          <w:szCs w:val="24"/>
          <w:u w:val="single"/>
        </w:rPr>
        <w:t xml:space="preserve"> og fortynding</w:t>
      </w:r>
    </w:p>
    <w:p w:rsidR="00B065AB" w:rsidRPr="007205D5" w:rsidRDefault="00B065AB" w:rsidP="00B065AB">
      <w:pPr>
        <w:autoSpaceDE w:val="0"/>
        <w:autoSpaceDN w:val="0"/>
        <w:adjustRightInd w:val="0"/>
        <w:ind w:left="851"/>
        <w:rPr>
          <w:sz w:val="24"/>
          <w:szCs w:val="24"/>
          <w:highlight w:val="green"/>
        </w:rPr>
      </w:pPr>
      <w:r w:rsidRPr="007205D5">
        <w:rPr>
          <w:sz w:val="24"/>
          <w:szCs w:val="24"/>
        </w:rPr>
        <w:t xml:space="preserve">Efter </w:t>
      </w:r>
      <w:proofErr w:type="spellStart"/>
      <w:r w:rsidRPr="007205D5">
        <w:rPr>
          <w:sz w:val="24"/>
          <w:szCs w:val="24"/>
        </w:rPr>
        <w:t>rekonstitution</w:t>
      </w:r>
      <w:proofErr w:type="spellEnd"/>
      <w:r w:rsidRPr="007205D5">
        <w:rPr>
          <w:sz w:val="24"/>
          <w:szCs w:val="24"/>
        </w:rPr>
        <w:t xml:space="preserve"> og fortynding er der demonstreret kemisk og fysisk brugsstabilitet af opløsningen til infusion i 24 timer ved 20</w:t>
      </w:r>
      <w:r>
        <w:rPr>
          <w:sz w:val="24"/>
          <w:szCs w:val="24"/>
        </w:rPr>
        <w:t>-</w:t>
      </w:r>
      <w:r w:rsidRPr="007205D5">
        <w:rPr>
          <w:sz w:val="24"/>
          <w:szCs w:val="24"/>
        </w:rPr>
        <w:t>30 °C.</w:t>
      </w:r>
    </w:p>
    <w:p w:rsidR="00B065AB" w:rsidRPr="007205D5" w:rsidRDefault="00B065AB" w:rsidP="00B065AB">
      <w:pPr>
        <w:autoSpaceDE w:val="0"/>
        <w:autoSpaceDN w:val="0"/>
        <w:adjustRightInd w:val="0"/>
        <w:ind w:left="851" w:hanging="851"/>
        <w:rPr>
          <w:color w:val="000000"/>
          <w:sz w:val="24"/>
          <w:szCs w:val="24"/>
        </w:rPr>
      </w:pPr>
    </w:p>
    <w:p w:rsidR="00B065AB" w:rsidRPr="0040450E" w:rsidRDefault="00B065AB" w:rsidP="0040450E">
      <w:pPr>
        <w:autoSpaceDE w:val="0"/>
        <w:autoSpaceDN w:val="0"/>
        <w:adjustRightInd w:val="0"/>
        <w:ind w:left="851"/>
        <w:rPr>
          <w:color w:val="000000"/>
          <w:sz w:val="24"/>
          <w:szCs w:val="24"/>
        </w:rPr>
      </w:pPr>
      <w:r w:rsidRPr="007205D5">
        <w:rPr>
          <w:color w:val="000000"/>
          <w:sz w:val="24"/>
          <w:szCs w:val="24"/>
        </w:rPr>
        <w:t>Fra et mikrobiologisk synspunkt bør produktet anvendes straks. Hvis det ikke anvendes straks, er opbevaringstider og -forhold før anvendelsen brugerens ansvar.</w:t>
      </w:r>
    </w:p>
    <w:p w:rsidR="0081004B" w:rsidRPr="007205D5" w:rsidRDefault="0081004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6.4</w:t>
      </w:r>
      <w:r w:rsidRPr="007205D5">
        <w:rPr>
          <w:b/>
          <w:sz w:val="24"/>
          <w:szCs w:val="24"/>
        </w:rPr>
        <w:tab/>
        <w:t>Særlige opbevaringsforhold</w:t>
      </w:r>
    </w:p>
    <w:p w:rsidR="0040450E" w:rsidRDefault="00B065AB" w:rsidP="0040450E">
      <w:pPr>
        <w:autoSpaceDE w:val="0"/>
        <w:autoSpaceDN w:val="0"/>
        <w:adjustRightInd w:val="0"/>
        <w:ind w:left="851" w:hanging="851"/>
        <w:rPr>
          <w:color w:val="000000"/>
          <w:sz w:val="24"/>
          <w:szCs w:val="24"/>
        </w:rPr>
      </w:pPr>
      <w:r w:rsidRPr="007205D5">
        <w:rPr>
          <w:sz w:val="24"/>
          <w:szCs w:val="24"/>
        </w:rPr>
        <w:tab/>
      </w:r>
      <w:r w:rsidR="0040450E" w:rsidRPr="0040450E">
        <w:rPr>
          <w:sz w:val="24"/>
          <w:szCs w:val="24"/>
        </w:rPr>
        <w:t xml:space="preserve">Pulver til koncentrat til infusionsvæske, opløsning: </w:t>
      </w:r>
      <w:r w:rsidR="0040450E" w:rsidRPr="0040450E">
        <w:rPr>
          <w:color w:val="000000"/>
          <w:sz w:val="24"/>
          <w:szCs w:val="24"/>
        </w:rPr>
        <w:t xml:space="preserve">Må ikke opbevares ved temperaturer over 30 </w:t>
      </w:r>
      <w:r w:rsidR="0040450E" w:rsidRPr="0040450E">
        <w:rPr>
          <w:rFonts w:eastAsia="SymbolMT"/>
          <w:color w:val="000000"/>
          <w:sz w:val="24"/>
          <w:szCs w:val="24"/>
        </w:rPr>
        <w:t>°</w:t>
      </w:r>
      <w:r w:rsidR="0040450E" w:rsidRPr="0040450E">
        <w:rPr>
          <w:color w:val="000000"/>
          <w:sz w:val="24"/>
          <w:szCs w:val="24"/>
        </w:rPr>
        <w:t>C.</w:t>
      </w:r>
    </w:p>
    <w:p w:rsidR="0040450E" w:rsidRPr="0040450E" w:rsidRDefault="0040450E" w:rsidP="0040450E">
      <w:pPr>
        <w:autoSpaceDE w:val="0"/>
        <w:autoSpaceDN w:val="0"/>
        <w:adjustRightInd w:val="0"/>
        <w:ind w:left="851" w:hanging="851"/>
        <w:rPr>
          <w:color w:val="000000"/>
          <w:sz w:val="24"/>
          <w:szCs w:val="24"/>
          <w:highlight w:val="green"/>
        </w:rPr>
      </w:pPr>
    </w:p>
    <w:p w:rsidR="00B065AB" w:rsidRPr="007205D5" w:rsidRDefault="00B065AB" w:rsidP="0040450E">
      <w:pPr>
        <w:autoSpaceDE w:val="0"/>
        <w:autoSpaceDN w:val="0"/>
        <w:adjustRightInd w:val="0"/>
        <w:ind w:left="851"/>
        <w:rPr>
          <w:color w:val="000000"/>
          <w:sz w:val="24"/>
          <w:szCs w:val="24"/>
        </w:rPr>
      </w:pPr>
      <w:r w:rsidRPr="007205D5">
        <w:rPr>
          <w:sz w:val="24"/>
          <w:szCs w:val="24"/>
        </w:rPr>
        <w:t xml:space="preserve">Vedrørende opbevaringsforhold efter </w:t>
      </w:r>
      <w:proofErr w:type="spellStart"/>
      <w:r w:rsidRPr="007205D5">
        <w:rPr>
          <w:sz w:val="24"/>
          <w:szCs w:val="24"/>
        </w:rPr>
        <w:t>rekonstitution</w:t>
      </w:r>
      <w:proofErr w:type="spellEnd"/>
      <w:r w:rsidRPr="007205D5">
        <w:rPr>
          <w:sz w:val="24"/>
          <w:szCs w:val="24"/>
        </w:rPr>
        <w:t xml:space="preserve"> og fortynding af lægemidlet, </w:t>
      </w:r>
      <w:r w:rsidRPr="007205D5">
        <w:rPr>
          <w:color w:val="000000"/>
          <w:sz w:val="24"/>
          <w:szCs w:val="24"/>
        </w:rPr>
        <w:t>se pkt. 6.3.</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6.5</w:t>
      </w:r>
      <w:r w:rsidRPr="007205D5">
        <w:rPr>
          <w:b/>
          <w:sz w:val="24"/>
          <w:szCs w:val="24"/>
        </w:rPr>
        <w:tab/>
        <w:t>Emballagetype og pakningsstørrelser</w:t>
      </w:r>
    </w:p>
    <w:p w:rsidR="00B065AB" w:rsidRDefault="00B065AB" w:rsidP="00B065AB">
      <w:pPr>
        <w:autoSpaceDE w:val="0"/>
        <w:autoSpaceDN w:val="0"/>
        <w:adjustRightInd w:val="0"/>
        <w:ind w:left="851" w:hanging="851"/>
        <w:rPr>
          <w:color w:val="000000"/>
          <w:sz w:val="24"/>
          <w:szCs w:val="24"/>
        </w:rPr>
      </w:pPr>
      <w:r w:rsidRPr="007205D5">
        <w:rPr>
          <w:sz w:val="24"/>
          <w:szCs w:val="24"/>
        </w:rPr>
        <w:tab/>
      </w:r>
      <w:r w:rsidRPr="007205D5">
        <w:rPr>
          <w:color w:val="000000"/>
          <w:sz w:val="24"/>
          <w:szCs w:val="24"/>
        </w:rPr>
        <w:t>20 ml klar</w:t>
      </w:r>
      <w:r>
        <w:rPr>
          <w:color w:val="000000"/>
          <w:sz w:val="24"/>
          <w:szCs w:val="24"/>
        </w:rPr>
        <w:t>t</w:t>
      </w:r>
      <w:r w:rsidRPr="007205D5">
        <w:rPr>
          <w:color w:val="000000"/>
          <w:sz w:val="24"/>
          <w:szCs w:val="24"/>
        </w:rPr>
        <w:t xml:space="preserve"> hætteglas af type I med grå butylgummiprop og </w:t>
      </w:r>
      <w:r>
        <w:rPr>
          <w:color w:val="000000"/>
          <w:sz w:val="24"/>
          <w:szCs w:val="24"/>
        </w:rPr>
        <w:t>"</w:t>
      </w:r>
      <w:r w:rsidRPr="007205D5">
        <w:rPr>
          <w:color w:val="000000"/>
          <w:sz w:val="24"/>
          <w:szCs w:val="24"/>
        </w:rPr>
        <w:t xml:space="preserve">flip </w:t>
      </w:r>
      <w:proofErr w:type="spellStart"/>
      <w:r w:rsidRPr="007205D5">
        <w:rPr>
          <w:color w:val="000000"/>
          <w:sz w:val="24"/>
          <w:szCs w:val="24"/>
        </w:rPr>
        <w:t>off</w:t>
      </w:r>
      <w:proofErr w:type="spellEnd"/>
      <w:r w:rsidRPr="007205D5">
        <w:rPr>
          <w:color w:val="000000"/>
          <w:sz w:val="24"/>
          <w:szCs w:val="24"/>
        </w:rPr>
        <w:t>"</w:t>
      </w:r>
      <w:r>
        <w:rPr>
          <w:color w:val="000000"/>
          <w:sz w:val="24"/>
          <w:szCs w:val="24"/>
        </w:rPr>
        <w:t>-forsegling af aluminium.</w:t>
      </w:r>
    </w:p>
    <w:p w:rsidR="00B065AB"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rFonts w:eastAsia="Calibri"/>
          <w:color w:val="000000"/>
          <w:sz w:val="24"/>
          <w:szCs w:val="24"/>
        </w:rPr>
      </w:pPr>
      <w:r>
        <w:rPr>
          <w:color w:val="000000"/>
          <w:sz w:val="24"/>
          <w:szCs w:val="24"/>
        </w:rPr>
        <w:t>Pakningsstørrelser:</w:t>
      </w:r>
      <w:r w:rsidRPr="007205D5">
        <w:rPr>
          <w:color w:val="000000"/>
          <w:sz w:val="24"/>
          <w:szCs w:val="24"/>
        </w:rPr>
        <w:t xml:space="preserve"> </w:t>
      </w:r>
      <w:r>
        <w:rPr>
          <w:color w:val="000000"/>
          <w:sz w:val="24"/>
          <w:szCs w:val="24"/>
        </w:rPr>
        <w:t>1 og 4 hætteglas</w:t>
      </w:r>
      <w:r w:rsidRPr="007205D5">
        <w:rPr>
          <w:rFonts w:eastAsia="Calibri"/>
          <w:color w:val="000000"/>
          <w:sz w:val="24"/>
          <w:szCs w:val="24"/>
        </w:rPr>
        <w:t>.</w:t>
      </w:r>
    </w:p>
    <w:p w:rsidR="00B065AB" w:rsidRPr="007205D5" w:rsidRDefault="00B065AB" w:rsidP="00B065AB">
      <w:pPr>
        <w:autoSpaceDE w:val="0"/>
        <w:autoSpaceDN w:val="0"/>
        <w:adjustRightInd w:val="0"/>
        <w:ind w:left="851"/>
        <w:rPr>
          <w:rFonts w:eastAsia="Calibri"/>
          <w:color w:val="000000"/>
          <w:sz w:val="24"/>
          <w:szCs w:val="24"/>
        </w:rPr>
      </w:pPr>
      <w:r w:rsidRPr="007205D5">
        <w:rPr>
          <w:rFonts w:eastAsia="Calibri"/>
          <w:color w:val="000000"/>
          <w:sz w:val="24"/>
          <w:szCs w:val="24"/>
        </w:rPr>
        <w:t>Ikke alle pakningsstørrelser er nødvendigvis markedsført.</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6.6</w:t>
      </w:r>
      <w:r w:rsidRPr="007205D5">
        <w:rPr>
          <w:b/>
          <w:sz w:val="24"/>
          <w:szCs w:val="24"/>
        </w:rPr>
        <w:tab/>
        <w:t xml:space="preserve">Regler for </w:t>
      </w:r>
      <w:r w:rsidR="00481458">
        <w:rPr>
          <w:b/>
          <w:sz w:val="24"/>
          <w:szCs w:val="24"/>
        </w:rPr>
        <w:t>bortskaffelse</w:t>
      </w:r>
      <w:r w:rsidRPr="007205D5">
        <w:rPr>
          <w:b/>
          <w:sz w:val="24"/>
          <w:szCs w:val="24"/>
        </w:rPr>
        <w:t xml:space="preserve"> og anden håndtering</w:t>
      </w:r>
    </w:p>
    <w:p w:rsidR="00B065AB" w:rsidRDefault="00B065AB" w:rsidP="00B065AB">
      <w:pPr>
        <w:autoSpaceDE w:val="0"/>
        <w:autoSpaceDN w:val="0"/>
        <w:adjustRightInd w:val="0"/>
        <w:ind w:left="851"/>
        <w:rPr>
          <w:b/>
          <w:bCs/>
          <w:color w:val="000000"/>
          <w:sz w:val="24"/>
          <w:szCs w:val="24"/>
          <w:u w:val="single"/>
        </w:rPr>
      </w:pPr>
    </w:p>
    <w:p w:rsidR="00B065AB" w:rsidRPr="00C559FF" w:rsidRDefault="00B065AB" w:rsidP="00B065AB">
      <w:pPr>
        <w:autoSpaceDE w:val="0"/>
        <w:autoSpaceDN w:val="0"/>
        <w:adjustRightInd w:val="0"/>
        <w:ind w:left="851"/>
        <w:rPr>
          <w:bCs/>
          <w:color w:val="000000"/>
          <w:sz w:val="24"/>
          <w:szCs w:val="24"/>
          <w:u w:val="single"/>
        </w:rPr>
      </w:pPr>
      <w:r w:rsidRPr="00C559FF">
        <w:rPr>
          <w:bCs/>
          <w:color w:val="000000"/>
          <w:sz w:val="24"/>
          <w:szCs w:val="24"/>
          <w:u w:val="single"/>
        </w:rPr>
        <w:t>Præparering af opløsning til infusion (6 mg/ml)</w:t>
      </w:r>
    </w:p>
    <w:p w:rsidR="00B065AB" w:rsidRPr="007205D5" w:rsidRDefault="00B065AB" w:rsidP="00B065AB">
      <w:pPr>
        <w:autoSpaceDE w:val="0"/>
        <w:autoSpaceDN w:val="0"/>
        <w:adjustRightInd w:val="0"/>
        <w:ind w:left="851"/>
        <w:rPr>
          <w:color w:val="000000"/>
          <w:sz w:val="24"/>
          <w:szCs w:val="24"/>
        </w:rPr>
      </w:pP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indeholder ikke et antibakterielt konserveringsmiddel. Derfor skal </w:t>
      </w:r>
      <w:proofErr w:type="spellStart"/>
      <w:r w:rsidRPr="007205D5">
        <w:rPr>
          <w:color w:val="000000"/>
          <w:sz w:val="24"/>
          <w:szCs w:val="24"/>
        </w:rPr>
        <w:t>rekonstitution</w:t>
      </w:r>
      <w:proofErr w:type="spellEnd"/>
      <w:r w:rsidRPr="007205D5">
        <w:rPr>
          <w:color w:val="000000"/>
          <w:sz w:val="24"/>
          <w:szCs w:val="24"/>
        </w:rPr>
        <w:t xml:space="preserve"> og fortynding af produktet foregår under aseptiske forhold.</w:t>
      </w:r>
    </w:p>
    <w:p w:rsidR="00B065AB" w:rsidRPr="007205D5" w:rsidRDefault="00B065AB" w:rsidP="00B065AB">
      <w:pPr>
        <w:autoSpaceDE w:val="0"/>
        <w:autoSpaceDN w:val="0"/>
        <w:adjustRightInd w:val="0"/>
        <w:ind w:left="851"/>
        <w:rPr>
          <w:color w:val="000000"/>
          <w:sz w:val="24"/>
          <w:szCs w:val="24"/>
        </w:rPr>
      </w:pPr>
    </w:p>
    <w:p w:rsidR="00B065AB" w:rsidRPr="007205D5" w:rsidRDefault="00B065AB" w:rsidP="00B065AB">
      <w:pPr>
        <w:autoSpaceDE w:val="0"/>
        <w:autoSpaceDN w:val="0"/>
        <w:adjustRightInd w:val="0"/>
        <w:ind w:left="851"/>
        <w:rPr>
          <w:color w:val="000000"/>
          <w:sz w:val="24"/>
          <w:szCs w:val="24"/>
        </w:rPr>
      </w:pPr>
      <w:proofErr w:type="spellStart"/>
      <w:r w:rsidRPr="007205D5">
        <w:rPr>
          <w:color w:val="000000"/>
          <w:sz w:val="24"/>
          <w:szCs w:val="24"/>
        </w:rPr>
        <w:t>Mycophenolatmofetil</w:t>
      </w:r>
      <w:proofErr w:type="spellEnd"/>
      <w:r w:rsidRPr="007205D5">
        <w:rPr>
          <w:color w:val="000000"/>
          <w:sz w:val="24"/>
          <w:szCs w:val="24"/>
        </w:rPr>
        <w:t xml:space="preserve"> "</w:t>
      </w:r>
      <w:proofErr w:type="spellStart"/>
      <w:r w:rsidRPr="007205D5">
        <w:rPr>
          <w:color w:val="000000"/>
          <w:sz w:val="24"/>
          <w:szCs w:val="24"/>
        </w:rPr>
        <w:t>Accord</w:t>
      </w:r>
      <w:proofErr w:type="spellEnd"/>
      <w:r w:rsidRPr="007205D5">
        <w:rPr>
          <w:color w:val="000000"/>
          <w:sz w:val="24"/>
          <w:szCs w:val="24"/>
        </w:rPr>
        <w:t xml:space="preserve">" skal præpareres i to trin: Det første trin består i </w:t>
      </w:r>
      <w:proofErr w:type="spellStart"/>
      <w:r w:rsidRPr="007205D5">
        <w:rPr>
          <w:color w:val="000000"/>
          <w:sz w:val="24"/>
          <w:szCs w:val="24"/>
        </w:rPr>
        <w:t>rekonstitution</w:t>
      </w:r>
      <w:proofErr w:type="spellEnd"/>
      <w:r w:rsidRPr="007205D5">
        <w:rPr>
          <w:color w:val="000000"/>
          <w:sz w:val="24"/>
          <w:szCs w:val="24"/>
        </w:rPr>
        <w:t xml:space="preserve"> med 5 % glukose til intravenøs infusion, og det andet trin består i fortynding med 5 % glukose til intravenøs infusion. En detaljeret beskrivelse af præpareringen er givet nedenfor:</w:t>
      </w:r>
    </w:p>
    <w:p w:rsidR="00B065AB" w:rsidRPr="007205D5" w:rsidRDefault="00B065AB" w:rsidP="00B065AB">
      <w:pPr>
        <w:autoSpaceDE w:val="0"/>
        <w:autoSpaceDN w:val="0"/>
        <w:adjustRightInd w:val="0"/>
        <w:ind w:left="851"/>
        <w:rPr>
          <w:color w:val="000000"/>
          <w:sz w:val="24"/>
          <w:szCs w:val="24"/>
        </w:rPr>
      </w:pPr>
    </w:p>
    <w:p w:rsidR="00B065AB" w:rsidRPr="00DD3B48" w:rsidRDefault="00B065AB" w:rsidP="00B065AB">
      <w:pPr>
        <w:autoSpaceDE w:val="0"/>
        <w:autoSpaceDN w:val="0"/>
        <w:adjustRightInd w:val="0"/>
        <w:ind w:left="851"/>
        <w:rPr>
          <w:i/>
          <w:color w:val="000000"/>
          <w:sz w:val="24"/>
          <w:szCs w:val="24"/>
        </w:rPr>
      </w:pPr>
      <w:r w:rsidRPr="00DD3B48">
        <w:rPr>
          <w:i/>
          <w:color w:val="000000"/>
          <w:sz w:val="24"/>
          <w:szCs w:val="24"/>
        </w:rPr>
        <w:t>Trin 1</w:t>
      </w:r>
    </w:p>
    <w:p w:rsidR="00B065AB" w:rsidRPr="007205D5" w:rsidRDefault="00B065AB" w:rsidP="00B065AB">
      <w:pPr>
        <w:autoSpaceDE w:val="0"/>
        <w:autoSpaceDN w:val="0"/>
        <w:adjustRightInd w:val="0"/>
        <w:ind w:left="851"/>
        <w:rPr>
          <w:color w:val="000000"/>
          <w:sz w:val="24"/>
          <w:szCs w:val="24"/>
          <w:highlight w:val="green"/>
        </w:rPr>
      </w:pPr>
    </w:p>
    <w:tbl>
      <w:tblPr>
        <w:tblStyle w:val="Tabel-Gitter"/>
        <w:tblW w:w="850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tblGrid>
      <w:tr w:rsidR="00B065AB" w:rsidRPr="007205D5" w:rsidTr="00DC528A">
        <w:tc>
          <w:tcPr>
            <w:tcW w:w="567" w:type="dxa"/>
            <w:hideMark/>
          </w:tcPr>
          <w:p w:rsidR="00B065AB" w:rsidRPr="007205D5" w:rsidRDefault="00B065AB" w:rsidP="00DC528A">
            <w:pPr>
              <w:autoSpaceDE w:val="0"/>
              <w:autoSpaceDN w:val="0"/>
              <w:adjustRightInd w:val="0"/>
              <w:ind w:left="851" w:hanging="851"/>
              <w:rPr>
                <w:rFonts w:ascii="Times New Roman" w:hAnsi="Times New Roman"/>
                <w:color w:val="000000"/>
                <w:sz w:val="24"/>
                <w:szCs w:val="24"/>
              </w:rPr>
            </w:pPr>
            <w:r w:rsidRPr="007205D5">
              <w:rPr>
                <w:rFonts w:ascii="Times New Roman" w:hAnsi="Times New Roman"/>
                <w:color w:val="000000"/>
                <w:sz w:val="24"/>
                <w:szCs w:val="24"/>
              </w:rPr>
              <w:t>a.</w:t>
            </w:r>
          </w:p>
        </w:tc>
        <w:tc>
          <w:tcPr>
            <w:tcW w:w="7938" w:type="dxa"/>
          </w:tcPr>
          <w:p w:rsidR="00B065AB" w:rsidRPr="007205D5" w:rsidRDefault="00B065AB" w:rsidP="00DC528A">
            <w:pPr>
              <w:autoSpaceDE w:val="0"/>
              <w:autoSpaceDN w:val="0"/>
              <w:adjustRightInd w:val="0"/>
              <w:rPr>
                <w:rFonts w:ascii="Times New Roman" w:hAnsi="Times New Roman"/>
                <w:color w:val="000000"/>
                <w:sz w:val="24"/>
                <w:szCs w:val="24"/>
                <w:lang w:val="da-DK"/>
              </w:rPr>
            </w:pPr>
            <w:r w:rsidRPr="007205D5">
              <w:rPr>
                <w:rFonts w:ascii="Times New Roman" w:hAnsi="Times New Roman"/>
                <w:color w:val="000000"/>
                <w:sz w:val="24"/>
                <w:szCs w:val="24"/>
                <w:lang w:val="da-DK"/>
              </w:rPr>
              <w:t xml:space="preserve">Der anvendes to hætteglas med </w:t>
            </w:r>
            <w:proofErr w:type="spellStart"/>
            <w:r w:rsidRPr="007205D5">
              <w:rPr>
                <w:rFonts w:ascii="Times New Roman" w:hAnsi="Times New Roman"/>
                <w:color w:val="000000"/>
                <w:sz w:val="24"/>
                <w:szCs w:val="24"/>
                <w:lang w:val="da-DK"/>
              </w:rPr>
              <w:t>Mycophenolatmofetil</w:t>
            </w:r>
            <w:proofErr w:type="spellEnd"/>
            <w:r w:rsidRPr="007205D5">
              <w:rPr>
                <w:rFonts w:ascii="Times New Roman" w:hAnsi="Times New Roman"/>
                <w:color w:val="000000"/>
                <w:sz w:val="24"/>
                <w:szCs w:val="24"/>
                <w:lang w:val="da-DK"/>
              </w:rPr>
              <w:t xml:space="preserve"> "</w:t>
            </w:r>
            <w:proofErr w:type="spellStart"/>
            <w:r w:rsidRPr="007205D5">
              <w:rPr>
                <w:rFonts w:ascii="Times New Roman" w:hAnsi="Times New Roman"/>
                <w:color w:val="000000"/>
                <w:sz w:val="24"/>
                <w:szCs w:val="24"/>
                <w:lang w:val="da-DK"/>
              </w:rPr>
              <w:t>Accord</w:t>
            </w:r>
            <w:proofErr w:type="spellEnd"/>
            <w:r w:rsidRPr="007205D5">
              <w:rPr>
                <w:rFonts w:ascii="Times New Roman" w:hAnsi="Times New Roman"/>
                <w:color w:val="000000"/>
                <w:sz w:val="24"/>
                <w:szCs w:val="24"/>
                <w:lang w:val="da-DK"/>
              </w:rPr>
              <w:t xml:space="preserve">" til præparering af hver 1 g dosis. </w:t>
            </w:r>
            <w:proofErr w:type="spellStart"/>
            <w:r w:rsidRPr="007205D5">
              <w:rPr>
                <w:rFonts w:ascii="Times New Roman" w:hAnsi="Times New Roman"/>
                <w:color w:val="000000"/>
                <w:sz w:val="24"/>
                <w:szCs w:val="24"/>
                <w:lang w:val="da-DK"/>
              </w:rPr>
              <w:t>Rekonstituer</w:t>
            </w:r>
            <w:proofErr w:type="spellEnd"/>
            <w:r w:rsidRPr="007205D5">
              <w:rPr>
                <w:rFonts w:ascii="Times New Roman" w:hAnsi="Times New Roman"/>
                <w:color w:val="000000"/>
                <w:sz w:val="24"/>
                <w:szCs w:val="24"/>
                <w:lang w:val="da-DK"/>
              </w:rPr>
              <w:t xml:space="preserve"> indholdet af hvert hætteglas ved injektion af 14 ml 5 % glukose til intravenøs infusion.</w:t>
            </w:r>
          </w:p>
          <w:p w:rsidR="00B065AB" w:rsidRPr="007205D5" w:rsidRDefault="00B065AB" w:rsidP="00DC528A">
            <w:pPr>
              <w:autoSpaceDE w:val="0"/>
              <w:autoSpaceDN w:val="0"/>
              <w:adjustRightInd w:val="0"/>
              <w:rPr>
                <w:rFonts w:ascii="Times New Roman" w:hAnsi="Times New Roman"/>
                <w:color w:val="000000"/>
                <w:sz w:val="24"/>
                <w:szCs w:val="24"/>
                <w:lang w:val="da-DK"/>
              </w:rPr>
            </w:pPr>
          </w:p>
        </w:tc>
      </w:tr>
      <w:tr w:rsidR="00B065AB" w:rsidRPr="007205D5" w:rsidTr="00DC528A">
        <w:tc>
          <w:tcPr>
            <w:tcW w:w="567" w:type="dxa"/>
            <w:hideMark/>
          </w:tcPr>
          <w:p w:rsidR="00B065AB" w:rsidRPr="007205D5" w:rsidRDefault="00B065AB" w:rsidP="00DC528A">
            <w:pPr>
              <w:autoSpaceDE w:val="0"/>
              <w:autoSpaceDN w:val="0"/>
              <w:adjustRightInd w:val="0"/>
              <w:ind w:left="851" w:hanging="851"/>
              <w:rPr>
                <w:rFonts w:ascii="Times New Roman" w:hAnsi="Times New Roman"/>
                <w:color w:val="000000"/>
                <w:sz w:val="24"/>
                <w:szCs w:val="24"/>
              </w:rPr>
            </w:pPr>
            <w:r w:rsidRPr="007205D5">
              <w:rPr>
                <w:rFonts w:ascii="Times New Roman" w:hAnsi="Times New Roman"/>
                <w:color w:val="000000"/>
                <w:sz w:val="24"/>
                <w:szCs w:val="24"/>
              </w:rPr>
              <w:t>b.</w:t>
            </w:r>
          </w:p>
        </w:tc>
        <w:tc>
          <w:tcPr>
            <w:tcW w:w="7938" w:type="dxa"/>
          </w:tcPr>
          <w:p w:rsidR="00B065AB" w:rsidRPr="007205D5" w:rsidRDefault="00B065AB" w:rsidP="00DC528A">
            <w:pPr>
              <w:autoSpaceDE w:val="0"/>
              <w:autoSpaceDN w:val="0"/>
              <w:adjustRightInd w:val="0"/>
              <w:rPr>
                <w:rFonts w:ascii="Times New Roman" w:hAnsi="Times New Roman"/>
                <w:color w:val="000000"/>
                <w:sz w:val="24"/>
                <w:szCs w:val="24"/>
                <w:lang w:val="da-DK"/>
              </w:rPr>
            </w:pPr>
            <w:r w:rsidRPr="007205D5">
              <w:rPr>
                <w:rFonts w:ascii="Times New Roman" w:hAnsi="Times New Roman"/>
                <w:color w:val="000000"/>
                <w:sz w:val="24"/>
                <w:szCs w:val="24"/>
                <w:lang w:val="da-DK"/>
              </w:rPr>
              <w:t>Ryst forsigtigt hætteglasset, så lægemidlet opløses og der fås en let gullig opløsning.</w:t>
            </w:r>
          </w:p>
          <w:p w:rsidR="00B065AB" w:rsidRPr="007205D5" w:rsidRDefault="00B065AB" w:rsidP="00DC528A">
            <w:pPr>
              <w:autoSpaceDE w:val="0"/>
              <w:autoSpaceDN w:val="0"/>
              <w:adjustRightInd w:val="0"/>
              <w:rPr>
                <w:rFonts w:ascii="Times New Roman" w:hAnsi="Times New Roman"/>
                <w:color w:val="000000"/>
                <w:sz w:val="24"/>
                <w:szCs w:val="24"/>
                <w:lang w:val="da-DK"/>
              </w:rPr>
            </w:pPr>
          </w:p>
        </w:tc>
      </w:tr>
      <w:tr w:rsidR="00B065AB" w:rsidRPr="007205D5" w:rsidTr="00DC528A">
        <w:tc>
          <w:tcPr>
            <w:tcW w:w="567" w:type="dxa"/>
            <w:hideMark/>
          </w:tcPr>
          <w:p w:rsidR="00B065AB" w:rsidRPr="007205D5" w:rsidRDefault="00B065AB" w:rsidP="00DC528A">
            <w:pPr>
              <w:autoSpaceDE w:val="0"/>
              <w:autoSpaceDN w:val="0"/>
              <w:adjustRightInd w:val="0"/>
              <w:ind w:left="851" w:hanging="851"/>
              <w:rPr>
                <w:rFonts w:ascii="Times New Roman" w:hAnsi="Times New Roman"/>
                <w:color w:val="000000"/>
                <w:sz w:val="24"/>
                <w:szCs w:val="24"/>
              </w:rPr>
            </w:pPr>
            <w:r w:rsidRPr="007205D5">
              <w:rPr>
                <w:rFonts w:ascii="Times New Roman" w:hAnsi="Times New Roman"/>
                <w:color w:val="000000"/>
                <w:sz w:val="24"/>
                <w:szCs w:val="24"/>
              </w:rPr>
              <w:t>c.</w:t>
            </w:r>
          </w:p>
        </w:tc>
        <w:tc>
          <w:tcPr>
            <w:tcW w:w="7938" w:type="dxa"/>
            <w:hideMark/>
          </w:tcPr>
          <w:p w:rsidR="00B065AB" w:rsidRPr="007205D5" w:rsidRDefault="00B065AB" w:rsidP="00DC528A">
            <w:pPr>
              <w:autoSpaceDE w:val="0"/>
              <w:autoSpaceDN w:val="0"/>
              <w:adjustRightInd w:val="0"/>
              <w:rPr>
                <w:rFonts w:ascii="Times New Roman" w:hAnsi="Times New Roman"/>
                <w:color w:val="000000"/>
                <w:sz w:val="24"/>
                <w:szCs w:val="24"/>
                <w:lang w:val="da-DK"/>
              </w:rPr>
            </w:pPr>
            <w:r w:rsidRPr="007205D5">
              <w:rPr>
                <w:rFonts w:ascii="Times New Roman" w:hAnsi="Times New Roman"/>
                <w:color w:val="000000"/>
                <w:sz w:val="24"/>
                <w:szCs w:val="24"/>
                <w:lang w:val="da-DK"/>
              </w:rPr>
              <w:t>Inspicer opløsningen for partikler og misfarvning før yderligere fortynding. Kassér hætteglasset, hvis der ses partikler eller misfarvning.</w:t>
            </w:r>
          </w:p>
        </w:tc>
      </w:tr>
    </w:tbl>
    <w:p w:rsidR="00B065AB" w:rsidRPr="007205D5" w:rsidRDefault="00B065AB" w:rsidP="00B065AB">
      <w:pPr>
        <w:autoSpaceDE w:val="0"/>
        <w:autoSpaceDN w:val="0"/>
        <w:adjustRightInd w:val="0"/>
        <w:ind w:left="851"/>
        <w:rPr>
          <w:color w:val="000000"/>
          <w:sz w:val="24"/>
          <w:szCs w:val="24"/>
        </w:rPr>
      </w:pPr>
    </w:p>
    <w:p w:rsidR="00B065AB" w:rsidRPr="00DD3B48" w:rsidRDefault="00B065AB" w:rsidP="00A77255">
      <w:pPr>
        <w:keepNext/>
        <w:autoSpaceDE w:val="0"/>
        <w:autoSpaceDN w:val="0"/>
        <w:adjustRightInd w:val="0"/>
        <w:ind w:left="851"/>
        <w:rPr>
          <w:i/>
          <w:color w:val="000000"/>
          <w:sz w:val="24"/>
          <w:szCs w:val="24"/>
        </w:rPr>
      </w:pPr>
      <w:r w:rsidRPr="00DD3B48">
        <w:rPr>
          <w:i/>
          <w:color w:val="000000"/>
          <w:sz w:val="24"/>
          <w:szCs w:val="24"/>
        </w:rPr>
        <w:t>Trin 2</w:t>
      </w:r>
    </w:p>
    <w:p w:rsidR="00B065AB" w:rsidRPr="007205D5" w:rsidRDefault="00B065AB" w:rsidP="00B065AB">
      <w:pPr>
        <w:autoSpaceDE w:val="0"/>
        <w:autoSpaceDN w:val="0"/>
        <w:adjustRightInd w:val="0"/>
        <w:ind w:left="851"/>
        <w:rPr>
          <w:color w:val="000000"/>
          <w:sz w:val="24"/>
          <w:szCs w:val="24"/>
        </w:rPr>
      </w:pPr>
    </w:p>
    <w:tbl>
      <w:tblPr>
        <w:tblStyle w:val="Tabel-Gitter"/>
        <w:tblW w:w="850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938"/>
      </w:tblGrid>
      <w:tr w:rsidR="00B065AB" w:rsidRPr="007205D5" w:rsidTr="00DC528A">
        <w:tc>
          <w:tcPr>
            <w:tcW w:w="567" w:type="dxa"/>
            <w:hideMark/>
          </w:tcPr>
          <w:p w:rsidR="00B065AB" w:rsidRPr="007205D5" w:rsidRDefault="00B065AB" w:rsidP="00DC528A">
            <w:pPr>
              <w:autoSpaceDE w:val="0"/>
              <w:autoSpaceDN w:val="0"/>
              <w:adjustRightInd w:val="0"/>
              <w:ind w:left="851" w:hanging="851"/>
              <w:rPr>
                <w:rFonts w:ascii="Times New Roman" w:hAnsi="Times New Roman"/>
                <w:color w:val="000000"/>
                <w:sz w:val="24"/>
                <w:szCs w:val="24"/>
              </w:rPr>
            </w:pPr>
            <w:r w:rsidRPr="007205D5">
              <w:rPr>
                <w:rFonts w:ascii="Times New Roman" w:hAnsi="Times New Roman"/>
                <w:color w:val="000000"/>
                <w:sz w:val="24"/>
                <w:szCs w:val="24"/>
              </w:rPr>
              <w:t>a.</w:t>
            </w:r>
          </w:p>
        </w:tc>
        <w:tc>
          <w:tcPr>
            <w:tcW w:w="7938" w:type="dxa"/>
          </w:tcPr>
          <w:p w:rsidR="00B065AB" w:rsidRPr="007205D5" w:rsidRDefault="00B065AB" w:rsidP="00DC528A">
            <w:pPr>
              <w:autoSpaceDE w:val="0"/>
              <w:autoSpaceDN w:val="0"/>
              <w:adjustRightInd w:val="0"/>
              <w:rPr>
                <w:rFonts w:ascii="Times New Roman" w:hAnsi="Times New Roman"/>
                <w:color w:val="000000"/>
                <w:sz w:val="24"/>
                <w:szCs w:val="24"/>
                <w:lang w:val="da-DK"/>
              </w:rPr>
            </w:pPr>
            <w:r w:rsidRPr="007205D5">
              <w:rPr>
                <w:rFonts w:ascii="Times New Roman" w:hAnsi="Times New Roman"/>
                <w:color w:val="000000"/>
                <w:sz w:val="24"/>
                <w:szCs w:val="24"/>
                <w:lang w:val="da-DK"/>
              </w:rPr>
              <w:t xml:space="preserve">Indholdet af de to </w:t>
            </w:r>
            <w:proofErr w:type="spellStart"/>
            <w:r w:rsidRPr="007205D5">
              <w:rPr>
                <w:rFonts w:ascii="Times New Roman" w:hAnsi="Times New Roman"/>
                <w:color w:val="000000"/>
                <w:sz w:val="24"/>
                <w:szCs w:val="24"/>
                <w:lang w:val="da-DK"/>
              </w:rPr>
              <w:t>rekonstituerede</w:t>
            </w:r>
            <w:proofErr w:type="spellEnd"/>
            <w:r w:rsidRPr="007205D5">
              <w:rPr>
                <w:rFonts w:ascii="Times New Roman" w:hAnsi="Times New Roman"/>
                <w:color w:val="000000"/>
                <w:sz w:val="24"/>
                <w:szCs w:val="24"/>
                <w:lang w:val="da-DK"/>
              </w:rPr>
              <w:t xml:space="preserve"> hætteglas (ca. 2</w:t>
            </w:r>
            <w:r>
              <w:rPr>
                <w:rFonts w:ascii="Times New Roman" w:hAnsi="Times New Roman"/>
                <w:color w:val="000000"/>
                <w:sz w:val="24"/>
                <w:szCs w:val="24"/>
                <w:lang w:val="da-DK"/>
              </w:rPr>
              <w:t>×</w:t>
            </w:r>
            <w:r w:rsidRPr="007205D5">
              <w:rPr>
                <w:rFonts w:ascii="Times New Roman" w:hAnsi="Times New Roman"/>
                <w:color w:val="000000"/>
                <w:sz w:val="24"/>
                <w:szCs w:val="24"/>
                <w:lang w:val="da-DK"/>
              </w:rPr>
              <w:t xml:space="preserve">15 ml) fortyndes yderligere til 140 ml med 5 % glukose til intravenøs infusion. Den endelige koncentration af opløsningen er 6 mg/ml </w:t>
            </w:r>
            <w:proofErr w:type="spellStart"/>
            <w:r w:rsidRPr="007205D5">
              <w:rPr>
                <w:rFonts w:ascii="Times New Roman" w:hAnsi="Times New Roman"/>
                <w:color w:val="000000"/>
                <w:sz w:val="24"/>
                <w:szCs w:val="24"/>
                <w:lang w:val="da-DK"/>
              </w:rPr>
              <w:t>mycophenolatmofetil</w:t>
            </w:r>
            <w:proofErr w:type="spellEnd"/>
            <w:r w:rsidRPr="007205D5">
              <w:rPr>
                <w:rFonts w:ascii="Times New Roman" w:hAnsi="Times New Roman"/>
                <w:color w:val="000000"/>
                <w:sz w:val="24"/>
                <w:szCs w:val="24"/>
                <w:lang w:val="da-DK"/>
              </w:rPr>
              <w:t>.</w:t>
            </w:r>
          </w:p>
          <w:p w:rsidR="00B065AB" w:rsidRPr="007205D5" w:rsidRDefault="00B065AB" w:rsidP="00DC528A">
            <w:pPr>
              <w:autoSpaceDE w:val="0"/>
              <w:autoSpaceDN w:val="0"/>
              <w:adjustRightInd w:val="0"/>
              <w:rPr>
                <w:rFonts w:ascii="Times New Roman" w:hAnsi="Times New Roman"/>
                <w:color w:val="000000"/>
                <w:sz w:val="24"/>
                <w:szCs w:val="24"/>
                <w:lang w:val="da-DK"/>
              </w:rPr>
            </w:pPr>
          </w:p>
        </w:tc>
      </w:tr>
      <w:tr w:rsidR="00B065AB" w:rsidRPr="007205D5" w:rsidTr="00DC528A">
        <w:tc>
          <w:tcPr>
            <w:tcW w:w="567" w:type="dxa"/>
            <w:hideMark/>
          </w:tcPr>
          <w:p w:rsidR="00B065AB" w:rsidRPr="007205D5" w:rsidRDefault="00B065AB" w:rsidP="00DC528A">
            <w:pPr>
              <w:autoSpaceDE w:val="0"/>
              <w:autoSpaceDN w:val="0"/>
              <w:adjustRightInd w:val="0"/>
              <w:ind w:left="851" w:hanging="851"/>
              <w:rPr>
                <w:rFonts w:ascii="Times New Roman" w:hAnsi="Times New Roman"/>
                <w:color w:val="000000"/>
                <w:sz w:val="24"/>
                <w:szCs w:val="24"/>
              </w:rPr>
            </w:pPr>
            <w:r w:rsidRPr="007205D5">
              <w:rPr>
                <w:rFonts w:ascii="Times New Roman" w:hAnsi="Times New Roman"/>
                <w:color w:val="000000"/>
                <w:sz w:val="24"/>
                <w:szCs w:val="24"/>
              </w:rPr>
              <w:t>b.</w:t>
            </w:r>
          </w:p>
        </w:tc>
        <w:tc>
          <w:tcPr>
            <w:tcW w:w="7938" w:type="dxa"/>
            <w:hideMark/>
          </w:tcPr>
          <w:p w:rsidR="00B065AB" w:rsidRPr="007205D5" w:rsidRDefault="00B065AB" w:rsidP="00DC528A">
            <w:pPr>
              <w:autoSpaceDE w:val="0"/>
              <w:autoSpaceDN w:val="0"/>
              <w:adjustRightInd w:val="0"/>
              <w:rPr>
                <w:rFonts w:ascii="Times New Roman" w:hAnsi="Times New Roman"/>
                <w:color w:val="000000"/>
                <w:sz w:val="24"/>
                <w:szCs w:val="24"/>
              </w:rPr>
            </w:pPr>
            <w:r w:rsidRPr="007205D5">
              <w:rPr>
                <w:rFonts w:ascii="Times New Roman" w:hAnsi="Times New Roman"/>
                <w:color w:val="000000"/>
                <w:sz w:val="24"/>
                <w:szCs w:val="24"/>
                <w:lang w:val="da-DK"/>
              </w:rPr>
              <w:t xml:space="preserve">Inspicer opløsningen for partikler og misfarvning før yderligere fortynding. </w:t>
            </w:r>
            <w:proofErr w:type="spellStart"/>
            <w:r w:rsidRPr="007205D5">
              <w:rPr>
                <w:rFonts w:ascii="Times New Roman" w:hAnsi="Times New Roman"/>
                <w:color w:val="000000"/>
                <w:sz w:val="24"/>
                <w:szCs w:val="24"/>
              </w:rPr>
              <w:t>Kassér</w:t>
            </w:r>
            <w:proofErr w:type="spellEnd"/>
            <w:r w:rsidRPr="007205D5">
              <w:rPr>
                <w:rFonts w:ascii="Times New Roman" w:hAnsi="Times New Roman"/>
                <w:color w:val="000000"/>
                <w:sz w:val="24"/>
                <w:szCs w:val="24"/>
              </w:rPr>
              <w:t xml:space="preserve"> </w:t>
            </w:r>
            <w:proofErr w:type="spellStart"/>
            <w:r w:rsidRPr="007205D5">
              <w:rPr>
                <w:rFonts w:ascii="Times New Roman" w:hAnsi="Times New Roman"/>
                <w:color w:val="000000"/>
                <w:sz w:val="24"/>
                <w:szCs w:val="24"/>
              </w:rPr>
              <w:t>hætteglasset</w:t>
            </w:r>
            <w:proofErr w:type="spellEnd"/>
            <w:r w:rsidRPr="007205D5">
              <w:rPr>
                <w:rFonts w:ascii="Times New Roman" w:hAnsi="Times New Roman"/>
                <w:color w:val="000000"/>
                <w:sz w:val="24"/>
                <w:szCs w:val="24"/>
              </w:rPr>
              <w:t xml:space="preserve">, </w:t>
            </w:r>
            <w:proofErr w:type="spellStart"/>
            <w:r w:rsidRPr="007205D5">
              <w:rPr>
                <w:rFonts w:ascii="Times New Roman" w:hAnsi="Times New Roman"/>
                <w:color w:val="000000"/>
                <w:sz w:val="24"/>
                <w:szCs w:val="24"/>
              </w:rPr>
              <w:t>hvis</w:t>
            </w:r>
            <w:proofErr w:type="spellEnd"/>
            <w:r w:rsidRPr="007205D5">
              <w:rPr>
                <w:rFonts w:ascii="Times New Roman" w:hAnsi="Times New Roman"/>
                <w:color w:val="000000"/>
                <w:sz w:val="24"/>
                <w:szCs w:val="24"/>
              </w:rPr>
              <w:t xml:space="preserve"> der </w:t>
            </w:r>
            <w:proofErr w:type="spellStart"/>
            <w:r w:rsidRPr="007205D5">
              <w:rPr>
                <w:rFonts w:ascii="Times New Roman" w:hAnsi="Times New Roman"/>
                <w:color w:val="000000"/>
                <w:sz w:val="24"/>
                <w:szCs w:val="24"/>
              </w:rPr>
              <w:t>ses</w:t>
            </w:r>
            <w:proofErr w:type="spellEnd"/>
            <w:r w:rsidRPr="007205D5">
              <w:rPr>
                <w:rFonts w:ascii="Times New Roman" w:hAnsi="Times New Roman"/>
                <w:color w:val="000000"/>
                <w:sz w:val="24"/>
                <w:szCs w:val="24"/>
              </w:rPr>
              <w:t xml:space="preserve"> </w:t>
            </w:r>
            <w:proofErr w:type="spellStart"/>
            <w:r w:rsidRPr="007205D5">
              <w:rPr>
                <w:rFonts w:ascii="Times New Roman" w:hAnsi="Times New Roman"/>
                <w:color w:val="000000"/>
                <w:sz w:val="24"/>
                <w:szCs w:val="24"/>
              </w:rPr>
              <w:t>partikler</w:t>
            </w:r>
            <w:proofErr w:type="spellEnd"/>
            <w:r w:rsidRPr="007205D5">
              <w:rPr>
                <w:rFonts w:ascii="Times New Roman" w:hAnsi="Times New Roman"/>
                <w:color w:val="000000"/>
                <w:sz w:val="24"/>
                <w:szCs w:val="24"/>
              </w:rPr>
              <w:t xml:space="preserve"> </w:t>
            </w:r>
            <w:proofErr w:type="spellStart"/>
            <w:r w:rsidRPr="007205D5">
              <w:rPr>
                <w:rFonts w:ascii="Times New Roman" w:hAnsi="Times New Roman"/>
                <w:color w:val="000000"/>
                <w:sz w:val="24"/>
                <w:szCs w:val="24"/>
              </w:rPr>
              <w:t>eller</w:t>
            </w:r>
            <w:proofErr w:type="spellEnd"/>
            <w:r w:rsidRPr="007205D5">
              <w:rPr>
                <w:rFonts w:ascii="Times New Roman" w:hAnsi="Times New Roman"/>
                <w:color w:val="000000"/>
                <w:sz w:val="24"/>
                <w:szCs w:val="24"/>
              </w:rPr>
              <w:t xml:space="preserve"> </w:t>
            </w:r>
            <w:proofErr w:type="spellStart"/>
            <w:r w:rsidRPr="007205D5">
              <w:rPr>
                <w:rFonts w:ascii="Times New Roman" w:hAnsi="Times New Roman"/>
                <w:color w:val="000000"/>
                <w:sz w:val="24"/>
                <w:szCs w:val="24"/>
              </w:rPr>
              <w:t>misfarvning</w:t>
            </w:r>
            <w:proofErr w:type="spellEnd"/>
            <w:r w:rsidRPr="007205D5">
              <w:rPr>
                <w:rFonts w:ascii="Times New Roman" w:hAnsi="Times New Roman"/>
                <w:color w:val="000000"/>
                <w:sz w:val="24"/>
                <w:szCs w:val="24"/>
              </w:rPr>
              <w:t>.</w:t>
            </w:r>
          </w:p>
        </w:tc>
      </w:tr>
    </w:tbl>
    <w:p w:rsidR="00B065AB" w:rsidRPr="007205D5" w:rsidRDefault="00B065AB" w:rsidP="00B065AB">
      <w:pPr>
        <w:autoSpaceDE w:val="0"/>
        <w:autoSpaceDN w:val="0"/>
        <w:adjustRightInd w:val="0"/>
        <w:ind w:left="851" w:hanging="851"/>
        <w:rPr>
          <w:color w:val="000000"/>
          <w:sz w:val="24"/>
          <w:szCs w:val="24"/>
        </w:rPr>
      </w:pPr>
    </w:p>
    <w:p w:rsidR="00B065AB" w:rsidRPr="007205D5" w:rsidRDefault="00B065AB" w:rsidP="00B065AB">
      <w:pPr>
        <w:autoSpaceDE w:val="0"/>
        <w:autoSpaceDN w:val="0"/>
        <w:adjustRightInd w:val="0"/>
        <w:ind w:left="851"/>
        <w:rPr>
          <w:color w:val="000000"/>
          <w:sz w:val="24"/>
          <w:szCs w:val="24"/>
        </w:rPr>
      </w:pPr>
      <w:r w:rsidRPr="007205D5">
        <w:rPr>
          <w:color w:val="000000"/>
          <w:sz w:val="24"/>
          <w:szCs w:val="24"/>
        </w:rPr>
        <w:t xml:space="preserve">Hvis opløsningen til infusion ikke præpareres umiddelbart inden indgift, skal indgift af opløsningen til infusion påbegyndes inden for 24 timer efter </w:t>
      </w:r>
      <w:proofErr w:type="spellStart"/>
      <w:r w:rsidRPr="007205D5">
        <w:rPr>
          <w:color w:val="000000"/>
          <w:sz w:val="24"/>
          <w:szCs w:val="24"/>
        </w:rPr>
        <w:t>rekonstitution</w:t>
      </w:r>
      <w:proofErr w:type="spellEnd"/>
      <w:r w:rsidRPr="007205D5">
        <w:rPr>
          <w:color w:val="000000"/>
          <w:sz w:val="24"/>
          <w:szCs w:val="24"/>
        </w:rPr>
        <w:t xml:space="preserve"> og fortynding af lægemidlet. Opbevar opløsningen ved 15-30° C.</w:t>
      </w:r>
    </w:p>
    <w:p w:rsidR="00B065AB" w:rsidRPr="007205D5" w:rsidRDefault="00B065AB" w:rsidP="00B065AB">
      <w:pPr>
        <w:autoSpaceDE w:val="0"/>
        <w:autoSpaceDN w:val="0"/>
        <w:adjustRightInd w:val="0"/>
        <w:ind w:left="851" w:hanging="851"/>
        <w:rPr>
          <w:color w:val="000000"/>
          <w:sz w:val="24"/>
          <w:szCs w:val="24"/>
          <w:highlight w:val="green"/>
        </w:rPr>
      </w:pPr>
    </w:p>
    <w:p w:rsidR="00B065AB" w:rsidRPr="007205D5" w:rsidRDefault="00B065AB" w:rsidP="00B065AB">
      <w:pPr>
        <w:autoSpaceDE w:val="0"/>
        <w:autoSpaceDN w:val="0"/>
        <w:adjustRightInd w:val="0"/>
        <w:ind w:left="851"/>
        <w:rPr>
          <w:color w:val="000000"/>
          <w:sz w:val="24"/>
          <w:szCs w:val="24"/>
          <w:highlight w:val="green"/>
        </w:rPr>
      </w:pPr>
      <w:r w:rsidRPr="007205D5">
        <w:rPr>
          <w:color w:val="000000"/>
          <w:sz w:val="24"/>
          <w:szCs w:val="24"/>
        </w:rPr>
        <w:t>Ikke anvendt lægemiddel samt affald heraf skal bortskaffes i henhold til lokale retningslinjer.</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7.</w:t>
      </w:r>
      <w:r w:rsidRPr="007205D5">
        <w:rPr>
          <w:b/>
          <w:sz w:val="24"/>
          <w:szCs w:val="24"/>
        </w:rPr>
        <w:tab/>
        <w:t>INDEHAVER AF MARKEDSFØRINGSTILLADELSEN</w:t>
      </w:r>
    </w:p>
    <w:p w:rsidR="0081004B" w:rsidRPr="002A7DA1" w:rsidRDefault="0081004B" w:rsidP="0081004B">
      <w:pPr>
        <w:ind w:left="851"/>
        <w:rPr>
          <w:sz w:val="24"/>
          <w:szCs w:val="24"/>
        </w:rPr>
      </w:pPr>
      <w:bookmarkStart w:id="2" w:name="_Hlk44060003"/>
      <w:proofErr w:type="spellStart"/>
      <w:r w:rsidRPr="002A7DA1">
        <w:rPr>
          <w:sz w:val="24"/>
          <w:szCs w:val="24"/>
        </w:rPr>
        <w:t>Accord</w:t>
      </w:r>
      <w:proofErr w:type="spellEnd"/>
      <w:r w:rsidRPr="002A7DA1">
        <w:rPr>
          <w:sz w:val="24"/>
          <w:szCs w:val="24"/>
        </w:rPr>
        <w:t xml:space="preserve"> Healthcare B.V.</w:t>
      </w:r>
    </w:p>
    <w:p w:rsidR="0081004B" w:rsidRPr="002A7DA1" w:rsidRDefault="0081004B" w:rsidP="0081004B">
      <w:pPr>
        <w:ind w:left="851"/>
        <w:rPr>
          <w:sz w:val="24"/>
          <w:szCs w:val="24"/>
        </w:rPr>
      </w:pPr>
      <w:proofErr w:type="spellStart"/>
      <w:r w:rsidRPr="002A7DA1">
        <w:rPr>
          <w:sz w:val="24"/>
          <w:szCs w:val="24"/>
        </w:rPr>
        <w:t>Winthontlaan</w:t>
      </w:r>
      <w:proofErr w:type="spellEnd"/>
      <w:r w:rsidRPr="002A7DA1">
        <w:rPr>
          <w:sz w:val="24"/>
          <w:szCs w:val="24"/>
        </w:rPr>
        <w:t xml:space="preserve"> 200</w:t>
      </w:r>
    </w:p>
    <w:p w:rsidR="0081004B" w:rsidRDefault="0081004B" w:rsidP="0081004B">
      <w:pPr>
        <w:ind w:left="851"/>
        <w:rPr>
          <w:sz w:val="24"/>
          <w:szCs w:val="24"/>
        </w:rPr>
      </w:pPr>
      <w:r w:rsidRPr="00771C9E">
        <w:rPr>
          <w:sz w:val="24"/>
          <w:szCs w:val="24"/>
        </w:rPr>
        <w:t>3526 KV</w:t>
      </w:r>
      <w:r>
        <w:rPr>
          <w:sz w:val="24"/>
          <w:szCs w:val="24"/>
        </w:rPr>
        <w:t xml:space="preserve"> Utrecht</w:t>
      </w:r>
    </w:p>
    <w:p w:rsidR="00B065AB" w:rsidRPr="007205D5" w:rsidRDefault="0081004B" w:rsidP="0081004B">
      <w:pPr>
        <w:autoSpaceDE w:val="0"/>
        <w:autoSpaceDN w:val="0"/>
        <w:adjustRightInd w:val="0"/>
        <w:ind w:left="851"/>
        <w:rPr>
          <w:b/>
          <w:bCs/>
          <w:color w:val="000000"/>
          <w:sz w:val="24"/>
          <w:szCs w:val="24"/>
        </w:rPr>
      </w:pPr>
      <w:r>
        <w:rPr>
          <w:sz w:val="24"/>
          <w:szCs w:val="24"/>
        </w:rPr>
        <w:t>Holland</w:t>
      </w:r>
      <w:bookmarkEnd w:id="2"/>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8.</w:t>
      </w:r>
      <w:r w:rsidRPr="007205D5">
        <w:rPr>
          <w:b/>
          <w:sz w:val="24"/>
          <w:szCs w:val="24"/>
        </w:rPr>
        <w:tab/>
        <w:t>MARKEDSFØRINGSTILLADELSESNUMMER (</w:t>
      </w:r>
      <w:r w:rsidR="00481458">
        <w:rPr>
          <w:b/>
          <w:sz w:val="24"/>
          <w:szCs w:val="24"/>
        </w:rPr>
        <w:t>-</w:t>
      </w:r>
      <w:r w:rsidRPr="007205D5">
        <w:rPr>
          <w:b/>
          <w:sz w:val="24"/>
          <w:szCs w:val="24"/>
        </w:rPr>
        <w:t>NUMRE)</w:t>
      </w:r>
    </w:p>
    <w:p w:rsidR="00B065AB" w:rsidRPr="007205D5" w:rsidRDefault="00B065AB" w:rsidP="00B065AB">
      <w:pPr>
        <w:ind w:left="851" w:hanging="851"/>
        <w:rPr>
          <w:sz w:val="24"/>
          <w:szCs w:val="24"/>
        </w:rPr>
      </w:pPr>
      <w:r w:rsidRPr="007205D5">
        <w:rPr>
          <w:sz w:val="24"/>
          <w:szCs w:val="24"/>
        </w:rPr>
        <w:tab/>
        <w:t>54038</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9.</w:t>
      </w:r>
      <w:r w:rsidRPr="007205D5">
        <w:rPr>
          <w:b/>
          <w:sz w:val="24"/>
          <w:szCs w:val="24"/>
        </w:rPr>
        <w:tab/>
        <w:t>DATO FOR FØRSTE MARKEDSFØRINGSTILLADELSE</w:t>
      </w:r>
    </w:p>
    <w:p w:rsidR="00B065AB" w:rsidRPr="007205D5" w:rsidRDefault="00B065AB" w:rsidP="00B065AB">
      <w:pPr>
        <w:ind w:left="851" w:hanging="851"/>
        <w:rPr>
          <w:sz w:val="24"/>
          <w:szCs w:val="24"/>
        </w:rPr>
      </w:pPr>
      <w:r w:rsidRPr="007205D5">
        <w:rPr>
          <w:sz w:val="24"/>
          <w:szCs w:val="24"/>
        </w:rPr>
        <w:tab/>
        <w:t>3. maj 2010 (filmovertrukne tabletter)</w:t>
      </w:r>
    </w:p>
    <w:p w:rsidR="00B065AB" w:rsidRPr="007205D5" w:rsidRDefault="00B065AB" w:rsidP="00B065AB">
      <w:pPr>
        <w:ind w:left="851" w:hanging="851"/>
        <w:rPr>
          <w:sz w:val="24"/>
          <w:szCs w:val="24"/>
        </w:rPr>
      </w:pPr>
    </w:p>
    <w:p w:rsidR="00B065AB" w:rsidRPr="007205D5" w:rsidRDefault="00B065AB" w:rsidP="00B065AB">
      <w:pPr>
        <w:ind w:left="851" w:hanging="851"/>
        <w:rPr>
          <w:b/>
          <w:sz w:val="24"/>
          <w:szCs w:val="24"/>
        </w:rPr>
      </w:pPr>
      <w:r w:rsidRPr="007205D5">
        <w:rPr>
          <w:b/>
          <w:sz w:val="24"/>
          <w:szCs w:val="24"/>
        </w:rPr>
        <w:t>10.</w:t>
      </w:r>
      <w:r w:rsidRPr="007205D5">
        <w:rPr>
          <w:b/>
          <w:sz w:val="24"/>
          <w:szCs w:val="24"/>
        </w:rPr>
        <w:tab/>
        <w:t>DATO FOR ÆNDRING AF TEKSTEN</w:t>
      </w:r>
    </w:p>
    <w:p w:rsidR="00B065AB" w:rsidRPr="007205D5" w:rsidRDefault="00B065AB" w:rsidP="00B065AB">
      <w:pPr>
        <w:ind w:left="851" w:hanging="851"/>
        <w:rPr>
          <w:sz w:val="24"/>
          <w:szCs w:val="24"/>
        </w:rPr>
      </w:pPr>
      <w:r w:rsidRPr="007205D5">
        <w:rPr>
          <w:sz w:val="24"/>
          <w:szCs w:val="24"/>
        </w:rPr>
        <w:lastRenderedPageBreak/>
        <w:tab/>
      </w:r>
      <w:r w:rsidR="00FF3B8D">
        <w:rPr>
          <w:sz w:val="24"/>
          <w:szCs w:val="24"/>
        </w:rPr>
        <w:t>1</w:t>
      </w:r>
      <w:r w:rsidR="000D4A80">
        <w:rPr>
          <w:sz w:val="24"/>
          <w:szCs w:val="24"/>
        </w:rPr>
        <w:t>9</w:t>
      </w:r>
      <w:bookmarkStart w:id="3" w:name="_GoBack"/>
      <w:bookmarkEnd w:id="3"/>
      <w:r w:rsidR="00FF3B8D">
        <w:rPr>
          <w:sz w:val="24"/>
          <w:szCs w:val="24"/>
        </w:rPr>
        <w:t>. november 2024</w:t>
      </w:r>
    </w:p>
    <w:p w:rsidR="00B065AB" w:rsidRPr="003E5579" w:rsidRDefault="00B065AB" w:rsidP="00B065AB"/>
    <w:p w:rsidR="00B065AB" w:rsidRPr="00095131" w:rsidRDefault="00B065AB" w:rsidP="00B065AB"/>
    <w:p w:rsidR="009260DE" w:rsidRPr="00B065AB" w:rsidRDefault="009260DE" w:rsidP="00B065AB"/>
    <w:sectPr w:rsidR="009260DE" w:rsidRPr="00B065A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1DB" w:rsidRDefault="008071DB">
      <w:r>
        <w:separator/>
      </w:r>
    </w:p>
  </w:endnote>
  <w:endnote w:type="continuationSeparator" w:id="0">
    <w:p w:rsidR="008071DB" w:rsidRDefault="0080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1DB" w:rsidRDefault="008071DB">
    <w:pPr>
      <w:pStyle w:val="Sidefod"/>
      <w:pBdr>
        <w:bottom w:val="single" w:sz="6" w:space="1" w:color="auto"/>
      </w:pBdr>
    </w:pPr>
  </w:p>
  <w:p w:rsidR="008071DB" w:rsidRDefault="008071DB" w:rsidP="00C42586">
    <w:pPr>
      <w:pStyle w:val="Sidefod"/>
      <w:tabs>
        <w:tab w:val="clear" w:pos="4819"/>
        <w:tab w:val="left" w:pos="8505"/>
      </w:tabs>
      <w:rPr>
        <w:i/>
        <w:sz w:val="18"/>
        <w:szCs w:val="18"/>
      </w:rPr>
    </w:pPr>
  </w:p>
  <w:p w:rsidR="008071DB" w:rsidRPr="00B373D7" w:rsidRDefault="008071DB" w:rsidP="00C42586">
    <w:pPr>
      <w:pStyle w:val="Sidefod"/>
      <w:tabs>
        <w:tab w:val="clear" w:pos="4819"/>
        <w:tab w:val="left" w:pos="8505"/>
      </w:tabs>
      <w:rPr>
        <w:i/>
        <w:sz w:val="18"/>
        <w:szCs w:val="18"/>
      </w:rPr>
    </w:pPr>
    <w:proofErr w:type="spellStart"/>
    <w:r w:rsidRPr="00041BBE">
      <w:rPr>
        <w:i/>
        <w:sz w:val="18"/>
        <w:szCs w:val="18"/>
      </w:rPr>
      <w:t>Mycophenolatmofetil</w:t>
    </w:r>
    <w:proofErr w:type="spellEnd"/>
    <w:r w:rsidRPr="00041BBE">
      <w:rPr>
        <w:i/>
        <w:sz w:val="18"/>
        <w:szCs w:val="18"/>
      </w:rPr>
      <w:t xml:space="preserve"> </w:t>
    </w:r>
    <w:proofErr w:type="spellStart"/>
    <w:r w:rsidRPr="00041BBE">
      <w:rPr>
        <w:i/>
        <w:sz w:val="18"/>
        <w:szCs w:val="18"/>
      </w:rPr>
      <w:t>Accord</w:t>
    </w:r>
    <w:proofErr w:type="spellEnd"/>
    <w:r w:rsidRPr="00041BBE">
      <w:rPr>
        <w:i/>
        <w:sz w:val="18"/>
        <w:szCs w:val="18"/>
      </w:rPr>
      <w:t>, pulver til koncentrat til infusionsvæske, opløsning 500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1DB" w:rsidRDefault="008071DB">
      <w:r>
        <w:separator/>
      </w:r>
    </w:p>
  </w:footnote>
  <w:footnote w:type="continuationSeparator" w:id="0">
    <w:p w:rsidR="008071DB" w:rsidRDefault="008071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5AB"/>
    <w:rsid w:val="00007265"/>
    <w:rsid w:val="0001360A"/>
    <w:rsid w:val="000259B9"/>
    <w:rsid w:val="00041491"/>
    <w:rsid w:val="00041BBE"/>
    <w:rsid w:val="00050D16"/>
    <w:rsid w:val="00074F2A"/>
    <w:rsid w:val="000A1CA8"/>
    <w:rsid w:val="000A466B"/>
    <w:rsid w:val="000B058C"/>
    <w:rsid w:val="000D4A80"/>
    <w:rsid w:val="000E4EE6"/>
    <w:rsid w:val="001454E2"/>
    <w:rsid w:val="00206CE8"/>
    <w:rsid w:val="0021526C"/>
    <w:rsid w:val="00215A67"/>
    <w:rsid w:val="00246243"/>
    <w:rsid w:val="00283A2B"/>
    <w:rsid w:val="002A7DA1"/>
    <w:rsid w:val="002B30AD"/>
    <w:rsid w:val="002C2C01"/>
    <w:rsid w:val="003561CA"/>
    <w:rsid w:val="003A29AE"/>
    <w:rsid w:val="003A32D7"/>
    <w:rsid w:val="003B4074"/>
    <w:rsid w:val="003C769A"/>
    <w:rsid w:val="003F1838"/>
    <w:rsid w:val="0040450E"/>
    <w:rsid w:val="00407938"/>
    <w:rsid w:val="0045746C"/>
    <w:rsid w:val="00481458"/>
    <w:rsid w:val="0049104B"/>
    <w:rsid w:val="004E06FB"/>
    <w:rsid w:val="004E1084"/>
    <w:rsid w:val="004E3B12"/>
    <w:rsid w:val="00532310"/>
    <w:rsid w:val="00551DEE"/>
    <w:rsid w:val="00560ECC"/>
    <w:rsid w:val="00565F0F"/>
    <w:rsid w:val="00594A86"/>
    <w:rsid w:val="00596D86"/>
    <w:rsid w:val="005A2E0C"/>
    <w:rsid w:val="005B1862"/>
    <w:rsid w:val="00637F5A"/>
    <w:rsid w:val="006560B1"/>
    <w:rsid w:val="006756DD"/>
    <w:rsid w:val="006D107B"/>
    <w:rsid w:val="00737275"/>
    <w:rsid w:val="00740EEC"/>
    <w:rsid w:val="0078011A"/>
    <w:rsid w:val="00782AF4"/>
    <w:rsid w:val="00790EE7"/>
    <w:rsid w:val="007B6649"/>
    <w:rsid w:val="008071DB"/>
    <w:rsid w:val="0081004B"/>
    <w:rsid w:val="0081546F"/>
    <w:rsid w:val="0082576E"/>
    <w:rsid w:val="00853AED"/>
    <w:rsid w:val="008D2F6C"/>
    <w:rsid w:val="008E6284"/>
    <w:rsid w:val="00907F75"/>
    <w:rsid w:val="009260DE"/>
    <w:rsid w:val="0093258A"/>
    <w:rsid w:val="009352F5"/>
    <w:rsid w:val="009364D1"/>
    <w:rsid w:val="00937597"/>
    <w:rsid w:val="009C6B86"/>
    <w:rsid w:val="009C7BA3"/>
    <w:rsid w:val="009D1F5A"/>
    <w:rsid w:val="00A62D5F"/>
    <w:rsid w:val="00A77255"/>
    <w:rsid w:val="00B003BF"/>
    <w:rsid w:val="00B065AB"/>
    <w:rsid w:val="00B373D7"/>
    <w:rsid w:val="00C36276"/>
    <w:rsid w:val="00C42586"/>
    <w:rsid w:val="00C60CCD"/>
    <w:rsid w:val="00C84483"/>
    <w:rsid w:val="00C95551"/>
    <w:rsid w:val="00CB20D7"/>
    <w:rsid w:val="00D00CD6"/>
    <w:rsid w:val="00D020B0"/>
    <w:rsid w:val="00D11748"/>
    <w:rsid w:val="00D366CF"/>
    <w:rsid w:val="00DC528A"/>
    <w:rsid w:val="00E108AA"/>
    <w:rsid w:val="00E31812"/>
    <w:rsid w:val="00E3749A"/>
    <w:rsid w:val="00E7437F"/>
    <w:rsid w:val="00E865B8"/>
    <w:rsid w:val="00EC0B9B"/>
    <w:rsid w:val="00ED5E9F"/>
    <w:rsid w:val="00F66D4F"/>
    <w:rsid w:val="00FB6D01"/>
    <w:rsid w:val="00FF3B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3841B"/>
  <w15:chartTrackingRefBased/>
  <w15:docId w15:val="{8D024324-3BE1-49DC-9403-BBA098C0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3">
    <w:name w:val="Body Text 3"/>
    <w:basedOn w:val="Normal"/>
    <w:link w:val="Brdtekst3Tegn"/>
    <w:semiHidden/>
    <w:unhideWhenUsed/>
    <w:rsid w:val="00B065AB"/>
    <w:pPr>
      <w:jc w:val="both"/>
    </w:pPr>
    <w:rPr>
      <w:rFonts w:ascii="Arial" w:hAnsi="Arial" w:cs="Arial"/>
      <w:sz w:val="24"/>
      <w:lang w:val="en-US"/>
    </w:rPr>
  </w:style>
  <w:style w:type="character" w:customStyle="1" w:styleId="Brdtekst3Tegn">
    <w:name w:val="Brødtekst 3 Tegn"/>
    <w:basedOn w:val="Standardskrifttypeiafsnit"/>
    <w:link w:val="Brdtekst3"/>
    <w:semiHidden/>
    <w:rsid w:val="00B065AB"/>
    <w:rPr>
      <w:rFonts w:ascii="Arial" w:hAnsi="Arial" w:cs="Arial"/>
      <w:sz w:val="24"/>
      <w:lang w:val="en-US" w:eastAsia="en-US"/>
    </w:rPr>
  </w:style>
  <w:style w:type="table" w:styleId="Tabel-Gitter">
    <w:name w:val="Table Grid"/>
    <w:basedOn w:val="Tabel-Normal"/>
    <w:uiPriority w:val="59"/>
    <w:rsid w:val="00B065AB"/>
    <w:rPr>
      <w:rFonts w:ascii="Calibri" w:eastAsia="Calibri" w:hAnsi="Calibri"/>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065AB"/>
    <w:pPr>
      <w:autoSpaceDE w:val="0"/>
      <w:autoSpaceDN w:val="0"/>
      <w:adjustRightInd w:val="0"/>
    </w:pPr>
    <w:rPr>
      <w:color w:val="000000"/>
      <w:sz w:val="24"/>
      <w:szCs w:val="24"/>
    </w:rPr>
  </w:style>
  <w:style w:type="character" w:styleId="Hyperlink">
    <w:name w:val="Hyperlink"/>
    <w:basedOn w:val="Standardskrifttypeiafsnit"/>
    <w:uiPriority w:val="99"/>
    <w:unhideWhenUsed/>
    <w:rsid w:val="0081004B"/>
    <w:rPr>
      <w:color w:val="0563C1" w:themeColor="hyperlink"/>
      <w:u w:val="single"/>
    </w:rPr>
  </w:style>
  <w:style w:type="character" w:styleId="Ulstomtale">
    <w:name w:val="Unresolved Mention"/>
    <w:basedOn w:val="Standardskrifttypeiafsnit"/>
    <w:uiPriority w:val="99"/>
    <w:semiHidden/>
    <w:unhideWhenUsed/>
    <w:rsid w:val="0081004B"/>
    <w:rPr>
      <w:color w:val="605E5C"/>
      <w:shd w:val="clear" w:color="auto" w:fill="E1DFDD"/>
    </w:rPr>
  </w:style>
  <w:style w:type="paragraph" w:styleId="Brdtekst">
    <w:name w:val="Body Text"/>
    <w:basedOn w:val="Normal"/>
    <w:link w:val="BrdtekstTegn"/>
    <w:uiPriority w:val="99"/>
    <w:semiHidden/>
    <w:unhideWhenUsed/>
    <w:rsid w:val="00DC528A"/>
    <w:pPr>
      <w:spacing w:after="120"/>
    </w:pPr>
  </w:style>
  <w:style w:type="character" w:customStyle="1" w:styleId="BrdtekstTegn">
    <w:name w:val="Brødtekst Tegn"/>
    <w:basedOn w:val="Standardskrifttypeiafsnit"/>
    <w:link w:val="Brdtekst"/>
    <w:uiPriority w:val="99"/>
    <w:semiHidden/>
    <w:rsid w:val="00DC528A"/>
    <w:rPr>
      <w:sz w:val="23"/>
      <w:lang w:eastAsia="en-US"/>
    </w:rPr>
  </w:style>
  <w:style w:type="character" w:customStyle="1" w:styleId="Overskrift1Tegn">
    <w:name w:val="Overskrift 1 Tegn"/>
    <w:basedOn w:val="Standardskrifttypeiafsnit"/>
    <w:link w:val="Overskrift1"/>
    <w:rsid w:val="005A2E0C"/>
    <w:rPr>
      <w:rFonts w:ascii="Arial" w:hAnsi="Arial"/>
      <w:b/>
      <w:kern w:val="28"/>
      <w:sz w:val="28"/>
      <w:lang w:eastAsia="en-US"/>
    </w:rPr>
  </w:style>
  <w:style w:type="paragraph" w:customStyle="1" w:styleId="TableParagraph">
    <w:name w:val="Table Paragraph"/>
    <w:basedOn w:val="Normal"/>
    <w:uiPriority w:val="1"/>
    <w:qFormat/>
    <w:rsid w:val="005A2E0C"/>
    <w:pPr>
      <w:widowControl w:val="0"/>
      <w:autoSpaceDE w:val="0"/>
      <w:autoSpaceDN w:val="0"/>
      <w:spacing w:before="33" w:line="246" w:lineRule="exact"/>
      <w:ind w:left="187"/>
      <w:jc w:val="center"/>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73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78904094">
      <w:bodyDiv w:val="1"/>
      <w:marLeft w:val="0"/>
      <w:marRight w:val="0"/>
      <w:marTop w:val="0"/>
      <w:marBottom w:val="0"/>
      <w:divBdr>
        <w:top w:val="none" w:sz="0" w:space="0" w:color="auto"/>
        <w:left w:val="none" w:sz="0" w:space="0" w:color="auto"/>
        <w:bottom w:val="none" w:sz="0" w:space="0" w:color="auto"/>
        <w:right w:val="none" w:sz="0" w:space="0" w:color="auto"/>
      </w:divBdr>
    </w:div>
    <w:div w:id="608706163">
      <w:bodyDiv w:val="1"/>
      <w:marLeft w:val="0"/>
      <w:marRight w:val="0"/>
      <w:marTop w:val="0"/>
      <w:marBottom w:val="0"/>
      <w:divBdr>
        <w:top w:val="none" w:sz="0" w:space="0" w:color="auto"/>
        <w:left w:val="none" w:sz="0" w:space="0" w:color="auto"/>
        <w:bottom w:val="none" w:sz="0" w:space="0" w:color="auto"/>
        <w:right w:val="none" w:sz="0" w:space="0" w:color="auto"/>
      </w:divBdr>
    </w:div>
    <w:div w:id="803158197">
      <w:bodyDiv w:val="1"/>
      <w:marLeft w:val="0"/>
      <w:marRight w:val="0"/>
      <w:marTop w:val="0"/>
      <w:marBottom w:val="0"/>
      <w:divBdr>
        <w:top w:val="none" w:sz="0" w:space="0" w:color="auto"/>
        <w:left w:val="none" w:sz="0" w:space="0" w:color="auto"/>
        <w:bottom w:val="none" w:sz="0" w:space="0" w:color="auto"/>
        <w:right w:val="none" w:sz="0" w:space="0" w:color="auto"/>
      </w:divBdr>
    </w:div>
    <w:div w:id="945036996">
      <w:bodyDiv w:val="1"/>
      <w:marLeft w:val="0"/>
      <w:marRight w:val="0"/>
      <w:marTop w:val="0"/>
      <w:marBottom w:val="0"/>
      <w:divBdr>
        <w:top w:val="none" w:sz="0" w:space="0" w:color="auto"/>
        <w:left w:val="none" w:sz="0" w:space="0" w:color="auto"/>
        <w:bottom w:val="none" w:sz="0" w:space="0" w:color="auto"/>
        <w:right w:val="none" w:sz="0" w:space="0" w:color="auto"/>
      </w:divBdr>
    </w:div>
    <w:div w:id="1196041431">
      <w:bodyDiv w:val="1"/>
      <w:marLeft w:val="0"/>
      <w:marRight w:val="0"/>
      <w:marTop w:val="0"/>
      <w:marBottom w:val="0"/>
      <w:divBdr>
        <w:top w:val="none" w:sz="0" w:space="0" w:color="auto"/>
        <w:left w:val="none" w:sz="0" w:space="0" w:color="auto"/>
        <w:bottom w:val="none" w:sz="0" w:space="0" w:color="auto"/>
        <w:right w:val="none" w:sz="0" w:space="0" w:color="auto"/>
      </w:divBdr>
    </w:div>
    <w:div w:id="1424841060">
      <w:bodyDiv w:val="1"/>
      <w:marLeft w:val="0"/>
      <w:marRight w:val="0"/>
      <w:marTop w:val="0"/>
      <w:marBottom w:val="0"/>
      <w:divBdr>
        <w:top w:val="none" w:sz="0" w:space="0" w:color="auto"/>
        <w:left w:val="none" w:sz="0" w:space="0" w:color="auto"/>
        <w:bottom w:val="none" w:sz="0" w:space="0" w:color="auto"/>
        <w:right w:val="none" w:sz="0" w:space="0" w:color="auto"/>
      </w:divBdr>
    </w:div>
    <w:div w:id="1545218683">
      <w:bodyDiv w:val="1"/>
      <w:marLeft w:val="0"/>
      <w:marRight w:val="0"/>
      <w:marTop w:val="0"/>
      <w:marBottom w:val="0"/>
      <w:divBdr>
        <w:top w:val="none" w:sz="0" w:space="0" w:color="auto"/>
        <w:left w:val="none" w:sz="0" w:space="0" w:color="auto"/>
        <w:bottom w:val="none" w:sz="0" w:space="0" w:color="auto"/>
        <w:right w:val="none" w:sz="0" w:space="0" w:color="auto"/>
      </w:divBdr>
    </w:div>
    <w:div w:id="1586723230">
      <w:bodyDiv w:val="1"/>
      <w:marLeft w:val="0"/>
      <w:marRight w:val="0"/>
      <w:marTop w:val="0"/>
      <w:marBottom w:val="0"/>
      <w:divBdr>
        <w:top w:val="none" w:sz="0" w:space="0" w:color="auto"/>
        <w:left w:val="none" w:sz="0" w:space="0" w:color="auto"/>
        <w:bottom w:val="none" w:sz="0" w:space="0" w:color="auto"/>
        <w:right w:val="none" w:sz="0" w:space="0" w:color="auto"/>
      </w:divBdr>
    </w:div>
    <w:div w:id="1590429486">
      <w:bodyDiv w:val="1"/>
      <w:marLeft w:val="0"/>
      <w:marRight w:val="0"/>
      <w:marTop w:val="0"/>
      <w:marBottom w:val="0"/>
      <w:divBdr>
        <w:top w:val="none" w:sz="0" w:space="0" w:color="auto"/>
        <w:left w:val="none" w:sz="0" w:space="0" w:color="auto"/>
        <w:bottom w:val="none" w:sz="0" w:space="0" w:color="auto"/>
        <w:right w:val="none" w:sz="0" w:space="0" w:color="auto"/>
      </w:divBdr>
    </w:div>
    <w:div w:id="1604992963">
      <w:bodyDiv w:val="1"/>
      <w:marLeft w:val="0"/>
      <w:marRight w:val="0"/>
      <w:marTop w:val="0"/>
      <w:marBottom w:val="0"/>
      <w:divBdr>
        <w:top w:val="none" w:sz="0" w:space="0" w:color="auto"/>
        <w:left w:val="none" w:sz="0" w:space="0" w:color="auto"/>
        <w:bottom w:val="none" w:sz="0" w:space="0" w:color="auto"/>
        <w:right w:val="none" w:sz="0" w:space="0" w:color="auto"/>
      </w:divBdr>
    </w:div>
    <w:div w:id="1611890548">
      <w:bodyDiv w:val="1"/>
      <w:marLeft w:val="0"/>
      <w:marRight w:val="0"/>
      <w:marTop w:val="0"/>
      <w:marBottom w:val="0"/>
      <w:divBdr>
        <w:top w:val="none" w:sz="0" w:space="0" w:color="auto"/>
        <w:left w:val="none" w:sz="0" w:space="0" w:color="auto"/>
        <w:bottom w:val="none" w:sz="0" w:space="0" w:color="auto"/>
        <w:right w:val="none" w:sz="0" w:space="0" w:color="auto"/>
      </w:divBdr>
    </w:div>
    <w:div w:id="1975331585">
      <w:bodyDiv w:val="1"/>
      <w:marLeft w:val="0"/>
      <w:marRight w:val="0"/>
      <w:marTop w:val="0"/>
      <w:marBottom w:val="0"/>
      <w:divBdr>
        <w:top w:val="none" w:sz="0" w:space="0" w:color="auto"/>
        <w:left w:val="none" w:sz="0" w:space="0" w:color="auto"/>
        <w:bottom w:val="none" w:sz="0" w:space="0" w:color="auto"/>
        <w:right w:val="none" w:sz="0" w:space="0" w:color="auto"/>
      </w:divBdr>
    </w:div>
    <w:div w:id="20955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22</Pages>
  <Words>7006</Words>
  <Characters>48939</Characters>
  <Application>Microsoft Office Word</Application>
  <DocSecurity>0</DocSecurity>
  <Lines>407</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2024053318 + 2023093380 pkt. 4.2, 4.3, 4.4, 4.5, 4.6, 4.8, 5.1, 5.2, 5.3</dc:description>
  <cp:lastModifiedBy>Gitte Ronnovius</cp:lastModifiedBy>
  <cp:revision>4</cp:revision>
  <cp:lastPrinted>2012-08-22T08:53:00Z</cp:lastPrinted>
  <dcterms:created xsi:type="dcterms:W3CDTF">2024-11-13T13:28:00Z</dcterms:created>
  <dcterms:modified xsi:type="dcterms:W3CDTF">2024-11-19T13:20:00Z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