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826" w:rsidRPr="00955972" w:rsidRDefault="00661826" w:rsidP="00661826">
      <w:bookmarkStart w:id="0" w:name="_GoBack"/>
      <w:bookmarkEnd w:id="0"/>
      <w:r>
        <w:rPr>
          <w:noProof/>
          <w:lang w:eastAsia="da-DK"/>
        </w:rPr>
        <w:drawing>
          <wp:inline distT="0" distB="0" distL="0" distR="0" wp14:anchorId="2BF686FA" wp14:editId="2BA4FE36">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61826" w:rsidRPr="00C84483" w:rsidRDefault="00661826" w:rsidP="00661826">
      <w:pPr>
        <w:pStyle w:val="Titel"/>
        <w:jc w:val="left"/>
        <w:rPr>
          <w:b w:val="0"/>
          <w:szCs w:val="24"/>
        </w:rPr>
      </w:pPr>
    </w:p>
    <w:p w:rsidR="00661826" w:rsidRPr="008E7609" w:rsidRDefault="00CB2A7A" w:rsidP="00661826">
      <w:pPr>
        <w:pStyle w:val="Titel"/>
        <w:jc w:val="right"/>
        <w:rPr>
          <w:szCs w:val="24"/>
        </w:rPr>
      </w:pPr>
      <w:r>
        <w:rPr>
          <w:szCs w:val="24"/>
        </w:rPr>
        <w:t>7. september 2023</w:t>
      </w:r>
    </w:p>
    <w:p w:rsidR="00661826" w:rsidRDefault="00661826" w:rsidP="00661826">
      <w:pPr>
        <w:pStyle w:val="Titel"/>
        <w:jc w:val="left"/>
        <w:rPr>
          <w:b w:val="0"/>
          <w:szCs w:val="24"/>
        </w:rPr>
      </w:pPr>
    </w:p>
    <w:p w:rsidR="001659A8" w:rsidRDefault="001659A8" w:rsidP="00661826">
      <w:pPr>
        <w:pStyle w:val="Titel"/>
        <w:jc w:val="left"/>
        <w:rPr>
          <w:b w:val="0"/>
          <w:szCs w:val="24"/>
        </w:rPr>
      </w:pPr>
    </w:p>
    <w:p w:rsidR="006617C4" w:rsidRPr="00C84483" w:rsidRDefault="006617C4" w:rsidP="00661826">
      <w:pPr>
        <w:pStyle w:val="Titel"/>
        <w:jc w:val="left"/>
        <w:rPr>
          <w:b w:val="0"/>
          <w:szCs w:val="24"/>
        </w:rPr>
      </w:pPr>
    </w:p>
    <w:p w:rsidR="00661826" w:rsidRPr="00C84483" w:rsidRDefault="00661826" w:rsidP="00661826">
      <w:pPr>
        <w:jc w:val="center"/>
        <w:rPr>
          <w:b/>
          <w:sz w:val="24"/>
          <w:szCs w:val="24"/>
        </w:rPr>
      </w:pPr>
      <w:r w:rsidRPr="00C84483">
        <w:rPr>
          <w:b/>
          <w:sz w:val="24"/>
          <w:szCs w:val="24"/>
        </w:rPr>
        <w:t>PRODUKTRESUMÉ</w:t>
      </w:r>
    </w:p>
    <w:p w:rsidR="00661826" w:rsidRPr="00C84483" w:rsidRDefault="00661826" w:rsidP="00661826">
      <w:pPr>
        <w:jc w:val="center"/>
        <w:rPr>
          <w:b/>
          <w:sz w:val="24"/>
          <w:szCs w:val="24"/>
        </w:rPr>
      </w:pPr>
    </w:p>
    <w:p w:rsidR="00661826" w:rsidRPr="00C84483" w:rsidRDefault="00661826" w:rsidP="00661826">
      <w:pPr>
        <w:jc w:val="center"/>
        <w:rPr>
          <w:b/>
          <w:sz w:val="24"/>
          <w:szCs w:val="24"/>
        </w:rPr>
      </w:pPr>
      <w:r w:rsidRPr="00C84483">
        <w:rPr>
          <w:b/>
          <w:sz w:val="24"/>
          <w:szCs w:val="24"/>
        </w:rPr>
        <w:t>for</w:t>
      </w:r>
    </w:p>
    <w:p w:rsidR="00661826" w:rsidRPr="00C84483" w:rsidRDefault="00661826" w:rsidP="00661826">
      <w:pPr>
        <w:jc w:val="center"/>
        <w:rPr>
          <w:b/>
          <w:sz w:val="24"/>
          <w:szCs w:val="24"/>
        </w:rPr>
      </w:pPr>
    </w:p>
    <w:p w:rsidR="00661826" w:rsidRPr="00C84483" w:rsidRDefault="00661826" w:rsidP="00661826">
      <w:pPr>
        <w:jc w:val="center"/>
        <w:rPr>
          <w:b/>
          <w:sz w:val="24"/>
          <w:szCs w:val="24"/>
        </w:rPr>
      </w:pPr>
      <w:proofErr w:type="spellStart"/>
      <w:r>
        <w:rPr>
          <w:b/>
          <w:sz w:val="24"/>
          <w:szCs w:val="24"/>
        </w:rPr>
        <w:t>Mydrane</w:t>
      </w:r>
      <w:proofErr w:type="spellEnd"/>
      <w:r>
        <w:rPr>
          <w:b/>
          <w:sz w:val="24"/>
          <w:szCs w:val="24"/>
        </w:rPr>
        <w:t>, injektionsvæske, opløsning</w:t>
      </w:r>
    </w:p>
    <w:p w:rsidR="00661826" w:rsidRPr="00C84483" w:rsidRDefault="00661826" w:rsidP="00661826">
      <w:pPr>
        <w:jc w:val="both"/>
        <w:rPr>
          <w:sz w:val="24"/>
          <w:szCs w:val="24"/>
        </w:rPr>
      </w:pPr>
    </w:p>
    <w:p w:rsidR="00661826" w:rsidRPr="00B01055" w:rsidRDefault="00661826" w:rsidP="00661826">
      <w:pPr>
        <w:ind w:left="851" w:hanging="851"/>
        <w:jc w:val="both"/>
        <w:rPr>
          <w:sz w:val="24"/>
          <w:szCs w:val="24"/>
        </w:rPr>
      </w:pPr>
    </w:p>
    <w:p w:rsidR="00CB2A7A" w:rsidRPr="00C84483" w:rsidRDefault="00CB2A7A" w:rsidP="00CB2A7A">
      <w:pPr>
        <w:tabs>
          <w:tab w:val="left" w:pos="851"/>
        </w:tabs>
        <w:ind w:left="851" w:hanging="851"/>
        <w:rPr>
          <w:b/>
          <w:sz w:val="24"/>
          <w:szCs w:val="24"/>
        </w:rPr>
      </w:pPr>
      <w:r w:rsidRPr="00C84483">
        <w:rPr>
          <w:b/>
          <w:sz w:val="24"/>
          <w:szCs w:val="24"/>
        </w:rPr>
        <w:t>0.</w:t>
      </w:r>
      <w:r w:rsidRPr="00C84483">
        <w:rPr>
          <w:b/>
          <w:sz w:val="24"/>
          <w:szCs w:val="24"/>
        </w:rPr>
        <w:tab/>
        <w:t>D.SP.NR.</w:t>
      </w:r>
    </w:p>
    <w:p w:rsidR="00661826" w:rsidRPr="00B01055" w:rsidRDefault="00661826" w:rsidP="00661826">
      <w:pPr>
        <w:ind w:left="851" w:hanging="851"/>
        <w:rPr>
          <w:sz w:val="24"/>
          <w:szCs w:val="24"/>
        </w:rPr>
      </w:pPr>
      <w:r w:rsidRPr="00B01055">
        <w:rPr>
          <w:sz w:val="24"/>
          <w:szCs w:val="24"/>
        </w:rPr>
        <w:tab/>
        <w:t>29258</w:t>
      </w:r>
    </w:p>
    <w:p w:rsidR="00661826" w:rsidRPr="00B01055" w:rsidRDefault="00661826" w:rsidP="00661826">
      <w:pPr>
        <w:ind w:left="851" w:hanging="851"/>
        <w:rPr>
          <w:sz w:val="24"/>
          <w:szCs w:val="24"/>
        </w:rPr>
      </w:pPr>
    </w:p>
    <w:p w:rsidR="00661826" w:rsidRPr="00B01055" w:rsidRDefault="00661826" w:rsidP="00661826">
      <w:pPr>
        <w:ind w:left="851" w:hanging="851"/>
        <w:rPr>
          <w:b/>
          <w:sz w:val="24"/>
          <w:szCs w:val="24"/>
        </w:rPr>
      </w:pPr>
      <w:r w:rsidRPr="00B01055">
        <w:rPr>
          <w:b/>
          <w:sz w:val="24"/>
          <w:szCs w:val="24"/>
        </w:rPr>
        <w:t>1.</w:t>
      </w:r>
      <w:r w:rsidRPr="00B01055">
        <w:rPr>
          <w:b/>
          <w:sz w:val="24"/>
          <w:szCs w:val="24"/>
        </w:rPr>
        <w:tab/>
        <w:t>LÆGEMIDLETS NAVN</w:t>
      </w:r>
    </w:p>
    <w:p w:rsidR="00661826" w:rsidRPr="00B01055" w:rsidRDefault="00661826" w:rsidP="00661826">
      <w:pPr>
        <w:ind w:left="851" w:hanging="851"/>
        <w:rPr>
          <w:sz w:val="24"/>
          <w:szCs w:val="24"/>
        </w:rPr>
      </w:pPr>
      <w:r w:rsidRPr="00B01055">
        <w:rPr>
          <w:sz w:val="24"/>
          <w:szCs w:val="24"/>
        </w:rPr>
        <w:tab/>
      </w:r>
      <w:proofErr w:type="spellStart"/>
      <w:r w:rsidRPr="00B01055">
        <w:rPr>
          <w:sz w:val="24"/>
          <w:szCs w:val="24"/>
        </w:rPr>
        <w:t>Mydrane</w:t>
      </w:r>
      <w:proofErr w:type="spellEnd"/>
    </w:p>
    <w:p w:rsidR="00661826" w:rsidRPr="00B01055" w:rsidRDefault="00661826" w:rsidP="00661826">
      <w:pPr>
        <w:ind w:left="851" w:hanging="851"/>
        <w:rPr>
          <w:sz w:val="24"/>
          <w:szCs w:val="24"/>
        </w:rPr>
      </w:pPr>
      <w:r w:rsidRPr="00B01055">
        <w:rPr>
          <w:sz w:val="24"/>
          <w:szCs w:val="24"/>
        </w:rPr>
        <w:tab/>
      </w:r>
    </w:p>
    <w:p w:rsidR="00661826" w:rsidRPr="00B01055" w:rsidRDefault="00661826" w:rsidP="00661826">
      <w:pPr>
        <w:ind w:left="851" w:hanging="851"/>
        <w:rPr>
          <w:b/>
          <w:sz w:val="24"/>
          <w:szCs w:val="24"/>
        </w:rPr>
      </w:pPr>
      <w:r w:rsidRPr="00B01055">
        <w:rPr>
          <w:b/>
          <w:sz w:val="24"/>
          <w:szCs w:val="24"/>
        </w:rPr>
        <w:t>2.</w:t>
      </w:r>
      <w:r w:rsidRPr="00B01055">
        <w:rPr>
          <w:b/>
          <w:sz w:val="24"/>
          <w:szCs w:val="24"/>
        </w:rPr>
        <w:tab/>
        <w:t>KVALITATIV OG KVANTITATIV SAMMENSÆTNING</w:t>
      </w:r>
    </w:p>
    <w:p w:rsidR="00F65F50" w:rsidRPr="00B01055" w:rsidRDefault="00661826" w:rsidP="00F65F50">
      <w:pPr>
        <w:ind w:left="851" w:hanging="851"/>
        <w:rPr>
          <w:sz w:val="24"/>
          <w:szCs w:val="24"/>
        </w:rPr>
      </w:pPr>
      <w:r w:rsidRPr="00B01055">
        <w:rPr>
          <w:sz w:val="24"/>
          <w:szCs w:val="24"/>
        </w:rPr>
        <w:tab/>
        <w:t xml:space="preserve">1 ml injektionsvæske, opløsning indeholder 0,2 mg </w:t>
      </w:r>
      <w:proofErr w:type="spellStart"/>
      <w:r w:rsidRPr="00B01055">
        <w:rPr>
          <w:sz w:val="24"/>
          <w:szCs w:val="24"/>
        </w:rPr>
        <w:t>tropicamid</w:t>
      </w:r>
      <w:proofErr w:type="spellEnd"/>
      <w:r w:rsidRPr="00B01055">
        <w:rPr>
          <w:sz w:val="24"/>
          <w:szCs w:val="24"/>
        </w:rPr>
        <w:t xml:space="preserve">, 3,1 mg </w:t>
      </w:r>
      <w:proofErr w:type="spellStart"/>
      <w:r w:rsidRPr="00B01055">
        <w:rPr>
          <w:sz w:val="24"/>
          <w:szCs w:val="24"/>
        </w:rPr>
        <w:t>phenylephrin</w:t>
      </w:r>
      <w:r>
        <w:rPr>
          <w:sz w:val="24"/>
          <w:szCs w:val="24"/>
        </w:rPr>
        <w:softHyphen/>
      </w:r>
      <w:r w:rsidRPr="00B01055">
        <w:rPr>
          <w:sz w:val="24"/>
          <w:szCs w:val="24"/>
        </w:rPr>
        <w:t>hydrochlorid</w:t>
      </w:r>
      <w:proofErr w:type="spellEnd"/>
      <w:r w:rsidRPr="00B01055">
        <w:rPr>
          <w:sz w:val="24"/>
          <w:szCs w:val="24"/>
        </w:rPr>
        <w:t xml:space="preserve"> og </w:t>
      </w:r>
      <w:r w:rsidR="00F65F50" w:rsidRPr="00B01055">
        <w:rPr>
          <w:sz w:val="24"/>
          <w:szCs w:val="24"/>
        </w:rPr>
        <w:t xml:space="preserve">10 mg </w:t>
      </w:r>
      <w:proofErr w:type="spellStart"/>
      <w:r w:rsidR="00F65F50" w:rsidRPr="00B01055">
        <w:rPr>
          <w:sz w:val="24"/>
          <w:szCs w:val="24"/>
        </w:rPr>
        <w:t>lidocainhydrochlorid</w:t>
      </w:r>
      <w:r w:rsidR="00F65F50">
        <w:rPr>
          <w:sz w:val="24"/>
          <w:szCs w:val="24"/>
        </w:rPr>
        <w:t>monohydrat</w:t>
      </w:r>
      <w:proofErr w:type="spellEnd"/>
      <w:r w:rsidR="00F65F50" w:rsidRPr="00B01055">
        <w:rPr>
          <w:sz w:val="24"/>
          <w:szCs w:val="24"/>
        </w:rPr>
        <w:t xml:space="preserve">. </w:t>
      </w:r>
    </w:p>
    <w:p w:rsidR="00661826" w:rsidRPr="00B01055" w:rsidRDefault="00661826" w:rsidP="00661826">
      <w:pPr>
        <w:ind w:left="851" w:hanging="851"/>
        <w:rPr>
          <w:sz w:val="24"/>
          <w:szCs w:val="24"/>
        </w:rPr>
      </w:pPr>
    </w:p>
    <w:p w:rsidR="00661826" w:rsidRDefault="00661826" w:rsidP="00F65F50">
      <w:pPr>
        <w:ind w:left="851"/>
        <w:rPr>
          <w:sz w:val="24"/>
          <w:szCs w:val="24"/>
        </w:rPr>
      </w:pPr>
      <w:r w:rsidRPr="00B01055">
        <w:rPr>
          <w:sz w:val="24"/>
          <w:szCs w:val="24"/>
        </w:rPr>
        <w:t xml:space="preserve">En dosis på 0,2 ml injektionsvæske, opløsning indeholder 0,04 mg </w:t>
      </w:r>
      <w:proofErr w:type="spellStart"/>
      <w:r w:rsidRPr="00B01055">
        <w:rPr>
          <w:sz w:val="24"/>
          <w:szCs w:val="24"/>
        </w:rPr>
        <w:t>tropicamid</w:t>
      </w:r>
      <w:proofErr w:type="spellEnd"/>
      <w:r w:rsidRPr="00B01055">
        <w:rPr>
          <w:sz w:val="24"/>
          <w:szCs w:val="24"/>
        </w:rPr>
        <w:t xml:space="preserve">, 0,62 mg </w:t>
      </w:r>
      <w:proofErr w:type="spellStart"/>
      <w:r w:rsidRPr="00B01055">
        <w:rPr>
          <w:sz w:val="24"/>
          <w:szCs w:val="24"/>
        </w:rPr>
        <w:t>phenylephrinhydrochlorid</w:t>
      </w:r>
      <w:proofErr w:type="spellEnd"/>
      <w:r w:rsidRPr="00B01055">
        <w:rPr>
          <w:sz w:val="24"/>
          <w:szCs w:val="24"/>
        </w:rPr>
        <w:t xml:space="preserve"> og </w:t>
      </w:r>
      <w:r w:rsidR="00F65F50" w:rsidRPr="00B01055">
        <w:rPr>
          <w:sz w:val="24"/>
          <w:szCs w:val="24"/>
        </w:rPr>
        <w:t xml:space="preserve">2 mg </w:t>
      </w:r>
      <w:proofErr w:type="spellStart"/>
      <w:r w:rsidR="00F65F50" w:rsidRPr="00B01055">
        <w:rPr>
          <w:sz w:val="24"/>
          <w:szCs w:val="24"/>
        </w:rPr>
        <w:t>lidocainhydrochlorid</w:t>
      </w:r>
      <w:r w:rsidR="00F65F50" w:rsidRPr="00E955FF">
        <w:rPr>
          <w:sz w:val="24"/>
          <w:szCs w:val="24"/>
        </w:rPr>
        <w:t>monohydrat</w:t>
      </w:r>
      <w:proofErr w:type="spellEnd"/>
      <w:r w:rsidR="00F65F50" w:rsidRPr="00B01055">
        <w:rPr>
          <w:sz w:val="24"/>
          <w:szCs w:val="24"/>
        </w:rPr>
        <w:t>.</w:t>
      </w:r>
    </w:p>
    <w:p w:rsidR="00F65F50" w:rsidRPr="00B01055" w:rsidRDefault="00F65F50" w:rsidP="00F65F50">
      <w:pPr>
        <w:ind w:left="851"/>
        <w:rPr>
          <w:sz w:val="24"/>
          <w:szCs w:val="24"/>
        </w:rPr>
      </w:pPr>
    </w:p>
    <w:p w:rsidR="00661826" w:rsidRPr="00B01055" w:rsidRDefault="00661826" w:rsidP="00661826">
      <w:pPr>
        <w:pStyle w:val="EMEAEnBodyText"/>
        <w:autoSpaceDE w:val="0"/>
        <w:autoSpaceDN w:val="0"/>
        <w:adjustRightInd w:val="0"/>
        <w:spacing w:before="0" w:after="0"/>
        <w:ind w:left="851"/>
        <w:rPr>
          <w:sz w:val="24"/>
          <w:szCs w:val="24"/>
          <w:u w:val="single"/>
          <w:lang w:val="da-DK"/>
        </w:rPr>
      </w:pPr>
      <w:r w:rsidRPr="00B01055">
        <w:rPr>
          <w:sz w:val="24"/>
          <w:szCs w:val="24"/>
          <w:u w:val="single"/>
          <w:lang w:val="da-DK"/>
        </w:rPr>
        <w:t xml:space="preserve">Hjælpestof, som behandleren skal være opmærksom på: </w:t>
      </w:r>
    </w:p>
    <w:p w:rsidR="00661826" w:rsidRPr="00B01055" w:rsidRDefault="00661826" w:rsidP="00661826">
      <w:pPr>
        <w:pStyle w:val="EMEAEnBodyText"/>
        <w:autoSpaceDE w:val="0"/>
        <w:autoSpaceDN w:val="0"/>
        <w:adjustRightInd w:val="0"/>
        <w:spacing w:before="0" w:after="0"/>
        <w:ind w:left="851"/>
        <w:rPr>
          <w:sz w:val="24"/>
          <w:szCs w:val="24"/>
          <w:lang w:val="da-DK"/>
        </w:rPr>
      </w:pPr>
      <w:r w:rsidRPr="00B01055">
        <w:rPr>
          <w:sz w:val="24"/>
          <w:szCs w:val="24"/>
          <w:lang w:val="da-DK"/>
        </w:rPr>
        <w:t>Natrium (0,59 mg pr. dosis, se pkt. 4.4).</w:t>
      </w:r>
    </w:p>
    <w:p w:rsidR="00661826" w:rsidRPr="00B01055" w:rsidRDefault="00661826" w:rsidP="00661826">
      <w:pPr>
        <w:pStyle w:val="EMEAEnBodyText"/>
        <w:autoSpaceDE w:val="0"/>
        <w:autoSpaceDN w:val="0"/>
        <w:adjustRightInd w:val="0"/>
        <w:spacing w:before="0"/>
        <w:ind w:left="851" w:hanging="851"/>
        <w:rPr>
          <w:sz w:val="24"/>
          <w:szCs w:val="24"/>
          <w:lang w:val="da-DK"/>
        </w:rPr>
      </w:pPr>
    </w:p>
    <w:p w:rsidR="00661826" w:rsidRPr="00B01055" w:rsidRDefault="00661826" w:rsidP="00661826">
      <w:pPr>
        <w:spacing w:line="260" w:lineRule="exact"/>
        <w:ind w:left="851"/>
        <w:rPr>
          <w:sz w:val="24"/>
          <w:szCs w:val="24"/>
        </w:rPr>
      </w:pPr>
      <w:r w:rsidRPr="00B01055">
        <w:rPr>
          <w:sz w:val="24"/>
          <w:szCs w:val="24"/>
        </w:rPr>
        <w:t>Alle hjælpestoffer er anført under pkt. 6.1.</w:t>
      </w:r>
    </w:p>
    <w:p w:rsidR="00661826" w:rsidRPr="00B01055" w:rsidRDefault="00661826" w:rsidP="00661826">
      <w:pPr>
        <w:ind w:left="851" w:hanging="851"/>
        <w:rPr>
          <w:sz w:val="24"/>
          <w:szCs w:val="24"/>
        </w:rPr>
      </w:pPr>
    </w:p>
    <w:p w:rsidR="00661826" w:rsidRPr="00B01055" w:rsidRDefault="00661826" w:rsidP="00661826">
      <w:pPr>
        <w:ind w:left="851" w:hanging="851"/>
        <w:rPr>
          <w:b/>
          <w:sz w:val="24"/>
          <w:szCs w:val="24"/>
        </w:rPr>
      </w:pPr>
      <w:r w:rsidRPr="00B01055">
        <w:rPr>
          <w:b/>
          <w:sz w:val="24"/>
          <w:szCs w:val="24"/>
        </w:rPr>
        <w:t>3.</w:t>
      </w:r>
      <w:r w:rsidRPr="00B01055">
        <w:rPr>
          <w:b/>
          <w:sz w:val="24"/>
          <w:szCs w:val="24"/>
        </w:rPr>
        <w:tab/>
        <w:t>LÆGEMIDDELFORM</w:t>
      </w:r>
    </w:p>
    <w:p w:rsidR="00661826" w:rsidRDefault="00661826" w:rsidP="00661826">
      <w:pPr>
        <w:suppressAutoHyphens/>
        <w:ind w:left="851" w:hanging="851"/>
        <w:rPr>
          <w:spacing w:val="-3"/>
          <w:sz w:val="24"/>
          <w:szCs w:val="24"/>
        </w:rPr>
      </w:pPr>
      <w:r w:rsidRPr="00B01055">
        <w:rPr>
          <w:sz w:val="24"/>
          <w:szCs w:val="24"/>
        </w:rPr>
        <w:tab/>
      </w:r>
      <w:r>
        <w:rPr>
          <w:spacing w:val="-3"/>
          <w:sz w:val="24"/>
          <w:szCs w:val="24"/>
        </w:rPr>
        <w:t>Injektionsvæske, opløsning</w:t>
      </w:r>
    </w:p>
    <w:p w:rsidR="00661826" w:rsidRPr="00B01055" w:rsidRDefault="00661826" w:rsidP="00661826">
      <w:pPr>
        <w:suppressAutoHyphens/>
        <w:ind w:left="851" w:hanging="851"/>
        <w:rPr>
          <w:spacing w:val="-3"/>
          <w:sz w:val="24"/>
          <w:szCs w:val="24"/>
        </w:rPr>
      </w:pPr>
    </w:p>
    <w:p w:rsidR="00661826" w:rsidRPr="00B01055" w:rsidRDefault="00661826" w:rsidP="00661826">
      <w:pPr>
        <w:suppressAutoHyphens/>
        <w:ind w:left="851"/>
        <w:rPr>
          <w:spacing w:val="-3"/>
          <w:sz w:val="24"/>
          <w:szCs w:val="24"/>
        </w:rPr>
      </w:pPr>
      <w:r w:rsidRPr="00B01055">
        <w:rPr>
          <w:spacing w:val="-3"/>
          <w:sz w:val="24"/>
          <w:szCs w:val="24"/>
        </w:rPr>
        <w:t>Klar og let brun-gul væske og så godt som fri for synlige partikler.</w:t>
      </w:r>
    </w:p>
    <w:p w:rsidR="00661826" w:rsidRPr="00B01055" w:rsidRDefault="00661826" w:rsidP="00661826">
      <w:pPr>
        <w:suppressAutoHyphens/>
        <w:ind w:left="851"/>
        <w:rPr>
          <w:spacing w:val="-3"/>
          <w:sz w:val="24"/>
          <w:szCs w:val="24"/>
        </w:rPr>
      </w:pPr>
      <w:r w:rsidRPr="00B01055">
        <w:rPr>
          <w:spacing w:val="-3"/>
          <w:sz w:val="24"/>
          <w:szCs w:val="24"/>
        </w:rPr>
        <w:t>pH: 6,9-7,5</w:t>
      </w:r>
      <w:r>
        <w:rPr>
          <w:spacing w:val="-3"/>
          <w:sz w:val="24"/>
          <w:szCs w:val="24"/>
        </w:rPr>
        <w:t>.</w:t>
      </w:r>
    </w:p>
    <w:p w:rsidR="00661826" w:rsidRPr="00B01055" w:rsidRDefault="00661826" w:rsidP="00661826">
      <w:pPr>
        <w:suppressAutoHyphens/>
        <w:ind w:left="851"/>
        <w:rPr>
          <w:sz w:val="24"/>
          <w:szCs w:val="24"/>
        </w:rPr>
      </w:pPr>
      <w:proofErr w:type="spellStart"/>
      <w:r w:rsidRPr="00B01055">
        <w:rPr>
          <w:spacing w:val="-3"/>
          <w:sz w:val="24"/>
          <w:szCs w:val="24"/>
        </w:rPr>
        <w:t>Osmolalitet</w:t>
      </w:r>
      <w:proofErr w:type="spellEnd"/>
      <w:r w:rsidRPr="00B01055">
        <w:rPr>
          <w:spacing w:val="-3"/>
          <w:sz w:val="24"/>
          <w:szCs w:val="24"/>
        </w:rPr>
        <w:t>: 290</w:t>
      </w:r>
      <w:r w:rsidRPr="00B01055">
        <w:rPr>
          <w:spacing w:val="-3"/>
          <w:sz w:val="24"/>
          <w:szCs w:val="24"/>
        </w:rPr>
        <w:noBreakHyphen/>
        <w:t>350 </w:t>
      </w:r>
      <w:proofErr w:type="spellStart"/>
      <w:r w:rsidRPr="00B01055">
        <w:rPr>
          <w:spacing w:val="-3"/>
          <w:sz w:val="24"/>
          <w:szCs w:val="24"/>
        </w:rPr>
        <w:t>mosmol</w:t>
      </w:r>
      <w:proofErr w:type="spellEnd"/>
      <w:r w:rsidRPr="00B01055">
        <w:rPr>
          <w:spacing w:val="-3"/>
          <w:sz w:val="24"/>
          <w:szCs w:val="24"/>
        </w:rPr>
        <w:t>/kg</w:t>
      </w:r>
      <w:r>
        <w:rPr>
          <w:spacing w:val="-3"/>
          <w:sz w:val="24"/>
          <w:szCs w:val="24"/>
        </w:rPr>
        <w:t>.</w:t>
      </w:r>
    </w:p>
    <w:p w:rsidR="00661826" w:rsidRPr="00B01055" w:rsidRDefault="00661826" w:rsidP="00661826">
      <w:pPr>
        <w:ind w:left="851" w:hanging="851"/>
        <w:rPr>
          <w:sz w:val="24"/>
          <w:szCs w:val="24"/>
        </w:rPr>
      </w:pPr>
    </w:p>
    <w:p w:rsidR="00661826" w:rsidRPr="00B01055" w:rsidRDefault="00661826" w:rsidP="00661826">
      <w:pPr>
        <w:ind w:left="851" w:hanging="851"/>
        <w:rPr>
          <w:sz w:val="24"/>
          <w:szCs w:val="24"/>
        </w:rPr>
      </w:pPr>
    </w:p>
    <w:p w:rsidR="00661826" w:rsidRPr="00B01055" w:rsidRDefault="00661826" w:rsidP="00661826">
      <w:pPr>
        <w:ind w:left="851" w:hanging="851"/>
        <w:rPr>
          <w:b/>
          <w:sz w:val="24"/>
          <w:szCs w:val="24"/>
        </w:rPr>
      </w:pPr>
      <w:r w:rsidRPr="00B01055">
        <w:rPr>
          <w:b/>
          <w:sz w:val="24"/>
          <w:szCs w:val="24"/>
        </w:rPr>
        <w:t>4.</w:t>
      </w:r>
      <w:r w:rsidRPr="00B01055">
        <w:rPr>
          <w:b/>
          <w:sz w:val="24"/>
          <w:szCs w:val="24"/>
        </w:rPr>
        <w:tab/>
        <w:t>KLINISKE OPLYSNINGER</w:t>
      </w:r>
    </w:p>
    <w:p w:rsidR="00661826" w:rsidRPr="00B01055" w:rsidRDefault="00661826" w:rsidP="00661826">
      <w:pPr>
        <w:ind w:left="851" w:hanging="851"/>
        <w:rPr>
          <w:b/>
          <w:sz w:val="24"/>
          <w:szCs w:val="24"/>
        </w:rPr>
      </w:pPr>
    </w:p>
    <w:p w:rsidR="00661826" w:rsidRPr="00B01055" w:rsidRDefault="00661826" w:rsidP="00661826">
      <w:pPr>
        <w:ind w:left="851" w:hanging="851"/>
        <w:rPr>
          <w:b/>
          <w:sz w:val="24"/>
          <w:szCs w:val="24"/>
          <w:u w:val="single"/>
        </w:rPr>
      </w:pPr>
      <w:r w:rsidRPr="00B01055">
        <w:rPr>
          <w:b/>
          <w:sz w:val="24"/>
          <w:szCs w:val="24"/>
        </w:rPr>
        <w:t>4.1</w:t>
      </w:r>
      <w:r w:rsidRPr="00B01055">
        <w:rPr>
          <w:b/>
          <w:sz w:val="24"/>
          <w:szCs w:val="24"/>
        </w:rPr>
        <w:tab/>
        <w:t>Terapeutiske indikationer</w:t>
      </w:r>
    </w:p>
    <w:p w:rsidR="00661826" w:rsidRPr="00B01055" w:rsidRDefault="00661826" w:rsidP="00661826">
      <w:pPr>
        <w:ind w:left="851" w:hanging="851"/>
        <w:rPr>
          <w:sz w:val="24"/>
          <w:szCs w:val="24"/>
        </w:rPr>
      </w:pPr>
      <w:r w:rsidRPr="00B01055">
        <w:rPr>
          <w:sz w:val="24"/>
          <w:szCs w:val="24"/>
        </w:rPr>
        <w:tab/>
      </w:r>
      <w:proofErr w:type="spellStart"/>
      <w:r w:rsidRPr="00B01055">
        <w:rPr>
          <w:sz w:val="24"/>
          <w:szCs w:val="24"/>
        </w:rPr>
        <w:t>M</w:t>
      </w:r>
      <w:r>
        <w:rPr>
          <w:sz w:val="24"/>
          <w:szCs w:val="24"/>
        </w:rPr>
        <w:t>ydrane</w:t>
      </w:r>
      <w:proofErr w:type="spellEnd"/>
      <w:r w:rsidRPr="00B01055">
        <w:rPr>
          <w:sz w:val="24"/>
          <w:szCs w:val="24"/>
        </w:rPr>
        <w:t xml:space="preserve"> er indiceret til kataraktoperation for at opnå </w:t>
      </w:r>
      <w:proofErr w:type="spellStart"/>
      <w:r w:rsidRPr="00B01055">
        <w:rPr>
          <w:sz w:val="24"/>
          <w:szCs w:val="24"/>
        </w:rPr>
        <w:t>mydriasis</w:t>
      </w:r>
      <w:proofErr w:type="spellEnd"/>
      <w:r w:rsidRPr="00B01055">
        <w:rPr>
          <w:sz w:val="24"/>
          <w:szCs w:val="24"/>
        </w:rPr>
        <w:t xml:space="preserve"> og </w:t>
      </w:r>
      <w:proofErr w:type="spellStart"/>
      <w:r w:rsidRPr="00B01055">
        <w:rPr>
          <w:sz w:val="24"/>
          <w:szCs w:val="24"/>
        </w:rPr>
        <w:t>intraokulær</w:t>
      </w:r>
      <w:proofErr w:type="spellEnd"/>
      <w:r w:rsidRPr="00B01055">
        <w:rPr>
          <w:sz w:val="24"/>
          <w:szCs w:val="24"/>
        </w:rPr>
        <w:t xml:space="preserve"> anæstesi under kirurgiske indgreb.</w:t>
      </w:r>
    </w:p>
    <w:p w:rsidR="00661826" w:rsidRPr="00B01055" w:rsidRDefault="00661826" w:rsidP="00661826">
      <w:pPr>
        <w:ind w:left="851" w:hanging="851"/>
        <w:rPr>
          <w:sz w:val="24"/>
          <w:szCs w:val="24"/>
        </w:rPr>
      </w:pPr>
    </w:p>
    <w:p w:rsidR="00661826" w:rsidRPr="00B01055" w:rsidRDefault="00661826" w:rsidP="00661826">
      <w:pPr>
        <w:ind w:left="851"/>
        <w:rPr>
          <w:noProof/>
          <w:sz w:val="24"/>
          <w:szCs w:val="24"/>
        </w:rPr>
      </w:pPr>
      <w:proofErr w:type="spellStart"/>
      <w:r w:rsidRPr="00B01055">
        <w:rPr>
          <w:sz w:val="24"/>
          <w:szCs w:val="24"/>
        </w:rPr>
        <w:t>M</w:t>
      </w:r>
      <w:r>
        <w:rPr>
          <w:sz w:val="24"/>
          <w:szCs w:val="24"/>
        </w:rPr>
        <w:t>ydrane</w:t>
      </w:r>
      <w:proofErr w:type="spellEnd"/>
      <w:r w:rsidRPr="00B01055">
        <w:rPr>
          <w:noProof/>
          <w:sz w:val="24"/>
          <w:szCs w:val="24"/>
        </w:rPr>
        <w:t xml:space="preserve"> er kun indiceret til voksne.</w:t>
      </w:r>
    </w:p>
    <w:p w:rsidR="00661826" w:rsidRDefault="00661826" w:rsidP="00661826">
      <w:pPr>
        <w:rPr>
          <w:sz w:val="24"/>
          <w:szCs w:val="24"/>
        </w:rPr>
      </w:pPr>
      <w:r>
        <w:rPr>
          <w:sz w:val="24"/>
          <w:szCs w:val="24"/>
        </w:rPr>
        <w:br w:type="page"/>
      </w:r>
    </w:p>
    <w:p w:rsidR="00661826" w:rsidRPr="00B01055" w:rsidRDefault="00661826" w:rsidP="00661826">
      <w:pPr>
        <w:ind w:left="851" w:hanging="851"/>
        <w:rPr>
          <w:sz w:val="24"/>
          <w:szCs w:val="24"/>
        </w:rPr>
      </w:pPr>
    </w:p>
    <w:p w:rsidR="00CB2A7A" w:rsidRPr="00C84483" w:rsidRDefault="00CB2A7A" w:rsidP="00CB2A7A">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661826" w:rsidRPr="00B01055" w:rsidRDefault="00661826" w:rsidP="00661826">
      <w:pPr>
        <w:ind w:left="851" w:hanging="851"/>
        <w:rPr>
          <w:noProof/>
          <w:sz w:val="24"/>
          <w:szCs w:val="24"/>
        </w:rPr>
      </w:pPr>
      <w:r w:rsidRPr="00B01055">
        <w:rPr>
          <w:sz w:val="24"/>
          <w:szCs w:val="24"/>
        </w:rPr>
        <w:tab/>
      </w:r>
      <w:r w:rsidRPr="00B01055">
        <w:rPr>
          <w:noProof/>
          <w:sz w:val="24"/>
          <w:szCs w:val="24"/>
        </w:rPr>
        <w:t>Intrakameral anvendelse. En ampul til et enkelt øje.</w:t>
      </w:r>
    </w:p>
    <w:p w:rsidR="00661826" w:rsidRPr="00B01055" w:rsidRDefault="00661826" w:rsidP="00661826">
      <w:pPr>
        <w:ind w:left="851"/>
        <w:rPr>
          <w:noProof/>
          <w:sz w:val="24"/>
          <w:szCs w:val="24"/>
        </w:rPr>
      </w:pPr>
      <w:r w:rsidRPr="00B01055">
        <w:rPr>
          <w:noProof/>
          <w:sz w:val="24"/>
          <w:szCs w:val="24"/>
        </w:rPr>
        <w:t>Mydrane må kun administreres af en øjenkirurg.</w:t>
      </w:r>
    </w:p>
    <w:p w:rsidR="00661826" w:rsidRPr="00B01055" w:rsidRDefault="00661826" w:rsidP="00661826">
      <w:pPr>
        <w:ind w:left="851" w:hanging="851"/>
        <w:rPr>
          <w:noProof/>
          <w:sz w:val="24"/>
          <w:szCs w:val="24"/>
          <w:u w:val="single"/>
        </w:rPr>
      </w:pPr>
    </w:p>
    <w:p w:rsidR="00661826" w:rsidRPr="006A7F6B" w:rsidRDefault="00661826" w:rsidP="00661826">
      <w:pPr>
        <w:ind w:left="851"/>
        <w:rPr>
          <w:b/>
          <w:noProof/>
          <w:sz w:val="24"/>
          <w:szCs w:val="24"/>
        </w:rPr>
      </w:pPr>
      <w:r w:rsidRPr="006A7F6B">
        <w:rPr>
          <w:b/>
          <w:noProof/>
          <w:sz w:val="24"/>
          <w:szCs w:val="24"/>
        </w:rPr>
        <w:t>Dosering</w:t>
      </w:r>
    </w:p>
    <w:p w:rsidR="00661826" w:rsidRPr="00B01055" w:rsidRDefault="00661826" w:rsidP="00661826">
      <w:pPr>
        <w:ind w:left="851" w:hanging="851"/>
        <w:rPr>
          <w:noProof/>
          <w:sz w:val="24"/>
          <w:szCs w:val="24"/>
        </w:rPr>
      </w:pPr>
    </w:p>
    <w:p w:rsidR="00661826" w:rsidRDefault="00661826" w:rsidP="00661826">
      <w:pPr>
        <w:ind w:left="851"/>
        <w:rPr>
          <w:noProof/>
          <w:sz w:val="24"/>
          <w:szCs w:val="24"/>
        </w:rPr>
      </w:pPr>
      <w:proofErr w:type="spellStart"/>
      <w:r>
        <w:rPr>
          <w:sz w:val="24"/>
          <w:szCs w:val="24"/>
        </w:rPr>
        <w:t>Mydrane</w:t>
      </w:r>
      <w:proofErr w:type="spellEnd"/>
      <w:r>
        <w:rPr>
          <w:noProof/>
          <w:sz w:val="24"/>
          <w:szCs w:val="24"/>
        </w:rPr>
        <w:t xml:space="preserve"> bør kun anvendes til patienter, som tidligere, under den præoperative vurdering, har vist tilfredstillende pupildilatation med topikal mydriatisk behandling.</w:t>
      </w:r>
    </w:p>
    <w:p w:rsidR="00661826" w:rsidRPr="00B01055" w:rsidRDefault="00661826" w:rsidP="00661826">
      <w:pPr>
        <w:ind w:left="851" w:hanging="851"/>
        <w:rPr>
          <w:noProof/>
          <w:sz w:val="24"/>
          <w:szCs w:val="24"/>
        </w:rPr>
      </w:pPr>
    </w:p>
    <w:p w:rsidR="00661826" w:rsidRPr="006A7F6B" w:rsidRDefault="00661826" w:rsidP="00661826">
      <w:pPr>
        <w:ind w:left="851"/>
        <w:rPr>
          <w:noProof/>
          <w:sz w:val="24"/>
          <w:szCs w:val="24"/>
          <w:u w:val="single"/>
        </w:rPr>
      </w:pPr>
      <w:r w:rsidRPr="006A7F6B">
        <w:rPr>
          <w:noProof/>
          <w:sz w:val="24"/>
          <w:szCs w:val="24"/>
          <w:u w:val="single"/>
        </w:rPr>
        <w:t>Voksne</w:t>
      </w:r>
    </w:p>
    <w:p w:rsidR="00661826" w:rsidRPr="00B01055" w:rsidRDefault="00661826" w:rsidP="00661826">
      <w:pPr>
        <w:ind w:left="851"/>
        <w:rPr>
          <w:noProof/>
          <w:sz w:val="24"/>
          <w:szCs w:val="24"/>
        </w:rPr>
      </w:pPr>
      <w:r w:rsidRPr="00B01055">
        <w:rPr>
          <w:noProof/>
          <w:sz w:val="24"/>
          <w:szCs w:val="24"/>
        </w:rPr>
        <w:t xml:space="preserve">0,2 ml </w:t>
      </w:r>
      <w:proofErr w:type="spellStart"/>
      <w:r w:rsidRPr="00B01055">
        <w:rPr>
          <w:sz w:val="24"/>
          <w:szCs w:val="24"/>
        </w:rPr>
        <w:t>M</w:t>
      </w:r>
      <w:r>
        <w:rPr>
          <w:sz w:val="24"/>
          <w:szCs w:val="24"/>
        </w:rPr>
        <w:t>ydrane</w:t>
      </w:r>
      <w:proofErr w:type="spellEnd"/>
      <w:r w:rsidRPr="00B01055">
        <w:rPr>
          <w:noProof/>
          <w:sz w:val="24"/>
          <w:szCs w:val="24"/>
        </w:rPr>
        <w:t xml:space="preserve"> injiceres langsomt som intrakameral administration, med kun en injektion i begyndelsen af det kirurgiske indgreb.</w:t>
      </w:r>
    </w:p>
    <w:p w:rsidR="00661826" w:rsidRPr="00B01055" w:rsidRDefault="00661826" w:rsidP="00661826">
      <w:pPr>
        <w:ind w:left="851" w:hanging="851"/>
        <w:rPr>
          <w:noProof/>
          <w:sz w:val="24"/>
          <w:szCs w:val="24"/>
        </w:rPr>
      </w:pPr>
    </w:p>
    <w:p w:rsidR="00661826" w:rsidRPr="00B01055" w:rsidRDefault="00661826" w:rsidP="00661826">
      <w:pPr>
        <w:ind w:left="851"/>
        <w:rPr>
          <w:noProof/>
          <w:sz w:val="24"/>
          <w:szCs w:val="24"/>
          <w:u w:val="single"/>
        </w:rPr>
      </w:pPr>
      <w:r w:rsidRPr="00B01055">
        <w:rPr>
          <w:noProof/>
          <w:sz w:val="24"/>
          <w:szCs w:val="24"/>
          <w:u w:val="single"/>
        </w:rPr>
        <w:t>Særlige populationer</w:t>
      </w:r>
    </w:p>
    <w:p w:rsidR="00661826" w:rsidRDefault="00661826" w:rsidP="00661826">
      <w:pPr>
        <w:ind w:left="851"/>
        <w:rPr>
          <w:i/>
          <w:noProof/>
          <w:sz w:val="24"/>
          <w:szCs w:val="24"/>
        </w:rPr>
      </w:pPr>
    </w:p>
    <w:p w:rsidR="00661826" w:rsidRPr="00B01055" w:rsidRDefault="00661826" w:rsidP="00661826">
      <w:pPr>
        <w:ind w:left="851"/>
        <w:rPr>
          <w:i/>
          <w:noProof/>
          <w:sz w:val="24"/>
          <w:szCs w:val="24"/>
        </w:rPr>
      </w:pPr>
      <w:r>
        <w:rPr>
          <w:i/>
          <w:noProof/>
          <w:sz w:val="24"/>
          <w:szCs w:val="24"/>
        </w:rPr>
        <w:t>Ældre</w:t>
      </w:r>
    </w:p>
    <w:p w:rsidR="00661826" w:rsidRPr="00B01055" w:rsidRDefault="00661826" w:rsidP="00661826">
      <w:pPr>
        <w:ind w:left="851"/>
        <w:rPr>
          <w:noProof/>
          <w:sz w:val="24"/>
          <w:szCs w:val="24"/>
        </w:rPr>
      </w:pPr>
      <w:r w:rsidRPr="00B01055">
        <w:rPr>
          <w:noProof/>
          <w:sz w:val="24"/>
          <w:szCs w:val="24"/>
        </w:rPr>
        <w:t>Dosisjustering er ikke nødvendig.</w:t>
      </w:r>
    </w:p>
    <w:p w:rsidR="00661826" w:rsidRPr="00B01055" w:rsidRDefault="00661826" w:rsidP="00661826">
      <w:pPr>
        <w:ind w:left="851"/>
        <w:rPr>
          <w:i/>
          <w:noProof/>
          <w:sz w:val="24"/>
          <w:szCs w:val="24"/>
        </w:rPr>
      </w:pPr>
    </w:p>
    <w:p w:rsidR="00661826" w:rsidRPr="00B01055" w:rsidRDefault="00661826" w:rsidP="00661826">
      <w:pPr>
        <w:ind w:left="851"/>
        <w:rPr>
          <w:noProof/>
          <w:sz w:val="24"/>
          <w:szCs w:val="24"/>
        </w:rPr>
      </w:pPr>
      <w:r w:rsidRPr="00B01055">
        <w:rPr>
          <w:i/>
          <w:noProof/>
          <w:sz w:val="24"/>
          <w:szCs w:val="24"/>
        </w:rPr>
        <w:t>Pædiatrisk population</w:t>
      </w:r>
    </w:p>
    <w:p w:rsidR="00661826" w:rsidRPr="00B01055" w:rsidRDefault="00661826" w:rsidP="00661826">
      <w:pPr>
        <w:ind w:left="851"/>
        <w:rPr>
          <w:sz w:val="24"/>
          <w:szCs w:val="24"/>
        </w:rPr>
      </w:pPr>
      <w:proofErr w:type="spellStart"/>
      <w:r w:rsidRPr="00B01055">
        <w:rPr>
          <w:sz w:val="24"/>
          <w:szCs w:val="24"/>
        </w:rPr>
        <w:t>M</w:t>
      </w:r>
      <w:r>
        <w:rPr>
          <w:sz w:val="24"/>
          <w:szCs w:val="24"/>
        </w:rPr>
        <w:t>ydrane</w:t>
      </w:r>
      <w:r w:rsidRPr="00B01055">
        <w:rPr>
          <w:sz w:val="24"/>
          <w:szCs w:val="24"/>
        </w:rPr>
        <w:t>s</w:t>
      </w:r>
      <w:proofErr w:type="spellEnd"/>
      <w:r w:rsidRPr="00B01055">
        <w:rPr>
          <w:sz w:val="24"/>
          <w:szCs w:val="24"/>
        </w:rPr>
        <w:t xml:space="preserve"> sikkerhed og virkning hos børn i alderen 0-18 år er ikke klarlagt.</w:t>
      </w:r>
    </w:p>
    <w:p w:rsidR="00661826" w:rsidRPr="00B01055" w:rsidRDefault="00661826" w:rsidP="00661826">
      <w:pPr>
        <w:ind w:left="851"/>
        <w:rPr>
          <w:sz w:val="24"/>
          <w:szCs w:val="24"/>
        </w:rPr>
      </w:pPr>
    </w:p>
    <w:p w:rsidR="00661826" w:rsidRPr="00B01055" w:rsidRDefault="00661826" w:rsidP="00661826">
      <w:pPr>
        <w:ind w:left="851"/>
        <w:rPr>
          <w:i/>
          <w:sz w:val="24"/>
          <w:szCs w:val="24"/>
        </w:rPr>
      </w:pPr>
      <w:r w:rsidRPr="00B01055">
        <w:rPr>
          <w:i/>
          <w:sz w:val="24"/>
          <w:szCs w:val="24"/>
        </w:rPr>
        <w:t>Pa</w:t>
      </w:r>
      <w:r>
        <w:rPr>
          <w:i/>
          <w:sz w:val="24"/>
          <w:szCs w:val="24"/>
        </w:rPr>
        <w:t>tienter med nedsat nyrefunktion</w:t>
      </w:r>
    </w:p>
    <w:p w:rsidR="00661826" w:rsidRPr="00B01055" w:rsidRDefault="00661826" w:rsidP="00661826">
      <w:pPr>
        <w:ind w:left="851"/>
        <w:rPr>
          <w:sz w:val="24"/>
          <w:szCs w:val="24"/>
        </w:rPr>
      </w:pPr>
      <w:r w:rsidRPr="00B01055">
        <w:rPr>
          <w:sz w:val="24"/>
          <w:szCs w:val="24"/>
        </w:rPr>
        <w:t>Den lave dosis og den meget lave systemiske eksponering (se pkt. 5.2) taget i betragtning er dosisjustering ikke nødvendig (se pkt. 4.4).</w:t>
      </w:r>
    </w:p>
    <w:p w:rsidR="00661826" w:rsidRPr="00B01055" w:rsidRDefault="00661826" w:rsidP="00661826">
      <w:pPr>
        <w:ind w:left="851"/>
        <w:rPr>
          <w:sz w:val="24"/>
          <w:szCs w:val="24"/>
        </w:rPr>
      </w:pPr>
    </w:p>
    <w:p w:rsidR="00661826" w:rsidRPr="00B01055" w:rsidRDefault="00661826" w:rsidP="00661826">
      <w:pPr>
        <w:ind w:left="851"/>
        <w:rPr>
          <w:i/>
          <w:sz w:val="24"/>
          <w:szCs w:val="24"/>
        </w:rPr>
      </w:pPr>
      <w:r w:rsidRPr="00B01055">
        <w:rPr>
          <w:i/>
          <w:sz w:val="24"/>
          <w:szCs w:val="24"/>
        </w:rPr>
        <w:t>Pat</w:t>
      </w:r>
      <w:r>
        <w:rPr>
          <w:i/>
          <w:sz w:val="24"/>
          <w:szCs w:val="24"/>
        </w:rPr>
        <w:t>ienter med nedsat leverfunktion</w:t>
      </w:r>
    </w:p>
    <w:p w:rsidR="00661826" w:rsidRPr="00B01055" w:rsidRDefault="00661826" w:rsidP="00661826">
      <w:pPr>
        <w:ind w:left="851"/>
        <w:rPr>
          <w:sz w:val="24"/>
          <w:szCs w:val="24"/>
        </w:rPr>
      </w:pPr>
      <w:r w:rsidRPr="00B01055">
        <w:rPr>
          <w:sz w:val="24"/>
          <w:szCs w:val="24"/>
        </w:rPr>
        <w:t>Den lave dosis og den meget lave systemiske eksponering (se pkt. 5.2) taget i betragtning er dosisjustering ikke nødvendig (se pkt. 4.4).</w:t>
      </w:r>
    </w:p>
    <w:p w:rsidR="00661826" w:rsidRPr="00B01055" w:rsidRDefault="00661826" w:rsidP="00661826">
      <w:pPr>
        <w:ind w:left="851" w:hanging="851"/>
        <w:rPr>
          <w:sz w:val="24"/>
          <w:szCs w:val="24"/>
        </w:rPr>
      </w:pPr>
    </w:p>
    <w:p w:rsidR="00661826" w:rsidRPr="006A7F6B" w:rsidRDefault="00661826" w:rsidP="00661826">
      <w:pPr>
        <w:ind w:left="851"/>
        <w:rPr>
          <w:b/>
          <w:sz w:val="24"/>
          <w:szCs w:val="24"/>
        </w:rPr>
      </w:pPr>
      <w:r w:rsidRPr="006A7F6B">
        <w:rPr>
          <w:b/>
          <w:sz w:val="24"/>
          <w:szCs w:val="24"/>
        </w:rPr>
        <w:t>Administration</w:t>
      </w:r>
    </w:p>
    <w:p w:rsidR="00661826" w:rsidRPr="00B01055" w:rsidRDefault="00661826" w:rsidP="00661826">
      <w:pPr>
        <w:ind w:left="851"/>
        <w:rPr>
          <w:noProof/>
          <w:sz w:val="24"/>
          <w:szCs w:val="24"/>
        </w:rPr>
      </w:pPr>
      <w:r w:rsidRPr="00B01055">
        <w:rPr>
          <w:noProof/>
          <w:sz w:val="24"/>
          <w:szCs w:val="24"/>
        </w:rPr>
        <w:t>Intrakameral anvendelse.</w:t>
      </w:r>
    </w:p>
    <w:p w:rsidR="00661826" w:rsidRPr="00B01055" w:rsidRDefault="00661826" w:rsidP="00661826">
      <w:pPr>
        <w:ind w:left="851" w:hanging="851"/>
        <w:rPr>
          <w:noProof/>
          <w:sz w:val="24"/>
          <w:szCs w:val="24"/>
        </w:rPr>
      </w:pPr>
    </w:p>
    <w:p w:rsidR="00661826" w:rsidRPr="00B01055" w:rsidRDefault="00661826" w:rsidP="00661826">
      <w:pPr>
        <w:ind w:left="851"/>
        <w:rPr>
          <w:noProof/>
          <w:sz w:val="24"/>
          <w:szCs w:val="24"/>
        </w:rPr>
      </w:pPr>
      <w:r w:rsidRPr="00B01055">
        <w:rPr>
          <w:noProof/>
          <w:sz w:val="24"/>
          <w:szCs w:val="24"/>
        </w:rPr>
        <w:t>Følgende procedure bør følges:</w:t>
      </w:r>
    </w:p>
    <w:p w:rsidR="00661826" w:rsidRPr="00B01055" w:rsidRDefault="00661826" w:rsidP="00661826">
      <w:pPr>
        <w:numPr>
          <w:ilvl w:val="0"/>
          <w:numId w:val="6"/>
        </w:numPr>
        <w:ind w:left="1276" w:hanging="425"/>
        <w:rPr>
          <w:sz w:val="24"/>
          <w:szCs w:val="24"/>
        </w:rPr>
      </w:pPr>
      <w:r w:rsidRPr="00B01055">
        <w:rPr>
          <w:sz w:val="24"/>
          <w:szCs w:val="24"/>
        </w:rPr>
        <w:t xml:space="preserve">Fem minutter forud for den præoperative, antiseptiske procedure og første </w:t>
      </w:r>
      <w:proofErr w:type="spellStart"/>
      <w:r w:rsidRPr="00B01055">
        <w:rPr>
          <w:sz w:val="24"/>
          <w:szCs w:val="24"/>
        </w:rPr>
        <w:t>incision</w:t>
      </w:r>
      <w:proofErr w:type="spellEnd"/>
      <w:r w:rsidRPr="00B01055">
        <w:rPr>
          <w:sz w:val="24"/>
          <w:szCs w:val="24"/>
        </w:rPr>
        <w:t xml:space="preserve"> dryppes 1-2 dråber anæstesiøjendråber i øjet.</w:t>
      </w:r>
    </w:p>
    <w:p w:rsidR="00661826" w:rsidRPr="00B01055" w:rsidRDefault="00661826" w:rsidP="00661826">
      <w:pPr>
        <w:numPr>
          <w:ilvl w:val="0"/>
          <w:numId w:val="6"/>
        </w:numPr>
        <w:ind w:left="1276" w:hanging="425"/>
        <w:rPr>
          <w:sz w:val="24"/>
          <w:szCs w:val="24"/>
        </w:rPr>
      </w:pPr>
      <w:r w:rsidRPr="00B01055">
        <w:rPr>
          <w:sz w:val="24"/>
          <w:szCs w:val="24"/>
        </w:rPr>
        <w:t xml:space="preserve">I starten af det kirurgiske indgreb injiceres 0,2 ml </w:t>
      </w:r>
      <w:proofErr w:type="spellStart"/>
      <w:r>
        <w:rPr>
          <w:sz w:val="24"/>
          <w:szCs w:val="24"/>
        </w:rPr>
        <w:t>Mydrane</w:t>
      </w:r>
      <w:proofErr w:type="spellEnd"/>
      <w:r w:rsidRPr="00B01055">
        <w:rPr>
          <w:sz w:val="24"/>
          <w:szCs w:val="24"/>
        </w:rPr>
        <w:t xml:space="preserve"> langsomt af en øjenkirurg som en enkelt injektion som </w:t>
      </w:r>
      <w:proofErr w:type="spellStart"/>
      <w:r w:rsidRPr="00B01055">
        <w:rPr>
          <w:sz w:val="24"/>
          <w:szCs w:val="24"/>
        </w:rPr>
        <w:t>intrakameral</w:t>
      </w:r>
      <w:proofErr w:type="spellEnd"/>
      <w:r w:rsidRPr="00B01055">
        <w:rPr>
          <w:sz w:val="24"/>
          <w:szCs w:val="24"/>
        </w:rPr>
        <w:t xml:space="preserve"> administration via lateral/</w:t>
      </w:r>
      <w:proofErr w:type="spellStart"/>
      <w:r w:rsidRPr="00B01055">
        <w:rPr>
          <w:sz w:val="24"/>
          <w:szCs w:val="24"/>
        </w:rPr>
        <w:t>medial</w:t>
      </w:r>
      <w:proofErr w:type="spellEnd"/>
      <w:r w:rsidRPr="00B01055">
        <w:rPr>
          <w:sz w:val="24"/>
          <w:szCs w:val="24"/>
        </w:rPr>
        <w:t xml:space="preserve"> eller </w:t>
      </w:r>
      <w:proofErr w:type="spellStart"/>
      <w:r w:rsidRPr="00B01055">
        <w:rPr>
          <w:sz w:val="24"/>
          <w:szCs w:val="24"/>
        </w:rPr>
        <w:t>anterior</w:t>
      </w:r>
      <w:proofErr w:type="spellEnd"/>
      <w:r w:rsidRPr="00B01055">
        <w:rPr>
          <w:sz w:val="24"/>
          <w:szCs w:val="24"/>
        </w:rPr>
        <w:t xml:space="preserve"> </w:t>
      </w:r>
      <w:proofErr w:type="spellStart"/>
      <w:r w:rsidRPr="00B01055">
        <w:rPr>
          <w:sz w:val="24"/>
          <w:szCs w:val="24"/>
        </w:rPr>
        <w:t>incision</w:t>
      </w:r>
      <w:proofErr w:type="spellEnd"/>
      <w:r w:rsidRPr="00B01055">
        <w:rPr>
          <w:sz w:val="24"/>
          <w:szCs w:val="24"/>
        </w:rPr>
        <w:t>.</w:t>
      </w:r>
    </w:p>
    <w:p w:rsidR="00661826" w:rsidRPr="00B01055" w:rsidRDefault="00661826" w:rsidP="00661826">
      <w:pPr>
        <w:ind w:left="851" w:hanging="851"/>
        <w:rPr>
          <w:noProof/>
          <w:sz w:val="24"/>
          <w:szCs w:val="24"/>
        </w:rPr>
      </w:pPr>
    </w:p>
    <w:p w:rsidR="00661826" w:rsidRPr="00B01055" w:rsidRDefault="00661826" w:rsidP="00661826">
      <w:pPr>
        <w:ind w:left="851"/>
        <w:rPr>
          <w:noProof/>
          <w:sz w:val="24"/>
          <w:szCs w:val="24"/>
        </w:rPr>
      </w:pPr>
      <w:r w:rsidRPr="00B01055">
        <w:rPr>
          <w:noProof/>
          <w:sz w:val="24"/>
          <w:szCs w:val="24"/>
        </w:rPr>
        <w:t>For instruktioner om håndtering af lægemidlet før administration, se pkt. 6.6.</w:t>
      </w:r>
    </w:p>
    <w:p w:rsidR="00661826" w:rsidRPr="00B01055" w:rsidRDefault="00661826" w:rsidP="00661826">
      <w:pPr>
        <w:ind w:left="851" w:hanging="851"/>
        <w:rPr>
          <w:sz w:val="24"/>
          <w:szCs w:val="24"/>
        </w:rPr>
      </w:pPr>
    </w:p>
    <w:p w:rsidR="00661826" w:rsidRPr="00B01055" w:rsidRDefault="00661826" w:rsidP="00661826">
      <w:pPr>
        <w:ind w:left="851" w:hanging="851"/>
        <w:rPr>
          <w:b/>
          <w:sz w:val="24"/>
          <w:szCs w:val="24"/>
        </w:rPr>
      </w:pPr>
      <w:r w:rsidRPr="00B01055">
        <w:rPr>
          <w:b/>
          <w:sz w:val="24"/>
          <w:szCs w:val="24"/>
        </w:rPr>
        <w:t>4.3</w:t>
      </w:r>
      <w:r w:rsidRPr="00B01055">
        <w:rPr>
          <w:b/>
          <w:sz w:val="24"/>
          <w:szCs w:val="24"/>
        </w:rPr>
        <w:tab/>
        <w:t>Kontraindikationer</w:t>
      </w:r>
    </w:p>
    <w:p w:rsidR="00F65F50" w:rsidRPr="00F65F50" w:rsidRDefault="00F65F50" w:rsidP="00F65F50">
      <w:pPr>
        <w:ind w:left="851"/>
        <w:rPr>
          <w:sz w:val="24"/>
          <w:szCs w:val="24"/>
        </w:rPr>
      </w:pPr>
      <w:r w:rsidRPr="00F65F50">
        <w:rPr>
          <w:sz w:val="24"/>
          <w:szCs w:val="24"/>
        </w:rPr>
        <w:t>Overfølsomhed over for de aktive stoffer (</w:t>
      </w:r>
      <w:proofErr w:type="spellStart"/>
      <w:r w:rsidRPr="00F65F50">
        <w:rPr>
          <w:sz w:val="24"/>
          <w:szCs w:val="24"/>
        </w:rPr>
        <w:t>tropicamid</w:t>
      </w:r>
      <w:proofErr w:type="spellEnd"/>
      <w:r w:rsidRPr="00F65F50">
        <w:rPr>
          <w:sz w:val="24"/>
          <w:szCs w:val="24"/>
        </w:rPr>
        <w:t xml:space="preserve">, </w:t>
      </w:r>
      <w:proofErr w:type="spellStart"/>
      <w:r w:rsidRPr="00F65F50">
        <w:rPr>
          <w:sz w:val="24"/>
          <w:szCs w:val="24"/>
        </w:rPr>
        <w:t>phenylephrinhydrochlorid</w:t>
      </w:r>
      <w:proofErr w:type="spellEnd"/>
      <w:r w:rsidRPr="00F65F50">
        <w:rPr>
          <w:sz w:val="24"/>
          <w:szCs w:val="24"/>
        </w:rPr>
        <w:t xml:space="preserve"> og </w:t>
      </w:r>
      <w:proofErr w:type="spellStart"/>
      <w:r w:rsidRPr="00F65F50">
        <w:rPr>
          <w:sz w:val="24"/>
          <w:szCs w:val="24"/>
        </w:rPr>
        <w:t>lidocainhydrochloridmonohydrat</w:t>
      </w:r>
      <w:proofErr w:type="spellEnd"/>
      <w:r w:rsidRPr="00F65F50">
        <w:rPr>
          <w:sz w:val="24"/>
          <w:szCs w:val="24"/>
        </w:rPr>
        <w:t xml:space="preserve"> eller over for et eller flere af hjælpestofferne anført i pkt. 6.1.</w:t>
      </w:r>
    </w:p>
    <w:p w:rsidR="00661826" w:rsidRPr="00B01055" w:rsidRDefault="00661826" w:rsidP="00661826">
      <w:pPr>
        <w:numPr>
          <w:ilvl w:val="0"/>
          <w:numId w:val="10"/>
        </w:numPr>
        <w:ind w:left="1276" w:hanging="425"/>
        <w:rPr>
          <w:sz w:val="24"/>
          <w:szCs w:val="24"/>
        </w:rPr>
      </w:pPr>
      <w:r w:rsidRPr="00B01055">
        <w:rPr>
          <w:sz w:val="24"/>
          <w:szCs w:val="24"/>
        </w:rPr>
        <w:t xml:space="preserve">Kendt overfølsomhed over for </w:t>
      </w:r>
      <w:proofErr w:type="spellStart"/>
      <w:r w:rsidRPr="00B01055">
        <w:rPr>
          <w:sz w:val="24"/>
          <w:szCs w:val="24"/>
        </w:rPr>
        <w:t>anæstetika</w:t>
      </w:r>
      <w:proofErr w:type="spellEnd"/>
      <w:r w:rsidRPr="00B01055">
        <w:rPr>
          <w:sz w:val="24"/>
          <w:szCs w:val="24"/>
        </w:rPr>
        <w:t xml:space="preserve"> af amidtypen.</w:t>
      </w:r>
    </w:p>
    <w:p w:rsidR="00661826" w:rsidRPr="00B01055" w:rsidRDefault="00661826" w:rsidP="00661826">
      <w:pPr>
        <w:numPr>
          <w:ilvl w:val="0"/>
          <w:numId w:val="10"/>
        </w:numPr>
        <w:ind w:left="1276" w:hanging="425"/>
        <w:rPr>
          <w:sz w:val="24"/>
          <w:szCs w:val="24"/>
        </w:rPr>
      </w:pPr>
      <w:r w:rsidRPr="00B01055">
        <w:rPr>
          <w:sz w:val="24"/>
          <w:szCs w:val="24"/>
        </w:rPr>
        <w:t>Kendt overfølsomhed over for atropinderivater.</w:t>
      </w:r>
    </w:p>
    <w:p w:rsidR="00661826" w:rsidRDefault="00661826" w:rsidP="00661826">
      <w:pPr>
        <w:rPr>
          <w:sz w:val="24"/>
          <w:szCs w:val="24"/>
        </w:rPr>
      </w:pPr>
      <w:r>
        <w:rPr>
          <w:sz w:val="24"/>
          <w:szCs w:val="24"/>
        </w:rPr>
        <w:br w:type="page"/>
      </w:r>
    </w:p>
    <w:p w:rsidR="00661826" w:rsidRPr="00B01055" w:rsidRDefault="00661826" w:rsidP="00661826">
      <w:pPr>
        <w:ind w:left="851" w:hanging="851"/>
        <w:rPr>
          <w:sz w:val="24"/>
          <w:szCs w:val="24"/>
        </w:rPr>
      </w:pPr>
    </w:p>
    <w:p w:rsidR="00661826" w:rsidRPr="00B01055" w:rsidRDefault="00661826" w:rsidP="00661826">
      <w:pPr>
        <w:ind w:left="851" w:hanging="851"/>
        <w:rPr>
          <w:b/>
          <w:sz w:val="24"/>
          <w:szCs w:val="24"/>
        </w:rPr>
      </w:pPr>
      <w:r w:rsidRPr="00B01055">
        <w:rPr>
          <w:b/>
          <w:sz w:val="24"/>
          <w:szCs w:val="24"/>
        </w:rPr>
        <w:t>4.4</w:t>
      </w:r>
      <w:r w:rsidRPr="00B01055">
        <w:rPr>
          <w:b/>
          <w:sz w:val="24"/>
          <w:szCs w:val="24"/>
        </w:rPr>
        <w:tab/>
        <w:t>Særlige advarsler og forsigtighedsregler vedrørende brugen</w:t>
      </w:r>
    </w:p>
    <w:p w:rsidR="00661826" w:rsidRDefault="00661826" w:rsidP="00661826">
      <w:pPr>
        <w:suppressAutoHyphens/>
        <w:ind w:left="851" w:hanging="851"/>
        <w:rPr>
          <w:sz w:val="24"/>
          <w:szCs w:val="24"/>
        </w:rPr>
      </w:pPr>
    </w:p>
    <w:p w:rsidR="00661826" w:rsidRPr="00B01055" w:rsidRDefault="00661826" w:rsidP="00661826">
      <w:pPr>
        <w:suppressAutoHyphens/>
        <w:ind w:left="851" w:hanging="851"/>
        <w:rPr>
          <w:sz w:val="24"/>
          <w:szCs w:val="24"/>
        </w:rPr>
      </w:pPr>
      <w:r w:rsidRPr="006A7F6B">
        <w:rPr>
          <w:sz w:val="24"/>
          <w:szCs w:val="24"/>
        </w:rPr>
        <w:tab/>
      </w:r>
      <w:r>
        <w:rPr>
          <w:b/>
          <w:noProof/>
          <w:sz w:val="24"/>
          <w:szCs w:val="24"/>
        </w:rPr>
        <w:t>Særlige advarsler</w:t>
      </w:r>
    </w:p>
    <w:p w:rsidR="00661826" w:rsidRPr="00B01055" w:rsidRDefault="00661826" w:rsidP="00661826">
      <w:pPr>
        <w:ind w:left="851"/>
        <w:rPr>
          <w:sz w:val="24"/>
          <w:szCs w:val="24"/>
        </w:rPr>
      </w:pPr>
      <w:r w:rsidRPr="00B01055">
        <w:rPr>
          <w:sz w:val="24"/>
          <w:szCs w:val="24"/>
        </w:rPr>
        <w:t xml:space="preserve">Den anbefalede dosis er 0,2 ml </w:t>
      </w:r>
      <w:proofErr w:type="spellStart"/>
      <w:r w:rsidRPr="00B01055">
        <w:rPr>
          <w:sz w:val="24"/>
          <w:szCs w:val="24"/>
        </w:rPr>
        <w:t>M</w:t>
      </w:r>
      <w:r>
        <w:rPr>
          <w:sz w:val="24"/>
          <w:szCs w:val="24"/>
        </w:rPr>
        <w:t>ydrane</w:t>
      </w:r>
      <w:proofErr w:type="spellEnd"/>
      <w:r w:rsidRPr="00B01055">
        <w:rPr>
          <w:sz w:val="24"/>
          <w:szCs w:val="24"/>
        </w:rPr>
        <w:t xml:space="preserve">; der bør ikke injiceres supplerende dosis, da der ikke er vist nogen signifikant </w:t>
      </w:r>
      <w:r w:rsidRPr="00B01055">
        <w:rPr>
          <w:i/>
          <w:sz w:val="24"/>
          <w:szCs w:val="24"/>
        </w:rPr>
        <w:t>add-on</w:t>
      </w:r>
      <w:r w:rsidRPr="00B01055">
        <w:rPr>
          <w:sz w:val="24"/>
          <w:szCs w:val="24"/>
        </w:rPr>
        <w:t xml:space="preserve"> effekt, og da der er obser</w:t>
      </w:r>
      <w:r>
        <w:rPr>
          <w:sz w:val="24"/>
          <w:szCs w:val="24"/>
        </w:rPr>
        <w:t xml:space="preserve">veret øget tab af </w:t>
      </w:r>
      <w:proofErr w:type="spellStart"/>
      <w:r>
        <w:rPr>
          <w:sz w:val="24"/>
          <w:szCs w:val="24"/>
        </w:rPr>
        <w:t>endotelceller</w:t>
      </w:r>
      <w:proofErr w:type="spellEnd"/>
      <w:r>
        <w:rPr>
          <w:sz w:val="24"/>
          <w:szCs w:val="24"/>
        </w:rPr>
        <w:t xml:space="preserve"> (se også pkt. 4.9)</w:t>
      </w:r>
      <w:r w:rsidRPr="00B01055">
        <w:rPr>
          <w:sz w:val="24"/>
          <w:szCs w:val="24"/>
        </w:rPr>
        <w:t>.</w:t>
      </w:r>
    </w:p>
    <w:p w:rsidR="00661826" w:rsidRPr="00B01055" w:rsidRDefault="00661826" w:rsidP="00661826">
      <w:pPr>
        <w:ind w:left="851" w:hanging="851"/>
        <w:rPr>
          <w:sz w:val="24"/>
          <w:szCs w:val="24"/>
        </w:rPr>
      </w:pPr>
    </w:p>
    <w:p w:rsidR="00661826" w:rsidRPr="00B01055" w:rsidRDefault="00661826" w:rsidP="00661826">
      <w:pPr>
        <w:ind w:left="851"/>
        <w:rPr>
          <w:sz w:val="24"/>
          <w:szCs w:val="24"/>
        </w:rPr>
      </w:pPr>
      <w:proofErr w:type="spellStart"/>
      <w:r w:rsidRPr="00B01055">
        <w:rPr>
          <w:sz w:val="24"/>
          <w:szCs w:val="24"/>
        </w:rPr>
        <w:t>Corneal</w:t>
      </w:r>
      <w:proofErr w:type="spellEnd"/>
      <w:r w:rsidRPr="00B01055">
        <w:rPr>
          <w:sz w:val="24"/>
          <w:szCs w:val="24"/>
        </w:rPr>
        <w:t xml:space="preserve"> </w:t>
      </w:r>
      <w:proofErr w:type="spellStart"/>
      <w:r w:rsidRPr="00B01055">
        <w:rPr>
          <w:sz w:val="24"/>
          <w:szCs w:val="24"/>
        </w:rPr>
        <w:t>endotelial</w:t>
      </w:r>
      <w:proofErr w:type="spellEnd"/>
      <w:r w:rsidRPr="00B01055">
        <w:rPr>
          <w:sz w:val="24"/>
          <w:szCs w:val="24"/>
        </w:rPr>
        <w:t xml:space="preserve"> toksicitet er ikke blevet rapporteret ved den anbefalede dosis </w:t>
      </w:r>
      <w:proofErr w:type="spellStart"/>
      <w:r w:rsidRPr="00B01055">
        <w:rPr>
          <w:sz w:val="24"/>
          <w:szCs w:val="24"/>
        </w:rPr>
        <w:t>M</w:t>
      </w:r>
      <w:r>
        <w:rPr>
          <w:sz w:val="24"/>
          <w:szCs w:val="24"/>
        </w:rPr>
        <w:t>ydrane</w:t>
      </w:r>
      <w:proofErr w:type="spellEnd"/>
      <w:r w:rsidRPr="00B01055">
        <w:rPr>
          <w:sz w:val="24"/>
          <w:szCs w:val="24"/>
        </w:rPr>
        <w:t>; på grund af begrænsede data kan denne risiko dog ikke udelukkes.</w:t>
      </w:r>
    </w:p>
    <w:p w:rsidR="00661826" w:rsidRPr="00B01055" w:rsidRDefault="00661826" w:rsidP="00661826">
      <w:pPr>
        <w:ind w:left="851" w:hanging="851"/>
        <w:rPr>
          <w:sz w:val="24"/>
          <w:szCs w:val="24"/>
        </w:rPr>
      </w:pPr>
    </w:p>
    <w:p w:rsidR="00661826" w:rsidRPr="00B01055" w:rsidRDefault="00661826" w:rsidP="00661826">
      <w:pPr>
        <w:ind w:left="851"/>
        <w:rPr>
          <w:sz w:val="24"/>
          <w:szCs w:val="24"/>
        </w:rPr>
      </w:pPr>
      <w:r w:rsidRPr="00B01055">
        <w:rPr>
          <w:sz w:val="24"/>
          <w:szCs w:val="24"/>
        </w:rPr>
        <w:t xml:space="preserve">Der er ingen klinisk erfaring med </w:t>
      </w:r>
      <w:proofErr w:type="spellStart"/>
      <w:r w:rsidRPr="00B01055">
        <w:rPr>
          <w:sz w:val="24"/>
          <w:szCs w:val="24"/>
        </w:rPr>
        <w:t>M</w:t>
      </w:r>
      <w:r>
        <w:rPr>
          <w:sz w:val="24"/>
          <w:szCs w:val="24"/>
        </w:rPr>
        <w:t>ydrane</w:t>
      </w:r>
      <w:proofErr w:type="spellEnd"/>
      <w:r w:rsidRPr="00B01055">
        <w:rPr>
          <w:sz w:val="24"/>
          <w:szCs w:val="24"/>
        </w:rPr>
        <w:t xml:space="preserve"> hos:</w:t>
      </w:r>
    </w:p>
    <w:p w:rsidR="00661826" w:rsidRPr="00B01055" w:rsidRDefault="00661826" w:rsidP="00661826">
      <w:pPr>
        <w:numPr>
          <w:ilvl w:val="0"/>
          <w:numId w:val="7"/>
        </w:numPr>
        <w:ind w:left="1134" w:hanging="283"/>
        <w:rPr>
          <w:sz w:val="24"/>
          <w:szCs w:val="24"/>
        </w:rPr>
      </w:pPr>
      <w:r w:rsidRPr="00B01055">
        <w:rPr>
          <w:sz w:val="24"/>
          <w:szCs w:val="24"/>
        </w:rPr>
        <w:t>insulin-afhængige patienter eller patienter med ukontrolleret diabetes</w:t>
      </w:r>
    </w:p>
    <w:p w:rsidR="00661826" w:rsidRPr="00B01055" w:rsidRDefault="00661826" w:rsidP="00661826">
      <w:pPr>
        <w:numPr>
          <w:ilvl w:val="0"/>
          <w:numId w:val="7"/>
        </w:numPr>
        <w:ind w:left="1134" w:hanging="283"/>
        <w:rPr>
          <w:sz w:val="24"/>
          <w:szCs w:val="24"/>
        </w:rPr>
      </w:pPr>
      <w:r w:rsidRPr="00B01055">
        <w:rPr>
          <w:sz w:val="24"/>
          <w:szCs w:val="24"/>
        </w:rPr>
        <w:t xml:space="preserve">patienter med </w:t>
      </w:r>
      <w:proofErr w:type="spellStart"/>
      <w:r w:rsidRPr="00B01055">
        <w:rPr>
          <w:sz w:val="24"/>
          <w:szCs w:val="24"/>
        </w:rPr>
        <w:t>corneal</w:t>
      </w:r>
      <w:proofErr w:type="spellEnd"/>
      <w:r w:rsidRPr="00B01055">
        <w:rPr>
          <w:sz w:val="24"/>
          <w:szCs w:val="24"/>
        </w:rPr>
        <w:t xml:space="preserve"> sygdom, især hos patienter med samtidig </w:t>
      </w:r>
      <w:proofErr w:type="spellStart"/>
      <w:r w:rsidRPr="00B01055">
        <w:rPr>
          <w:sz w:val="24"/>
          <w:szCs w:val="24"/>
        </w:rPr>
        <w:t>endotelial</w:t>
      </w:r>
      <w:proofErr w:type="spellEnd"/>
      <w:r w:rsidRPr="00B01055">
        <w:rPr>
          <w:sz w:val="24"/>
          <w:szCs w:val="24"/>
        </w:rPr>
        <w:t xml:space="preserve"> celleinsufficiens</w:t>
      </w:r>
    </w:p>
    <w:p w:rsidR="00661826" w:rsidRPr="00B01055" w:rsidRDefault="00661826" w:rsidP="00661826">
      <w:pPr>
        <w:numPr>
          <w:ilvl w:val="0"/>
          <w:numId w:val="7"/>
        </w:numPr>
        <w:ind w:left="1134" w:hanging="283"/>
        <w:rPr>
          <w:sz w:val="24"/>
          <w:szCs w:val="24"/>
          <w:lang w:val="en-US"/>
        </w:rPr>
      </w:pPr>
      <w:proofErr w:type="spellStart"/>
      <w:r w:rsidRPr="00B01055">
        <w:rPr>
          <w:sz w:val="24"/>
          <w:szCs w:val="24"/>
          <w:lang w:val="en-US"/>
        </w:rPr>
        <w:t>patienter</w:t>
      </w:r>
      <w:proofErr w:type="spellEnd"/>
      <w:r w:rsidRPr="00B01055">
        <w:rPr>
          <w:sz w:val="24"/>
          <w:szCs w:val="24"/>
          <w:lang w:val="en-US"/>
        </w:rPr>
        <w:t xml:space="preserve"> med uveitis i </w:t>
      </w:r>
      <w:proofErr w:type="spellStart"/>
      <w:r w:rsidRPr="00B01055">
        <w:rPr>
          <w:sz w:val="24"/>
          <w:szCs w:val="24"/>
          <w:lang w:val="en-US"/>
        </w:rPr>
        <w:t>anamnesen</w:t>
      </w:r>
      <w:proofErr w:type="spellEnd"/>
    </w:p>
    <w:p w:rsidR="00661826" w:rsidRPr="00B01055" w:rsidRDefault="00661826" w:rsidP="00661826">
      <w:pPr>
        <w:numPr>
          <w:ilvl w:val="0"/>
          <w:numId w:val="7"/>
        </w:numPr>
        <w:ind w:left="1134" w:hanging="283"/>
        <w:rPr>
          <w:sz w:val="24"/>
          <w:szCs w:val="24"/>
        </w:rPr>
      </w:pPr>
      <w:r w:rsidRPr="00B01055">
        <w:rPr>
          <w:sz w:val="24"/>
          <w:szCs w:val="24"/>
        </w:rPr>
        <w:t xml:space="preserve">patienter med pupil abnormitet eller med </w:t>
      </w:r>
      <w:proofErr w:type="spellStart"/>
      <w:r w:rsidRPr="00B01055">
        <w:rPr>
          <w:sz w:val="24"/>
          <w:szCs w:val="24"/>
        </w:rPr>
        <w:t>okulært</w:t>
      </w:r>
      <w:proofErr w:type="spellEnd"/>
      <w:r w:rsidRPr="00B01055">
        <w:rPr>
          <w:sz w:val="24"/>
          <w:szCs w:val="24"/>
        </w:rPr>
        <w:t xml:space="preserve"> traume</w:t>
      </w:r>
    </w:p>
    <w:p w:rsidR="00661826" w:rsidRPr="00B01055" w:rsidRDefault="00661826" w:rsidP="00661826">
      <w:pPr>
        <w:numPr>
          <w:ilvl w:val="0"/>
          <w:numId w:val="7"/>
        </w:numPr>
        <w:ind w:left="1134" w:hanging="283"/>
        <w:rPr>
          <w:sz w:val="24"/>
          <w:szCs w:val="24"/>
        </w:rPr>
      </w:pPr>
      <w:r w:rsidRPr="00B01055">
        <w:rPr>
          <w:sz w:val="24"/>
          <w:szCs w:val="24"/>
        </w:rPr>
        <w:t>patienter med meget mørke iris</w:t>
      </w:r>
    </w:p>
    <w:p w:rsidR="00661826" w:rsidRPr="00B01055" w:rsidRDefault="00661826" w:rsidP="00661826">
      <w:pPr>
        <w:numPr>
          <w:ilvl w:val="0"/>
          <w:numId w:val="7"/>
        </w:numPr>
        <w:ind w:left="1134" w:hanging="283"/>
        <w:rPr>
          <w:sz w:val="24"/>
          <w:szCs w:val="24"/>
        </w:rPr>
      </w:pPr>
      <w:r w:rsidRPr="00B01055">
        <w:rPr>
          <w:sz w:val="24"/>
          <w:szCs w:val="24"/>
        </w:rPr>
        <w:t xml:space="preserve">kataraktoperation kombineret med </w:t>
      </w:r>
      <w:proofErr w:type="spellStart"/>
      <w:r w:rsidRPr="00B01055">
        <w:rPr>
          <w:sz w:val="24"/>
          <w:szCs w:val="24"/>
        </w:rPr>
        <w:t>korneatransplantation</w:t>
      </w:r>
      <w:proofErr w:type="spellEnd"/>
      <w:r w:rsidRPr="00B01055">
        <w:rPr>
          <w:sz w:val="24"/>
          <w:szCs w:val="24"/>
        </w:rPr>
        <w:t>.</w:t>
      </w:r>
    </w:p>
    <w:p w:rsidR="00661826" w:rsidRPr="00B01055" w:rsidRDefault="00661826" w:rsidP="00661826">
      <w:pPr>
        <w:ind w:left="1276" w:hanging="425"/>
        <w:rPr>
          <w:sz w:val="24"/>
          <w:szCs w:val="24"/>
        </w:rPr>
      </w:pPr>
    </w:p>
    <w:p w:rsidR="00661826" w:rsidRPr="00B01055" w:rsidRDefault="00661826" w:rsidP="00661826">
      <w:pPr>
        <w:ind w:left="851"/>
        <w:rPr>
          <w:sz w:val="24"/>
          <w:szCs w:val="24"/>
        </w:rPr>
      </w:pPr>
      <w:r w:rsidRPr="00B01055">
        <w:rPr>
          <w:sz w:val="24"/>
          <w:szCs w:val="24"/>
        </w:rPr>
        <w:t xml:space="preserve">Der er ingen erfaring med patienter med risiko for </w:t>
      </w:r>
      <w:proofErr w:type="spellStart"/>
      <w:r w:rsidRPr="00B01055">
        <w:rPr>
          <w:i/>
          <w:sz w:val="24"/>
          <w:szCs w:val="24"/>
        </w:rPr>
        <w:t>floppy</w:t>
      </w:r>
      <w:proofErr w:type="spellEnd"/>
      <w:r w:rsidRPr="00B01055">
        <w:rPr>
          <w:i/>
          <w:sz w:val="24"/>
          <w:szCs w:val="24"/>
        </w:rPr>
        <w:t xml:space="preserve"> iris </w:t>
      </w:r>
      <w:r w:rsidRPr="00B01055">
        <w:rPr>
          <w:sz w:val="24"/>
          <w:szCs w:val="24"/>
        </w:rPr>
        <w:t xml:space="preserve">syndrom med </w:t>
      </w:r>
      <w:proofErr w:type="spellStart"/>
      <w:r w:rsidRPr="00B01055">
        <w:rPr>
          <w:sz w:val="24"/>
          <w:szCs w:val="24"/>
        </w:rPr>
        <w:t>M</w:t>
      </w:r>
      <w:r>
        <w:rPr>
          <w:sz w:val="24"/>
          <w:szCs w:val="24"/>
        </w:rPr>
        <w:t>ydrane</w:t>
      </w:r>
      <w:proofErr w:type="spellEnd"/>
      <w:r w:rsidRPr="00B01055">
        <w:rPr>
          <w:sz w:val="24"/>
          <w:szCs w:val="24"/>
        </w:rPr>
        <w:t xml:space="preserve">. Sådanne patienter kan have gavn af en trinvis strategi for dilatation, som begynder med administration af </w:t>
      </w:r>
      <w:proofErr w:type="spellStart"/>
      <w:r w:rsidRPr="00B01055">
        <w:rPr>
          <w:sz w:val="24"/>
          <w:szCs w:val="24"/>
        </w:rPr>
        <w:t>mydriatiske</w:t>
      </w:r>
      <w:proofErr w:type="spellEnd"/>
      <w:r w:rsidRPr="00B01055">
        <w:rPr>
          <w:sz w:val="24"/>
          <w:szCs w:val="24"/>
        </w:rPr>
        <w:t xml:space="preserve"> øjendråber.</w:t>
      </w:r>
    </w:p>
    <w:p w:rsidR="00661826" w:rsidRPr="00B01055" w:rsidRDefault="00661826" w:rsidP="00661826">
      <w:pPr>
        <w:ind w:left="851" w:hanging="851"/>
        <w:rPr>
          <w:sz w:val="24"/>
          <w:szCs w:val="24"/>
        </w:rPr>
      </w:pPr>
    </w:p>
    <w:p w:rsidR="00661826" w:rsidRPr="00B01055" w:rsidRDefault="00661826" w:rsidP="00661826">
      <w:pPr>
        <w:ind w:left="851"/>
        <w:rPr>
          <w:sz w:val="24"/>
          <w:szCs w:val="24"/>
        </w:rPr>
      </w:pPr>
      <w:r w:rsidRPr="00B01055">
        <w:rPr>
          <w:sz w:val="24"/>
          <w:szCs w:val="24"/>
        </w:rPr>
        <w:t xml:space="preserve">Der er ingen klinisk erfaring med </w:t>
      </w:r>
      <w:proofErr w:type="spellStart"/>
      <w:r w:rsidRPr="00B01055">
        <w:rPr>
          <w:sz w:val="24"/>
          <w:szCs w:val="24"/>
        </w:rPr>
        <w:t>M</w:t>
      </w:r>
      <w:r>
        <w:rPr>
          <w:sz w:val="24"/>
          <w:szCs w:val="24"/>
        </w:rPr>
        <w:t>ydrane</w:t>
      </w:r>
      <w:proofErr w:type="spellEnd"/>
      <w:r w:rsidRPr="00B01055">
        <w:rPr>
          <w:sz w:val="24"/>
          <w:szCs w:val="24"/>
        </w:rPr>
        <w:t xml:space="preserve"> under kataraktoperation hos patienter, der behandles </w:t>
      </w:r>
      <w:proofErr w:type="spellStart"/>
      <w:r w:rsidRPr="00B01055">
        <w:rPr>
          <w:sz w:val="24"/>
          <w:szCs w:val="24"/>
        </w:rPr>
        <w:t>topikalt</w:t>
      </w:r>
      <w:proofErr w:type="spellEnd"/>
      <w:r w:rsidRPr="00B01055">
        <w:rPr>
          <w:sz w:val="24"/>
          <w:szCs w:val="24"/>
        </w:rPr>
        <w:t xml:space="preserve"> med </w:t>
      </w:r>
      <w:proofErr w:type="spellStart"/>
      <w:r w:rsidRPr="00B01055">
        <w:rPr>
          <w:sz w:val="24"/>
          <w:szCs w:val="24"/>
        </w:rPr>
        <w:t>mydriatika</w:t>
      </w:r>
      <w:proofErr w:type="spellEnd"/>
      <w:r w:rsidRPr="00B01055">
        <w:rPr>
          <w:sz w:val="24"/>
          <w:szCs w:val="24"/>
        </w:rPr>
        <w:t xml:space="preserve"> for at opnå </w:t>
      </w:r>
      <w:proofErr w:type="spellStart"/>
      <w:r w:rsidRPr="00B01055">
        <w:rPr>
          <w:sz w:val="24"/>
          <w:szCs w:val="24"/>
        </w:rPr>
        <w:t>mydriase</w:t>
      </w:r>
      <w:proofErr w:type="spellEnd"/>
      <w:r w:rsidRPr="00B01055">
        <w:rPr>
          <w:sz w:val="24"/>
          <w:szCs w:val="24"/>
        </w:rPr>
        <w:t xml:space="preserve">, og hos hvem der opstår pupilkonstriktion (endda </w:t>
      </w:r>
      <w:proofErr w:type="spellStart"/>
      <w:r w:rsidRPr="00B01055">
        <w:rPr>
          <w:sz w:val="24"/>
          <w:szCs w:val="24"/>
        </w:rPr>
        <w:t>miosis</w:t>
      </w:r>
      <w:proofErr w:type="spellEnd"/>
      <w:r w:rsidRPr="00B01055">
        <w:rPr>
          <w:sz w:val="24"/>
          <w:szCs w:val="24"/>
        </w:rPr>
        <w:t xml:space="preserve">) under operation. </w:t>
      </w:r>
    </w:p>
    <w:p w:rsidR="00661826" w:rsidRPr="00B01055" w:rsidRDefault="00661826" w:rsidP="00661826">
      <w:pPr>
        <w:ind w:left="851"/>
        <w:rPr>
          <w:sz w:val="24"/>
          <w:szCs w:val="24"/>
        </w:rPr>
      </w:pPr>
      <w:proofErr w:type="spellStart"/>
      <w:r w:rsidRPr="00B01055">
        <w:rPr>
          <w:sz w:val="24"/>
          <w:szCs w:val="24"/>
        </w:rPr>
        <w:t>M</w:t>
      </w:r>
      <w:r>
        <w:rPr>
          <w:sz w:val="24"/>
          <w:szCs w:val="24"/>
        </w:rPr>
        <w:t>ydrane</w:t>
      </w:r>
      <w:proofErr w:type="spellEnd"/>
      <w:r w:rsidRPr="00B01055">
        <w:rPr>
          <w:sz w:val="24"/>
          <w:szCs w:val="24"/>
        </w:rPr>
        <w:t xml:space="preserve"> anbefales ikke til kataraktoperation i kombination med </w:t>
      </w:r>
      <w:proofErr w:type="spellStart"/>
      <w:r w:rsidRPr="00B01055">
        <w:rPr>
          <w:sz w:val="24"/>
          <w:szCs w:val="24"/>
        </w:rPr>
        <w:t>vitrektomi</w:t>
      </w:r>
      <w:proofErr w:type="spellEnd"/>
      <w:r w:rsidRPr="00B01055">
        <w:rPr>
          <w:sz w:val="24"/>
          <w:szCs w:val="24"/>
        </w:rPr>
        <w:t xml:space="preserve"> på grund af </w:t>
      </w:r>
      <w:proofErr w:type="spellStart"/>
      <w:r w:rsidRPr="00B01055">
        <w:rPr>
          <w:sz w:val="24"/>
          <w:szCs w:val="24"/>
        </w:rPr>
        <w:t>phenylephrins</w:t>
      </w:r>
      <w:proofErr w:type="spellEnd"/>
      <w:r w:rsidRPr="00B01055">
        <w:rPr>
          <w:sz w:val="24"/>
          <w:szCs w:val="24"/>
        </w:rPr>
        <w:t xml:space="preserve"> </w:t>
      </w:r>
      <w:proofErr w:type="spellStart"/>
      <w:r w:rsidRPr="00B01055">
        <w:rPr>
          <w:bCs/>
          <w:sz w:val="24"/>
          <w:szCs w:val="24"/>
        </w:rPr>
        <w:t>vasokonstringerende</w:t>
      </w:r>
      <w:proofErr w:type="spellEnd"/>
      <w:r w:rsidRPr="00B01055">
        <w:rPr>
          <w:bCs/>
          <w:sz w:val="24"/>
          <w:szCs w:val="24"/>
        </w:rPr>
        <w:t xml:space="preserve"> effekt</w:t>
      </w:r>
      <w:r w:rsidRPr="00B01055">
        <w:rPr>
          <w:sz w:val="24"/>
          <w:szCs w:val="24"/>
        </w:rPr>
        <w:t>.</w:t>
      </w:r>
    </w:p>
    <w:p w:rsidR="00661826" w:rsidRPr="00DA590F" w:rsidRDefault="00661826" w:rsidP="00661826">
      <w:pPr>
        <w:ind w:left="851" w:hanging="851"/>
        <w:rPr>
          <w:sz w:val="24"/>
          <w:szCs w:val="24"/>
        </w:rPr>
      </w:pPr>
    </w:p>
    <w:p w:rsidR="00661826" w:rsidRPr="00DA590F" w:rsidRDefault="00661826" w:rsidP="00DA590F">
      <w:pPr>
        <w:ind w:left="851"/>
        <w:rPr>
          <w:sz w:val="24"/>
          <w:szCs w:val="24"/>
        </w:rPr>
      </w:pPr>
      <w:proofErr w:type="spellStart"/>
      <w:r w:rsidRPr="00DA590F">
        <w:rPr>
          <w:sz w:val="24"/>
          <w:szCs w:val="24"/>
        </w:rPr>
        <w:t>Mydrane</w:t>
      </w:r>
      <w:proofErr w:type="spellEnd"/>
      <w:r w:rsidRPr="00DA590F">
        <w:rPr>
          <w:sz w:val="24"/>
          <w:szCs w:val="24"/>
        </w:rPr>
        <w:t xml:space="preserve"> anbefales ikke til personer med smalt forkammer eller akut snævervinklet </w:t>
      </w:r>
      <w:proofErr w:type="spellStart"/>
      <w:r w:rsidRPr="00DA590F">
        <w:rPr>
          <w:sz w:val="24"/>
          <w:szCs w:val="24"/>
        </w:rPr>
        <w:t>glaukom</w:t>
      </w:r>
      <w:proofErr w:type="spellEnd"/>
      <w:r w:rsidRPr="00DA590F">
        <w:rPr>
          <w:sz w:val="24"/>
          <w:szCs w:val="24"/>
        </w:rPr>
        <w:t xml:space="preserve"> i anamnesen.</w:t>
      </w:r>
    </w:p>
    <w:p w:rsidR="00DA590F" w:rsidRPr="00DA590F" w:rsidRDefault="00DA590F" w:rsidP="00DA590F">
      <w:pPr>
        <w:ind w:left="851"/>
        <w:rPr>
          <w:bCs/>
          <w:sz w:val="24"/>
          <w:szCs w:val="24"/>
        </w:rPr>
      </w:pPr>
      <w:bookmarkStart w:id="1" w:name="_Hlk61868757"/>
      <w:r w:rsidRPr="00DA590F">
        <w:rPr>
          <w:bCs/>
          <w:sz w:val="24"/>
          <w:szCs w:val="24"/>
        </w:rPr>
        <w:t xml:space="preserve">Brug af </w:t>
      </w:r>
      <w:proofErr w:type="spellStart"/>
      <w:r w:rsidRPr="00DA590F">
        <w:rPr>
          <w:bCs/>
          <w:sz w:val="24"/>
          <w:szCs w:val="24"/>
        </w:rPr>
        <w:t>Mydrane</w:t>
      </w:r>
      <w:proofErr w:type="spellEnd"/>
      <w:r w:rsidRPr="00DA590F">
        <w:rPr>
          <w:bCs/>
          <w:sz w:val="24"/>
          <w:szCs w:val="24"/>
        </w:rPr>
        <w:t xml:space="preserve"> hos patienter med smalt forkammer, akut snævervinklet </w:t>
      </w:r>
      <w:proofErr w:type="spellStart"/>
      <w:r w:rsidRPr="00DA590F">
        <w:rPr>
          <w:bCs/>
          <w:sz w:val="24"/>
          <w:szCs w:val="24"/>
        </w:rPr>
        <w:t>glaukom</w:t>
      </w:r>
      <w:proofErr w:type="spellEnd"/>
      <w:r w:rsidRPr="00DA590F">
        <w:rPr>
          <w:bCs/>
          <w:sz w:val="24"/>
          <w:szCs w:val="24"/>
        </w:rPr>
        <w:t xml:space="preserve"> i anamnesen og/eller utilstrækkelig pupildilatation kan øge risikoen for både </w:t>
      </w:r>
      <w:proofErr w:type="spellStart"/>
      <w:r w:rsidRPr="00DA590F">
        <w:rPr>
          <w:bCs/>
          <w:sz w:val="24"/>
          <w:szCs w:val="24"/>
        </w:rPr>
        <w:t>iridocele</w:t>
      </w:r>
      <w:proofErr w:type="spellEnd"/>
      <w:r w:rsidRPr="00DA590F">
        <w:rPr>
          <w:bCs/>
          <w:sz w:val="24"/>
          <w:szCs w:val="24"/>
        </w:rPr>
        <w:t xml:space="preserve"> og </w:t>
      </w:r>
      <w:proofErr w:type="spellStart"/>
      <w:r w:rsidRPr="00DA590F">
        <w:rPr>
          <w:bCs/>
          <w:sz w:val="24"/>
          <w:szCs w:val="24"/>
        </w:rPr>
        <w:t>floppy</w:t>
      </w:r>
      <w:proofErr w:type="spellEnd"/>
      <w:r w:rsidRPr="00DA590F">
        <w:rPr>
          <w:bCs/>
          <w:sz w:val="24"/>
          <w:szCs w:val="24"/>
        </w:rPr>
        <w:t xml:space="preserve"> iris syndrom.</w:t>
      </w:r>
      <w:bookmarkEnd w:id="1"/>
    </w:p>
    <w:p w:rsidR="00DA590F" w:rsidRPr="00DA590F" w:rsidRDefault="00DA590F" w:rsidP="00DA590F">
      <w:pPr>
        <w:ind w:left="851"/>
        <w:rPr>
          <w:sz w:val="24"/>
          <w:szCs w:val="24"/>
        </w:rPr>
      </w:pPr>
    </w:p>
    <w:p w:rsidR="00661826" w:rsidRPr="00520CF6" w:rsidRDefault="00661826" w:rsidP="00661826">
      <w:pPr>
        <w:ind w:left="851"/>
        <w:rPr>
          <w:b/>
          <w:sz w:val="24"/>
          <w:szCs w:val="24"/>
        </w:rPr>
      </w:pPr>
      <w:r w:rsidRPr="00520CF6">
        <w:rPr>
          <w:b/>
          <w:sz w:val="24"/>
          <w:szCs w:val="24"/>
        </w:rPr>
        <w:t>Forsig</w:t>
      </w:r>
      <w:r>
        <w:rPr>
          <w:b/>
          <w:sz w:val="24"/>
          <w:szCs w:val="24"/>
        </w:rPr>
        <w:t>tighedsregler vedrørende brugen</w:t>
      </w:r>
    </w:p>
    <w:p w:rsidR="00661826" w:rsidRPr="00B01055" w:rsidRDefault="00661826" w:rsidP="00661826">
      <w:pPr>
        <w:ind w:left="851"/>
        <w:rPr>
          <w:sz w:val="24"/>
          <w:szCs w:val="24"/>
        </w:rPr>
      </w:pPr>
      <w:proofErr w:type="spellStart"/>
      <w:r w:rsidRPr="00B01055">
        <w:rPr>
          <w:sz w:val="24"/>
          <w:szCs w:val="24"/>
        </w:rPr>
        <w:t>M</w:t>
      </w:r>
      <w:r>
        <w:rPr>
          <w:sz w:val="24"/>
          <w:szCs w:val="24"/>
        </w:rPr>
        <w:t>ydrane</w:t>
      </w:r>
      <w:proofErr w:type="spellEnd"/>
      <w:r w:rsidRPr="00B01055">
        <w:rPr>
          <w:sz w:val="24"/>
          <w:szCs w:val="24"/>
        </w:rPr>
        <w:t xml:space="preserve"> er vist at producere upåviselige eller meget lave systemiske koncentrationer af aktive stoffer (se pkt. 5.2). Eftersom </w:t>
      </w:r>
      <w:proofErr w:type="spellStart"/>
      <w:r w:rsidRPr="00B01055">
        <w:rPr>
          <w:sz w:val="24"/>
          <w:szCs w:val="24"/>
        </w:rPr>
        <w:t>phenylephrins</w:t>
      </w:r>
      <w:proofErr w:type="spellEnd"/>
      <w:r w:rsidRPr="00B01055">
        <w:rPr>
          <w:sz w:val="24"/>
          <w:szCs w:val="24"/>
        </w:rPr>
        <w:t xml:space="preserve"> og </w:t>
      </w:r>
      <w:proofErr w:type="spellStart"/>
      <w:r w:rsidRPr="00B01055">
        <w:rPr>
          <w:sz w:val="24"/>
          <w:szCs w:val="24"/>
        </w:rPr>
        <w:t>lidocains</w:t>
      </w:r>
      <w:proofErr w:type="spellEnd"/>
      <w:r w:rsidRPr="00B01055">
        <w:rPr>
          <w:sz w:val="24"/>
          <w:szCs w:val="24"/>
        </w:rPr>
        <w:t xml:space="preserve"> systemiske effekt er dosisafhængig, er det ikke sandsynligt at denne effekt forekommer med </w:t>
      </w:r>
      <w:proofErr w:type="spellStart"/>
      <w:r w:rsidRPr="00B01055">
        <w:rPr>
          <w:sz w:val="24"/>
          <w:szCs w:val="24"/>
        </w:rPr>
        <w:t>M</w:t>
      </w:r>
      <w:r>
        <w:rPr>
          <w:sz w:val="24"/>
          <w:szCs w:val="24"/>
        </w:rPr>
        <w:t>ydrane</w:t>
      </w:r>
      <w:proofErr w:type="spellEnd"/>
      <w:r w:rsidRPr="00B01055">
        <w:rPr>
          <w:sz w:val="24"/>
          <w:szCs w:val="24"/>
        </w:rPr>
        <w:t>. Da risikoen imidlertid ikke kan udelukkes, bør der tages højde for følgende:</w:t>
      </w:r>
    </w:p>
    <w:p w:rsidR="00661826" w:rsidRPr="00B01055" w:rsidRDefault="00661826" w:rsidP="00661826">
      <w:pPr>
        <w:numPr>
          <w:ilvl w:val="0"/>
          <w:numId w:val="8"/>
        </w:numPr>
        <w:ind w:left="1134" w:hanging="283"/>
        <w:rPr>
          <w:sz w:val="24"/>
          <w:szCs w:val="24"/>
        </w:rPr>
      </w:pPr>
      <w:proofErr w:type="spellStart"/>
      <w:r w:rsidRPr="00B01055">
        <w:rPr>
          <w:sz w:val="24"/>
          <w:szCs w:val="24"/>
        </w:rPr>
        <w:t>Phenylephrin</w:t>
      </w:r>
      <w:proofErr w:type="spellEnd"/>
      <w:r w:rsidRPr="00B01055">
        <w:rPr>
          <w:sz w:val="24"/>
          <w:szCs w:val="24"/>
        </w:rPr>
        <w:t xml:space="preserve"> udøver </w:t>
      </w:r>
      <w:proofErr w:type="spellStart"/>
      <w:r w:rsidRPr="00B01055">
        <w:rPr>
          <w:sz w:val="24"/>
          <w:szCs w:val="24"/>
        </w:rPr>
        <w:t>sympatomimetisk</w:t>
      </w:r>
      <w:proofErr w:type="spellEnd"/>
      <w:r w:rsidRPr="00B01055">
        <w:rPr>
          <w:sz w:val="24"/>
          <w:szCs w:val="24"/>
        </w:rPr>
        <w:t xml:space="preserve"> aktivitet, som kan påvirke patienter i tilfælde af</w:t>
      </w:r>
      <w:r w:rsidRPr="00B01055">
        <w:rPr>
          <w:color w:val="525759"/>
          <w:sz w:val="24"/>
          <w:szCs w:val="24"/>
        </w:rPr>
        <w:t xml:space="preserve"> </w:t>
      </w:r>
      <w:r w:rsidRPr="00B01055">
        <w:rPr>
          <w:sz w:val="24"/>
          <w:szCs w:val="24"/>
        </w:rPr>
        <w:t xml:space="preserve">hypertension, hjertesygdom, </w:t>
      </w:r>
      <w:proofErr w:type="spellStart"/>
      <w:r w:rsidRPr="00B01055">
        <w:rPr>
          <w:sz w:val="24"/>
          <w:szCs w:val="24"/>
        </w:rPr>
        <w:t>hyperthyroidisme</w:t>
      </w:r>
      <w:proofErr w:type="spellEnd"/>
      <w:r w:rsidRPr="00B01055">
        <w:rPr>
          <w:sz w:val="24"/>
          <w:szCs w:val="24"/>
        </w:rPr>
        <w:t xml:space="preserve">, aterosklerose eller prostatasygdom og alle personer med kontraindikation for systemisk brug af </w:t>
      </w:r>
      <w:proofErr w:type="spellStart"/>
      <w:r w:rsidRPr="00B01055">
        <w:rPr>
          <w:sz w:val="24"/>
          <w:szCs w:val="24"/>
        </w:rPr>
        <w:t>pressoraminer</w:t>
      </w:r>
      <w:proofErr w:type="spellEnd"/>
      <w:r w:rsidRPr="00B01055">
        <w:rPr>
          <w:sz w:val="24"/>
          <w:szCs w:val="24"/>
        </w:rPr>
        <w:t>;</w:t>
      </w:r>
    </w:p>
    <w:p w:rsidR="00661826" w:rsidRPr="00B01055" w:rsidRDefault="00661826" w:rsidP="00661826">
      <w:pPr>
        <w:numPr>
          <w:ilvl w:val="0"/>
          <w:numId w:val="8"/>
        </w:numPr>
        <w:ind w:left="1134" w:hanging="283"/>
        <w:rPr>
          <w:sz w:val="24"/>
          <w:szCs w:val="24"/>
        </w:rPr>
      </w:pPr>
      <w:proofErr w:type="spellStart"/>
      <w:r w:rsidRPr="00B01055">
        <w:rPr>
          <w:sz w:val="24"/>
          <w:szCs w:val="24"/>
        </w:rPr>
        <w:t>Lidocain</w:t>
      </w:r>
      <w:proofErr w:type="spellEnd"/>
      <w:r w:rsidRPr="00B01055">
        <w:rPr>
          <w:sz w:val="24"/>
          <w:szCs w:val="24"/>
        </w:rPr>
        <w:t xml:space="preserve"> bør anvendes med forsigtighed til patienter med epilepsi, </w:t>
      </w:r>
      <w:proofErr w:type="spellStart"/>
      <w:r w:rsidRPr="00B01055">
        <w:rPr>
          <w:sz w:val="24"/>
          <w:szCs w:val="24"/>
        </w:rPr>
        <w:t>myasthenia</w:t>
      </w:r>
      <w:proofErr w:type="spellEnd"/>
      <w:r w:rsidRPr="00B01055">
        <w:rPr>
          <w:sz w:val="24"/>
          <w:szCs w:val="24"/>
        </w:rPr>
        <w:t xml:space="preserve"> </w:t>
      </w:r>
      <w:proofErr w:type="spellStart"/>
      <w:r w:rsidRPr="00B01055">
        <w:rPr>
          <w:sz w:val="24"/>
          <w:szCs w:val="24"/>
        </w:rPr>
        <w:t>gravis</w:t>
      </w:r>
      <w:proofErr w:type="spellEnd"/>
      <w:r w:rsidRPr="00B01055">
        <w:rPr>
          <w:sz w:val="24"/>
          <w:szCs w:val="24"/>
        </w:rPr>
        <w:t xml:space="preserve">, forstyrrelser i hjertets elektriske ledningsevne, hjerteinsufficiens, bradykardi, alvorligt </w:t>
      </w:r>
      <w:proofErr w:type="spellStart"/>
      <w:r w:rsidRPr="00B01055">
        <w:rPr>
          <w:sz w:val="24"/>
          <w:szCs w:val="24"/>
        </w:rPr>
        <w:t>shock</w:t>
      </w:r>
      <w:proofErr w:type="spellEnd"/>
      <w:r w:rsidRPr="00B01055">
        <w:rPr>
          <w:sz w:val="24"/>
          <w:szCs w:val="24"/>
        </w:rPr>
        <w:t xml:space="preserve">, nedsat respiratorisk funktion eller nedsat nyrefunktion med </w:t>
      </w:r>
      <w:proofErr w:type="spellStart"/>
      <w:r w:rsidRPr="00B01055">
        <w:rPr>
          <w:sz w:val="24"/>
          <w:szCs w:val="24"/>
        </w:rPr>
        <w:t>kreatininclearance</w:t>
      </w:r>
      <w:proofErr w:type="spellEnd"/>
      <w:r w:rsidRPr="00B01055">
        <w:rPr>
          <w:sz w:val="24"/>
          <w:szCs w:val="24"/>
        </w:rPr>
        <w:t xml:space="preserve"> på under 10 ml/minut. </w:t>
      </w:r>
    </w:p>
    <w:p w:rsidR="00661826" w:rsidRPr="00B01055" w:rsidRDefault="00661826" w:rsidP="00661826">
      <w:pPr>
        <w:ind w:left="851" w:hanging="851"/>
        <w:rPr>
          <w:sz w:val="24"/>
          <w:szCs w:val="24"/>
        </w:rPr>
      </w:pPr>
    </w:p>
    <w:p w:rsidR="00661826" w:rsidRPr="00B01055" w:rsidRDefault="00661826" w:rsidP="00661826">
      <w:pPr>
        <w:ind w:left="851"/>
        <w:rPr>
          <w:sz w:val="24"/>
          <w:szCs w:val="24"/>
        </w:rPr>
      </w:pPr>
      <w:r w:rsidRPr="00B01055">
        <w:rPr>
          <w:sz w:val="24"/>
          <w:szCs w:val="24"/>
        </w:rPr>
        <w:t>Dette lægemiddel indeholder mindre end 1 mmol natrium (23 mg) per dosis, dvs. det er i det væsentlige natrium</w:t>
      </w:r>
      <w:r>
        <w:rPr>
          <w:sz w:val="24"/>
          <w:szCs w:val="24"/>
        </w:rPr>
        <w:t>-</w:t>
      </w:r>
      <w:r w:rsidRPr="00B01055">
        <w:rPr>
          <w:sz w:val="24"/>
          <w:szCs w:val="24"/>
        </w:rPr>
        <w:t>fri</w:t>
      </w:r>
      <w:r>
        <w:rPr>
          <w:sz w:val="24"/>
          <w:szCs w:val="24"/>
        </w:rPr>
        <w:t>t</w:t>
      </w:r>
      <w:r w:rsidRPr="00B01055">
        <w:rPr>
          <w:sz w:val="24"/>
          <w:szCs w:val="24"/>
        </w:rPr>
        <w:t>.</w:t>
      </w:r>
    </w:p>
    <w:p w:rsidR="00661826" w:rsidRPr="00B01055" w:rsidRDefault="00661826" w:rsidP="00661826">
      <w:pPr>
        <w:ind w:left="851" w:hanging="851"/>
        <w:rPr>
          <w:sz w:val="24"/>
          <w:szCs w:val="24"/>
        </w:rPr>
      </w:pPr>
    </w:p>
    <w:p w:rsidR="00661826" w:rsidRPr="00B01055" w:rsidRDefault="00661826" w:rsidP="00661826">
      <w:pPr>
        <w:ind w:left="851" w:hanging="851"/>
        <w:rPr>
          <w:b/>
          <w:sz w:val="24"/>
          <w:szCs w:val="24"/>
        </w:rPr>
      </w:pPr>
      <w:r w:rsidRPr="00B01055">
        <w:rPr>
          <w:b/>
          <w:sz w:val="24"/>
          <w:szCs w:val="24"/>
        </w:rPr>
        <w:t>4.5</w:t>
      </w:r>
      <w:r w:rsidRPr="00B01055">
        <w:rPr>
          <w:b/>
          <w:sz w:val="24"/>
          <w:szCs w:val="24"/>
        </w:rPr>
        <w:tab/>
        <w:t>Interaktion med andre lægemidler og andre former for interaktion</w:t>
      </w:r>
    </w:p>
    <w:p w:rsidR="00661826" w:rsidRPr="00B01055" w:rsidRDefault="00661826" w:rsidP="00661826">
      <w:pPr>
        <w:ind w:left="851" w:hanging="851"/>
        <w:rPr>
          <w:noProof/>
          <w:sz w:val="24"/>
          <w:szCs w:val="24"/>
        </w:rPr>
      </w:pPr>
      <w:r w:rsidRPr="00B01055">
        <w:rPr>
          <w:sz w:val="24"/>
          <w:szCs w:val="24"/>
        </w:rPr>
        <w:tab/>
      </w:r>
      <w:r w:rsidRPr="00B01055">
        <w:rPr>
          <w:noProof/>
          <w:sz w:val="24"/>
          <w:szCs w:val="24"/>
        </w:rPr>
        <w:t xml:space="preserve">Der er ikke udført interaktionsstudier med </w:t>
      </w:r>
      <w:proofErr w:type="spellStart"/>
      <w:r w:rsidRPr="00B01055">
        <w:rPr>
          <w:sz w:val="24"/>
          <w:szCs w:val="24"/>
        </w:rPr>
        <w:t>M</w:t>
      </w:r>
      <w:r>
        <w:rPr>
          <w:sz w:val="24"/>
          <w:szCs w:val="24"/>
        </w:rPr>
        <w:t>ydrane</w:t>
      </w:r>
      <w:proofErr w:type="spellEnd"/>
      <w:r w:rsidRPr="00B01055">
        <w:rPr>
          <w:noProof/>
          <w:sz w:val="24"/>
          <w:szCs w:val="24"/>
        </w:rPr>
        <w:t>.</w:t>
      </w:r>
    </w:p>
    <w:p w:rsidR="00661826" w:rsidRPr="00B01055" w:rsidRDefault="00661826" w:rsidP="00661826">
      <w:pPr>
        <w:ind w:left="851"/>
        <w:rPr>
          <w:sz w:val="24"/>
          <w:szCs w:val="24"/>
        </w:rPr>
      </w:pPr>
      <w:r w:rsidRPr="00B01055">
        <w:rPr>
          <w:noProof/>
          <w:sz w:val="24"/>
          <w:szCs w:val="24"/>
        </w:rPr>
        <w:t>Eftersom den sysemiske eksponering forventes at være meget lav (se pkt. 5.2) er systemisk interaktion ikke sandsynlig.</w:t>
      </w:r>
    </w:p>
    <w:p w:rsidR="00661826" w:rsidRPr="00B01055" w:rsidRDefault="00661826" w:rsidP="00661826">
      <w:pPr>
        <w:ind w:left="851" w:hanging="851"/>
        <w:rPr>
          <w:sz w:val="24"/>
          <w:szCs w:val="24"/>
        </w:rPr>
      </w:pPr>
    </w:p>
    <w:p w:rsidR="00CB2A7A" w:rsidRPr="00C84483" w:rsidRDefault="00CB2A7A" w:rsidP="00CB2A7A">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661826" w:rsidRDefault="00661826" w:rsidP="00661826">
      <w:pPr>
        <w:ind w:left="851" w:hanging="851"/>
        <w:rPr>
          <w:sz w:val="24"/>
          <w:szCs w:val="24"/>
        </w:rPr>
      </w:pPr>
    </w:p>
    <w:p w:rsidR="00661826" w:rsidRPr="00B01055" w:rsidRDefault="00661826" w:rsidP="00661826">
      <w:pPr>
        <w:ind w:left="851"/>
        <w:rPr>
          <w:noProof/>
          <w:sz w:val="24"/>
          <w:szCs w:val="24"/>
          <w:u w:val="single"/>
        </w:rPr>
      </w:pPr>
      <w:r w:rsidRPr="00B01055">
        <w:rPr>
          <w:noProof/>
          <w:sz w:val="24"/>
          <w:szCs w:val="24"/>
          <w:u w:val="single"/>
        </w:rPr>
        <w:t>Fertilitet</w:t>
      </w:r>
    </w:p>
    <w:p w:rsidR="00661826" w:rsidRPr="00B01055" w:rsidRDefault="00661826" w:rsidP="00661826">
      <w:pPr>
        <w:ind w:left="851"/>
        <w:rPr>
          <w:noProof/>
          <w:sz w:val="24"/>
          <w:szCs w:val="24"/>
        </w:rPr>
      </w:pPr>
      <w:r w:rsidRPr="00B01055">
        <w:rPr>
          <w:noProof/>
          <w:sz w:val="24"/>
          <w:szCs w:val="24"/>
        </w:rPr>
        <w:t xml:space="preserve">Der foreligger ingen oplysninger om, hvorvidt </w:t>
      </w:r>
      <w:proofErr w:type="spellStart"/>
      <w:r w:rsidRPr="00B01055">
        <w:rPr>
          <w:sz w:val="24"/>
          <w:szCs w:val="24"/>
        </w:rPr>
        <w:t>M</w:t>
      </w:r>
      <w:r>
        <w:rPr>
          <w:sz w:val="24"/>
          <w:szCs w:val="24"/>
        </w:rPr>
        <w:t>ydrane</w:t>
      </w:r>
      <w:proofErr w:type="spellEnd"/>
      <w:r w:rsidRPr="00B01055">
        <w:rPr>
          <w:noProof/>
          <w:sz w:val="24"/>
          <w:szCs w:val="24"/>
        </w:rPr>
        <w:t xml:space="preserve"> påvirker mandlig eller kvindelig fertilitet.</w:t>
      </w:r>
    </w:p>
    <w:p w:rsidR="00661826" w:rsidRDefault="00661826" w:rsidP="00661826">
      <w:pPr>
        <w:ind w:left="851" w:hanging="851"/>
        <w:rPr>
          <w:sz w:val="24"/>
          <w:szCs w:val="24"/>
        </w:rPr>
      </w:pPr>
    </w:p>
    <w:p w:rsidR="00661826" w:rsidRPr="00B01055" w:rsidRDefault="00661826" w:rsidP="00661826">
      <w:pPr>
        <w:ind w:left="851" w:hanging="851"/>
        <w:rPr>
          <w:noProof/>
          <w:sz w:val="24"/>
          <w:szCs w:val="24"/>
          <w:u w:val="single"/>
        </w:rPr>
      </w:pPr>
      <w:r w:rsidRPr="00B01055">
        <w:rPr>
          <w:sz w:val="24"/>
          <w:szCs w:val="24"/>
        </w:rPr>
        <w:tab/>
      </w:r>
      <w:r w:rsidRPr="00B01055">
        <w:rPr>
          <w:noProof/>
          <w:sz w:val="24"/>
          <w:szCs w:val="24"/>
          <w:u w:val="single"/>
        </w:rPr>
        <w:t>Graviditet</w:t>
      </w:r>
    </w:p>
    <w:p w:rsidR="00661826" w:rsidRPr="00B01055" w:rsidRDefault="00661826" w:rsidP="00661826">
      <w:pPr>
        <w:ind w:left="851"/>
        <w:rPr>
          <w:snapToGrid w:val="0"/>
          <w:spacing w:val="-3"/>
          <w:sz w:val="24"/>
          <w:szCs w:val="24"/>
        </w:rPr>
      </w:pPr>
      <w:r w:rsidRPr="00B01055">
        <w:rPr>
          <w:snapToGrid w:val="0"/>
          <w:spacing w:val="-3"/>
          <w:sz w:val="24"/>
          <w:szCs w:val="24"/>
        </w:rPr>
        <w:t xml:space="preserve">Der er ingen eller utilstrækkelige data fra anvendelse af </w:t>
      </w:r>
      <w:proofErr w:type="spellStart"/>
      <w:r w:rsidRPr="00B01055">
        <w:rPr>
          <w:snapToGrid w:val="0"/>
          <w:spacing w:val="-3"/>
          <w:sz w:val="24"/>
          <w:szCs w:val="24"/>
        </w:rPr>
        <w:t>phenylephrin</w:t>
      </w:r>
      <w:proofErr w:type="spellEnd"/>
      <w:r w:rsidRPr="00B01055">
        <w:rPr>
          <w:snapToGrid w:val="0"/>
          <w:spacing w:val="-3"/>
          <w:sz w:val="24"/>
          <w:szCs w:val="24"/>
        </w:rPr>
        <w:t xml:space="preserve"> og </w:t>
      </w:r>
      <w:proofErr w:type="spellStart"/>
      <w:r w:rsidRPr="00B01055">
        <w:rPr>
          <w:snapToGrid w:val="0"/>
          <w:spacing w:val="-3"/>
          <w:sz w:val="24"/>
          <w:szCs w:val="24"/>
        </w:rPr>
        <w:t>tropicamid</w:t>
      </w:r>
      <w:proofErr w:type="spellEnd"/>
      <w:r w:rsidRPr="00B01055">
        <w:rPr>
          <w:snapToGrid w:val="0"/>
          <w:spacing w:val="-3"/>
          <w:sz w:val="24"/>
          <w:szCs w:val="24"/>
        </w:rPr>
        <w:t xml:space="preserve"> til gravide kvinder. Dyrestudier er utilstrækkelige med hensyn til virkningen på drægtighed, den embryonale/</w:t>
      </w:r>
      <w:proofErr w:type="spellStart"/>
      <w:r w:rsidRPr="00B01055">
        <w:rPr>
          <w:snapToGrid w:val="0"/>
          <w:spacing w:val="-3"/>
          <w:sz w:val="24"/>
          <w:szCs w:val="24"/>
        </w:rPr>
        <w:t>føtale</w:t>
      </w:r>
      <w:proofErr w:type="spellEnd"/>
      <w:r w:rsidRPr="00B01055">
        <w:rPr>
          <w:snapToGrid w:val="0"/>
          <w:spacing w:val="-3"/>
          <w:sz w:val="24"/>
          <w:szCs w:val="24"/>
        </w:rPr>
        <w:t xml:space="preserve"> udvikling, fødsel eller den </w:t>
      </w:r>
      <w:proofErr w:type="spellStart"/>
      <w:r w:rsidRPr="00B01055">
        <w:rPr>
          <w:snapToGrid w:val="0"/>
          <w:spacing w:val="-3"/>
          <w:sz w:val="24"/>
          <w:szCs w:val="24"/>
        </w:rPr>
        <w:t>postnatale</w:t>
      </w:r>
      <w:proofErr w:type="spellEnd"/>
      <w:r w:rsidRPr="00B01055">
        <w:rPr>
          <w:snapToGrid w:val="0"/>
          <w:spacing w:val="-3"/>
          <w:sz w:val="24"/>
          <w:szCs w:val="24"/>
        </w:rPr>
        <w:t xml:space="preserve"> udvikling.</w:t>
      </w:r>
    </w:p>
    <w:p w:rsidR="00661826" w:rsidRPr="00B01055" w:rsidRDefault="00661826" w:rsidP="00661826">
      <w:pPr>
        <w:ind w:left="851" w:hanging="851"/>
        <w:rPr>
          <w:snapToGrid w:val="0"/>
          <w:spacing w:val="-3"/>
          <w:sz w:val="24"/>
          <w:szCs w:val="24"/>
        </w:rPr>
      </w:pPr>
    </w:p>
    <w:p w:rsidR="00661826" w:rsidRPr="00B01055" w:rsidRDefault="00661826" w:rsidP="00661826">
      <w:pPr>
        <w:ind w:left="851"/>
        <w:rPr>
          <w:snapToGrid w:val="0"/>
          <w:spacing w:val="-3"/>
          <w:sz w:val="24"/>
          <w:szCs w:val="24"/>
        </w:rPr>
      </w:pPr>
      <w:r w:rsidRPr="00B01055">
        <w:rPr>
          <w:snapToGrid w:val="0"/>
          <w:spacing w:val="-3"/>
          <w:sz w:val="24"/>
          <w:szCs w:val="24"/>
        </w:rPr>
        <w:t xml:space="preserve">Selvom dyrestudier ikke har vist evidens på fosterskade, passerer </w:t>
      </w:r>
      <w:proofErr w:type="spellStart"/>
      <w:r w:rsidRPr="00B01055">
        <w:rPr>
          <w:snapToGrid w:val="0"/>
          <w:spacing w:val="-3"/>
          <w:sz w:val="24"/>
          <w:szCs w:val="24"/>
        </w:rPr>
        <w:t>lidocain</w:t>
      </w:r>
      <w:proofErr w:type="spellEnd"/>
      <w:r w:rsidRPr="00B01055">
        <w:rPr>
          <w:snapToGrid w:val="0"/>
          <w:spacing w:val="-3"/>
          <w:sz w:val="24"/>
          <w:szCs w:val="24"/>
        </w:rPr>
        <w:t xml:space="preserve"> placenta og bør derfor ikke administreres under graviditet.</w:t>
      </w:r>
    </w:p>
    <w:p w:rsidR="00661826" w:rsidRPr="00B01055" w:rsidRDefault="00661826" w:rsidP="00661826">
      <w:pPr>
        <w:ind w:left="851" w:hanging="851"/>
        <w:rPr>
          <w:snapToGrid w:val="0"/>
          <w:spacing w:val="-3"/>
          <w:sz w:val="24"/>
          <w:szCs w:val="24"/>
        </w:rPr>
      </w:pPr>
    </w:p>
    <w:p w:rsidR="00661826" w:rsidRPr="00B01055" w:rsidRDefault="00661826" w:rsidP="00661826">
      <w:pPr>
        <w:ind w:left="851"/>
        <w:rPr>
          <w:snapToGrid w:val="0"/>
          <w:spacing w:val="-3"/>
          <w:sz w:val="24"/>
          <w:szCs w:val="24"/>
        </w:rPr>
      </w:pPr>
      <w:r w:rsidRPr="00B01055">
        <w:rPr>
          <w:snapToGrid w:val="0"/>
          <w:spacing w:val="-3"/>
          <w:sz w:val="24"/>
          <w:szCs w:val="24"/>
        </w:rPr>
        <w:t>Selvom der kun forventes en ubetydelig systemisk optagelse, kan en mindre systemisk eksponering ikke udelukkes.</w:t>
      </w:r>
    </w:p>
    <w:p w:rsidR="00661826" w:rsidRPr="00B01055" w:rsidRDefault="00661826" w:rsidP="00661826">
      <w:pPr>
        <w:ind w:left="851"/>
        <w:rPr>
          <w:noProof/>
          <w:sz w:val="24"/>
          <w:szCs w:val="24"/>
        </w:rPr>
      </w:pPr>
      <w:r w:rsidRPr="00B01055">
        <w:rPr>
          <w:snapToGrid w:val="0"/>
          <w:spacing w:val="-3"/>
          <w:sz w:val="24"/>
          <w:szCs w:val="24"/>
        </w:rPr>
        <w:t xml:space="preserve">Derfor bør </w:t>
      </w:r>
      <w:proofErr w:type="spellStart"/>
      <w:r w:rsidRPr="00B01055">
        <w:rPr>
          <w:snapToGrid w:val="0"/>
          <w:spacing w:val="-3"/>
          <w:sz w:val="24"/>
          <w:szCs w:val="24"/>
        </w:rPr>
        <w:t>M</w:t>
      </w:r>
      <w:r>
        <w:rPr>
          <w:snapToGrid w:val="0"/>
          <w:spacing w:val="-3"/>
          <w:sz w:val="24"/>
          <w:szCs w:val="24"/>
        </w:rPr>
        <w:t>ydrane</w:t>
      </w:r>
      <w:proofErr w:type="spellEnd"/>
      <w:r w:rsidRPr="00B01055">
        <w:rPr>
          <w:snapToGrid w:val="0"/>
          <w:spacing w:val="-3"/>
          <w:sz w:val="24"/>
          <w:szCs w:val="24"/>
        </w:rPr>
        <w:t xml:space="preserve"> ikke anvendes under graviditeten</w:t>
      </w:r>
      <w:r>
        <w:rPr>
          <w:snapToGrid w:val="0"/>
          <w:spacing w:val="-3"/>
          <w:sz w:val="24"/>
          <w:szCs w:val="24"/>
        </w:rPr>
        <w:t>.</w:t>
      </w:r>
    </w:p>
    <w:p w:rsidR="00661826" w:rsidRPr="00B01055" w:rsidRDefault="00661826" w:rsidP="00661826">
      <w:pPr>
        <w:ind w:left="851" w:hanging="851"/>
        <w:rPr>
          <w:noProof/>
          <w:sz w:val="24"/>
          <w:szCs w:val="24"/>
        </w:rPr>
      </w:pPr>
    </w:p>
    <w:p w:rsidR="00661826" w:rsidRPr="00B01055" w:rsidRDefault="00661826" w:rsidP="00661826">
      <w:pPr>
        <w:ind w:left="851"/>
        <w:rPr>
          <w:noProof/>
          <w:sz w:val="24"/>
          <w:szCs w:val="24"/>
          <w:u w:val="single"/>
        </w:rPr>
      </w:pPr>
      <w:r w:rsidRPr="00B01055">
        <w:rPr>
          <w:noProof/>
          <w:sz w:val="24"/>
          <w:szCs w:val="24"/>
          <w:u w:val="single"/>
        </w:rPr>
        <w:t>Amning</w:t>
      </w:r>
    </w:p>
    <w:p w:rsidR="00661826" w:rsidRPr="00B01055" w:rsidRDefault="00661826" w:rsidP="00661826">
      <w:pPr>
        <w:ind w:left="851"/>
        <w:rPr>
          <w:noProof/>
          <w:sz w:val="24"/>
          <w:szCs w:val="24"/>
        </w:rPr>
      </w:pPr>
      <w:r w:rsidRPr="00B01055">
        <w:rPr>
          <w:noProof/>
          <w:sz w:val="24"/>
          <w:szCs w:val="24"/>
        </w:rPr>
        <w:t>Der foreligger ingen data vedrørende phenylephrins eller tropicamids udskillelse i brystmælk. Ved oral administation er absorption af phenylephrin ringe, hvilket kan betyde, at spædbarnets optagelse er ubetydeligt. På den anden side kan spædbørn være meget følsomme over for anikolinergika og på trods af, at den systemtiske aborbtion forventes at være ubetydelig, anbefales tropicamid derfor ikke til ammende kvinder.</w:t>
      </w:r>
    </w:p>
    <w:p w:rsidR="00661826" w:rsidRPr="00B01055" w:rsidRDefault="00661826" w:rsidP="00661826">
      <w:pPr>
        <w:ind w:left="851" w:hanging="851"/>
        <w:rPr>
          <w:noProof/>
          <w:sz w:val="24"/>
          <w:szCs w:val="24"/>
        </w:rPr>
      </w:pPr>
    </w:p>
    <w:p w:rsidR="00661826" w:rsidRPr="00B01055" w:rsidRDefault="00661826" w:rsidP="00661826">
      <w:pPr>
        <w:ind w:left="851"/>
        <w:rPr>
          <w:noProof/>
          <w:sz w:val="24"/>
          <w:szCs w:val="24"/>
        </w:rPr>
      </w:pPr>
      <w:r w:rsidRPr="00B01055">
        <w:rPr>
          <w:noProof/>
          <w:sz w:val="24"/>
          <w:szCs w:val="24"/>
        </w:rPr>
        <w:t>Små mængder lidocain udskilles i brystmælk, og der er risiko for en allergisk reaktion hos spædbarnet.</w:t>
      </w:r>
    </w:p>
    <w:p w:rsidR="00661826" w:rsidRPr="00B01055" w:rsidRDefault="00661826" w:rsidP="00661826">
      <w:pPr>
        <w:ind w:left="851" w:hanging="851"/>
        <w:rPr>
          <w:noProof/>
          <w:sz w:val="24"/>
          <w:szCs w:val="24"/>
        </w:rPr>
      </w:pPr>
    </w:p>
    <w:p w:rsidR="00661826" w:rsidRPr="00B01055" w:rsidRDefault="00661826" w:rsidP="00661826">
      <w:pPr>
        <w:ind w:left="851"/>
        <w:rPr>
          <w:noProof/>
          <w:sz w:val="24"/>
          <w:szCs w:val="24"/>
        </w:rPr>
      </w:pPr>
      <w:r w:rsidRPr="00B01055">
        <w:rPr>
          <w:noProof/>
          <w:sz w:val="24"/>
          <w:szCs w:val="24"/>
        </w:rPr>
        <w:t xml:space="preserve">Derfor bør </w:t>
      </w:r>
      <w:proofErr w:type="spellStart"/>
      <w:r w:rsidRPr="00B01055">
        <w:rPr>
          <w:sz w:val="24"/>
          <w:szCs w:val="24"/>
        </w:rPr>
        <w:t>M</w:t>
      </w:r>
      <w:r>
        <w:rPr>
          <w:sz w:val="24"/>
          <w:szCs w:val="24"/>
        </w:rPr>
        <w:t>ydrane</w:t>
      </w:r>
      <w:proofErr w:type="spellEnd"/>
      <w:r w:rsidRPr="00B01055">
        <w:rPr>
          <w:noProof/>
          <w:sz w:val="24"/>
          <w:szCs w:val="24"/>
        </w:rPr>
        <w:t xml:space="preserve"> ikke anvendes </w:t>
      </w:r>
      <w:r>
        <w:rPr>
          <w:noProof/>
          <w:sz w:val="24"/>
          <w:szCs w:val="24"/>
        </w:rPr>
        <w:t>til</w:t>
      </w:r>
      <w:r w:rsidRPr="00B01055">
        <w:rPr>
          <w:noProof/>
          <w:sz w:val="24"/>
          <w:szCs w:val="24"/>
        </w:rPr>
        <w:t xml:space="preserve"> ammende kvinder.</w:t>
      </w:r>
    </w:p>
    <w:p w:rsidR="00661826" w:rsidRPr="00B01055" w:rsidRDefault="00661826" w:rsidP="00661826">
      <w:pPr>
        <w:ind w:left="851" w:hanging="851"/>
        <w:rPr>
          <w:sz w:val="24"/>
          <w:szCs w:val="24"/>
        </w:rPr>
      </w:pPr>
    </w:p>
    <w:p w:rsidR="00CB2A7A" w:rsidRPr="00C84483" w:rsidRDefault="00CB2A7A" w:rsidP="00CB2A7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661826" w:rsidRDefault="00661826" w:rsidP="00661826">
      <w:pPr>
        <w:ind w:left="851" w:hanging="851"/>
        <w:rPr>
          <w:sz w:val="24"/>
          <w:szCs w:val="24"/>
        </w:rPr>
      </w:pPr>
      <w:r w:rsidRPr="00B01055">
        <w:rPr>
          <w:sz w:val="24"/>
          <w:szCs w:val="24"/>
        </w:rPr>
        <w:tab/>
      </w:r>
      <w:r>
        <w:rPr>
          <w:sz w:val="24"/>
          <w:szCs w:val="24"/>
        </w:rPr>
        <w:t>Ikke mærkning.</w:t>
      </w:r>
    </w:p>
    <w:p w:rsidR="00661826" w:rsidRPr="00B01055" w:rsidRDefault="00661826" w:rsidP="00661826">
      <w:pPr>
        <w:ind w:left="851"/>
        <w:rPr>
          <w:sz w:val="24"/>
          <w:szCs w:val="24"/>
        </w:rPr>
      </w:pPr>
      <w:proofErr w:type="spellStart"/>
      <w:r w:rsidRPr="00B01055">
        <w:rPr>
          <w:snapToGrid w:val="0"/>
          <w:spacing w:val="-3"/>
          <w:sz w:val="24"/>
          <w:szCs w:val="24"/>
        </w:rPr>
        <w:t>M</w:t>
      </w:r>
      <w:r>
        <w:rPr>
          <w:snapToGrid w:val="0"/>
          <w:spacing w:val="-3"/>
          <w:sz w:val="24"/>
          <w:szCs w:val="24"/>
        </w:rPr>
        <w:t>ydrane</w:t>
      </w:r>
      <w:proofErr w:type="spellEnd"/>
      <w:r w:rsidRPr="00B01055">
        <w:rPr>
          <w:sz w:val="24"/>
          <w:szCs w:val="24"/>
        </w:rPr>
        <w:t xml:space="preserve"> påvirker i moderat grad evnen til at føre motorkøretøj </w:t>
      </w:r>
      <w:r w:rsidRPr="00B01055">
        <w:rPr>
          <w:noProof/>
          <w:sz w:val="24"/>
          <w:szCs w:val="24"/>
        </w:rPr>
        <w:t>og</w:t>
      </w:r>
      <w:r w:rsidRPr="00B01055">
        <w:rPr>
          <w:sz w:val="24"/>
          <w:szCs w:val="24"/>
        </w:rPr>
        <w:t xml:space="preserve"> betjene maskiner på grund af dets </w:t>
      </w:r>
      <w:proofErr w:type="spellStart"/>
      <w:r w:rsidRPr="00B01055">
        <w:rPr>
          <w:sz w:val="24"/>
          <w:szCs w:val="24"/>
        </w:rPr>
        <w:t>mydriatiske</w:t>
      </w:r>
      <w:proofErr w:type="spellEnd"/>
      <w:r w:rsidRPr="00B01055">
        <w:rPr>
          <w:sz w:val="24"/>
          <w:szCs w:val="24"/>
        </w:rPr>
        <w:t xml:space="preserve"> virkning.</w:t>
      </w:r>
    </w:p>
    <w:p w:rsidR="00661826" w:rsidRPr="00B01055" w:rsidRDefault="00661826" w:rsidP="00661826">
      <w:pPr>
        <w:ind w:left="851"/>
        <w:rPr>
          <w:sz w:val="24"/>
          <w:szCs w:val="24"/>
        </w:rPr>
      </w:pPr>
      <w:r w:rsidRPr="00B01055">
        <w:rPr>
          <w:sz w:val="24"/>
          <w:szCs w:val="24"/>
        </w:rPr>
        <w:t xml:space="preserve">Efter kataraktoperation med en injektion af </w:t>
      </w:r>
      <w:proofErr w:type="spellStart"/>
      <w:r w:rsidRPr="00B01055">
        <w:rPr>
          <w:snapToGrid w:val="0"/>
          <w:spacing w:val="-3"/>
          <w:sz w:val="24"/>
          <w:szCs w:val="24"/>
        </w:rPr>
        <w:t>M</w:t>
      </w:r>
      <w:r>
        <w:rPr>
          <w:snapToGrid w:val="0"/>
          <w:spacing w:val="-3"/>
          <w:sz w:val="24"/>
          <w:szCs w:val="24"/>
        </w:rPr>
        <w:t>ydrane</w:t>
      </w:r>
      <w:proofErr w:type="spellEnd"/>
      <w:r w:rsidRPr="00B01055">
        <w:rPr>
          <w:sz w:val="24"/>
          <w:szCs w:val="24"/>
        </w:rPr>
        <w:t xml:space="preserve"> bør patienten derfor advares mod at føre motorkøretøj og/eller betjene maskiner, så længe synsevnen er påvirket.</w:t>
      </w:r>
    </w:p>
    <w:p w:rsidR="00661826" w:rsidRPr="00B01055" w:rsidRDefault="00661826" w:rsidP="00661826">
      <w:pPr>
        <w:ind w:left="851" w:hanging="851"/>
        <w:rPr>
          <w:sz w:val="24"/>
          <w:szCs w:val="24"/>
        </w:rPr>
      </w:pPr>
    </w:p>
    <w:p w:rsidR="00661826" w:rsidRPr="00B01055" w:rsidRDefault="00661826" w:rsidP="00661826">
      <w:pPr>
        <w:ind w:left="851" w:hanging="851"/>
        <w:rPr>
          <w:b/>
          <w:sz w:val="24"/>
          <w:szCs w:val="24"/>
        </w:rPr>
      </w:pPr>
      <w:r w:rsidRPr="00B01055">
        <w:rPr>
          <w:b/>
          <w:sz w:val="24"/>
          <w:szCs w:val="24"/>
        </w:rPr>
        <w:t>4.8</w:t>
      </w:r>
      <w:r w:rsidRPr="00B01055">
        <w:rPr>
          <w:b/>
          <w:sz w:val="24"/>
          <w:szCs w:val="24"/>
        </w:rPr>
        <w:tab/>
        <w:t>Bivirkninger</w:t>
      </w:r>
    </w:p>
    <w:p w:rsidR="00661826" w:rsidRPr="00B01055" w:rsidRDefault="00661826" w:rsidP="00661826">
      <w:pPr>
        <w:ind w:left="851" w:hanging="851"/>
        <w:rPr>
          <w:sz w:val="24"/>
          <w:szCs w:val="24"/>
        </w:rPr>
      </w:pPr>
      <w:r w:rsidRPr="00B01055">
        <w:rPr>
          <w:sz w:val="24"/>
          <w:szCs w:val="24"/>
        </w:rPr>
        <w:tab/>
        <w:t xml:space="preserve">Der er rapporteret om bivirkninger med </w:t>
      </w:r>
      <w:proofErr w:type="spellStart"/>
      <w:r w:rsidRPr="00B01055">
        <w:rPr>
          <w:snapToGrid w:val="0"/>
          <w:spacing w:val="-3"/>
          <w:sz w:val="24"/>
          <w:szCs w:val="24"/>
        </w:rPr>
        <w:t>M</w:t>
      </w:r>
      <w:r>
        <w:rPr>
          <w:snapToGrid w:val="0"/>
          <w:spacing w:val="-3"/>
          <w:sz w:val="24"/>
          <w:szCs w:val="24"/>
        </w:rPr>
        <w:t>ydrane</w:t>
      </w:r>
      <w:proofErr w:type="spellEnd"/>
      <w:r w:rsidRPr="00B01055">
        <w:rPr>
          <w:sz w:val="24"/>
          <w:szCs w:val="24"/>
        </w:rPr>
        <w:t xml:space="preserve"> under de kliniske studier (se pkt. 5.1). De fleste bivirkninger var </w:t>
      </w:r>
      <w:proofErr w:type="spellStart"/>
      <w:r w:rsidRPr="00B01055">
        <w:rPr>
          <w:sz w:val="24"/>
          <w:szCs w:val="24"/>
        </w:rPr>
        <w:t>okulære</w:t>
      </w:r>
      <w:proofErr w:type="spellEnd"/>
      <w:r w:rsidRPr="00B01055">
        <w:rPr>
          <w:sz w:val="24"/>
          <w:szCs w:val="24"/>
        </w:rPr>
        <w:t xml:space="preserve"> og af mild til moderat sværhedsgrad.</w:t>
      </w:r>
    </w:p>
    <w:p w:rsidR="00661826" w:rsidRPr="00B01055" w:rsidRDefault="00661826" w:rsidP="00661826">
      <w:pPr>
        <w:ind w:left="851" w:hanging="851"/>
        <w:rPr>
          <w:sz w:val="24"/>
          <w:szCs w:val="24"/>
        </w:rPr>
      </w:pPr>
    </w:p>
    <w:p w:rsidR="00661826" w:rsidRPr="00520CF6" w:rsidRDefault="00661826" w:rsidP="00661826">
      <w:pPr>
        <w:ind w:left="851"/>
        <w:rPr>
          <w:sz w:val="24"/>
          <w:szCs w:val="24"/>
          <w:u w:val="single"/>
        </w:rPr>
      </w:pPr>
      <w:r>
        <w:rPr>
          <w:sz w:val="24"/>
          <w:szCs w:val="24"/>
          <w:u w:val="single"/>
        </w:rPr>
        <w:t>Resume af sikkerhedsprofilen</w:t>
      </w:r>
    </w:p>
    <w:p w:rsidR="00661826" w:rsidRPr="00B01055" w:rsidRDefault="00661826" w:rsidP="00661826">
      <w:pPr>
        <w:ind w:left="851"/>
        <w:rPr>
          <w:sz w:val="24"/>
          <w:szCs w:val="24"/>
        </w:rPr>
      </w:pPr>
      <w:r w:rsidRPr="00B01055">
        <w:rPr>
          <w:sz w:val="24"/>
          <w:szCs w:val="24"/>
        </w:rPr>
        <w:t xml:space="preserve">Ruptur af bagerste linsekapsel og </w:t>
      </w:r>
      <w:proofErr w:type="spellStart"/>
      <w:r w:rsidRPr="00B01055">
        <w:rPr>
          <w:sz w:val="24"/>
          <w:szCs w:val="24"/>
        </w:rPr>
        <w:t>cystoid</w:t>
      </w:r>
      <w:proofErr w:type="spellEnd"/>
      <w:r w:rsidRPr="00B01055">
        <w:rPr>
          <w:sz w:val="24"/>
          <w:szCs w:val="24"/>
        </w:rPr>
        <w:t xml:space="preserve"> </w:t>
      </w:r>
      <w:proofErr w:type="spellStart"/>
      <w:r w:rsidRPr="00B01055">
        <w:rPr>
          <w:sz w:val="24"/>
          <w:szCs w:val="24"/>
        </w:rPr>
        <w:t>makulært</w:t>
      </w:r>
      <w:proofErr w:type="spellEnd"/>
      <w:r w:rsidRPr="00B01055">
        <w:rPr>
          <w:sz w:val="24"/>
          <w:szCs w:val="24"/>
        </w:rPr>
        <w:t xml:space="preserve"> ødem er velkendte komplikationer, som kan opstå under eller efter kataraktoperation. De forekommer med hyppigheden ikke almindelig (færre end 1 ud af 100 patienter).</w:t>
      </w:r>
    </w:p>
    <w:p w:rsidR="00661826" w:rsidRPr="00B01055" w:rsidRDefault="00661826" w:rsidP="00661826">
      <w:pPr>
        <w:ind w:left="851" w:hanging="851"/>
        <w:rPr>
          <w:sz w:val="24"/>
          <w:szCs w:val="24"/>
        </w:rPr>
      </w:pPr>
    </w:p>
    <w:p w:rsidR="00661826" w:rsidRPr="00520CF6" w:rsidRDefault="00661826" w:rsidP="00661826">
      <w:pPr>
        <w:ind w:left="851"/>
        <w:rPr>
          <w:sz w:val="24"/>
          <w:szCs w:val="24"/>
          <w:u w:val="single"/>
        </w:rPr>
      </w:pPr>
      <w:r>
        <w:rPr>
          <w:sz w:val="24"/>
          <w:szCs w:val="24"/>
          <w:u w:val="single"/>
        </w:rPr>
        <w:t>Tabel over bivirkninger</w:t>
      </w:r>
    </w:p>
    <w:p w:rsidR="00661826" w:rsidRPr="00B01055" w:rsidRDefault="00661826" w:rsidP="00661826">
      <w:pPr>
        <w:ind w:left="851"/>
        <w:rPr>
          <w:sz w:val="24"/>
          <w:szCs w:val="24"/>
        </w:rPr>
      </w:pPr>
      <w:r w:rsidRPr="00B01055">
        <w:rPr>
          <w:sz w:val="24"/>
          <w:szCs w:val="24"/>
        </w:rPr>
        <w:t>Bivirkningerne er opdelt i følgende hyppigheder: Meget almindelig (</w:t>
      </w:r>
      <w:r w:rsidRPr="00B01055">
        <w:rPr>
          <w:sz w:val="24"/>
          <w:szCs w:val="24"/>
        </w:rPr>
        <w:sym w:font="Symbol" w:char="F0B3"/>
      </w:r>
      <w:r w:rsidRPr="00B01055">
        <w:rPr>
          <w:sz w:val="24"/>
          <w:szCs w:val="24"/>
        </w:rPr>
        <w:t>1/10), almindelig (</w:t>
      </w:r>
      <w:r w:rsidRPr="00B01055">
        <w:rPr>
          <w:sz w:val="24"/>
          <w:szCs w:val="24"/>
        </w:rPr>
        <w:sym w:font="Symbol" w:char="F0B3"/>
      </w:r>
      <w:r w:rsidRPr="00B01055">
        <w:rPr>
          <w:sz w:val="24"/>
          <w:szCs w:val="24"/>
        </w:rPr>
        <w:t>1/100 til &lt;1/10), ikke almindelig (</w:t>
      </w:r>
      <w:r w:rsidRPr="00B01055">
        <w:rPr>
          <w:sz w:val="24"/>
          <w:szCs w:val="24"/>
        </w:rPr>
        <w:sym w:font="Symbol" w:char="F0B3"/>
      </w:r>
      <w:r w:rsidRPr="00B01055">
        <w:rPr>
          <w:sz w:val="24"/>
          <w:szCs w:val="24"/>
        </w:rPr>
        <w:t>1/1.000 til &lt;1/100), sjælden (</w:t>
      </w:r>
      <w:r w:rsidRPr="00B01055">
        <w:rPr>
          <w:sz w:val="24"/>
          <w:szCs w:val="24"/>
        </w:rPr>
        <w:sym w:font="Symbol" w:char="F0B3"/>
      </w:r>
      <w:r w:rsidRPr="00B01055">
        <w:rPr>
          <w:sz w:val="24"/>
          <w:szCs w:val="24"/>
        </w:rPr>
        <w:t xml:space="preserve">1/10.000 til &lt;1/1.000), meget sjælden (&lt;1/10.000) eller ikke kendt (kan ikke estimeres ud fra forhåndenværende data). </w:t>
      </w:r>
    </w:p>
    <w:p w:rsidR="00661826" w:rsidRPr="00B01055" w:rsidRDefault="00661826" w:rsidP="00661826">
      <w:pPr>
        <w:ind w:left="851" w:hanging="851"/>
        <w:rPr>
          <w:sz w:val="24"/>
          <w:szCs w:val="24"/>
        </w:rPr>
      </w:pPr>
    </w:p>
    <w:p w:rsidR="00661826" w:rsidRPr="00B01055" w:rsidRDefault="00661826" w:rsidP="00661826">
      <w:pPr>
        <w:ind w:left="851"/>
        <w:rPr>
          <w:sz w:val="24"/>
          <w:szCs w:val="24"/>
        </w:rPr>
      </w:pPr>
      <w:r w:rsidRPr="00B01055">
        <w:rPr>
          <w:sz w:val="24"/>
          <w:szCs w:val="24"/>
        </w:rPr>
        <w:t>Bivirkningerne er opført i henhold til systemorganklasse i nedenstående tabel. Inden for hver frekvensgruppe er bivirkningerne opstillet efter, hvor alvorlige de er. De alvorligste er anført først.</w:t>
      </w:r>
    </w:p>
    <w:p w:rsidR="00661826" w:rsidRPr="00B01055" w:rsidRDefault="00661826" w:rsidP="00661826">
      <w:pPr>
        <w:ind w:left="851" w:hanging="851"/>
        <w:rPr>
          <w:sz w:val="24"/>
          <w:szCs w:val="24"/>
        </w:rPr>
      </w:pPr>
    </w:p>
    <w:tbl>
      <w:tblPr>
        <w:tblW w:w="4327" w:type="pct"/>
        <w:tblInd w:w="841" w:type="dxa"/>
        <w:tblCellMar>
          <w:left w:w="0" w:type="dxa"/>
          <w:right w:w="0" w:type="dxa"/>
        </w:tblCellMar>
        <w:tblLook w:val="04A0" w:firstRow="1" w:lastRow="0" w:firstColumn="1" w:lastColumn="0" w:noHBand="0" w:noVBand="1"/>
      </w:tblPr>
      <w:tblGrid>
        <w:gridCol w:w="2490"/>
        <w:gridCol w:w="2630"/>
        <w:gridCol w:w="3203"/>
      </w:tblGrid>
      <w:tr w:rsidR="00661826" w:rsidRPr="005A1702" w:rsidTr="003B4BCE">
        <w:tc>
          <w:tcPr>
            <w:tcW w:w="14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61826" w:rsidRPr="005A1702" w:rsidRDefault="00661826" w:rsidP="003B4BCE">
            <w:pPr>
              <w:pStyle w:val="Default"/>
              <w:rPr>
                <w:b/>
                <w:bCs/>
                <w:sz w:val="24"/>
                <w:szCs w:val="24"/>
                <w:lang w:val="da-DK"/>
              </w:rPr>
            </w:pPr>
            <w:r w:rsidRPr="005A1702">
              <w:rPr>
                <w:b/>
                <w:bCs/>
                <w:sz w:val="24"/>
                <w:szCs w:val="24"/>
                <w:lang w:val="da-DK"/>
              </w:rPr>
              <w:t>Systemorganklasse</w:t>
            </w:r>
          </w:p>
        </w:tc>
        <w:tc>
          <w:tcPr>
            <w:tcW w:w="158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661826" w:rsidRPr="005A1702" w:rsidRDefault="00661826" w:rsidP="003B4BCE">
            <w:pPr>
              <w:pStyle w:val="Default"/>
              <w:rPr>
                <w:b/>
                <w:bCs/>
                <w:sz w:val="24"/>
                <w:szCs w:val="24"/>
                <w:lang w:val="da-DK"/>
              </w:rPr>
            </w:pPr>
            <w:r w:rsidRPr="005A1702">
              <w:rPr>
                <w:b/>
                <w:bCs/>
                <w:sz w:val="24"/>
                <w:szCs w:val="24"/>
                <w:lang w:val="da-DK"/>
              </w:rPr>
              <w:t>Hyppighed</w:t>
            </w:r>
          </w:p>
        </w:tc>
        <w:tc>
          <w:tcPr>
            <w:tcW w:w="19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1826" w:rsidRPr="005A1702" w:rsidRDefault="00661826" w:rsidP="003B4BCE">
            <w:pPr>
              <w:pStyle w:val="Default"/>
              <w:rPr>
                <w:b/>
                <w:bCs/>
                <w:sz w:val="24"/>
                <w:szCs w:val="24"/>
                <w:lang w:val="da-DK"/>
              </w:rPr>
            </w:pPr>
            <w:r w:rsidRPr="005A1702">
              <w:rPr>
                <w:b/>
                <w:bCs/>
                <w:sz w:val="24"/>
                <w:szCs w:val="24"/>
                <w:lang w:val="da-DK"/>
              </w:rPr>
              <w:t>Bivirkning</w:t>
            </w:r>
          </w:p>
        </w:tc>
      </w:tr>
      <w:tr w:rsidR="00661826" w:rsidRPr="005A1702" w:rsidTr="003B4BCE">
        <w:tc>
          <w:tcPr>
            <w:tcW w:w="149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1826" w:rsidRPr="005A1702" w:rsidRDefault="00661826" w:rsidP="003B4BCE">
            <w:pPr>
              <w:pStyle w:val="Default"/>
              <w:rPr>
                <w:i/>
                <w:iCs/>
                <w:sz w:val="24"/>
                <w:szCs w:val="24"/>
                <w:lang w:val="da-DK"/>
              </w:rPr>
            </w:pPr>
            <w:r w:rsidRPr="005A1702">
              <w:rPr>
                <w:i/>
                <w:iCs/>
                <w:sz w:val="24"/>
                <w:szCs w:val="24"/>
                <w:lang w:val="da-DK"/>
              </w:rPr>
              <w:t>Nervesystemet</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61826" w:rsidRPr="005A1702" w:rsidRDefault="00661826" w:rsidP="003B4BCE">
            <w:pPr>
              <w:pStyle w:val="Default"/>
              <w:rPr>
                <w:sz w:val="24"/>
                <w:szCs w:val="24"/>
                <w:lang w:val="da-DK"/>
              </w:rPr>
            </w:pPr>
            <w:r w:rsidRPr="005A1702">
              <w:rPr>
                <w:sz w:val="24"/>
                <w:szCs w:val="24"/>
                <w:lang w:val="da-DK"/>
              </w:rPr>
              <w:t>Ikke almindelig</w:t>
            </w:r>
          </w:p>
        </w:tc>
        <w:tc>
          <w:tcPr>
            <w:tcW w:w="1924" w:type="pct"/>
            <w:tcBorders>
              <w:top w:val="nil"/>
              <w:left w:val="nil"/>
              <w:bottom w:val="single" w:sz="8" w:space="0" w:color="auto"/>
              <w:right w:val="single" w:sz="8" w:space="0" w:color="auto"/>
            </w:tcBorders>
            <w:tcMar>
              <w:top w:w="0" w:type="dxa"/>
              <w:left w:w="108" w:type="dxa"/>
              <w:bottom w:w="0" w:type="dxa"/>
              <w:right w:w="108" w:type="dxa"/>
            </w:tcMar>
            <w:hideMark/>
          </w:tcPr>
          <w:p w:rsidR="00661826" w:rsidRPr="005A1702" w:rsidRDefault="00661826" w:rsidP="003B4BCE">
            <w:pPr>
              <w:pStyle w:val="TableHeadings10pt"/>
              <w:keepNext w:val="0"/>
              <w:spacing w:before="0" w:after="0" w:line="276" w:lineRule="auto"/>
              <w:jc w:val="left"/>
              <w:rPr>
                <w:b w:val="0"/>
                <w:bCs w:val="0"/>
                <w:sz w:val="24"/>
                <w:szCs w:val="24"/>
                <w:lang w:val="da-DK" w:eastAsia="en-US"/>
              </w:rPr>
            </w:pPr>
            <w:r w:rsidRPr="005A1702">
              <w:rPr>
                <w:b w:val="0"/>
                <w:bCs w:val="0"/>
                <w:sz w:val="24"/>
                <w:szCs w:val="24"/>
                <w:lang w:val="da-DK" w:eastAsia="en-US"/>
              </w:rPr>
              <w:t>Hovedpine</w:t>
            </w:r>
          </w:p>
        </w:tc>
      </w:tr>
      <w:tr w:rsidR="00661826" w:rsidRPr="005A1702" w:rsidTr="003B4BCE">
        <w:tc>
          <w:tcPr>
            <w:tcW w:w="149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1826" w:rsidRPr="005A1702" w:rsidRDefault="00661826" w:rsidP="003B4BCE">
            <w:pPr>
              <w:pStyle w:val="Default"/>
              <w:rPr>
                <w:i/>
                <w:iCs/>
                <w:sz w:val="24"/>
                <w:szCs w:val="24"/>
                <w:lang w:val="da-DK"/>
              </w:rPr>
            </w:pPr>
            <w:r w:rsidRPr="005A1702">
              <w:rPr>
                <w:i/>
                <w:iCs/>
                <w:sz w:val="24"/>
                <w:szCs w:val="24"/>
                <w:lang w:val="da-DK"/>
              </w:rPr>
              <w:t>Øjne</w:t>
            </w:r>
          </w:p>
        </w:tc>
        <w:tc>
          <w:tcPr>
            <w:tcW w:w="1580" w:type="pct"/>
            <w:tcBorders>
              <w:top w:val="nil"/>
              <w:left w:val="nil"/>
              <w:bottom w:val="single" w:sz="8" w:space="0" w:color="auto"/>
              <w:right w:val="single" w:sz="8" w:space="0" w:color="auto"/>
            </w:tcBorders>
            <w:tcMar>
              <w:top w:w="0" w:type="dxa"/>
              <w:left w:w="108" w:type="dxa"/>
              <w:bottom w:w="0" w:type="dxa"/>
              <w:right w:w="108" w:type="dxa"/>
            </w:tcMar>
            <w:hideMark/>
          </w:tcPr>
          <w:p w:rsidR="00661826" w:rsidRPr="005A1702" w:rsidRDefault="00661826" w:rsidP="003B4BCE">
            <w:pPr>
              <w:pStyle w:val="Default"/>
              <w:rPr>
                <w:sz w:val="24"/>
                <w:szCs w:val="24"/>
                <w:lang w:val="da-DK"/>
              </w:rPr>
            </w:pPr>
            <w:r w:rsidRPr="005A1702">
              <w:rPr>
                <w:sz w:val="24"/>
                <w:szCs w:val="24"/>
                <w:lang w:val="da-DK"/>
              </w:rPr>
              <w:t>Ikke almindelig</w:t>
            </w:r>
          </w:p>
        </w:tc>
        <w:tc>
          <w:tcPr>
            <w:tcW w:w="1924" w:type="pct"/>
            <w:tcBorders>
              <w:top w:val="nil"/>
              <w:left w:val="nil"/>
              <w:bottom w:val="single" w:sz="8" w:space="0" w:color="auto"/>
              <w:right w:val="single" w:sz="8" w:space="0" w:color="auto"/>
            </w:tcBorders>
            <w:tcMar>
              <w:top w:w="0" w:type="dxa"/>
              <w:left w:w="108" w:type="dxa"/>
              <w:bottom w:w="0" w:type="dxa"/>
              <w:right w:w="108" w:type="dxa"/>
            </w:tcMar>
            <w:hideMark/>
          </w:tcPr>
          <w:p w:rsidR="00661826" w:rsidRPr="005A1702" w:rsidRDefault="00661826" w:rsidP="003B4BCE">
            <w:pPr>
              <w:pStyle w:val="TableHeadings10pt"/>
              <w:keepNext w:val="0"/>
              <w:spacing w:before="0" w:after="0" w:line="276" w:lineRule="auto"/>
              <w:jc w:val="left"/>
              <w:rPr>
                <w:b w:val="0"/>
                <w:bCs w:val="0"/>
                <w:sz w:val="24"/>
                <w:szCs w:val="24"/>
                <w:lang w:val="da-DK" w:eastAsia="en-US"/>
              </w:rPr>
            </w:pPr>
            <w:proofErr w:type="spellStart"/>
            <w:r w:rsidRPr="005A1702">
              <w:rPr>
                <w:b w:val="0"/>
                <w:bCs w:val="0"/>
                <w:sz w:val="24"/>
                <w:szCs w:val="24"/>
                <w:lang w:val="da-DK" w:eastAsia="en-US"/>
              </w:rPr>
              <w:t>Keratitis</w:t>
            </w:r>
            <w:proofErr w:type="spellEnd"/>
            <w:r w:rsidRPr="005A1702">
              <w:rPr>
                <w:b w:val="0"/>
                <w:bCs w:val="0"/>
                <w:sz w:val="24"/>
                <w:szCs w:val="24"/>
                <w:lang w:val="da-DK" w:eastAsia="en-US"/>
              </w:rPr>
              <w:t xml:space="preserve">, </w:t>
            </w:r>
            <w:proofErr w:type="spellStart"/>
            <w:r w:rsidRPr="005A1702">
              <w:rPr>
                <w:b w:val="0"/>
                <w:bCs w:val="0"/>
                <w:sz w:val="24"/>
                <w:szCs w:val="24"/>
                <w:lang w:val="da-DK" w:eastAsia="en-US"/>
              </w:rPr>
              <w:t>cystoid</w:t>
            </w:r>
            <w:proofErr w:type="spellEnd"/>
            <w:r w:rsidRPr="005A1702">
              <w:rPr>
                <w:b w:val="0"/>
                <w:bCs w:val="0"/>
                <w:sz w:val="24"/>
                <w:szCs w:val="24"/>
                <w:lang w:val="da-DK" w:eastAsia="en-US"/>
              </w:rPr>
              <w:t xml:space="preserve"> </w:t>
            </w:r>
            <w:proofErr w:type="spellStart"/>
            <w:r w:rsidRPr="005A1702">
              <w:rPr>
                <w:b w:val="0"/>
                <w:bCs w:val="0"/>
                <w:sz w:val="24"/>
                <w:szCs w:val="24"/>
                <w:lang w:val="da-DK" w:eastAsia="en-US"/>
              </w:rPr>
              <w:t>makulært</w:t>
            </w:r>
            <w:proofErr w:type="spellEnd"/>
            <w:r w:rsidRPr="005A1702">
              <w:rPr>
                <w:b w:val="0"/>
                <w:bCs w:val="0"/>
                <w:sz w:val="24"/>
                <w:szCs w:val="24"/>
                <w:lang w:val="da-DK" w:eastAsia="en-US"/>
              </w:rPr>
              <w:t xml:space="preserve"> ødem, øget </w:t>
            </w:r>
            <w:proofErr w:type="spellStart"/>
            <w:r w:rsidRPr="005A1702">
              <w:rPr>
                <w:b w:val="0"/>
                <w:bCs w:val="0"/>
                <w:sz w:val="24"/>
                <w:szCs w:val="24"/>
                <w:lang w:val="da-DK" w:eastAsia="en-US"/>
              </w:rPr>
              <w:t>intraokulært</w:t>
            </w:r>
            <w:proofErr w:type="spellEnd"/>
            <w:r w:rsidRPr="005A1702">
              <w:rPr>
                <w:b w:val="0"/>
                <w:bCs w:val="0"/>
                <w:sz w:val="24"/>
                <w:szCs w:val="24"/>
                <w:lang w:val="da-DK" w:eastAsia="en-US"/>
              </w:rPr>
              <w:t xml:space="preserve"> tryk, ruptur af bageste linsekapsel, </w:t>
            </w:r>
            <w:proofErr w:type="spellStart"/>
            <w:r w:rsidRPr="005A1702">
              <w:rPr>
                <w:b w:val="0"/>
                <w:bCs w:val="0"/>
                <w:sz w:val="24"/>
                <w:szCs w:val="24"/>
                <w:lang w:val="da-DK" w:eastAsia="en-US"/>
              </w:rPr>
              <w:t>okulært</w:t>
            </w:r>
            <w:proofErr w:type="spellEnd"/>
            <w:r w:rsidRPr="005A1702">
              <w:rPr>
                <w:b w:val="0"/>
                <w:bCs w:val="0"/>
                <w:sz w:val="24"/>
                <w:szCs w:val="24"/>
                <w:lang w:val="da-DK" w:eastAsia="en-US"/>
              </w:rPr>
              <w:t xml:space="preserve"> </w:t>
            </w:r>
            <w:proofErr w:type="spellStart"/>
            <w:r w:rsidRPr="005A1702">
              <w:rPr>
                <w:b w:val="0"/>
                <w:bCs w:val="0"/>
                <w:sz w:val="24"/>
                <w:szCs w:val="24"/>
                <w:lang w:val="da-DK" w:eastAsia="en-US"/>
              </w:rPr>
              <w:t>hyperæmi</w:t>
            </w:r>
            <w:proofErr w:type="spellEnd"/>
          </w:p>
        </w:tc>
      </w:tr>
      <w:tr w:rsidR="00661826" w:rsidRPr="005A1702" w:rsidTr="003B4BCE">
        <w:tc>
          <w:tcPr>
            <w:tcW w:w="149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61826" w:rsidRPr="005A1702" w:rsidRDefault="00661826" w:rsidP="003B4BCE">
            <w:pPr>
              <w:pStyle w:val="Default"/>
              <w:rPr>
                <w:i/>
                <w:iCs/>
                <w:sz w:val="24"/>
                <w:szCs w:val="24"/>
                <w:lang w:val="da-DK"/>
              </w:rPr>
            </w:pPr>
            <w:proofErr w:type="spellStart"/>
            <w:r w:rsidRPr="005A1702">
              <w:rPr>
                <w:i/>
                <w:iCs/>
                <w:sz w:val="24"/>
                <w:szCs w:val="24"/>
                <w:lang w:val="da-DK"/>
              </w:rPr>
              <w:t>Vaskulære</w:t>
            </w:r>
            <w:proofErr w:type="spellEnd"/>
            <w:r w:rsidRPr="005A1702">
              <w:rPr>
                <w:i/>
                <w:iCs/>
                <w:sz w:val="24"/>
                <w:szCs w:val="24"/>
                <w:lang w:val="da-DK"/>
              </w:rPr>
              <w:t xml:space="preserve"> sygdomme</w:t>
            </w:r>
          </w:p>
        </w:tc>
        <w:tc>
          <w:tcPr>
            <w:tcW w:w="15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1826" w:rsidRPr="005A1702" w:rsidRDefault="00661826" w:rsidP="003B4BCE">
            <w:pPr>
              <w:pStyle w:val="Default"/>
              <w:rPr>
                <w:sz w:val="24"/>
                <w:szCs w:val="24"/>
                <w:lang w:val="da-DK"/>
              </w:rPr>
            </w:pPr>
            <w:r w:rsidRPr="005A1702">
              <w:rPr>
                <w:sz w:val="24"/>
                <w:szCs w:val="24"/>
                <w:lang w:val="da-DK"/>
              </w:rPr>
              <w:t>Ikke almindelig</w:t>
            </w:r>
          </w:p>
        </w:tc>
        <w:tc>
          <w:tcPr>
            <w:tcW w:w="192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61826" w:rsidRPr="005A1702" w:rsidRDefault="00661826" w:rsidP="003B4BCE">
            <w:pPr>
              <w:pStyle w:val="TableHeadings10pt"/>
              <w:keepNext w:val="0"/>
              <w:spacing w:before="0" w:after="0" w:line="276" w:lineRule="auto"/>
              <w:jc w:val="left"/>
              <w:rPr>
                <w:b w:val="0"/>
                <w:bCs w:val="0"/>
                <w:sz w:val="24"/>
                <w:szCs w:val="24"/>
                <w:lang w:val="da-DK" w:eastAsia="en-US"/>
              </w:rPr>
            </w:pPr>
            <w:r w:rsidRPr="005A1702">
              <w:rPr>
                <w:b w:val="0"/>
                <w:bCs w:val="0"/>
                <w:sz w:val="24"/>
                <w:szCs w:val="24"/>
                <w:lang w:val="da-DK" w:eastAsia="en-US"/>
              </w:rPr>
              <w:t>Hypertension</w:t>
            </w:r>
          </w:p>
        </w:tc>
      </w:tr>
    </w:tbl>
    <w:p w:rsidR="00661826" w:rsidRPr="00B01055" w:rsidRDefault="00661826" w:rsidP="00661826">
      <w:pPr>
        <w:ind w:left="851" w:hanging="851"/>
        <w:rPr>
          <w:i/>
          <w:noProof/>
          <w:sz w:val="24"/>
          <w:szCs w:val="24"/>
        </w:rPr>
      </w:pPr>
    </w:p>
    <w:p w:rsidR="001659A8" w:rsidRPr="003952CE" w:rsidRDefault="001659A8" w:rsidP="001659A8">
      <w:pPr>
        <w:autoSpaceDE w:val="0"/>
        <w:autoSpaceDN w:val="0"/>
        <w:ind w:left="851"/>
        <w:rPr>
          <w:sz w:val="24"/>
          <w:szCs w:val="24"/>
          <w:u w:val="single"/>
        </w:rPr>
      </w:pPr>
      <w:r w:rsidRPr="003952CE">
        <w:rPr>
          <w:sz w:val="24"/>
          <w:szCs w:val="24"/>
          <w:u w:val="single"/>
        </w:rPr>
        <w:t>Indberetning af formodede bivirkninger</w:t>
      </w:r>
    </w:p>
    <w:p w:rsidR="001659A8" w:rsidRPr="003952CE" w:rsidRDefault="001659A8" w:rsidP="001659A8">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rsidR="001659A8" w:rsidRPr="003952CE" w:rsidRDefault="001659A8" w:rsidP="001659A8">
      <w:pPr>
        <w:tabs>
          <w:tab w:val="left" w:pos="2440"/>
        </w:tabs>
        <w:ind w:left="851"/>
        <w:rPr>
          <w:sz w:val="24"/>
          <w:szCs w:val="24"/>
        </w:rPr>
      </w:pPr>
    </w:p>
    <w:p w:rsidR="001659A8" w:rsidRPr="003952CE" w:rsidRDefault="001659A8" w:rsidP="001659A8">
      <w:pPr>
        <w:ind w:left="851"/>
        <w:rPr>
          <w:sz w:val="24"/>
          <w:szCs w:val="24"/>
        </w:rPr>
      </w:pPr>
      <w:r w:rsidRPr="003952CE">
        <w:rPr>
          <w:sz w:val="24"/>
          <w:szCs w:val="24"/>
        </w:rPr>
        <w:t>Lægemiddelstyrelsen</w:t>
      </w:r>
    </w:p>
    <w:p w:rsidR="001659A8" w:rsidRPr="003952CE" w:rsidRDefault="001659A8" w:rsidP="001659A8">
      <w:pPr>
        <w:ind w:left="851"/>
        <w:rPr>
          <w:sz w:val="24"/>
          <w:szCs w:val="24"/>
        </w:rPr>
      </w:pPr>
      <w:r w:rsidRPr="003952CE">
        <w:rPr>
          <w:sz w:val="24"/>
          <w:szCs w:val="24"/>
        </w:rPr>
        <w:t>Axel Heides Gade 1</w:t>
      </w:r>
    </w:p>
    <w:p w:rsidR="001659A8" w:rsidRPr="003952CE" w:rsidRDefault="001659A8" w:rsidP="001659A8">
      <w:pPr>
        <w:ind w:left="851"/>
        <w:rPr>
          <w:sz w:val="24"/>
          <w:szCs w:val="24"/>
        </w:rPr>
      </w:pPr>
      <w:r w:rsidRPr="003952CE">
        <w:rPr>
          <w:sz w:val="24"/>
          <w:szCs w:val="24"/>
        </w:rPr>
        <w:t>DK-2300 København S</w:t>
      </w:r>
    </w:p>
    <w:p w:rsidR="001659A8" w:rsidRPr="000A1DC3" w:rsidRDefault="001659A8" w:rsidP="001659A8">
      <w:pPr>
        <w:ind w:left="851"/>
        <w:rPr>
          <w:sz w:val="24"/>
          <w:szCs w:val="24"/>
        </w:rPr>
      </w:pPr>
      <w:r w:rsidRPr="000A1DC3">
        <w:rPr>
          <w:sz w:val="24"/>
          <w:szCs w:val="24"/>
        </w:rPr>
        <w:t xml:space="preserve">Websted: </w:t>
      </w:r>
      <w:hyperlink r:id="rId8" w:history="1">
        <w:r w:rsidRPr="000A1DC3">
          <w:rPr>
            <w:rStyle w:val="Hyperlink"/>
            <w:sz w:val="24"/>
            <w:szCs w:val="24"/>
          </w:rPr>
          <w:t>www.meldenbivirkning.dk</w:t>
        </w:r>
      </w:hyperlink>
    </w:p>
    <w:p w:rsidR="00661826" w:rsidRPr="001659A8" w:rsidRDefault="00661826" w:rsidP="00661826">
      <w:pPr>
        <w:pStyle w:val="Sidehoved"/>
        <w:tabs>
          <w:tab w:val="clear" w:pos="4819"/>
          <w:tab w:val="clear" w:pos="9638"/>
        </w:tabs>
        <w:ind w:left="851" w:hanging="851"/>
        <w:rPr>
          <w:szCs w:val="24"/>
        </w:rPr>
      </w:pPr>
    </w:p>
    <w:p w:rsidR="00661826" w:rsidRPr="00B01055" w:rsidRDefault="00661826" w:rsidP="00661826">
      <w:pPr>
        <w:ind w:left="851" w:hanging="851"/>
        <w:rPr>
          <w:b/>
          <w:sz w:val="24"/>
          <w:szCs w:val="24"/>
        </w:rPr>
      </w:pPr>
      <w:r w:rsidRPr="00B01055">
        <w:rPr>
          <w:b/>
          <w:sz w:val="24"/>
          <w:szCs w:val="24"/>
        </w:rPr>
        <w:t>4.9</w:t>
      </w:r>
      <w:r w:rsidRPr="00B01055">
        <w:rPr>
          <w:b/>
          <w:sz w:val="24"/>
          <w:szCs w:val="24"/>
        </w:rPr>
        <w:tab/>
        <w:t>Overdosering</w:t>
      </w:r>
    </w:p>
    <w:p w:rsidR="00661826" w:rsidRDefault="00661826" w:rsidP="00661826">
      <w:pPr>
        <w:ind w:left="851" w:hanging="851"/>
        <w:rPr>
          <w:sz w:val="24"/>
          <w:szCs w:val="24"/>
        </w:rPr>
      </w:pPr>
      <w:r w:rsidRPr="00B01055">
        <w:rPr>
          <w:sz w:val="24"/>
          <w:szCs w:val="24"/>
        </w:rPr>
        <w:tab/>
      </w:r>
    </w:p>
    <w:p w:rsidR="00661826" w:rsidRPr="00E06682" w:rsidRDefault="00661826" w:rsidP="00661826">
      <w:pPr>
        <w:ind w:left="851"/>
        <w:rPr>
          <w:sz w:val="24"/>
          <w:szCs w:val="24"/>
          <w:u w:val="single"/>
        </w:rPr>
      </w:pPr>
      <w:r w:rsidRPr="00E06682">
        <w:rPr>
          <w:sz w:val="24"/>
          <w:szCs w:val="24"/>
          <w:u w:val="single"/>
        </w:rPr>
        <w:t>Systemisk virkning</w:t>
      </w:r>
    </w:p>
    <w:p w:rsidR="00661826" w:rsidRPr="00B01055" w:rsidRDefault="00661826" w:rsidP="00661826">
      <w:pPr>
        <w:ind w:left="851"/>
        <w:rPr>
          <w:noProof/>
          <w:sz w:val="24"/>
          <w:szCs w:val="24"/>
        </w:rPr>
      </w:pPr>
      <w:r w:rsidRPr="00B01055">
        <w:rPr>
          <w:noProof/>
          <w:sz w:val="24"/>
          <w:szCs w:val="24"/>
        </w:rPr>
        <w:t xml:space="preserve">På grund af enkeltdosis administration og </w:t>
      </w:r>
      <w:r>
        <w:rPr>
          <w:noProof/>
          <w:sz w:val="24"/>
          <w:szCs w:val="24"/>
        </w:rPr>
        <w:t>Mydrane</w:t>
      </w:r>
      <w:r w:rsidRPr="00B01055">
        <w:rPr>
          <w:noProof/>
          <w:sz w:val="24"/>
          <w:szCs w:val="24"/>
        </w:rPr>
        <w:t>s forventelige lav</w:t>
      </w:r>
      <w:r>
        <w:rPr>
          <w:noProof/>
          <w:sz w:val="24"/>
          <w:szCs w:val="24"/>
        </w:rPr>
        <w:t>e</w:t>
      </w:r>
      <w:r w:rsidRPr="00B01055">
        <w:rPr>
          <w:noProof/>
          <w:sz w:val="24"/>
          <w:szCs w:val="24"/>
        </w:rPr>
        <w:t xml:space="preserve"> systemiske passage</w:t>
      </w:r>
      <w:r>
        <w:rPr>
          <w:noProof/>
          <w:sz w:val="24"/>
          <w:szCs w:val="24"/>
        </w:rPr>
        <w:t xml:space="preserve"> anses risikoen for systemisk virkning på grund af en overdosis for minimal</w:t>
      </w:r>
      <w:r w:rsidRPr="00B01055">
        <w:rPr>
          <w:noProof/>
          <w:sz w:val="24"/>
          <w:szCs w:val="24"/>
        </w:rPr>
        <w:t>.</w:t>
      </w:r>
    </w:p>
    <w:p w:rsidR="00661826" w:rsidRPr="00B01055" w:rsidRDefault="00661826" w:rsidP="00661826">
      <w:pPr>
        <w:ind w:left="851" w:hanging="851"/>
        <w:rPr>
          <w:noProof/>
          <w:sz w:val="24"/>
          <w:szCs w:val="24"/>
        </w:rPr>
      </w:pPr>
    </w:p>
    <w:p w:rsidR="00661826" w:rsidRPr="00B01055" w:rsidRDefault="00661826" w:rsidP="00661826">
      <w:pPr>
        <w:autoSpaceDE w:val="0"/>
        <w:autoSpaceDN w:val="0"/>
        <w:adjustRightInd w:val="0"/>
        <w:ind w:left="851"/>
        <w:rPr>
          <w:sz w:val="24"/>
          <w:szCs w:val="24"/>
          <w:lang w:eastAsia="fr-FR"/>
        </w:rPr>
      </w:pPr>
      <w:r w:rsidRPr="00B01055">
        <w:rPr>
          <w:sz w:val="24"/>
          <w:szCs w:val="24"/>
          <w:lang w:eastAsia="fr-FR"/>
        </w:rPr>
        <w:t xml:space="preserve">Symptomerne på en overdosering i øjet med </w:t>
      </w:r>
      <w:proofErr w:type="spellStart"/>
      <w:r w:rsidRPr="00B01055">
        <w:rPr>
          <w:sz w:val="24"/>
          <w:szCs w:val="24"/>
          <w:lang w:eastAsia="fr-FR"/>
        </w:rPr>
        <w:t>phenylephrin</w:t>
      </w:r>
      <w:proofErr w:type="spellEnd"/>
      <w:r w:rsidRPr="00B01055">
        <w:rPr>
          <w:sz w:val="24"/>
          <w:szCs w:val="24"/>
          <w:lang w:eastAsia="fr-FR"/>
        </w:rPr>
        <w:t xml:space="preserve"> er sandsynligvis forårsaget af systemisk absorption og omfatter ekstrem træthed, svedudbrud, svimmelhed, langsom hjerterytme og koma.</w:t>
      </w:r>
    </w:p>
    <w:p w:rsidR="00661826" w:rsidRPr="00B01055" w:rsidRDefault="00661826" w:rsidP="00661826">
      <w:pPr>
        <w:autoSpaceDE w:val="0"/>
        <w:autoSpaceDN w:val="0"/>
        <w:adjustRightInd w:val="0"/>
        <w:ind w:left="851"/>
        <w:rPr>
          <w:sz w:val="24"/>
          <w:szCs w:val="24"/>
          <w:lang w:eastAsia="fr-FR"/>
        </w:rPr>
      </w:pPr>
      <w:r w:rsidRPr="00B01055">
        <w:rPr>
          <w:sz w:val="24"/>
          <w:szCs w:val="24"/>
          <w:lang w:eastAsia="fr-FR"/>
        </w:rPr>
        <w:t xml:space="preserve">Eftersom den toksiske reaktion over for </w:t>
      </w:r>
      <w:proofErr w:type="spellStart"/>
      <w:r w:rsidRPr="00B01055">
        <w:rPr>
          <w:sz w:val="24"/>
          <w:szCs w:val="24"/>
          <w:lang w:eastAsia="fr-FR"/>
        </w:rPr>
        <w:t>phenylephrins</w:t>
      </w:r>
      <w:proofErr w:type="spellEnd"/>
      <w:r w:rsidRPr="00B01055">
        <w:rPr>
          <w:sz w:val="24"/>
          <w:szCs w:val="24"/>
          <w:lang w:eastAsia="fr-FR"/>
        </w:rPr>
        <w:t xml:space="preserve"> indtræder hurtigt og er af kort varighed, er behandlingen hovedsageligt understøttende. Øjeblikkelig injektion af et hurtigt virkende lægemiddel med alfa-</w:t>
      </w:r>
      <w:proofErr w:type="spellStart"/>
      <w:r w:rsidRPr="00B01055">
        <w:rPr>
          <w:sz w:val="24"/>
          <w:szCs w:val="24"/>
          <w:lang w:eastAsia="fr-FR"/>
        </w:rPr>
        <w:t>adrenergt</w:t>
      </w:r>
      <w:proofErr w:type="spellEnd"/>
      <w:r w:rsidRPr="00B01055">
        <w:rPr>
          <w:sz w:val="24"/>
          <w:szCs w:val="24"/>
          <w:lang w:eastAsia="fr-FR"/>
        </w:rPr>
        <w:t xml:space="preserve"> blokerende virkninger som f.eks. </w:t>
      </w:r>
      <w:proofErr w:type="spellStart"/>
      <w:r w:rsidRPr="00B01055">
        <w:rPr>
          <w:sz w:val="24"/>
          <w:szCs w:val="24"/>
          <w:lang w:eastAsia="fr-FR"/>
        </w:rPr>
        <w:t>phentolamin</w:t>
      </w:r>
      <w:proofErr w:type="spellEnd"/>
      <w:r w:rsidRPr="00B01055">
        <w:rPr>
          <w:sz w:val="24"/>
          <w:szCs w:val="24"/>
          <w:lang w:eastAsia="fr-FR"/>
        </w:rPr>
        <w:t xml:space="preserve"> (dosis 2-5 mg </w:t>
      </w:r>
      <w:proofErr w:type="spellStart"/>
      <w:r w:rsidRPr="00B01055">
        <w:rPr>
          <w:sz w:val="24"/>
          <w:szCs w:val="24"/>
          <w:lang w:eastAsia="fr-FR"/>
        </w:rPr>
        <w:t>i.v</w:t>
      </w:r>
      <w:proofErr w:type="spellEnd"/>
      <w:r w:rsidRPr="00B01055">
        <w:rPr>
          <w:sz w:val="24"/>
          <w:szCs w:val="24"/>
          <w:lang w:eastAsia="fr-FR"/>
        </w:rPr>
        <w:t>.) anbefales.</w:t>
      </w:r>
    </w:p>
    <w:p w:rsidR="00661826" w:rsidRPr="00B01055" w:rsidRDefault="00661826" w:rsidP="00661826">
      <w:pPr>
        <w:autoSpaceDE w:val="0"/>
        <w:autoSpaceDN w:val="0"/>
        <w:adjustRightInd w:val="0"/>
        <w:ind w:left="851" w:hanging="851"/>
        <w:rPr>
          <w:sz w:val="24"/>
          <w:szCs w:val="24"/>
          <w:lang w:eastAsia="fr-FR"/>
        </w:rPr>
      </w:pPr>
    </w:p>
    <w:p w:rsidR="00661826" w:rsidRPr="00B01055" w:rsidRDefault="00661826" w:rsidP="00661826">
      <w:pPr>
        <w:autoSpaceDE w:val="0"/>
        <w:autoSpaceDN w:val="0"/>
        <w:adjustRightInd w:val="0"/>
        <w:ind w:left="851"/>
        <w:rPr>
          <w:sz w:val="24"/>
          <w:szCs w:val="24"/>
          <w:lang w:eastAsia="fr-FR"/>
        </w:rPr>
      </w:pPr>
      <w:r w:rsidRPr="00B01055">
        <w:rPr>
          <w:sz w:val="24"/>
          <w:szCs w:val="24"/>
          <w:lang w:eastAsia="fr-FR"/>
        </w:rPr>
        <w:t xml:space="preserve">Symptomerne på en overdosering i øjet med </w:t>
      </w:r>
      <w:proofErr w:type="spellStart"/>
      <w:r w:rsidRPr="00B01055">
        <w:rPr>
          <w:sz w:val="24"/>
          <w:szCs w:val="24"/>
          <w:lang w:eastAsia="fr-FR"/>
        </w:rPr>
        <w:t>tropicamid</w:t>
      </w:r>
      <w:proofErr w:type="spellEnd"/>
      <w:r w:rsidRPr="00B01055">
        <w:rPr>
          <w:sz w:val="24"/>
          <w:szCs w:val="24"/>
          <w:lang w:eastAsia="fr-FR"/>
        </w:rPr>
        <w:t xml:space="preserve"> omfatter hovedpine, hurtig hjerterytme, tør mund og hud, unormal døsighed og rødme.</w:t>
      </w:r>
    </w:p>
    <w:p w:rsidR="00661826" w:rsidRPr="00B01055" w:rsidRDefault="00661826" w:rsidP="00661826">
      <w:pPr>
        <w:autoSpaceDE w:val="0"/>
        <w:autoSpaceDN w:val="0"/>
        <w:adjustRightInd w:val="0"/>
        <w:ind w:left="851"/>
        <w:rPr>
          <w:sz w:val="24"/>
          <w:szCs w:val="24"/>
        </w:rPr>
      </w:pPr>
      <w:r w:rsidRPr="00B01055">
        <w:rPr>
          <w:sz w:val="24"/>
          <w:szCs w:val="24"/>
          <w:lang w:eastAsia="fr-FR"/>
        </w:rPr>
        <w:t xml:space="preserve">Der forventes ingen systemiske virkninger ved </w:t>
      </w:r>
      <w:proofErr w:type="spellStart"/>
      <w:r w:rsidRPr="00B01055">
        <w:rPr>
          <w:sz w:val="24"/>
          <w:szCs w:val="24"/>
          <w:lang w:eastAsia="fr-FR"/>
        </w:rPr>
        <w:t>tropicamid</w:t>
      </w:r>
      <w:proofErr w:type="spellEnd"/>
      <w:r w:rsidRPr="00B01055">
        <w:rPr>
          <w:sz w:val="24"/>
          <w:szCs w:val="24"/>
          <w:lang w:eastAsia="fr-FR"/>
        </w:rPr>
        <w:t xml:space="preserve">. I tilfælde af en overdosering som forårsager lokale bivirkninger, som f.eks. vedvarende </w:t>
      </w:r>
      <w:proofErr w:type="spellStart"/>
      <w:r w:rsidRPr="00B01055">
        <w:rPr>
          <w:sz w:val="24"/>
          <w:szCs w:val="24"/>
          <w:lang w:eastAsia="fr-FR"/>
        </w:rPr>
        <w:t>mydriasis</w:t>
      </w:r>
      <w:proofErr w:type="spellEnd"/>
      <w:r w:rsidRPr="00B01055">
        <w:rPr>
          <w:sz w:val="24"/>
          <w:szCs w:val="24"/>
          <w:lang w:eastAsia="fr-FR"/>
        </w:rPr>
        <w:t xml:space="preserve">, bør </w:t>
      </w:r>
      <w:proofErr w:type="spellStart"/>
      <w:r w:rsidRPr="00B01055">
        <w:rPr>
          <w:sz w:val="24"/>
          <w:szCs w:val="24"/>
          <w:lang w:eastAsia="fr-FR"/>
        </w:rPr>
        <w:t>pilocarpin</w:t>
      </w:r>
      <w:proofErr w:type="spellEnd"/>
      <w:r w:rsidRPr="00B01055">
        <w:rPr>
          <w:sz w:val="24"/>
          <w:szCs w:val="24"/>
          <w:lang w:eastAsia="fr-FR"/>
        </w:rPr>
        <w:t xml:space="preserve"> eller 0,25</w:t>
      </w:r>
      <w:r>
        <w:rPr>
          <w:sz w:val="24"/>
          <w:szCs w:val="24"/>
          <w:lang w:eastAsia="fr-FR"/>
        </w:rPr>
        <w:t xml:space="preserve"> %</w:t>
      </w:r>
      <w:r w:rsidRPr="00B01055">
        <w:rPr>
          <w:sz w:val="24"/>
          <w:szCs w:val="24"/>
          <w:lang w:eastAsia="fr-FR"/>
        </w:rPr>
        <w:t xml:space="preserve"> </w:t>
      </w:r>
      <w:r w:rsidRPr="00B01055">
        <w:rPr>
          <w:sz w:val="24"/>
          <w:szCs w:val="24"/>
        </w:rPr>
        <w:t xml:space="preserve">w/v </w:t>
      </w:r>
      <w:proofErr w:type="spellStart"/>
      <w:r w:rsidRPr="00B01055">
        <w:rPr>
          <w:sz w:val="24"/>
          <w:szCs w:val="24"/>
        </w:rPr>
        <w:t>physostigmin</w:t>
      </w:r>
      <w:proofErr w:type="spellEnd"/>
      <w:r w:rsidRPr="00B01055">
        <w:rPr>
          <w:sz w:val="24"/>
          <w:szCs w:val="24"/>
        </w:rPr>
        <w:t xml:space="preserve"> anvendes.</w:t>
      </w:r>
    </w:p>
    <w:p w:rsidR="00661826" w:rsidRPr="00B01055" w:rsidRDefault="00661826" w:rsidP="00661826">
      <w:pPr>
        <w:autoSpaceDE w:val="0"/>
        <w:autoSpaceDN w:val="0"/>
        <w:adjustRightInd w:val="0"/>
        <w:ind w:left="851" w:hanging="851"/>
        <w:rPr>
          <w:sz w:val="24"/>
          <w:szCs w:val="24"/>
        </w:rPr>
      </w:pPr>
    </w:p>
    <w:p w:rsidR="00661826" w:rsidRPr="00B01055" w:rsidRDefault="00661826" w:rsidP="00661826">
      <w:pPr>
        <w:autoSpaceDE w:val="0"/>
        <w:autoSpaceDN w:val="0"/>
        <w:adjustRightInd w:val="0"/>
        <w:ind w:left="851"/>
        <w:rPr>
          <w:sz w:val="24"/>
          <w:szCs w:val="24"/>
          <w:lang w:eastAsia="fr-FR"/>
        </w:rPr>
      </w:pPr>
      <w:r w:rsidRPr="00B01055">
        <w:rPr>
          <w:sz w:val="24"/>
          <w:szCs w:val="24"/>
          <w:lang w:eastAsia="fr-FR"/>
        </w:rPr>
        <w:lastRenderedPageBreak/>
        <w:t xml:space="preserve">I tilfælde af udtalt absorption af </w:t>
      </w:r>
      <w:proofErr w:type="spellStart"/>
      <w:r w:rsidRPr="00B01055">
        <w:rPr>
          <w:sz w:val="24"/>
          <w:szCs w:val="24"/>
          <w:lang w:eastAsia="fr-FR"/>
        </w:rPr>
        <w:t>lidocain</w:t>
      </w:r>
      <w:proofErr w:type="spellEnd"/>
      <w:r w:rsidRPr="00B01055">
        <w:rPr>
          <w:sz w:val="24"/>
          <w:szCs w:val="24"/>
          <w:lang w:eastAsia="fr-FR"/>
        </w:rPr>
        <w:t xml:space="preserve"> i blodbanerne kan symptomerne omfatte effekt på centralnervesystemet (f.eks. kramper, bevidstløshed og </w:t>
      </w:r>
      <w:proofErr w:type="gramStart"/>
      <w:r w:rsidRPr="00B01055">
        <w:rPr>
          <w:sz w:val="24"/>
          <w:szCs w:val="24"/>
          <w:lang w:eastAsia="fr-FR"/>
        </w:rPr>
        <w:t>mulig</w:t>
      </w:r>
      <w:proofErr w:type="gramEnd"/>
      <w:r w:rsidRPr="00B01055">
        <w:rPr>
          <w:sz w:val="24"/>
          <w:szCs w:val="24"/>
          <w:lang w:eastAsia="fr-FR"/>
        </w:rPr>
        <w:t xml:space="preserve"> vejrtrækningsstop) og </w:t>
      </w:r>
      <w:proofErr w:type="spellStart"/>
      <w:r w:rsidRPr="00B01055">
        <w:rPr>
          <w:sz w:val="24"/>
          <w:szCs w:val="24"/>
          <w:lang w:eastAsia="fr-FR"/>
        </w:rPr>
        <w:t>kardiovaskulære</w:t>
      </w:r>
      <w:proofErr w:type="spellEnd"/>
      <w:r w:rsidRPr="00B01055">
        <w:rPr>
          <w:sz w:val="24"/>
          <w:szCs w:val="24"/>
          <w:lang w:eastAsia="fr-FR"/>
        </w:rPr>
        <w:t xml:space="preserve"> reaktioner (f.eks. hypotension, </w:t>
      </w:r>
      <w:proofErr w:type="spellStart"/>
      <w:r w:rsidRPr="00B01055">
        <w:rPr>
          <w:sz w:val="24"/>
          <w:szCs w:val="24"/>
          <w:lang w:eastAsia="fr-FR"/>
        </w:rPr>
        <w:t>myokardiedepression</w:t>
      </w:r>
      <w:proofErr w:type="spellEnd"/>
      <w:r w:rsidRPr="00B01055">
        <w:rPr>
          <w:sz w:val="24"/>
          <w:szCs w:val="24"/>
          <w:lang w:eastAsia="fr-FR"/>
        </w:rPr>
        <w:t>, bradykardi og muligt hjertestop).</w:t>
      </w:r>
    </w:p>
    <w:p w:rsidR="00661826" w:rsidRDefault="00661826" w:rsidP="00661826">
      <w:pPr>
        <w:autoSpaceDE w:val="0"/>
        <w:autoSpaceDN w:val="0"/>
        <w:adjustRightInd w:val="0"/>
        <w:ind w:left="851"/>
        <w:rPr>
          <w:sz w:val="24"/>
          <w:szCs w:val="24"/>
          <w:lang w:eastAsia="fr-FR"/>
        </w:rPr>
      </w:pPr>
      <w:r w:rsidRPr="00B01055">
        <w:rPr>
          <w:sz w:val="24"/>
          <w:szCs w:val="24"/>
          <w:lang w:eastAsia="fr-FR"/>
        </w:rPr>
        <w:t xml:space="preserve">Behandling af patienter med systemisk toksicitet forårsaget af </w:t>
      </w:r>
      <w:proofErr w:type="spellStart"/>
      <w:r w:rsidRPr="00B01055">
        <w:rPr>
          <w:sz w:val="24"/>
          <w:szCs w:val="24"/>
          <w:lang w:eastAsia="fr-FR"/>
        </w:rPr>
        <w:t>lidocain</w:t>
      </w:r>
      <w:proofErr w:type="spellEnd"/>
      <w:r w:rsidRPr="00B01055">
        <w:rPr>
          <w:sz w:val="24"/>
          <w:szCs w:val="24"/>
          <w:lang w:eastAsia="fr-FR"/>
        </w:rPr>
        <w:t xml:space="preserve"> består i at standse kramperne og sikre tilstrækkelig ventilation med oxygen, og om nødvendigt indsættes assisteret eller kontrolleret vejrtrækning (respirator).</w:t>
      </w:r>
    </w:p>
    <w:p w:rsidR="00661826" w:rsidRDefault="00661826" w:rsidP="00661826">
      <w:pPr>
        <w:autoSpaceDE w:val="0"/>
        <w:autoSpaceDN w:val="0"/>
        <w:adjustRightInd w:val="0"/>
        <w:ind w:left="851"/>
        <w:rPr>
          <w:sz w:val="24"/>
          <w:szCs w:val="24"/>
          <w:lang w:eastAsia="fr-FR"/>
        </w:rPr>
      </w:pPr>
    </w:p>
    <w:p w:rsidR="00661826" w:rsidRDefault="00661826" w:rsidP="00661826">
      <w:pPr>
        <w:autoSpaceDE w:val="0"/>
        <w:autoSpaceDN w:val="0"/>
        <w:adjustRightInd w:val="0"/>
        <w:ind w:left="851"/>
        <w:rPr>
          <w:sz w:val="24"/>
          <w:szCs w:val="24"/>
          <w:u w:val="single"/>
          <w:lang w:eastAsia="fr-FR"/>
        </w:rPr>
      </w:pPr>
      <w:r w:rsidRPr="00E06682">
        <w:rPr>
          <w:sz w:val="24"/>
          <w:szCs w:val="24"/>
          <w:u w:val="single"/>
          <w:lang w:eastAsia="fr-FR"/>
        </w:rPr>
        <w:t xml:space="preserve">Lokal virkning </w:t>
      </w:r>
    </w:p>
    <w:p w:rsidR="00661826" w:rsidRPr="000754E9" w:rsidRDefault="00661826" w:rsidP="00661826">
      <w:pPr>
        <w:autoSpaceDE w:val="0"/>
        <w:autoSpaceDN w:val="0"/>
        <w:adjustRightInd w:val="0"/>
        <w:ind w:left="851"/>
        <w:rPr>
          <w:sz w:val="24"/>
          <w:szCs w:val="24"/>
          <w:lang w:eastAsia="fr-FR"/>
        </w:rPr>
      </w:pPr>
      <w:r>
        <w:rPr>
          <w:sz w:val="24"/>
          <w:szCs w:val="24"/>
          <w:lang w:eastAsia="fr-FR"/>
        </w:rPr>
        <w:t xml:space="preserve">Overdosering kan medføre tab af </w:t>
      </w:r>
      <w:proofErr w:type="spellStart"/>
      <w:r>
        <w:rPr>
          <w:rStyle w:val="trns-org-res"/>
        </w:rPr>
        <w:t>endotelceller</w:t>
      </w:r>
      <w:proofErr w:type="spellEnd"/>
      <w:r>
        <w:rPr>
          <w:rStyle w:val="trns-org-res"/>
        </w:rPr>
        <w:t xml:space="preserve"> (se pkt. 4.4 og 5.1).</w:t>
      </w:r>
    </w:p>
    <w:p w:rsidR="00661826" w:rsidRPr="00B01055" w:rsidRDefault="00661826" w:rsidP="00661826">
      <w:pPr>
        <w:ind w:left="851" w:hanging="851"/>
        <w:rPr>
          <w:sz w:val="24"/>
          <w:szCs w:val="24"/>
        </w:rPr>
      </w:pPr>
    </w:p>
    <w:p w:rsidR="00661826" w:rsidRPr="00B01055" w:rsidRDefault="00661826" w:rsidP="00661826">
      <w:pPr>
        <w:ind w:left="851" w:hanging="851"/>
        <w:rPr>
          <w:b/>
          <w:sz w:val="24"/>
          <w:szCs w:val="24"/>
        </w:rPr>
      </w:pPr>
      <w:r w:rsidRPr="00B01055">
        <w:rPr>
          <w:b/>
          <w:sz w:val="24"/>
          <w:szCs w:val="24"/>
        </w:rPr>
        <w:t>4.10</w:t>
      </w:r>
      <w:r w:rsidRPr="00B01055">
        <w:rPr>
          <w:b/>
          <w:sz w:val="24"/>
          <w:szCs w:val="24"/>
        </w:rPr>
        <w:tab/>
        <w:t>Udlevering</w:t>
      </w:r>
    </w:p>
    <w:p w:rsidR="00661826" w:rsidRPr="00B01055" w:rsidRDefault="00661826" w:rsidP="00661826">
      <w:pPr>
        <w:ind w:left="851" w:hanging="851"/>
        <w:rPr>
          <w:sz w:val="24"/>
          <w:szCs w:val="24"/>
        </w:rPr>
      </w:pPr>
      <w:r w:rsidRPr="00B01055">
        <w:rPr>
          <w:sz w:val="24"/>
          <w:szCs w:val="24"/>
        </w:rPr>
        <w:tab/>
      </w:r>
      <w:r>
        <w:rPr>
          <w:sz w:val="24"/>
          <w:szCs w:val="24"/>
        </w:rPr>
        <w:t>NBS (kun til sygehuse og efter ordination af speciallæger i oftalmologi)</w:t>
      </w:r>
    </w:p>
    <w:p w:rsidR="00CB2A7A" w:rsidRDefault="00CB2A7A" w:rsidP="00CB2A7A">
      <w:pPr>
        <w:tabs>
          <w:tab w:val="left" w:pos="851"/>
        </w:tabs>
        <w:ind w:left="851"/>
        <w:rPr>
          <w:sz w:val="24"/>
          <w:szCs w:val="24"/>
        </w:rPr>
      </w:pPr>
    </w:p>
    <w:p w:rsidR="00315459" w:rsidRPr="00C84483" w:rsidRDefault="00315459" w:rsidP="00CB2A7A">
      <w:pPr>
        <w:tabs>
          <w:tab w:val="left" w:pos="851"/>
        </w:tabs>
        <w:ind w:left="851"/>
        <w:rPr>
          <w:sz w:val="24"/>
          <w:szCs w:val="24"/>
        </w:rPr>
      </w:pPr>
    </w:p>
    <w:p w:rsidR="00CB2A7A" w:rsidRPr="00C84483" w:rsidRDefault="00CB2A7A" w:rsidP="00CB2A7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B2A7A" w:rsidRPr="00C84483" w:rsidRDefault="00CB2A7A" w:rsidP="00CB2A7A">
      <w:pPr>
        <w:tabs>
          <w:tab w:val="left" w:pos="851"/>
        </w:tabs>
        <w:ind w:left="851"/>
        <w:rPr>
          <w:sz w:val="24"/>
          <w:szCs w:val="24"/>
        </w:rPr>
      </w:pPr>
    </w:p>
    <w:p w:rsidR="00CB2A7A" w:rsidRPr="00C84483" w:rsidRDefault="00CB2A7A" w:rsidP="00CB2A7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8D5120" w:rsidRDefault="008D5120" w:rsidP="008D5120">
      <w:pPr>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B01055">
        <w:rPr>
          <w:spacing w:val="-3"/>
          <w:sz w:val="24"/>
          <w:szCs w:val="24"/>
        </w:rPr>
        <w:t>Mydriatica</w:t>
      </w:r>
      <w:proofErr w:type="spellEnd"/>
      <w:r w:rsidRPr="00B01055">
        <w:rPr>
          <w:spacing w:val="-3"/>
          <w:sz w:val="24"/>
          <w:szCs w:val="24"/>
        </w:rPr>
        <w:t xml:space="preserve"> og </w:t>
      </w:r>
      <w:proofErr w:type="spellStart"/>
      <w:r w:rsidRPr="00B01055">
        <w:rPr>
          <w:spacing w:val="-3"/>
          <w:sz w:val="24"/>
          <w:szCs w:val="24"/>
        </w:rPr>
        <w:t>cycloplegica</w:t>
      </w:r>
      <w:proofErr w:type="spellEnd"/>
      <w:r w:rsidRPr="00B01055">
        <w:rPr>
          <w:spacing w:val="-3"/>
          <w:sz w:val="24"/>
          <w:szCs w:val="24"/>
        </w:rPr>
        <w:t xml:space="preserve">, </w:t>
      </w:r>
      <w:proofErr w:type="spellStart"/>
      <w:r w:rsidRPr="00B01055">
        <w:rPr>
          <w:spacing w:val="-3"/>
          <w:sz w:val="24"/>
          <w:szCs w:val="24"/>
        </w:rPr>
        <w:t>tropicamid</w:t>
      </w:r>
      <w:proofErr w:type="spellEnd"/>
      <w:r w:rsidRPr="00B01055">
        <w:rPr>
          <w:spacing w:val="-3"/>
          <w:sz w:val="24"/>
          <w:szCs w:val="24"/>
        </w:rPr>
        <w:t xml:space="preserve"> kombinationer</w:t>
      </w:r>
      <w:r>
        <w:rPr>
          <w:spacing w:val="-3"/>
          <w:sz w:val="24"/>
          <w:szCs w:val="24"/>
        </w:rPr>
        <w:t xml:space="preserve">, </w:t>
      </w:r>
      <w:r w:rsidRPr="00B01055">
        <w:rPr>
          <w:sz w:val="24"/>
          <w:szCs w:val="24"/>
        </w:rPr>
        <w:t>ATC-kode: S01FA56.</w:t>
      </w:r>
    </w:p>
    <w:p w:rsidR="008D5120" w:rsidRPr="00B01055" w:rsidRDefault="008D5120" w:rsidP="008D5120">
      <w:pPr>
        <w:ind w:left="851" w:hanging="851"/>
        <w:rPr>
          <w:sz w:val="24"/>
          <w:szCs w:val="24"/>
        </w:rPr>
      </w:pPr>
    </w:p>
    <w:p w:rsidR="00661826" w:rsidRPr="00B01055" w:rsidRDefault="00661826" w:rsidP="00661826">
      <w:pPr>
        <w:ind w:left="851" w:hanging="851"/>
        <w:rPr>
          <w:sz w:val="24"/>
          <w:szCs w:val="24"/>
        </w:rPr>
      </w:pPr>
      <w:r w:rsidRPr="00B01055">
        <w:rPr>
          <w:sz w:val="24"/>
          <w:szCs w:val="24"/>
        </w:rPr>
        <w:tab/>
      </w:r>
      <w:proofErr w:type="spellStart"/>
      <w:r>
        <w:rPr>
          <w:sz w:val="24"/>
          <w:szCs w:val="24"/>
        </w:rPr>
        <w:t>Mydrane</w:t>
      </w:r>
      <w:proofErr w:type="spellEnd"/>
      <w:r w:rsidRPr="00B01055">
        <w:rPr>
          <w:sz w:val="24"/>
          <w:szCs w:val="24"/>
        </w:rPr>
        <w:t xml:space="preserve"> er en opløsning til </w:t>
      </w:r>
      <w:proofErr w:type="spellStart"/>
      <w:r w:rsidRPr="00B01055">
        <w:rPr>
          <w:sz w:val="24"/>
          <w:szCs w:val="24"/>
        </w:rPr>
        <w:t>intrakameral</w:t>
      </w:r>
      <w:proofErr w:type="spellEnd"/>
      <w:r w:rsidRPr="00B01055">
        <w:rPr>
          <w:sz w:val="24"/>
          <w:szCs w:val="24"/>
        </w:rPr>
        <w:t xml:space="preserve"> injektion. Det indeholder en kombination af to syntetiske</w:t>
      </w:r>
      <w:r>
        <w:rPr>
          <w:sz w:val="24"/>
          <w:szCs w:val="24"/>
        </w:rPr>
        <w:t xml:space="preserve"> </w:t>
      </w:r>
      <w:proofErr w:type="spellStart"/>
      <w:r w:rsidRPr="00B01055">
        <w:rPr>
          <w:sz w:val="24"/>
          <w:szCs w:val="24"/>
        </w:rPr>
        <w:t>mydriatika</w:t>
      </w:r>
      <w:proofErr w:type="spellEnd"/>
      <w:r w:rsidRPr="00B01055">
        <w:rPr>
          <w:sz w:val="24"/>
          <w:szCs w:val="24"/>
        </w:rPr>
        <w:t xml:space="preserve"> (</w:t>
      </w:r>
      <w:proofErr w:type="spellStart"/>
      <w:r w:rsidRPr="00B01055">
        <w:rPr>
          <w:sz w:val="24"/>
          <w:szCs w:val="24"/>
        </w:rPr>
        <w:t>tropicamid</w:t>
      </w:r>
      <w:proofErr w:type="spellEnd"/>
      <w:r w:rsidRPr="00B01055">
        <w:rPr>
          <w:sz w:val="24"/>
          <w:szCs w:val="24"/>
        </w:rPr>
        <w:t xml:space="preserve"> – </w:t>
      </w:r>
      <w:proofErr w:type="spellStart"/>
      <w:r w:rsidRPr="00B01055">
        <w:rPr>
          <w:sz w:val="24"/>
          <w:szCs w:val="24"/>
        </w:rPr>
        <w:t>antikolinergikum</w:t>
      </w:r>
      <w:proofErr w:type="spellEnd"/>
      <w:r w:rsidRPr="00B01055">
        <w:rPr>
          <w:sz w:val="24"/>
          <w:szCs w:val="24"/>
        </w:rPr>
        <w:t xml:space="preserve"> og </w:t>
      </w:r>
      <w:proofErr w:type="spellStart"/>
      <w:r w:rsidRPr="00B01055">
        <w:rPr>
          <w:sz w:val="24"/>
          <w:szCs w:val="24"/>
        </w:rPr>
        <w:t>phenylephrin</w:t>
      </w:r>
      <w:proofErr w:type="spellEnd"/>
      <w:r w:rsidRPr="00B01055">
        <w:rPr>
          <w:sz w:val="24"/>
          <w:szCs w:val="24"/>
        </w:rPr>
        <w:t xml:space="preserve"> - alfa-</w:t>
      </w:r>
      <w:proofErr w:type="spellStart"/>
      <w:r w:rsidRPr="00B01055">
        <w:rPr>
          <w:sz w:val="24"/>
          <w:szCs w:val="24"/>
        </w:rPr>
        <w:t>sympatomimetikum</w:t>
      </w:r>
      <w:proofErr w:type="spellEnd"/>
      <w:r w:rsidRPr="00B01055">
        <w:rPr>
          <w:sz w:val="24"/>
          <w:szCs w:val="24"/>
        </w:rPr>
        <w:t>) og et</w:t>
      </w:r>
      <w:r>
        <w:rPr>
          <w:sz w:val="24"/>
          <w:szCs w:val="24"/>
        </w:rPr>
        <w:t xml:space="preserve"> </w:t>
      </w:r>
      <w:proofErr w:type="spellStart"/>
      <w:r w:rsidRPr="00B01055">
        <w:rPr>
          <w:sz w:val="24"/>
          <w:szCs w:val="24"/>
        </w:rPr>
        <w:t>lokalanæstetikum</w:t>
      </w:r>
      <w:proofErr w:type="spellEnd"/>
      <w:r w:rsidRPr="00B01055">
        <w:rPr>
          <w:sz w:val="24"/>
          <w:szCs w:val="24"/>
        </w:rPr>
        <w:t xml:space="preserve"> </w:t>
      </w:r>
      <w:r w:rsidR="00F65F50" w:rsidRPr="00B01055">
        <w:rPr>
          <w:sz w:val="24"/>
          <w:szCs w:val="24"/>
        </w:rPr>
        <w:t>(</w:t>
      </w:r>
      <w:proofErr w:type="spellStart"/>
      <w:r w:rsidR="00F65F50" w:rsidRPr="00B01055">
        <w:rPr>
          <w:sz w:val="24"/>
          <w:szCs w:val="24"/>
        </w:rPr>
        <w:t>lidocainhydrochlorid</w:t>
      </w:r>
      <w:r w:rsidR="00F65F50">
        <w:rPr>
          <w:sz w:val="24"/>
          <w:szCs w:val="24"/>
        </w:rPr>
        <w:t>monohydrat</w:t>
      </w:r>
      <w:proofErr w:type="spellEnd"/>
      <w:r w:rsidR="00F65F50" w:rsidRPr="00B01055">
        <w:rPr>
          <w:sz w:val="24"/>
          <w:szCs w:val="24"/>
        </w:rPr>
        <w:t>).</w:t>
      </w:r>
    </w:p>
    <w:p w:rsidR="00661826" w:rsidRPr="00B01055" w:rsidRDefault="00661826" w:rsidP="00661826">
      <w:pPr>
        <w:suppressAutoHyphens/>
        <w:ind w:left="851" w:hanging="851"/>
        <w:rPr>
          <w:sz w:val="24"/>
          <w:szCs w:val="24"/>
        </w:rPr>
      </w:pPr>
    </w:p>
    <w:p w:rsidR="00661826" w:rsidRPr="00B45BC7" w:rsidRDefault="00661826" w:rsidP="00661826">
      <w:pPr>
        <w:suppressAutoHyphens/>
        <w:ind w:left="851"/>
        <w:rPr>
          <w:b/>
          <w:bCs/>
          <w:noProof/>
          <w:sz w:val="24"/>
          <w:szCs w:val="24"/>
        </w:rPr>
      </w:pPr>
      <w:r w:rsidRPr="00B45BC7">
        <w:rPr>
          <w:b/>
          <w:bCs/>
          <w:noProof/>
          <w:sz w:val="24"/>
          <w:szCs w:val="24"/>
        </w:rPr>
        <w:t>Virkningsmekanisme</w:t>
      </w:r>
    </w:p>
    <w:p w:rsidR="00661826" w:rsidRPr="00B01055" w:rsidRDefault="00661826" w:rsidP="00661826">
      <w:pPr>
        <w:suppressAutoHyphens/>
        <w:ind w:left="851"/>
        <w:rPr>
          <w:sz w:val="24"/>
          <w:szCs w:val="24"/>
        </w:rPr>
      </w:pPr>
      <w:proofErr w:type="spellStart"/>
      <w:r w:rsidRPr="00B01055">
        <w:rPr>
          <w:sz w:val="24"/>
          <w:szCs w:val="24"/>
        </w:rPr>
        <w:t>Phenylephrin</w:t>
      </w:r>
      <w:proofErr w:type="spellEnd"/>
      <w:r w:rsidRPr="00B01055">
        <w:rPr>
          <w:sz w:val="24"/>
          <w:szCs w:val="24"/>
        </w:rPr>
        <w:t xml:space="preserve"> er et direkte virkende </w:t>
      </w:r>
      <w:proofErr w:type="spellStart"/>
      <w:r w:rsidRPr="00B01055">
        <w:rPr>
          <w:sz w:val="24"/>
          <w:szCs w:val="24"/>
        </w:rPr>
        <w:t>sympatomimetikum</w:t>
      </w:r>
      <w:proofErr w:type="spellEnd"/>
      <w:r w:rsidRPr="00B01055">
        <w:rPr>
          <w:sz w:val="24"/>
          <w:szCs w:val="24"/>
        </w:rPr>
        <w:t xml:space="preserve">. Det forårsager </w:t>
      </w:r>
      <w:proofErr w:type="spellStart"/>
      <w:r w:rsidRPr="00B01055">
        <w:rPr>
          <w:sz w:val="24"/>
          <w:szCs w:val="24"/>
        </w:rPr>
        <w:t>mydriasis</w:t>
      </w:r>
      <w:proofErr w:type="spellEnd"/>
      <w:r w:rsidRPr="00B01055">
        <w:rPr>
          <w:sz w:val="24"/>
          <w:szCs w:val="24"/>
        </w:rPr>
        <w:t xml:space="preserve"> ved at stimulere de </w:t>
      </w:r>
      <w:proofErr w:type="spellStart"/>
      <w:r w:rsidRPr="00B01055">
        <w:rPr>
          <w:sz w:val="24"/>
          <w:szCs w:val="24"/>
        </w:rPr>
        <w:t>alfaadrenerge</w:t>
      </w:r>
      <w:proofErr w:type="spellEnd"/>
      <w:r w:rsidRPr="00B01055">
        <w:rPr>
          <w:sz w:val="24"/>
          <w:szCs w:val="24"/>
        </w:rPr>
        <w:t xml:space="preserve"> receptorer i dilatationsmusklen i pupillen (den deraf følgende sammentrækning af pupillen medfører pupildilatation). Der er næsten ingen </w:t>
      </w:r>
      <w:proofErr w:type="spellStart"/>
      <w:r w:rsidRPr="00B01055">
        <w:rPr>
          <w:sz w:val="24"/>
          <w:szCs w:val="24"/>
        </w:rPr>
        <w:t>cyklopegisk</w:t>
      </w:r>
      <w:proofErr w:type="spellEnd"/>
      <w:r w:rsidRPr="00B01055">
        <w:rPr>
          <w:sz w:val="24"/>
          <w:szCs w:val="24"/>
        </w:rPr>
        <w:t xml:space="preserve"> ef</w:t>
      </w:r>
      <w:r w:rsidR="00CB2A7A">
        <w:rPr>
          <w:sz w:val="24"/>
          <w:szCs w:val="24"/>
        </w:rPr>
        <w:t>f</w:t>
      </w:r>
      <w:r w:rsidRPr="00B01055">
        <w:rPr>
          <w:sz w:val="24"/>
          <w:szCs w:val="24"/>
        </w:rPr>
        <w:t>ekt.</w:t>
      </w:r>
    </w:p>
    <w:p w:rsidR="00661826" w:rsidRPr="00B01055" w:rsidRDefault="00661826" w:rsidP="00661826">
      <w:pPr>
        <w:suppressAutoHyphens/>
        <w:ind w:left="851"/>
        <w:rPr>
          <w:sz w:val="24"/>
          <w:szCs w:val="24"/>
        </w:rPr>
      </w:pPr>
      <w:proofErr w:type="spellStart"/>
      <w:r w:rsidRPr="00B01055">
        <w:rPr>
          <w:sz w:val="24"/>
          <w:szCs w:val="24"/>
        </w:rPr>
        <w:t>Tropicamid</w:t>
      </w:r>
      <w:proofErr w:type="spellEnd"/>
      <w:r w:rsidRPr="00B01055">
        <w:rPr>
          <w:sz w:val="24"/>
          <w:szCs w:val="24"/>
        </w:rPr>
        <w:t xml:space="preserve"> er et </w:t>
      </w:r>
      <w:proofErr w:type="spellStart"/>
      <w:r w:rsidRPr="00B01055">
        <w:rPr>
          <w:sz w:val="24"/>
          <w:szCs w:val="24"/>
        </w:rPr>
        <w:t>parasympatomimetikum</w:t>
      </w:r>
      <w:proofErr w:type="spellEnd"/>
      <w:r w:rsidRPr="00B01055">
        <w:rPr>
          <w:sz w:val="24"/>
          <w:szCs w:val="24"/>
        </w:rPr>
        <w:t xml:space="preserve">, som virker ved at binde sig til og blokere M4 </w:t>
      </w:r>
      <w:proofErr w:type="spellStart"/>
      <w:r w:rsidRPr="00B01055">
        <w:rPr>
          <w:sz w:val="24"/>
          <w:szCs w:val="24"/>
        </w:rPr>
        <w:t>muskarine</w:t>
      </w:r>
      <w:proofErr w:type="spellEnd"/>
      <w:r w:rsidRPr="00B01055">
        <w:rPr>
          <w:sz w:val="24"/>
          <w:szCs w:val="24"/>
        </w:rPr>
        <w:t xml:space="preserve"> receptorer i øjenmuskulaturen. Det forhindrer iris </w:t>
      </w:r>
      <w:proofErr w:type="spellStart"/>
      <w:r w:rsidRPr="00B01055">
        <w:rPr>
          <w:sz w:val="24"/>
          <w:szCs w:val="24"/>
        </w:rPr>
        <w:t>sphincter</w:t>
      </w:r>
      <w:proofErr w:type="spellEnd"/>
      <w:r w:rsidRPr="00B01055">
        <w:rPr>
          <w:sz w:val="24"/>
          <w:szCs w:val="24"/>
        </w:rPr>
        <w:t xml:space="preserve"> musklen og corpus </w:t>
      </w:r>
      <w:proofErr w:type="spellStart"/>
      <w:r w:rsidRPr="00B01055">
        <w:rPr>
          <w:sz w:val="24"/>
          <w:szCs w:val="24"/>
        </w:rPr>
        <w:t>ciliare</w:t>
      </w:r>
      <w:proofErr w:type="spellEnd"/>
      <w:r w:rsidRPr="00B01055">
        <w:rPr>
          <w:sz w:val="24"/>
          <w:szCs w:val="24"/>
        </w:rPr>
        <w:t xml:space="preserve"> musklen i at respondere på </w:t>
      </w:r>
      <w:proofErr w:type="spellStart"/>
      <w:r w:rsidRPr="00B01055">
        <w:rPr>
          <w:sz w:val="24"/>
          <w:szCs w:val="24"/>
        </w:rPr>
        <w:t>kolinerg</w:t>
      </w:r>
      <w:proofErr w:type="spellEnd"/>
      <w:r w:rsidRPr="00B01055">
        <w:rPr>
          <w:sz w:val="24"/>
          <w:szCs w:val="24"/>
        </w:rPr>
        <w:t xml:space="preserve"> stimulans og frembringer herved dilatation af pupillen og paralyse af </w:t>
      </w:r>
      <w:proofErr w:type="spellStart"/>
      <w:r w:rsidRPr="00B01055">
        <w:rPr>
          <w:sz w:val="24"/>
          <w:szCs w:val="24"/>
        </w:rPr>
        <w:t>ciliarmusklen</w:t>
      </w:r>
      <w:proofErr w:type="spellEnd"/>
      <w:r w:rsidRPr="00B01055">
        <w:rPr>
          <w:sz w:val="24"/>
          <w:szCs w:val="24"/>
        </w:rPr>
        <w:t xml:space="preserve"> (</w:t>
      </w:r>
      <w:proofErr w:type="spellStart"/>
      <w:r w:rsidRPr="00B01055">
        <w:rPr>
          <w:sz w:val="24"/>
          <w:szCs w:val="24"/>
        </w:rPr>
        <w:t>cyclopegi</w:t>
      </w:r>
      <w:proofErr w:type="spellEnd"/>
      <w:r w:rsidRPr="00B01055">
        <w:rPr>
          <w:sz w:val="24"/>
          <w:szCs w:val="24"/>
        </w:rPr>
        <w:t>).</w:t>
      </w:r>
    </w:p>
    <w:p w:rsidR="00661826" w:rsidRPr="00B01055" w:rsidRDefault="00661826" w:rsidP="00661826">
      <w:pPr>
        <w:suppressAutoHyphens/>
        <w:ind w:left="851"/>
        <w:rPr>
          <w:bCs/>
          <w:noProof/>
          <w:sz w:val="24"/>
          <w:szCs w:val="24"/>
        </w:rPr>
      </w:pPr>
      <w:proofErr w:type="spellStart"/>
      <w:r w:rsidRPr="00B01055">
        <w:rPr>
          <w:sz w:val="24"/>
          <w:szCs w:val="24"/>
        </w:rPr>
        <w:t>Lidocain</w:t>
      </w:r>
      <w:proofErr w:type="spellEnd"/>
      <w:r w:rsidRPr="00B01055">
        <w:rPr>
          <w:sz w:val="24"/>
          <w:szCs w:val="24"/>
        </w:rPr>
        <w:t xml:space="preserve"> er et </w:t>
      </w:r>
      <w:proofErr w:type="spellStart"/>
      <w:r w:rsidRPr="00B01055">
        <w:rPr>
          <w:sz w:val="24"/>
          <w:szCs w:val="24"/>
        </w:rPr>
        <w:t>lokalanæstetikum</w:t>
      </w:r>
      <w:proofErr w:type="spellEnd"/>
      <w:r w:rsidRPr="00B01055">
        <w:rPr>
          <w:sz w:val="24"/>
          <w:szCs w:val="24"/>
        </w:rPr>
        <w:t xml:space="preserve"> af amidtypen. Det virker ved at hæmme den </w:t>
      </w:r>
      <w:proofErr w:type="spellStart"/>
      <w:r w:rsidRPr="00B01055">
        <w:rPr>
          <w:sz w:val="24"/>
          <w:szCs w:val="24"/>
        </w:rPr>
        <w:t>ioniske</w:t>
      </w:r>
      <w:proofErr w:type="spellEnd"/>
      <w:r w:rsidRPr="00B01055">
        <w:rPr>
          <w:sz w:val="24"/>
          <w:szCs w:val="24"/>
        </w:rPr>
        <w:t xml:space="preserve"> tilbagestrømning, der er nødvendig for impulsindledning og –overførsel og stabiliserer derved den neuronale membran.</w:t>
      </w:r>
    </w:p>
    <w:p w:rsidR="00661826" w:rsidRPr="00B01055" w:rsidRDefault="00661826" w:rsidP="00661826">
      <w:pPr>
        <w:suppressAutoHyphens/>
        <w:ind w:left="851" w:hanging="851"/>
        <w:rPr>
          <w:bCs/>
          <w:noProof/>
          <w:sz w:val="24"/>
          <w:szCs w:val="24"/>
        </w:rPr>
      </w:pPr>
    </w:p>
    <w:p w:rsidR="00661826" w:rsidRPr="00B45BC7" w:rsidRDefault="00661826" w:rsidP="00661826">
      <w:pPr>
        <w:suppressAutoHyphens/>
        <w:ind w:left="851"/>
        <w:rPr>
          <w:bCs/>
          <w:noProof/>
          <w:sz w:val="24"/>
          <w:szCs w:val="24"/>
          <w:u w:val="single"/>
        </w:rPr>
      </w:pPr>
      <w:r w:rsidRPr="00B45BC7">
        <w:rPr>
          <w:bCs/>
          <w:noProof/>
          <w:sz w:val="24"/>
          <w:szCs w:val="24"/>
          <w:u w:val="single"/>
        </w:rPr>
        <w:t>Farmakodynamisk virkning</w:t>
      </w:r>
    </w:p>
    <w:p w:rsidR="00661826" w:rsidRPr="00B01055" w:rsidRDefault="00661826" w:rsidP="00661826">
      <w:pPr>
        <w:suppressAutoHyphens/>
        <w:ind w:left="851"/>
        <w:rPr>
          <w:sz w:val="24"/>
          <w:szCs w:val="24"/>
        </w:rPr>
      </w:pPr>
      <w:r w:rsidRPr="00B01055">
        <w:rPr>
          <w:sz w:val="24"/>
          <w:szCs w:val="24"/>
        </w:rPr>
        <w:t xml:space="preserve">Selvom </w:t>
      </w:r>
      <w:proofErr w:type="spellStart"/>
      <w:r w:rsidRPr="00B01055">
        <w:rPr>
          <w:sz w:val="24"/>
          <w:szCs w:val="24"/>
        </w:rPr>
        <w:t>tropicamid</w:t>
      </w:r>
      <w:proofErr w:type="spellEnd"/>
      <w:r w:rsidRPr="00B01055">
        <w:rPr>
          <w:sz w:val="24"/>
          <w:szCs w:val="24"/>
        </w:rPr>
        <w:t xml:space="preserve"> som monoterapi producerer både </w:t>
      </w:r>
      <w:proofErr w:type="spellStart"/>
      <w:r w:rsidRPr="00B01055">
        <w:rPr>
          <w:sz w:val="24"/>
          <w:szCs w:val="24"/>
        </w:rPr>
        <w:t>mydriasis</w:t>
      </w:r>
      <w:proofErr w:type="spellEnd"/>
      <w:r w:rsidRPr="00B01055">
        <w:rPr>
          <w:sz w:val="24"/>
          <w:szCs w:val="24"/>
        </w:rPr>
        <w:t xml:space="preserve"> og </w:t>
      </w:r>
      <w:proofErr w:type="spellStart"/>
      <w:r w:rsidRPr="00B01055">
        <w:rPr>
          <w:sz w:val="24"/>
          <w:szCs w:val="24"/>
        </w:rPr>
        <w:t>cycloplegi</w:t>
      </w:r>
      <w:proofErr w:type="spellEnd"/>
      <w:r w:rsidRPr="00B01055">
        <w:rPr>
          <w:sz w:val="24"/>
          <w:szCs w:val="24"/>
        </w:rPr>
        <w:t xml:space="preserve">, sker yderlige </w:t>
      </w:r>
      <w:proofErr w:type="spellStart"/>
      <w:r w:rsidRPr="00B01055">
        <w:rPr>
          <w:sz w:val="24"/>
          <w:szCs w:val="24"/>
        </w:rPr>
        <w:t>mydriasis</w:t>
      </w:r>
      <w:proofErr w:type="spellEnd"/>
      <w:r w:rsidRPr="00B01055">
        <w:rPr>
          <w:sz w:val="24"/>
          <w:szCs w:val="24"/>
        </w:rPr>
        <w:t>,</w:t>
      </w:r>
      <w:r>
        <w:rPr>
          <w:sz w:val="24"/>
          <w:szCs w:val="24"/>
        </w:rPr>
        <w:t xml:space="preserve"> </w:t>
      </w:r>
      <w:r w:rsidRPr="00B01055">
        <w:rPr>
          <w:sz w:val="24"/>
          <w:szCs w:val="24"/>
        </w:rPr>
        <w:t xml:space="preserve">hvis </w:t>
      </w:r>
      <w:proofErr w:type="spellStart"/>
      <w:r w:rsidRPr="00B01055">
        <w:rPr>
          <w:sz w:val="24"/>
          <w:szCs w:val="24"/>
        </w:rPr>
        <w:t>sympatomimetika</w:t>
      </w:r>
      <w:proofErr w:type="spellEnd"/>
      <w:r w:rsidRPr="00B01055">
        <w:rPr>
          <w:sz w:val="24"/>
          <w:szCs w:val="24"/>
        </w:rPr>
        <w:t xml:space="preserve"> som f.eks. </w:t>
      </w:r>
      <w:proofErr w:type="spellStart"/>
      <w:r w:rsidRPr="00B01055">
        <w:rPr>
          <w:sz w:val="24"/>
          <w:szCs w:val="24"/>
        </w:rPr>
        <w:t>phenylephrin</w:t>
      </w:r>
      <w:proofErr w:type="spellEnd"/>
      <w:r w:rsidRPr="00B01055">
        <w:rPr>
          <w:sz w:val="24"/>
          <w:szCs w:val="24"/>
        </w:rPr>
        <w:t xml:space="preserve"> anvendes samtidigt. Sådanne </w:t>
      </w:r>
      <w:proofErr w:type="spellStart"/>
      <w:r w:rsidRPr="00B01055">
        <w:rPr>
          <w:sz w:val="24"/>
          <w:szCs w:val="24"/>
        </w:rPr>
        <w:t>synergistiske</w:t>
      </w:r>
      <w:proofErr w:type="spellEnd"/>
      <w:r w:rsidRPr="00B01055">
        <w:rPr>
          <w:sz w:val="24"/>
          <w:szCs w:val="24"/>
        </w:rPr>
        <w:t xml:space="preserve"> kombinationer ordineres normalt for at opnå optimal pupildilatation i forbindelse med kataraktekstraktion.  </w:t>
      </w:r>
    </w:p>
    <w:p w:rsidR="00661826" w:rsidRPr="00B01055" w:rsidRDefault="00661826" w:rsidP="00661826">
      <w:pPr>
        <w:ind w:left="851"/>
        <w:rPr>
          <w:iCs/>
          <w:sz w:val="24"/>
          <w:szCs w:val="24"/>
        </w:rPr>
      </w:pPr>
      <w:r w:rsidRPr="00B01055">
        <w:rPr>
          <w:iCs/>
          <w:sz w:val="24"/>
          <w:szCs w:val="24"/>
        </w:rPr>
        <w:t>I et klinisk fase-2 studie blev i gennemsnit 95</w:t>
      </w:r>
      <w:r>
        <w:rPr>
          <w:iCs/>
          <w:sz w:val="24"/>
          <w:szCs w:val="24"/>
        </w:rPr>
        <w:t xml:space="preserve"> %</w:t>
      </w:r>
      <w:r w:rsidRPr="00B01055">
        <w:rPr>
          <w:iCs/>
          <w:sz w:val="24"/>
          <w:szCs w:val="24"/>
        </w:rPr>
        <w:t xml:space="preserve"> af dilatation, målt før den </w:t>
      </w:r>
      <w:proofErr w:type="spellStart"/>
      <w:r w:rsidRPr="00B01055">
        <w:rPr>
          <w:iCs/>
          <w:sz w:val="24"/>
          <w:szCs w:val="24"/>
        </w:rPr>
        <w:t>viskoelastiske</w:t>
      </w:r>
      <w:proofErr w:type="spellEnd"/>
      <w:r w:rsidRPr="00B01055">
        <w:rPr>
          <w:iCs/>
          <w:sz w:val="24"/>
          <w:szCs w:val="24"/>
        </w:rPr>
        <w:t xml:space="preserve"> injektion, nået inden for 30 sekunder efter en enkelt </w:t>
      </w:r>
      <w:proofErr w:type="spellStart"/>
      <w:r w:rsidRPr="00B01055">
        <w:rPr>
          <w:iCs/>
          <w:sz w:val="24"/>
          <w:szCs w:val="24"/>
        </w:rPr>
        <w:t>intrakameral</w:t>
      </w:r>
      <w:proofErr w:type="spellEnd"/>
      <w:r w:rsidRPr="00B01055">
        <w:rPr>
          <w:iCs/>
          <w:sz w:val="24"/>
          <w:szCs w:val="24"/>
        </w:rPr>
        <w:t xml:space="preserve"> injektion med 200 µl </w:t>
      </w:r>
      <w:proofErr w:type="spellStart"/>
      <w:r>
        <w:rPr>
          <w:sz w:val="24"/>
          <w:szCs w:val="24"/>
        </w:rPr>
        <w:t>Mydrane</w:t>
      </w:r>
      <w:proofErr w:type="spellEnd"/>
      <w:r w:rsidRPr="00B01055">
        <w:rPr>
          <w:iCs/>
          <w:sz w:val="24"/>
          <w:szCs w:val="24"/>
        </w:rPr>
        <w:t xml:space="preserve">. Pupilstørrelser, som blev observeret i kliniske fase-2 og -3 forsøg, er vist i nedenstående tabel (patienter, som fik en enkelt </w:t>
      </w:r>
      <w:proofErr w:type="spellStart"/>
      <w:r w:rsidRPr="00B01055">
        <w:rPr>
          <w:iCs/>
          <w:sz w:val="24"/>
          <w:szCs w:val="24"/>
        </w:rPr>
        <w:t>intrakameral</w:t>
      </w:r>
      <w:proofErr w:type="spellEnd"/>
      <w:r w:rsidRPr="00B01055">
        <w:rPr>
          <w:iCs/>
          <w:sz w:val="24"/>
          <w:szCs w:val="24"/>
        </w:rPr>
        <w:t xml:space="preserve"> injektion med 200 µl </w:t>
      </w:r>
      <w:proofErr w:type="spellStart"/>
      <w:r>
        <w:rPr>
          <w:sz w:val="24"/>
          <w:szCs w:val="24"/>
        </w:rPr>
        <w:t>Mydrane</w:t>
      </w:r>
      <w:proofErr w:type="spellEnd"/>
      <w:r w:rsidRPr="00B01055">
        <w:rPr>
          <w:iCs/>
          <w:sz w:val="24"/>
          <w:szCs w:val="24"/>
        </w:rPr>
        <w:t>):</w:t>
      </w:r>
    </w:p>
    <w:p w:rsidR="00661826" w:rsidRDefault="00661826" w:rsidP="00661826">
      <w:pPr>
        <w:rPr>
          <w:bCs/>
          <w:noProof/>
          <w:sz w:val="24"/>
          <w:szCs w:val="24"/>
        </w:rPr>
      </w:pPr>
      <w:r>
        <w:rPr>
          <w:bCs/>
          <w:noProof/>
          <w:sz w:val="24"/>
          <w:szCs w:val="24"/>
        </w:rPr>
        <w:br w:type="page"/>
      </w:r>
    </w:p>
    <w:p w:rsidR="00661826" w:rsidRPr="00B01055" w:rsidRDefault="00661826" w:rsidP="00661826">
      <w:pPr>
        <w:suppressAutoHyphens/>
        <w:ind w:left="851" w:hanging="851"/>
        <w:rPr>
          <w:bCs/>
          <w:noProof/>
          <w:sz w:val="24"/>
          <w:szCs w:val="24"/>
        </w:rPr>
      </w:pPr>
    </w:p>
    <w:tbl>
      <w:tblPr>
        <w:tblW w:w="5000" w:type="pct"/>
        <w:jc w:val="center"/>
        <w:tblCellMar>
          <w:left w:w="0" w:type="dxa"/>
          <w:right w:w="0" w:type="dxa"/>
        </w:tblCellMar>
        <w:tblLook w:val="04A0" w:firstRow="1" w:lastRow="0" w:firstColumn="1" w:lastColumn="0" w:noHBand="0" w:noVBand="1"/>
      </w:tblPr>
      <w:tblGrid>
        <w:gridCol w:w="2225"/>
        <w:gridCol w:w="1789"/>
        <w:gridCol w:w="1895"/>
        <w:gridCol w:w="1860"/>
        <w:gridCol w:w="1849"/>
      </w:tblGrid>
      <w:tr w:rsidR="00661826" w:rsidRPr="00B01055" w:rsidTr="003B4BCE">
        <w:trPr>
          <w:trHeight w:val="251"/>
          <w:jc w:val="center"/>
        </w:trPr>
        <w:tc>
          <w:tcPr>
            <w:tcW w:w="115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61826" w:rsidRPr="00B01055" w:rsidRDefault="00661826" w:rsidP="003B4BCE">
            <w:pPr>
              <w:rPr>
                <w:bCs/>
                <w:noProof/>
                <w:sz w:val="24"/>
                <w:szCs w:val="24"/>
              </w:rPr>
            </w:pPr>
          </w:p>
        </w:tc>
        <w:tc>
          <w:tcPr>
            <w:tcW w:w="1915" w:type="pct"/>
            <w:gridSpan w:val="2"/>
            <w:tcBorders>
              <w:top w:val="single" w:sz="8" w:space="0" w:color="auto"/>
              <w:left w:val="nil"/>
              <w:bottom w:val="single" w:sz="8" w:space="0" w:color="auto"/>
              <w:right w:val="single" w:sz="8" w:space="0" w:color="auto"/>
            </w:tcBorders>
            <w:hideMark/>
          </w:tcPr>
          <w:p w:rsidR="00661826" w:rsidRPr="00B01055" w:rsidRDefault="00661826" w:rsidP="003B4BCE">
            <w:pPr>
              <w:spacing w:line="276" w:lineRule="auto"/>
              <w:jc w:val="center"/>
              <w:rPr>
                <w:rFonts w:eastAsia="Calibri"/>
                <w:sz w:val="24"/>
                <w:szCs w:val="24"/>
              </w:rPr>
            </w:pPr>
            <w:r w:rsidRPr="00B01055">
              <w:rPr>
                <w:sz w:val="24"/>
                <w:szCs w:val="24"/>
                <w:lang w:val="en-US"/>
              </w:rPr>
              <w:t xml:space="preserve">Fase-2 </w:t>
            </w:r>
            <w:proofErr w:type="spellStart"/>
            <w:r w:rsidRPr="00B01055">
              <w:rPr>
                <w:sz w:val="24"/>
                <w:szCs w:val="24"/>
                <w:lang w:val="en-US"/>
              </w:rPr>
              <w:t>studie</w:t>
            </w:r>
            <w:proofErr w:type="spellEnd"/>
            <w:r w:rsidRPr="00B01055">
              <w:rPr>
                <w:sz w:val="24"/>
                <w:szCs w:val="24"/>
                <w:lang w:val="en-US"/>
              </w:rPr>
              <w:t>, n=24</w:t>
            </w:r>
          </w:p>
        </w:tc>
        <w:tc>
          <w:tcPr>
            <w:tcW w:w="1928" w:type="pct"/>
            <w:gridSpan w:val="2"/>
            <w:tcBorders>
              <w:top w:val="single" w:sz="8" w:space="0" w:color="auto"/>
              <w:left w:val="nil"/>
              <w:bottom w:val="single" w:sz="8" w:space="0" w:color="auto"/>
              <w:right w:val="single" w:sz="8" w:space="0" w:color="auto"/>
            </w:tcBorders>
            <w:hideMark/>
          </w:tcPr>
          <w:p w:rsidR="00661826" w:rsidRPr="00B01055" w:rsidRDefault="00661826" w:rsidP="003B4BCE">
            <w:pPr>
              <w:spacing w:line="276" w:lineRule="auto"/>
              <w:jc w:val="center"/>
              <w:rPr>
                <w:rFonts w:eastAsia="Calibri"/>
                <w:sz w:val="24"/>
                <w:szCs w:val="24"/>
                <w:lang w:val="en-US"/>
              </w:rPr>
            </w:pPr>
            <w:r w:rsidRPr="00B01055">
              <w:rPr>
                <w:sz w:val="24"/>
                <w:szCs w:val="24"/>
                <w:lang w:val="en-US"/>
              </w:rPr>
              <w:t xml:space="preserve">Fase-3 </w:t>
            </w:r>
            <w:proofErr w:type="spellStart"/>
            <w:r w:rsidRPr="00B01055">
              <w:rPr>
                <w:sz w:val="24"/>
                <w:szCs w:val="24"/>
                <w:lang w:val="en-US"/>
              </w:rPr>
              <w:t>studie</w:t>
            </w:r>
            <w:proofErr w:type="spellEnd"/>
            <w:r w:rsidRPr="00B01055">
              <w:rPr>
                <w:sz w:val="24"/>
                <w:szCs w:val="24"/>
                <w:lang w:val="en-US"/>
              </w:rPr>
              <w:t>, n=181</w:t>
            </w:r>
          </w:p>
        </w:tc>
      </w:tr>
      <w:tr w:rsidR="00661826" w:rsidRPr="00B01055" w:rsidTr="003B4BCE">
        <w:trPr>
          <w:trHeight w:val="125"/>
          <w:jc w:val="center"/>
        </w:trPr>
        <w:tc>
          <w:tcPr>
            <w:tcW w:w="1157" w:type="pct"/>
            <w:vMerge/>
            <w:tcBorders>
              <w:top w:val="single" w:sz="8" w:space="0" w:color="auto"/>
              <w:left w:val="single" w:sz="8" w:space="0" w:color="auto"/>
              <w:bottom w:val="single" w:sz="8" w:space="0" w:color="auto"/>
              <w:right w:val="single" w:sz="8" w:space="0" w:color="auto"/>
            </w:tcBorders>
            <w:vAlign w:val="center"/>
            <w:hideMark/>
          </w:tcPr>
          <w:p w:rsidR="00661826" w:rsidRPr="00B01055" w:rsidRDefault="00661826" w:rsidP="003B4BCE">
            <w:pPr>
              <w:rPr>
                <w:bCs/>
                <w:noProof/>
                <w:sz w:val="24"/>
                <w:szCs w:val="24"/>
              </w:rPr>
            </w:pPr>
          </w:p>
        </w:tc>
        <w:tc>
          <w:tcPr>
            <w:tcW w:w="930" w:type="pct"/>
            <w:tcBorders>
              <w:top w:val="nil"/>
              <w:left w:val="nil"/>
              <w:bottom w:val="single" w:sz="8" w:space="0" w:color="auto"/>
              <w:right w:val="single" w:sz="8" w:space="0" w:color="auto"/>
            </w:tcBorders>
            <w:hideMark/>
          </w:tcPr>
          <w:p w:rsidR="00661826" w:rsidRPr="00B01055" w:rsidRDefault="00661826" w:rsidP="003B4BCE">
            <w:pPr>
              <w:jc w:val="center"/>
              <w:rPr>
                <w:rFonts w:eastAsia="Calibri"/>
                <w:sz w:val="24"/>
                <w:szCs w:val="24"/>
              </w:rPr>
            </w:pPr>
            <w:r w:rsidRPr="00B01055">
              <w:rPr>
                <w:sz w:val="24"/>
                <w:szCs w:val="24"/>
              </w:rPr>
              <w:t xml:space="preserve">Inden for 30 sekunder efter </w:t>
            </w:r>
            <w:proofErr w:type="spellStart"/>
            <w:r w:rsidRPr="00B01055">
              <w:rPr>
                <w:sz w:val="24"/>
                <w:szCs w:val="24"/>
              </w:rPr>
              <w:t>Mydrane</w:t>
            </w:r>
            <w:proofErr w:type="spellEnd"/>
            <w:r w:rsidRPr="00B01055">
              <w:rPr>
                <w:sz w:val="24"/>
                <w:szCs w:val="24"/>
              </w:rPr>
              <w:t xml:space="preserve"> injektion </w:t>
            </w:r>
          </w:p>
        </w:tc>
        <w:tc>
          <w:tcPr>
            <w:tcW w:w="984" w:type="pct"/>
            <w:tcBorders>
              <w:top w:val="nil"/>
              <w:left w:val="nil"/>
              <w:bottom w:val="single" w:sz="8" w:space="0" w:color="auto"/>
              <w:right w:val="single" w:sz="8" w:space="0" w:color="auto"/>
            </w:tcBorders>
            <w:tcMar>
              <w:top w:w="0" w:type="dxa"/>
              <w:left w:w="108" w:type="dxa"/>
              <w:bottom w:w="0" w:type="dxa"/>
              <w:right w:w="108" w:type="dxa"/>
            </w:tcMar>
            <w:hideMark/>
          </w:tcPr>
          <w:p w:rsidR="00661826" w:rsidRPr="00B01055" w:rsidRDefault="00661826" w:rsidP="003B4BCE">
            <w:pPr>
              <w:jc w:val="center"/>
              <w:rPr>
                <w:rFonts w:eastAsia="Calibri"/>
                <w:sz w:val="24"/>
                <w:szCs w:val="24"/>
              </w:rPr>
            </w:pPr>
            <w:r w:rsidRPr="00B01055">
              <w:rPr>
                <w:sz w:val="24"/>
                <w:szCs w:val="24"/>
              </w:rPr>
              <w:t xml:space="preserve">Efter injektion af </w:t>
            </w:r>
            <w:proofErr w:type="spellStart"/>
            <w:r w:rsidRPr="00B01055">
              <w:rPr>
                <w:sz w:val="24"/>
                <w:szCs w:val="24"/>
              </w:rPr>
              <w:t>Mydrane</w:t>
            </w:r>
            <w:proofErr w:type="spellEnd"/>
            <w:r w:rsidRPr="00B01055">
              <w:rPr>
                <w:sz w:val="24"/>
                <w:szCs w:val="24"/>
              </w:rPr>
              <w:t xml:space="preserve"> og efterfølgende </w:t>
            </w:r>
            <w:proofErr w:type="spellStart"/>
            <w:r w:rsidRPr="00B01055">
              <w:rPr>
                <w:sz w:val="24"/>
                <w:szCs w:val="24"/>
              </w:rPr>
              <w:t>viskoelastisk</w:t>
            </w:r>
            <w:proofErr w:type="spellEnd"/>
            <w:r w:rsidRPr="00B01055">
              <w:rPr>
                <w:sz w:val="24"/>
                <w:szCs w:val="24"/>
              </w:rPr>
              <w:t xml:space="preserve"> injektion </w:t>
            </w:r>
          </w:p>
        </w:tc>
        <w:tc>
          <w:tcPr>
            <w:tcW w:w="967" w:type="pct"/>
            <w:tcBorders>
              <w:top w:val="nil"/>
              <w:left w:val="nil"/>
              <w:bottom w:val="single" w:sz="8" w:space="0" w:color="auto"/>
              <w:right w:val="single" w:sz="8" w:space="0" w:color="auto"/>
            </w:tcBorders>
            <w:hideMark/>
          </w:tcPr>
          <w:p w:rsidR="00661826" w:rsidRPr="00B01055" w:rsidRDefault="00661826" w:rsidP="003B4BCE">
            <w:pPr>
              <w:jc w:val="center"/>
              <w:rPr>
                <w:rFonts w:eastAsia="Calibri"/>
                <w:sz w:val="24"/>
                <w:szCs w:val="24"/>
              </w:rPr>
            </w:pPr>
            <w:r w:rsidRPr="00B01055">
              <w:rPr>
                <w:sz w:val="24"/>
                <w:szCs w:val="24"/>
              </w:rPr>
              <w:t xml:space="preserve">Efter injektion af </w:t>
            </w:r>
            <w:proofErr w:type="spellStart"/>
            <w:r w:rsidRPr="00B01055">
              <w:rPr>
                <w:sz w:val="24"/>
                <w:szCs w:val="24"/>
              </w:rPr>
              <w:t>Mydrane</w:t>
            </w:r>
            <w:proofErr w:type="spellEnd"/>
            <w:r w:rsidRPr="00B01055">
              <w:rPr>
                <w:sz w:val="24"/>
                <w:szCs w:val="24"/>
              </w:rPr>
              <w:t xml:space="preserve"> og efterfølgende </w:t>
            </w:r>
            <w:proofErr w:type="spellStart"/>
            <w:r w:rsidRPr="00B01055">
              <w:rPr>
                <w:sz w:val="24"/>
                <w:szCs w:val="24"/>
              </w:rPr>
              <w:t>viskoelastisk</w:t>
            </w:r>
            <w:proofErr w:type="spellEnd"/>
            <w:r w:rsidRPr="00B01055">
              <w:rPr>
                <w:sz w:val="24"/>
                <w:szCs w:val="24"/>
              </w:rPr>
              <w:t xml:space="preserve"> injektion</w:t>
            </w:r>
          </w:p>
        </w:tc>
        <w:tc>
          <w:tcPr>
            <w:tcW w:w="962" w:type="pct"/>
            <w:tcBorders>
              <w:top w:val="nil"/>
              <w:left w:val="nil"/>
              <w:bottom w:val="single" w:sz="8" w:space="0" w:color="auto"/>
              <w:right w:val="single" w:sz="8" w:space="0" w:color="auto"/>
            </w:tcBorders>
            <w:hideMark/>
          </w:tcPr>
          <w:p w:rsidR="00661826" w:rsidRPr="00B01055" w:rsidRDefault="00661826" w:rsidP="003B4BCE">
            <w:pPr>
              <w:jc w:val="center"/>
              <w:rPr>
                <w:rFonts w:eastAsia="Calibri"/>
                <w:sz w:val="24"/>
                <w:szCs w:val="24"/>
                <w:lang w:val="en-US"/>
              </w:rPr>
            </w:pPr>
            <w:proofErr w:type="spellStart"/>
            <w:r w:rsidRPr="00B01055">
              <w:rPr>
                <w:sz w:val="24"/>
                <w:szCs w:val="24"/>
                <w:lang w:val="en-US"/>
              </w:rPr>
              <w:t>Umiddelbart</w:t>
            </w:r>
            <w:proofErr w:type="spellEnd"/>
            <w:r w:rsidRPr="00B01055">
              <w:rPr>
                <w:sz w:val="24"/>
                <w:szCs w:val="24"/>
                <w:lang w:val="en-US"/>
              </w:rPr>
              <w:t xml:space="preserve"> </w:t>
            </w:r>
            <w:proofErr w:type="spellStart"/>
            <w:r w:rsidRPr="00B01055">
              <w:rPr>
                <w:sz w:val="24"/>
                <w:szCs w:val="24"/>
                <w:lang w:val="en-US"/>
              </w:rPr>
              <w:t>inden</w:t>
            </w:r>
            <w:proofErr w:type="spellEnd"/>
            <w:r w:rsidR="004B78BE">
              <w:rPr>
                <w:sz w:val="24"/>
                <w:szCs w:val="24"/>
                <w:lang w:val="en-US"/>
              </w:rPr>
              <w:t xml:space="preserve"> </w:t>
            </w:r>
            <w:r w:rsidRPr="00B01055">
              <w:rPr>
                <w:sz w:val="24"/>
                <w:szCs w:val="24"/>
                <w:lang w:val="en-US"/>
              </w:rPr>
              <w:t>IOL-</w:t>
            </w:r>
            <w:proofErr w:type="spellStart"/>
            <w:r w:rsidRPr="00B01055">
              <w:rPr>
                <w:sz w:val="24"/>
                <w:szCs w:val="24"/>
                <w:lang w:val="en-US"/>
              </w:rPr>
              <w:t>injektion</w:t>
            </w:r>
            <w:proofErr w:type="spellEnd"/>
          </w:p>
        </w:tc>
      </w:tr>
      <w:tr w:rsidR="00661826" w:rsidRPr="00B01055" w:rsidTr="003B4BCE">
        <w:trPr>
          <w:trHeight w:val="792"/>
          <w:jc w:val="center"/>
        </w:trPr>
        <w:tc>
          <w:tcPr>
            <w:tcW w:w="115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61826" w:rsidRPr="00B01055" w:rsidRDefault="00661826" w:rsidP="003B4BCE">
            <w:pPr>
              <w:spacing w:line="276" w:lineRule="auto"/>
              <w:rPr>
                <w:rFonts w:eastAsia="Calibri"/>
                <w:b/>
                <w:sz w:val="24"/>
                <w:szCs w:val="24"/>
              </w:rPr>
            </w:pPr>
            <w:r w:rsidRPr="00B01055">
              <w:rPr>
                <w:b/>
                <w:sz w:val="24"/>
                <w:szCs w:val="24"/>
              </w:rPr>
              <w:t>Pupilstørrelse (mm)</w:t>
            </w:r>
          </w:p>
          <w:p w:rsidR="00661826" w:rsidRPr="00B01055" w:rsidRDefault="00661826" w:rsidP="003B4BCE">
            <w:pPr>
              <w:spacing w:line="276" w:lineRule="auto"/>
              <w:rPr>
                <w:b/>
                <w:sz w:val="24"/>
                <w:szCs w:val="24"/>
              </w:rPr>
            </w:pPr>
            <w:r w:rsidRPr="00B01055">
              <w:rPr>
                <w:b/>
                <w:sz w:val="24"/>
                <w:szCs w:val="24"/>
              </w:rPr>
              <w:t>Gennemsnitlig (SD, standarddeviation)</w:t>
            </w:r>
          </w:p>
          <w:p w:rsidR="00661826" w:rsidRPr="00B01055" w:rsidRDefault="00661826" w:rsidP="003B4BCE">
            <w:pPr>
              <w:spacing w:line="276" w:lineRule="auto"/>
              <w:rPr>
                <w:rFonts w:eastAsia="Calibri"/>
                <w:sz w:val="24"/>
                <w:szCs w:val="24"/>
              </w:rPr>
            </w:pPr>
            <w:r w:rsidRPr="00B01055">
              <w:rPr>
                <w:sz w:val="24"/>
                <w:szCs w:val="24"/>
              </w:rPr>
              <w:t>Median</w:t>
            </w:r>
          </w:p>
        </w:tc>
        <w:tc>
          <w:tcPr>
            <w:tcW w:w="930" w:type="pct"/>
            <w:tcBorders>
              <w:top w:val="nil"/>
              <w:left w:val="nil"/>
              <w:bottom w:val="single" w:sz="8" w:space="0" w:color="auto"/>
              <w:right w:val="single" w:sz="8" w:space="0" w:color="auto"/>
            </w:tcBorders>
          </w:tcPr>
          <w:p w:rsidR="00661826" w:rsidRPr="00B01055" w:rsidRDefault="00661826" w:rsidP="003B4BCE">
            <w:pPr>
              <w:spacing w:line="276" w:lineRule="auto"/>
              <w:jc w:val="center"/>
              <w:rPr>
                <w:rFonts w:eastAsia="Calibri"/>
                <w:sz w:val="24"/>
                <w:szCs w:val="24"/>
              </w:rPr>
            </w:pPr>
          </w:p>
          <w:p w:rsidR="00661826" w:rsidRDefault="00661826" w:rsidP="003B4BCE">
            <w:pPr>
              <w:spacing w:line="276" w:lineRule="auto"/>
              <w:jc w:val="center"/>
              <w:rPr>
                <w:b/>
                <w:sz w:val="24"/>
                <w:szCs w:val="24"/>
              </w:rPr>
            </w:pPr>
          </w:p>
          <w:p w:rsidR="00661826" w:rsidRPr="00B01055" w:rsidRDefault="00661826" w:rsidP="003B4BCE">
            <w:pPr>
              <w:spacing w:line="276" w:lineRule="auto"/>
              <w:jc w:val="center"/>
              <w:rPr>
                <w:b/>
                <w:sz w:val="24"/>
                <w:szCs w:val="24"/>
              </w:rPr>
            </w:pPr>
            <w:r w:rsidRPr="00B01055">
              <w:rPr>
                <w:b/>
                <w:sz w:val="24"/>
                <w:szCs w:val="24"/>
              </w:rPr>
              <w:t>6</w:t>
            </w:r>
            <w:r>
              <w:rPr>
                <w:b/>
                <w:sz w:val="24"/>
                <w:szCs w:val="24"/>
              </w:rPr>
              <w:t>,</w:t>
            </w:r>
            <w:r w:rsidRPr="00B01055">
              <w:rPr>
                <w:b/>
                <w:sz w:val="24"/>
                <w:szCs w:val="24"/>
              </w:rPr>
              <w:t>7 (0</w:t>
            </w:r>
            <w:r>
              <w:rPr>
                <w:b/>
                <w:sz w:val="24"/>
                <w:szCs w:val="24"/>
              </w:rPr>
              <w:t>,</w:t>
            </w:r>
            <w:r w:rsidRPr="00B01055">
              <w:rPr>
                <w:b/>
                <w:sz w:val="24"/>
                <w:szCs w:val="24"/>
              </w:rPr>
              <w:t>7)</w:t>
            </w:r>
          </w:p>
          <w:p w:rsidR="00661826" w:rsidRPr="00260A69" w:rsidRDefault="00661826" w:rsidP="003B4BCE">
            <w:pPr>
              <w:spacing w:line="276" w:lineRule="auto"/>
              <w:jc w:val="center"/>
              <w:rPr>
                <w:rFonts w:eastAsia="Calibri"/>
                <w:sz w:val="24"/>
                <w:szCs w:val="24"/>
              </w:rPr>
            </w:pPr>
            <w:r w:rsidRPr="00B01055">
              <w:rPr>
                <w:sz w:val="24"/>
                <w:szCs w:val="24"/>
              </w:rPr>
              <w:t>6</w:t>
            </w:r>
            <w:r>
              <w:rPr>
                <w:sz w:val="24"/>
                <w:szCs w:val="24"/>
              </w:rPr>
              <w:t>,</w:t>
            </w:r>
            <w:r w:rsidRPr="00B01055">
              <w:rPr>
                <w:sz w:val="24"/>
                <w:szCs w:val="24"/>
              </w:rPr>
              <w:t>7</w:t>
            </w:r>
          </w:p>
        </w:tc>
        <w:tc>
          <w:tcPr>
            <w:tcW w:w="984" w:type="pct"/>
            <w:tcBorders>
              <w:top w:val="nil"/>
              <w:left w:val="nil"/>
              <w:bottom w:val="single" w:sz="8" w:space="0" w:color="auto"/>
              <w:right w:val="single" w:sz="8" w:space="0" w:color="auto"/>
            </w:tcBorders>
            <w:tcMar>
              <w:top w:w="0" w:type="dxa"/>
              <w:left w:w="108" w:type="dxa"/>
              <w:bottom w:w="0" w:type="dxa"/>
              <w:right w:w="108" w:type="dxa"/>
            </w:tcMar>
          </w:tcPr>
          <w:p w:rsidR="00661826" w:rsidRPr="00B01055" w:rsidRDefault="00661826" w:rsidP="003B4BCE">
            <w:pPr>
              <w:spacing w:line="276" w:lineRule="auto"/>
              <w:jc w:val="center"/>
              <w:rPr>
                <w:rFonts w:eastAsia="Calibri"/>
                <w:sz w:val="24"/>
                <w:szCs w:val="24"/>
              </w:rPr>
            </w:pPr>
          </w:p>
          <w:p w:rsidR="00661826" w:rsidRDefault="00661826" w:rsidP="003B4BCE">
            <w:pPr>
              <w:spacing w:line="276" w:lineRule="auto"/>
              <w:jc w:val="center"/>
              <w:rPr>
                <w:b/>
                <w:sz w:val="24"/>
                <w:szCs w:val="24"/>
              </w:rPr>
            </w:pPr>
          </w:p>
          <w:p w:rsidR="00661826" w:rsidRPr="00B01055" w:rsidRDefault="00661826" w:rsidP="003B4BCE">
            <w:pPr>
              <w:spacing w:line="276" w:lineRule="auto"/>
              <w:jc w:val="center"/>
              <w:rPr>
                <w:b/>
                <w:sz w:val="24"/>
                <w:szCs w:val="24"/>
              </w:rPr>
            </w:pPr>
            <w:r w:rsidRPr="00B01055">
              <w:rPr>
                <w:b/>
                <w:sz w:val="24"/>
                <w:szCs w:val="24"/>
              </w:rPr>
              <w:t>7</w:t>
            </w:r>
            <w:r>
              <w:rPr>
                <w:b/>
                <w:sz w:val="24"/>
                <w:szCs w:val="24"/>
              </w:rPr>
              <w:t>,</w:t>
            </w:r>
            <w:r w:rsidRPr="00B01055">
              <w:rPr>
                <w:b/>
                <w:sz w:val="24"/>
                <w:szCs w:val="24"/>
              </w:rPr>
              <w:t>7 (0</w:t>
            </w:r>
            <w:r>
              <w:rPr>
                <w:b/>
                <w:sz w:val="24"/>
                <w:szCs w:val="24"/>
              </w:rPr>
              <w:t>,</w:t>
            </w:r>
            <w:r w:rsidRPr="00B01055">
              <w:rPr>
                <w:b/>
                <w:sz w:val="24"/>
                <w:szCs w:val="24"/>
              </w:rPr>
              <w:t>7)</w:t>
            </w:r>
          </w:p>
          <w:p w:rsidR="00661826" w:rsidRPr="00260A69" w:rsidRDefault="00661826" w:rsidP="003B4BCE">
            <w:pPr>
              <w:spacing w:line="276" w:lineRule="auto"/>
              <w:jc w:val="center"/>
              <w:rPr>
                <w:rFonts w:eastAsia="Calibri"/>
                <w:sz w:val="24"/>
                <w:szCs w:val="24"/>
              </w:rPr>
            </w:pPr>
            <w:r w:rsidRPr="00B01055">
              <w:rPr>
                <w:sz w:val="24"/>
                <w:szCs w:val="24"/>
              </w:rPr>
              <w:t>7</w:t>
            </w:r>
            <w:r>
              <w:rPr>
                <w:sz w:val="24"/>
                <w:szCs w:val="24"/>
              </w:rPr>
              <w:t>,</w:t>
            </w:r>
            <w:r w:rsidRPr="00B01055">
              <w:rPr>
                <w:sz w:val="24"/>
                <w:szCs w:val="24"/>
              </w:rPr>
              <w:t>7</w:t>
            </w:r>
          </w:p>
        </w:tc>
        <w:tc>
          <w:tcPr>
            <w:tcW w:w="967" w:type="pct"/>
            <w:tcBorders>
              <w:top w:val="nil"/>
              <w:left w:val="nil"/>
              <w:bottom w:val="single" w:sz="8" w:space="0" w:color="auto"/>
              <w:right w:val="single" w:sz="8" w:space="0" w:color="auto"/>
            </w:tcBorders>
          </w:tcPr>
          <w:p w:rsidR="00661826" w:rsidRPr="00B01055" w:rsidRDefault="00661826" w:rsidP="003B4BCE">
            <w:pPr>
              <w:spacing w:line="276" w:lineRule="auto"/>
              <w:jc w:val="center"/>
              <w:rPr>
                <w:rFonts w:eastAsia="Calibri"/>
                <w:sz w:val="24"/>
                <w:szCs w:val="24"/>
              </w:rPr>
            </w:pPr>
          </w:p>
          <w:p w:rsidR="00661826" w:rsidRDefault="00661826" w:rsidP="003B4BCE">
            <w:pPr>
              <w:spacing w:line="276" w:lineRule="auto"/>
              <w:jc w:val="center"/>
              <w:rPr>
                <w:b/>
                <w:sz w:val="24"/>
                <w:szCs w:val="24"/>
              </w:rPr>
            </w:pPr>
          </w:p>
          <w:p w:rsidR="00661826" w:rsidRPr="00B01055" w:rsidRDefault="00661826" w:rsidP="003B4BCE">
            <w:pPr>
              <w:spacing w:line="276" w:lineRule="auto"/>
              <w:jc w:val="center"/>
              <w:rPr>
                <w:b/>
                <w:sz w:val="24"/>
                <w:szCs w:val="24"/>
              </w:rPr>
            </w:pPr>
            <w:r w:rsidRPr="00B01055">
              <w:rPr>
                <w:b/>
                <w:sz w:val="24"/>
                <w:szCs w:val="24"/>
              </w:rPr>
              <w:t>7</w:t>
            </w:r>
            <w:r>
              <w:rPr>
                <w:b/>
                <w:sz w:val="24"/>
                <w:szCs w:val="24"/>
              </w:rPr>
              <w:t>,</w:t>
            </w:r>
            <w:r w:rsidRPr="00B01055">
              <w:rPr>
                <w:b/>
                <w:sz w:val="24"/>
                <w:szCs w:val="24"/>
              </w:rPr>
              <w:t>8 (0</w:t>
            </w:r>
            <w:r>
              <w:rPr>
                <w:b/>
                <w:sz w:val="24"/>
                <w:szCs w:val="24"/>
              </w:rPr>
              <w:t>,</w:t>
            </w:r>
            <w:r w:rsidRPr="00B01055">
              <w:rPr>
                <w:b/>
                <w:sz w:val="24"/>
                <w:szCs w:val="24"/>
              </w:rPr>
              <w:t>8)</w:t>
            </w:r>
          </w:p>
          <w:p w:rsidR="00661826" w:rsidRPr="00260A69" w:rsidRDefault="00661826" w:rsidP="003B4BCE">
            <w:pPr>
              <w:spacing w:line="276" w:lineRule="auto"/>
              <w:jc w:val="center"/>
              <w:rPr>
                <w:rFonts w:eastAsia="Calibri"/>
                <w:sz w:val="24"/>
                <w:szCs w:val="24"/>
              </w:rPr>
            </w:pPr>
            <w:r w:rsidRPr="00B01055">
              <w:rPr>
                <w:sz w:val="24"/>
                <w:szCs w:val="24"/>
              </w:rPr>
              <w:t>7</w:t>
            </w:r>
            <w:r>
              <w:rPr>
                <w:sz w:val="24"/>
                <w:szCs w:val="24"/>
              </w:rPr>
              <w:t>,</w:t>
            </w:r>
            <w:r w:rsidRPr="00B01055">
              <w:rPr>
                <w:sz w:val="24"/>
                <w:szCs w:val="24"/>
              </w:rPr>
              <w:t>8</w:t>
            </w:r>
          </w:p>
        </w:tc>
        <w:tc>
          <w:tcPr>
            <w:tcW w:w="962" w:type="pct"/>
            <w:tcBorders>
              <w:top w:val="nil"/>
              <w:left w:val="nil"/>
              <w:bottom w:val="single" w:sz="8" w:space="0" w:color="auto"/>
              <w:right w:val="single" w:sz="8" w:space="0" w:color="auto"/>
            </w:tcBorders>
          </w:tcPr>
          <w:p w:rsidR="00661826" w:rsidRPr="00B01055" w:rsidRDefault="00661826" w:rsidP="003B4BCE">
            <w:pPr>
              <w:spacing w:line="276" w:lineRule="auto"/>
              <w:jc w:val="center"/>
              <w:rPr>
                <w:rFonts w:eastAsia="Calibri"/>
                <w:sz w:val="24"/>
                <w:szCs w:val="24"/>
              </w:rPr>
            </w:pPr>
          </w:p>
          <w:p w:rsidR="00661826" w:rsidRDefault="00661826" w:rsidP="003B4BCE">
            <w:pPr>
              <w:spacing w:line="276" w:lineRule="auto"/>
              <w:jc w:val="center"/>
              <w:rPr>
                <w:b/>
                <w:sz w:val="24"/>
                <w:szCs w:val="24"/>
              </w:rPr>
            </w:pPr>
          </w:p>
          <w:p w:rsidR="00661826" w:rsidRPr="00B01055" w:rsidRDefault="00661826" w:rsidP="003B4BCE">
            <w:pPr>
              <w:spacing w:line="276" w:lineRule="auto"/>
              <w:jc w:val="center"/>
              <w:rPr>
                <w:b/>
                <w:sz w:val="24"/>
                <w:szCs w:val="24"/>
              </w:rPr>
            </w:pPr>
            <w:r w:rsidRPr="00B01055">
              <w:rPr>
                <w:b/>
                <w:sz w:val="24"/>
                <w:szCs w:val="24"/>
              </w:rPr>
              <w:t>7</w:t>
            </w:r>
            <w:r>
              <w:rPr>
                <w:b/>
                <w:sz w:val="24"/>
                <w:szCs w:val="24"/>
              </w:rPr>
              <w:t>,</w:t>
            </w:r>
            <w:r w:rsidRPr="00B01055">
              <w:rPr>
                <w:b/>
                <w:sz w:val="24"/>
                <w:szCs w:val="24"/>
              </w:rPr>
              <w:t>9 (0</w:t>
            </w:r>
            <w:r>
              <w:rPr>
                <w:b/>
                <w:sz w:val="24"/>
                <w:szCs w:val="24"/>
              </w:rPr>
              <w:t>,</w:t>
            </w:r>
            <w:r w:rsidRPr="00B01055">
              <w:rPr>
                <w:b/>
                <w:sz w:val="24"/>
                <w:szCs w:val="24"/>
              </w:rPr>
              <w:t>9)</w:t>
            </w:r>
          </w:p>
          <w:p w:rsidR="00661826" w:rsidRPr="00B01055" w:rsidRDefault="00661826" w:rsidP="003B4BCE">
            <w:pPr>
              <w:spacing w:line="276" w:lineRule="auto"/>
              <w:jc w:val="center"/>
              <w:rPr>
                <w:rFonts w:eastAsia="Calibri"/>
                <w:sz w:val="24"/>
                <w:szCs w:val="24"/>
              </w:rPr>
            </w:pPr>
            <w:r w:rsidRPr="00B01055">
              <w:rPr>
                <w:sz w:val="24"/>
                <w:szCs w:val="24"/>
              </w:rPr>
              <w:t>7</w:t>
            </w:r>
            <w:r>
              <w:rPr>
                <w:sz w:val="24"/>
                <w:szCs w:val="24"/>
              </w:rPr>
              <w:t>,</w:t>
            </w:r>
            <w:r w:rsidRPr="00B01055">
              <w:rPr>
                <w:sz w:val="24"/>
                <w:szCs w:val="24"/>
              </w:rPr>
              <w:t>9</w:t>
            </w:r>
          </w:p>
        </w:tc>
      </w:tr>
    </w:tbl>
    <w:p w:rsidR="00661826" w:rsidRPr="00260A69" w:rsidRDefault="00661826" w:rsidP="00661826">
      <w:pPr>
        <w:suppressAutoHyphens/>
        <w:ind w:left="851" w:hanging="851"/>
        <w:rPr>
          <w:bCs/>
          <w:noProof/>
          <w:sz w:val="24"/>
          <w:szCs w:val="24"/>
        </w:rPr>
      </w:pPr>
    </w:p>
    <w:p w:rsidR="00661826" w:rsidRPr="000F6F9A" w:rsidRDefault="00661826" w:rsidP="00661826">
      <w:pPr>
        <w:ind w:left="851"/>
        <w:rPr>
          <w:sz w:val="24"/>
          <w:szCs w:val="24"/>
        </w:rPr>
      </w:pPr>
      <w:r w:rsidRPr="000F6F9A">
        <w:rPr>
          <w:sz w:val="24"/>
          <w:szCs w:val="24"/>
        </w:rPr>
        <w:t xml:space="preserve">I fase-2 studiet var pupilstørrelsen efter en enkelt injektion af 200 µl </w:t>
      </w:r>
      <w:proofErr w:type="spellStart"/>
      <w:r>
        <w:rPr>
          <w:sz w:val="24"/>
          <w:szCs w:val="24"/>
        </w:rPr>
        <w:t>Mydrane</w:t>
      </w:r>
      <w:proofErr w:type="spellEnd"/>
      <w:r w:rsidRPr="000F6F9A">
        <w:rPr>
          <w:sz w:val="24"/>
          <w:szCs w:val="24"/>
        </w:rPr>
        <w:t xml:space="preserve"> og </w:t>
      </w:r>
      <w:proofErr w:type="spellStart"/>
      <w:r w:rsidRPr="000F6F9A">
        <w:rPr>
          <w:sz w:val="24"/>
          <w:szCs w:val="24"/>
        </w:rPr>
        <w:t>viskoelastisk</w:t>
      </w:r>
      <w:proofErr w:type="spellEnd"/>
      <w:r w:rsidRPr="000F6F9A">
        <w:rPr>
          <w:sz w:val="24"/>
          <w:szCs w:val="24"/>
        </w:rPr>
        <w:t xml:space="preserve"> injektion (lige inden </w:t>
      </w:r>
      <w:proofErr w:type="spellStart"/>
      <w:r w:rsidRPr="000F6F9A">
        <w:rPr>
          <w:sz w:val="24"/>
          <w:szCs w:val="24"/>
        </w:rPr>
        <w:t>capsulorhexis</w:t>
      </w:r>
      <w:proofErr w:type="spellEnd"/>
      <w:r w:rsidRPr="000F6F9A">
        <w:rPr>
          <w:sz w:val="24"/>
          <w:szCs w:val="24"/>
        </w:rPr>
        <w:t>), mindst 7 mm hos 86,7</w:t>
      </w:r>
      <w:r>
        <w:rPr>
          <w:sz w:val="24"/>
          <w:szCs w:val="24"/>
        </w:rPr>
        <w:t xml:space="preserve"> %</w:t>
      </w:r>
      <w:r w:rsidRPr="000F6F9A">
        <w:rPr>
          <w:sz w:val="24"/>
          <w:szCs w:val="24"/>
        </w:rPr>
        <w:t xml:space="preserve"> af patienterne. I disse kliniske fase-2 og 3 studier blev </w:t>
      </w:r>
      <w:proofErr w:type="spellStart"/>
      <w:r w:rsidRPr="000F6F9A">
        <w:rPr>
          <w:sz w:val="24"/>
          <w:szCs w:val="24"/>
        </w:rPr>
        <w:t>mydriasis</w:t>
      </w:r>
      <w:proofErr w:type="spellEnd"/>
      <w:r w:rsidRPr="000F6F9A">
        <w:rPr>
          <w:sz w:val="24"/>
          <w:szCs w:val="24"/>
        </w:rPr>
        <w:t xml:space="preserve"> med </w:t>
      </w:r>
      <w:proofErr w:type="spellStart"/>
      <w:r>
        <w:rPr>
          <w:sz w:val="24"/>
          <w:szCs w:val="24"/>
        </w:rPr>
        <w:t>Mydrane</w:t>
      </w:r>
      <w:proofErr w:type="spellEnd"/>
      <w:r w:rsidRPr="000F6F9A">
        <w:rPr>
          <w:sz w:val="24"/>
          <w:szCs w:val="24"/>
        </w:rPr>
        <w:t xml:space="preserve"> vist at være stabil indtil operationen var afsluttet. </w:t>
      </w:r>
    </w:p>
    <w:p w:rsidR="00661826" w:rsidRPr="000F6F9A" w:rsidRDefault="00661826" w:rsidP="00661826">
      <w:pPr>
        <w:ind w:left="851"/>
        <w:rPr>
          <w:sz w:val="24"/>
          <w:szCs w:val="24"/>
          <w:lang w:eastAsia="it-IT"/>
        </w:rPr>
      </w:pPr>
      <w:r w:rsidRPr="000F6F9A">
        <w:rPr>
          <w:sz w:val="24"/>
          <w:szCs w:val="24"/>
        </w:rPr>
        <w:t>Tilbagevenden af normal pupilstørrelse er påvist efter 5-7 timer.</w:t>
      </w:r>
    </w:p>
    <w:p w:rsidR="00661826" w:rsidRPr="000F6F9A" w:rsidRDefault="00661826" w:rsidP="00661826">
      <w:pPr>
        <w:ind w:left="851"/>
        <w:rPr>
          <w:bCs/>
          <w:noProof/>
          <w:sz w:val="24"/>
          <w:szCs w:val="24"/>
        </w:rPr>
      </w:pPr>
    </w:p>
    <w:p w:rsidR="00661826" w:rsidRPr="00B45BC7" w:rsidRDefault="00661826" w:rsidP="00661826">
      <w:pPr>
        <w:ind w:left="851"/>
        <w:rPr>
          <w:bCs/>
          <w:noProof/>
          <w:sz w:val="24"/>
          <w:szCs w:val="24"/>
          <w:u w:val="single"/>
        </w:rPr>
      </w:pPr>
      <w:r w:rsidRPr="00B45BC7">
        <w:rPr>
          <w:bCs/>
          <w:noProof/>
          <w:sz w:val="24"/>
          <w:szCs w:val="24"/>
          <w:u w:val="single"/>
        </w:rPr>
        <w:t>Klinisk virkning og sikkerhed</w:t>
      </w:r>
    </w:p>
    <w:p w:rsidR="00661826" w:rsidRPr="00315459" w:rsidRDefault="00661826" w:rsidP="00661826">
      <w:pPr>
        <w:ind w:left="851"/>
        <w:rPr>
          <w:color w:val="000000"/>
          <w:sz w:val="24"/>
          <w:szCs w:val="24"/>
          <w:lang w:eastAsia="fr-FR"/>
        </w:rPr>
      </w:pPr>
    </w:p>
    <w:p w:rsidR="00661826" w:rsidRPr="000D19BB" w:rsidRDefault="00661826" w:rsidP="00661826">
      <w:pPr>
        <w:ind w:left="851"/>
        <w:rPr>
          <w:i/>
          <w:color w:val="000000"/>
          <w:sz w:val="24"/>
          <w:szCs w:val="24"/>
          <w:lang w:eastAsia="fr-FR"/>
        </w:rPr>
      </w:pPr>
      <w:r>
        <w:rPr>
          <w:i/>
          <w:color w:val="000000"/>
          <w:sz w:val="24"/>
          <w:szCs w:val="24"/>
          <w:lang w:eastAsia="fr-FR"/>
        </w:rPr>
        <w:t>Klinisk virkning</w:t>
      </w:r>
    </w:p>
    <w:p w:rsidR="00661826" w:rsidRPr="000F6F9A" w:rsidRDefault="00661826" w:rsidP="00661826">
      <w:pPr>
        <w:ind w:left="851"/>
        <w:rPr>
          <w:sz w:val="24"/>
          <w:szCs w:val="24"/>
        </w:rPr>
      </w:pPr>
      <w:proofErr w:type="spellStart"/>
      <w:r>
        <w:rPr>
          <w:sz w:val="24"/>
          <w:szCs w:val="24"/>
        </w:rPr>
        <w:t>Mydrane</w:t>
      </w:r>
      <w:r w:rsidRPr="000F6F9A">
        <w:rPr>
          <w:color w:val="000000"/>
          <w:sz w:val="24"/>
          <w:szCs w:val="24"/>
          <w:lang w:eastAsia="fr-FR"/>
        </w:rPr>
        <w:t>s</w:t>
      </w:r>
      <w:proofErr w:type="spellEnd"/>
      <w:r w:rsidRPr="000F6F9A">
        <w:rPr>
          <w:color w:val="000000"/>
          <w:sz w:val="24"/>
          <w:szCs w:val="24"/>
          <w:lang w:eastAsia="fr-FR"/>
        </w:rPr>
        <w:t xml:space="preserve"> </w:t>
      </w:r>
      <w:proofErr w:type="spellStart"/>
      <w:r w:rsidRPr="000F6F9A">
        <w:rPr>
          <w:color w:val="000000"/>
          <w:sz w:val="24"/>
          <w:szCs w:val="24"/>
          <w:lang w:eastAsia="fr-FR"/>
        </w:rPr>
        <w:t>mydriatiske</w:t>
      </w:r>
      <w:proofErr w:type="spellEnd"/>
      <w:r w:rsidRPr="000F6F9A">
        <w:rPr>
          <w:color w:val="000000"/>
          <w:sz w:val="24"/>
          <w:szCs w:val="24"/>
          <w:lang w:eastAsia="fr-FR"/>
        </w:rPr>
        <w:t xml:space="preserve"> og anæstetiske virkning er blevet undersøgt i et </w:t>
      </w:r>
      <w:proofErr w:type="spellStart"/>
      <w:r w:rsidRPr="000F6F9A">
        <w:rPr>
          <w:color w:val="000000"/>
          <w:sz w:val="24"/>
          <w:szCs w:val="24"/>
          <w:lang w:eastAsia="fr-FR"/>
        </w:rPr>
        <w:t>multi</w:t>
      </w:r>
      <w:proofErr w:type="spellEnd"/>
      <w:r w:rsidRPr="000F6F9A">
        <w:rPr>
          <w:color w:val="000000"/>
          <w:sz w:val="24"/>
          <w:szCs w:val="24"/>
          <w:lang w:eastAsia="fr-FR"/>
        </w:rPr>
        <w:t xml:space="preserve">-center, randomiseret åbent fase-3 studie, hvor den blev sammenlignet med en standard </w:t>
      </w:r>
      <w:proofErr w:type="spellStart"/>
      <w:r w:rsidRPr="000F6F9A">
        <w:rPr>
          <w:color w:val="000000"/>
          <w:sz w:val="24"/>
          <w:szCs w:val="24"/>
          <w:lang w:eastAsia="fr-FR"/>
        </w:rPr>
        <w:t>topikalbehandling</w:t>
      </w:r>
      <w:proofErr w:type="spellEnd"/>
      <w:r w:rsidRPr="000F6F9A">
        <w:rPr>
          <w:color w:val="000000"/>
          <w:sz w:val="24"/>
          <w:szCs w:val="24"/>
          <w:lang w:eastAsia="fr-FR"/>
        </w:rPr>
        <w:t xml:space="preserve"> (</w:t>
      </w:r>
      <w:proofErr w:type="spellStart"/>
      <w:r w:rsidRPr="000F6F9A">
        <w:rPr>
          <w:color w:val="000000"/>
          <w:sz w:val="24"/>
          <w:szCs w:val="24"/>
          <w:lang w:eastAsia="fr-FR"/>
        </w:rPr>
        <w:t>phenylephrin</w:t>
      </w:r>
      <w:proofErr w:type="spellEnd"/>
      <w:r w:rsidRPr="000F6F9A">
        <w:rPr>
          <w:color w:val="000000"/>
          <w:sz w:val="24"/>
          <w:szCs w:val="24"/>
          <w:lang w:eastAsia="fr-FR"/>
        </w:rPr>
        <w:t xml:space="preserve"> og </w:t>
      </w:r>
      <w:proofErr w:type="spellStart"/>
      <w:r w:rsidRPr="000F6F9A">
        <w:rPr>
          <w:color w:val="000000"/>
          <w:sz w:val="24"/>
          <w:szCs w:val="24"/>
          <w:lang w:eastAsia="fr-FR"/>
        </w:rPr>
        <w:t>tropicamid</w:t>
      </w:r>
      <w:proofErr w:type="spellEnd"/>
      <w:r w:rsidRPr="000F6F9A">
        <w:rPr>
          <w:color w:val="000000"/>
          <w:sz w:val="24"/>
          <w:szCs w:val="24"/>
          <w:lang w:eastAsia="fr-FR"/>
        </w:rPr>
        <w:t xml:space="preserve">) hos 555 patienter, der fik foretaget </w:t>
      </w:r>
      <w:r w:rsidRPr="000F6F9A">
        <w:rPr>
          <w:sz w:val="24"/>
          <w:szCs w:val="24"/>
        </w:rPr>
        <w:t>kataraktoperation</w:t>
      </w:r>
      <w:r w:rsidRPr="000F6F9A">
        <w:rPr>
          <w:color w:val="000000"/>
          <w:sz w:val="24"/>
          <w:szCs w:val="24"/>
          <w:lang w:eastAsia="fr-FR"/>
        </w:rPr>
        <w:t xml:space="preserve"> med en pupildiameter ≥ 7 mm efter </w:t>
      </w:r>
      <w:proofErr w:type="spellStart"/>
      <w:r w:rsidRPr="000F6F9A">
        <w:rPr>
          <w:color w:val="000000"/>
          <w:sz w:val="24"/>
          <w:szCs w:val="24"/>
          <w:lang w:eastAsia="fr-FR"/>
        </w:rPr>
        <w:t>topikal</w:t>
      </w:r>
      <w:proofErr w:type="spellEnd"/>
      <w:r w:rsidRPr="000F6F9A">
        <w:rPr>
          <w:color w:val="000000"/>
          <w:sz w:val="24"/>
          <w:szCs w:val="24"/>
          <w:lang w:eastAsia="fr-FR"/>
        </w:rPr>
        <w:t xml:space="preserve"> anvendelse af et </w:t>
      </w:r>
      <w:proofErr w:type="spellStart"/>
      <w:r w:rsidRPr="000F6F9A">
        <w:rPr>
          <w:color w:val="000000"/>
          <w:sz w:val="24"/>
          <w:szCs w:val="24"/>
          <w:lang w:eastAsia="fr-FR"/>
        </w:rPr>
        <w:t>mydriatikum</w:t>
      </w:r>
      <w:proofErr w:type="spellEnd"/>
      <w:r w:rsidRPr="000F6F9A">
        <w:rPr>
          <w:color w:val="000000"/>
          <w:sz w:val="24"/>
          <w:szCs w:val="24"/>
          <w:lang w:eastAsia="fr-FR"/>
        </w:rPr>
        <w:t xml:space="preserve">. </w:t>
      </w:r>
      <w:proofErr w:type="spellStart"/>
      <w:r w:rsidRPr="000F6F9A">
        <w:rPr>
          <w:color w:val="000000"/>
          <w:sz w:val="24"/>
          <w:szCs w:val="24"/>
          <w:lang w:eastAsia="fr-FR"/>
        </w:rPr>
        <w:t>Tetracain</w:t>
      </w:r>
      <w:proofErr w:type="spellEnd"/>
      <w:r w:rsidRPr="000F6F9A">
        <w:rPr>
          <w:color w:val="000000"/>
          <w:sz w:val="24"/>
          <w:szCs w:val="24"/>
          <w:lang w:eastAsia="fr-FR"/>
        </w:rPr>
        <w:t xml:space="preserve"> 1</w:t>
      </w:r>
      <w:r>
        <w:rPr>
          <w:color w:val="000000"/>
          <w:sz w:val="24"/>
          <w:szCs w:val="24"/>
          <w:lang w:eastAsia="fr-FR"/>
        </w:rPr>
        <w:t xml:space="preserve"> %</w:t>
      </w:r>
      <w:r w:rsidRPr="000F6F9A">
        <w:rPr>
          <w:color w:val="000000"/>
          <w:sz w:val="24"/>
          <w:szCs w:val="24"/>
          <w:lang w:eastAsia="fr-FR"/>
        </w:rPr>
        <w:t xml:space="preserve"> øjendråber blev </w:t>
      </w:r>
      <w:proofErr w:type="spellStart"/>
      <w:r w:rsidRPr="000F6F9A">
        <w:rPr>
          <w:color w:val="000000"/>
          <w:sz w:val="24"/>
          <w:szCs w:val="24"/>
          <w:lang w:eastAsia="fr-FR"/>
        </w:rPr>
        <w:t>inddryppet</w:t>
      </w:r>
      <w:proofErr w:type="spellEnd"/>
      <w:r w:rsidRPr="000F6F9A">
        <w:rPr>
          <w:color w:val="000000"/>
          <w:sz w:val="24"/>
          <w:szCs w:val="24"/>
          <w:lang w:eastAsia="fr-FR"/>
        </w:rPr>
        <w:t xml:space="preserve"> 5 minutter og 1 minut før operation i begge grupper.</w:t>
      </w:r>
    </w:p>
    <w:p w:rsidR="00661826" w:rsidRDefault="00661826" w:rsidP="00661826">
      <w:pPr>
        <w:ind w:left="851"/>
        <w:rPr>
          <w:i/>
          <w:sz w:val="24"/>
          <w:szCs w:val="24"/>
        </w:rPr>
      </w:pPr>
    </w:p>
    <w:p w:rsidR="00661826" w:rsidRPr="000F6F9A" w:rsidRDefault="00661826" w:rsidP="00661826">
      <w:pPr>
        <w:ind w:left="851"/>
        <w:rPr>
          <w:i/>
          <w:sz w:val="24"/>
          <w:szCs w:val="24"/>
        </w:rPr>
      </w:pPr>
      <w:proofErr w:type="spellStart"/>
      <w:r>
        <w:rPr>
          <w:i/>
          <w:sz w:val="24"/>
          <w:szCs w:val="24"/>
        </w:rPr>
        <w:t>Mydriasis</w:t>
      </w:r>
      <w:proofErr w:type="spellEnd"/>
    </w:p>
    <w:p w:rsidR="00661826" w:rsidRPr="000F6F9A" w:rsidRDefault="00661826" w:rsidP="00661826">
      <w:pPr>
        <w:ind w:left="851"/>
        <w:rPr>
          <w:color w:val="000000"/>
          <w:sz w:val="24"/>
          <w:szCs w:val="24"/>
          <w:lang w:eastAsia="fr-FR"/>
        </w:rPr>
      </w:pPr>
      <w:proofErr w:type="spellStart"/>
      <w:r>
        <w:rPr>
          <w:sz w:val="24"/>
          <w:szCs w:val="24"/>
        </w:rPr>
        <w:t>Mydrane</w:t>
      </w:r>
      <w:r w:rsidRPr="000F6F9A">
        <w:rPr>
          <w:sz w:val="24"/>
          <w:szCs w:val="24"/>
        </w:rPr>
        <w:t>s</w:t>
      </w:r>
      <w:proofErr w:type="spellEnd"/>
      <w:r w:rsidRPr="000F6F9A">
        <w:rPr>
          <w:sz w:val="24"/>
          <w:szCs w:val="24"/>
        </w:rPr>
        <w:t xml:space="preserve"> </w:t>
      </w:r>
      <w:r w:rsidRPr="000F6F9A">
        <w:rPr>
          <w:color w:val="000000"/>
          <w:sz w:val="24"/>
          <w:szCs w:val="24"/>
          <w:lang w:eastAsia="fr-FR"/>
        </w:rPr>
        <w:t xml:space="preserve">non-inferioritet </w:t>
      </w:r>
      <w:r w:rsidRPr="000F6F9A">
        <w:rPr>
          <w:i/>
          <w:color w:val="000000"/>
          <w:sz w:val="24"/>
          <w:szCs w:val="24"/>
          <w:lang w:eastAsia="fr-FR"/>
        </w:rPr>
        <w:t>versus</w:t>
      </w:r>
      <w:r w:rsidRPr="000F6F9A">
        <w:rPr>
          <w:color w:val="000000"/>
          <w:sz w:val="24"/>
          <w:szCs w:val="24"/>
          <w:lang w:eastAsia="fr-FR"/>
        </w:rPr>
        <w:t xml:space="preserve"> referencebehandlingen (</w:t>
      </w:r>
      <w:proofErr w:type="spellStart"/>
      <w:r w:rsidRPr="000F6F9A">
        <w:rPr>
          <w:color w:val="000000"/>
          <w:sz w:val="24"/>
          <w:szCs w:val="24"/>
          <w:lang w:eastAsia="fr-FR"/>
        </w:rPr>
        <w:t>tropicamid</w:t>
      </w:r>
      <w:proofErr w:type="spellEnd"/>
      <w:r w:rsidRPr="000F6F9A">
        <w:rPr>
          <w:color w:val="000000"/>
          <w:sz w:val="24"/>
          <w:szCs w:val="24"/>
          <w:lang w:eastAsia="fr-FR"/>
        </w:rPr>
        <w:t xml:space="preserve"> 0,5</w:t>
      </w:r>
      <w:r>
        <w:rPr>
          <w:color w:val="000000"/>
          <w:sz w:val="24"/>
          <w:szCs w:val="24"/>
          <w:lang w:eastAsia="fr-FR"/>
        </w:rPr>
        <w:t xml:space="preserve"> %</w:t>
      </w:r>
      <w:r w:rsidRPr="000F6F9A">
        <w:rPr>
          <w:color w:val="000000"/>
          <w:sz w:val="24"/>
          <w:szCs w:val="24"/>
          <w:lang w:eastAsia="fr-FR"/>
        </w:rPr>
        <w:t xml:space="preserve"> øjendråber og </w:t>
      </w:r>
      <w:proofErr w:type="spellStart"/>
      <w:r w:rsidRPr="000F6F9A">
        <w:rPr>
          <w:color w:val="000000"/>
          <w:sz w:val="24"/>
          <w:szCs w:val="24"/>
          <w:lang w:eastAsia="fr-FR"/>
        </w:rPr>
        <w:t>phenylephrin</w:t>
      </w:r>
      <w:proofErr w:type="spellEnd"/>
      <w:r w:rsidRPr="000F6F9A">
        <w:rPr>
          <w:color w:val="000000"/>
          <w:sz w:val="24"/>
          <w:szCs w:val="24"/>
          <w:lang w:eastAsia="fr-FR"/>
        </w:rPr>
        <w:t xml:space="preserve"> 10</w:t>
      </w:r>
      <w:r>
        <w:rPr>
          <w:color w:val="000000"/>
          <w:sz w:val="24"/>
          <w:szCs w:val="24"/>
          <w:lang w:eastAsia="fr-FR"/>
        </w:rPr>
        <w:t xml:space="preserve"> %</w:t>
      </w:r>
      <w:r w:rsidRPr="000F6F9A">
        <w:rPr>
          <w:color w:val="000000"/>
          <w:sz w:val="24"/>
          <w:szCs w:val="24"/>
          <w:lang w:eastAsia="fr-FR"/>
        </w:rPr>
        <w:t xml:space="preserve"> øjendråber, anvendelse af en dråbe af hver gentaget 3 gange før operation) blev påvist for de primære og </w:t>
      </w:r>
      <w:proofErr w:type="spellStart"/>
      <w:r w:rsidRPr="000F6F9A">
        <w:rPr>
          <w:color w:val="000000"/>
          <w:sz w:val="24"/>
          <w:szCs w:val="24"/>
          <w:lang w:eastAsia="fr-FR"/>
        </w:rPr>
        <w:t>co</w:t>
      </w:r>
      <w:proofErr w:type="spellEnd"/>
      <w:r w:rsidRPr="000F6F9A">
        <w:rPr>
          <w:color w:val="000000"/>
          <w:sz w:val="24"/>
          <w:szCs w:val="24"/>
          <w:lang w:eastAsia="fr-FR"/>
        </w:rPr>
        <w:t xml:space="preserve">-primære virkningskriterier i </w:t>
      </w:r>
      <w:proofErr w:type="spellStart"/>
      <w:r w:rsidRPr="000F6F9A">
        <w:rPr>
          <w:color w:val="000000"/>
          <w:sz w:val="24"/>
          <w:szCs w:val="24"/>
          <w:lang w:eastAsia="fr-FR"/>
        </w:rPr>
        <w:t>mITT</w:t>
      </w:r>
      <w:proofErr w:type="spellEnd"/>
      <w:r w:rsidRPr="000F6F9A">
        <w:rPr>
          <w:color w:val="000000"/>
          <w:sz w:val="24"/>
          <w:szCs w:val="24"/>
          <w:lang w:eastAsia="fr-FR"/>
        </w:rPr>
        <w:t>-populationen (se nedenstående tabel):</w:t>
      </w:r>
    </w:p>
    <w:p w:rsidR="00661826" w:rsidRPr="00B01055" w:rsidRDefault="00661826" w:rsidP="00661826">
      <w:pPr>
        <w:rPr>
          <w:lang w:eastAsia="fr-FR"/>
        </w:rPr>
      </w:pPr>
    </w:p>
    <w:tbl>
      <w:tblPr>
        <w:tblW w:w="5000" w:type="pct"/>
        <w:jc w:val="center"/>
        <w:tblLook w:val="04A0" w:firstRow="1" w:lastRow="0" w:firstColumn="1" w:lastColumn="0" w:noHBand="0" w:noVBand="1"/>
      </w:tblPr>
      <w:tblGrid>
        <w:gridCol w:w="3270"/>
        <w:gridCol w:w="1700"/>
        <w:gridCol w:w="1700"/>
        <w:gridCol w:w="2958"/>
      </w:tblGrid>
      <w:tr w:rsidR="00661826" w:rsidRPr="005F7002" w:rsidTr="003B4BCE">
        <w:trPr>
          <w:jc w:val="center"/>
        </w:trPr>
        <w:tc>
          <w:tcPr>
            <w:tcW w:w="1698" w:type="pct"/>
            <w:vMerge w:val="restart"/>
            <w:tcBorders>
              <w:top w:val="single" w:sz="4" w:space="0" w:color="auto"/>
              <w:left w:val="single" w:sz="4" w:space="0" w:color="auto"/>
              <w:bottom w:val="single" w:sz="4" w:space="0" w:color="auto"/>
              <w:right w:val="single" w:sz="4" w:space="0" w:color="auto"/>
            </w:tcBorders>
            <w:hideMark/>
          </w:tcPr>
          <w:p w:rsidR="00661826" w:rsidRPr="005F7002" w:rsidRDefault="00661826" w:rsidP="003B4BCE">
            <w:pPr>
              <w:rPr>
                <w:b/>
                <w:sz w:val="24"/>
                <w:szCs w:val="24"/>
                <w:lang w:val="en-US"/>
              </w:rPr>
            </w:pPr>
            <w:proofErr w:type="spellStart"/>
            <w:r w:rsidRPr="005F7002">
              <w:rPr>
                <w:b/>
                <w:sz w:val="24"/>
                <w:szCs w:val="24"/>
                <w:lang w:val="en-US"/>
              </w:rPr>
              <w:t>mITT</w:t>
            </w:r>
            <w:proofErr w:type="spellEnd"/>
            <w:r w:rsidRPr="005F7002">
              <w:rPr>
                <w:b/>
                <w:sz w:val="24"/>
                <w:szCs w:val="24"/>
                <w:lang w:val="en-US"/>
              </w:rPr>
              <w:t>-population</w:t>
            </w:r>
          </w:p>
        </w:tc>
        <w:tc>
          <w:tcPr>
            <w:tcW w:w="883" w:type="pct"/>
            <w:vMerge w:val="restart"/>
            <w:tcBorders>
              <w:top w:val="single" w:sz="4" w:space="0" w:color="auto"/>
              <w:left w:val="single" w:sz="4" w:space="0" w:color="auto"/>
              <w:bottom w:val="single" w:sz="4" w:space="0" w:color="auto"/>
              <w:right w:val="single" w:sz="4" w:space="0" w:color="auto"/>
            </w:tcBorders>
            <w:vAlign w:val="center"/>
            <w:hideMark/>
          </w:tcPr>
          <w:p w:rsidR="00661826" w:rsidRPr="005F7002" w:rsidRDefault="00661826" w:rsidP="003B4BCE">
            <w:pPr>
              <w:rPr>
                <w:b/>
                <w:sz w:val="24"/>
                <w:szCs w:val="24"/>
              </w:rPr>
            </w:pPr>
            <w:proofErr w:type="spellStart"/>
            <w:r w:rsidRPr="005F7002">
              <w:rPr>
                <w:b/>
                <w:sz w:val="24"/>
                <w:szCs w:val="24"/>
              </w:rPr>
              <w:t>M</w:t>
            </w:r>
            <w:r>
              <w:rPr>
                <w:b/>
                <w:sz w:val="24"/>
                <w:szCs w:val="24"/>
              </w:rPr>
              <w:t>ydrane</w:t>
            </w:r>
            <w:proofErr w:type="spellEnd"/>
          </w:p>
        </w:tc>
        <w:tc>
          <w:tcPr>
            <w:tcW w:w="883" w:type="pct"/>
            <w:vMerge w:val="restart"/>
            <w:tcBorders>
              <w:top w:val="single" w:sz="4" w:space="0" w:color="auto"/>
              <w:left w:val="single" w:sz="4" w:space="0" w:color="auto"/>
              <w:bottom w:val="single" w:sz="4" w:space="0" w:color="auto"/>
              <w:right w:val="single" w:sz="4" w:space="0" w:color="auto"/>
            </w:tcBorders>
            <w:vAlign w:val="center"/>
            <w:hideMark/>
          </w:tcPr>
          <w:p w:rsidR="00661826" w:rsidRPr="005F7002" w:rsidRDefault="00661826" w:rsidP="003B4BCE">
            <w:pPr>
              <w:rPr>
                <w:b/>
                <w:sz w:val="24"/>
                <w:szCs w:val="24"/>
              </w:rPr>
            </w:pPr>
            <w:r w:rsidRPr="005F7002">
              <w:rPr>
                <w:b/>
                <w:sz w:val="24"/>
                <w:szCs w:val="24"/>
              </w:rPr>
              <w:t>Reference-behandling</w:t>
            </w:r>
          </w:p>
        </w:tc>
        <w:tc>
          <w:tcPr>
            <w:tcW w:w="1536" w:type="pct"/>
            <w:tcBorders>
              <w:top w:val="single" w:sz="4" w:space="0" w:color="auto"/>
              <w:left w:val="single" w:sz="4" w:space="0" w:color="auto"/>
              <w:bottom w:val="nil"/>
              <w:right w:val="single" w:sz="4" w:space="0" w:color="auto"/>
            </w:tcBorders>
            <w:hideMark/>
          </w:tcPr>
          <w:p w:rsidR="00661826" w:rsidRPr="005F7002" w:rsidRDefault="00661826" w:rsidP="003B4BCE">
            <w:pPr>
              <w:rPr>
                <w:b/>
                <w:sz w:val="24"/>
                <w:szCs w:val="24"/>
              </w:rPr>
            </w:pPr>
            <w:r w:rsidRPr="005F7002">
              <w:rPr>
                <w:b/>
                <w:sz w:val="24"/>
                <w:szCs w:val="24"/>
              </w:rPr>
              <w:t>Forskel (</w:t>
            </w:r>
            <w:r>
              <w:rPr>
                <w:b/>
                <w:sz w:val="24"/>
                <w:szCs w:val="24"/>
              </w:rPr>
              <w:t>%</w:t>
            </w:r>
            <w:r w:rsidRPr="005F7002">
              <w:rPr>
                <w:b/>
                <w:sz w:val="24"/>
                <w:szCs w:val="24"/>
              </w:rPr>
              <w:t>)</w:t>
            </w:r>
            <w:r w:rsidR="004B78BE">
              <w:rPr>
                <w:b/>
                <w:sz w:val="24"/>
                <w:szCs w:val="24"/>
              </w:rPr>
              <w:t xml:space="preserve"> </w:t>
            </w:r>
            <w:r w:rsidRPr="005F7002">
              <w:rPr>
                <w:b/>
                <w:sz w:val="24"/>
                <w:szCs w:val="24"/>
              </w:rPr>
              <w:t>mellem grupperne</w:t>
            </w:r>
          </w:p>
          <w:p w:rsidR="00661826" w:rsidRPr="005F7002" w:rsidRDefault="00661826" w:rsidP="003B4BCE">
            <w:pPr>
              <w:rPr>
                <w:b/>
                <w:sz w:val="24"/>
                <w:szCs w:val="24"/>
              </w:rPr>
            </w:pPr>
            <w:r w:rsidRPr="005F7002">
              <w:rPr>
                <w:b/>
                <w:sz w:val="24"/>
                <w:szCs w:val="24"/>
              </w:rPr>
              <w:t>(</w:t>
            </w:r>
            <w:proofErr w:type="spellStart"/>
            <w:r w:rsidRPr="005F7002">
              <w:rPr>
                <w:b/>
                <w:sz w:val="24"/>
                <w:szCs w:val="24"/>
              </w:rPr>
              <w:t>M</w:t>
            </w:r>
            <w:r>
              <w:rPr>
                <w:b/>
                <w:sz w:val="24"/>
                <w:szCs w:val="24"/>
              </w:rPr>
              <w:t>ydrane</w:t>
            </w:r>
            <w:proofErr w:type="spellEnd"/>
            <w:r w:rsidRPr="005F7002">
              <w:rPr>
                <w:b/>
                <w:sz w:val="24"/>
                <w:szCs w:val="24"/>
              </w:rPr>
              <w:t>-Reference)</w:t>
            </w:r>
          </w:p>
        </w:tc>
      </w:tr>
      <w:tr w:rsidR="00661826" w:rsidRPr="005F7002" w:rsidTr="003B4BCE">
        <w:trPr>
          <w:jc w:val="center"/>
        </w:trPr>
        <w:tc>
          <w:tcPr>
            <w:tcW w:w="1698" w:type="pct"/>
            <w:vMerge/>
            <w:tcBorders>
              <w:top w:val="single" w:sz="4" w:space="0" w:color="auto"/>
              <w:left w:val="single" w:sz="4" w:space="0" w:color="auto"/>
              <w:bottom w:val="single" w:sz="4" w:space="0" w:color="auto"/>
              <w:right w:val="single" w:sz="4" w:space="0" w:color="auto"/>
            </w:tcBorders>
            <w:vAlign w:val="center"/>
            <w:hideMark/>
          </w:tcPr>
          <w:p w:rsidR="00661826" w:rsidRPr="005F7002" w:rsidRDefault="00661826" w:rsidP="003B4BCE">
            <w:pPr>
              <w:rPr>
                <w:sz w:val="24"/>
                <w:szCs w:val="24"/>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rsidR="00661826" w:rsidRPr="005F7002" w:rsidRDefault="00661826" w:rsidP="003B4BCE">
            <w:pPr>
              <w:rPr>
                <w:sz w:val="24"/>
                <w:szCs w:val="24"/>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rsidR="00661826" w:rsidRPr="005F7002" w:rsidRDefault="00661826" w:rsidP="003B4BCE">
            <w:pPr>
              <w:rPr>
                <w:sz w:val="24"/>
                <w:szCs w:val="24"/>
              </w:rPr>
            </w:pPr>
          </w:p>
        </w:tc>
        <w:tc>
          <w:tcPr>
            <w:tcW w:w="1536" w:type="pct"/>
            <w:tcBorders>
              <w:top w:val="nil"/>
              <w:left w:val="single" w:sz="4" w:space="0" w:color="auto"/>
              <w:bottom w:val="single" w:sz="4" w:space="0" w:color="auto"/>
              <w:right w:val="single" w:sz="4" w:space="0" w:color="auto"/>
            </w:tcBorders>
            <w:hideMark/>
          </w:tcPr>
          <w:p w:rsidR="00661826" w:rsidRPr="005F7002" w:rsidRDefault="00661826" w:rsidP="003B4BCE">
            <w:pPr>
              <w:rPr>
                <w:sz w:val="24"/>
                <w:szCs w:val="24"/>
              </w:rPr>
            </w:pPr>
            <w:r w:rsidRPr="005F7002">
              <w:rPr>
                <w:sz w:val="24"/>
                <w:szCs w:val="24"/>
              </w:rPr>
              <w:t>[95</w:t>
            </w:r>
            <w:r>
              <w:rPr>
                <w:sz w:val="24"/>
                <w:szCs w:val="24"/>
              </w:rPr>
              <w:t xml:space="preserve"> %</w:t>
            </w:r>
            <w:r w:rsidRPr="005F7002">
              <w:rPr>
                <w:sz w:val="24"/>
                <w:szCs w:val="24"/>
              </w:rPr>
              <w:t xml:space="preserve"> CI]</w:t>
            </w:r>
          </w:p>
        </w:tc>
      </w:tr>
      <w:tr w:rsidR="00661826" w:rsidRPr="005F7002" w:rsidTr="003B4BCE">
        <w:trPr>
          <w:trHeight w:val="605"/>
          <w:jc w:val="center"/>
        </w:trPr>
        <w:tc>
          <w:tcPr>
            <w:tcW w:w="1698" w:type="pct"/>
            <w:tcBorders>
              <w:top w:val="single" w:sz="4" w:space="0" w:color="auto"/>
              <w:left w:val="single" w:sz="4" w:space="0" w:color="auto"/>
              <w:bottom w:val="single" w:sz="4" w:space="0" w:color="auto"/>
              <w:right w:val="single" w:sz="4" w:space="0" w:color="auto"/>
            </w:tcBorders>
            <w:hideMark/>
          </w:tcPr>
          <w:p w:rsidR="00661826" w:rsidRPr="005F7002" w:rsidRDefault="00661826" w:rsidP="003B4BCE">
            <w:pPr>
              <w:rPr>
                <w:b/>
                <w:sz w:val="24"/>
                <w:szCs w:val="24"/>
              </w:rPr>
            </w:pPr>
            <w:r w:rsidRPr="005F7002">
              <w:rPr>
                <w:b/>
                <w:sz w:val="24"/>
                <w:szCs w:val="24"/>
              </w:rPr>
              <w:t>Primært virkningskriterium</w:t>
            </w:r>
          </w:p>
          <w:p w:rsidR="00661826" w:rsidRPr="005F7002" w:rsidRDefault="00661826" w:rsidP="003B4BCE">
            <w:pPr>
              <w:rPr>
                <w:sz w:val="24"/>
                <w:szCs w:val="24"/>
              </w:rPr>
            </w:pPr>
            <w:r w:rsidRPr="005F7002">
              <w:rPr>
                <w:sz w:val="24"/>
                <w:szCs w:val="24"/>
              </w:rPr>
              <w:t>Antal (</w:t>
            </w:r>
            <w:r>
              <w:rPr>
                <w:sz w:val="24"/>
                <w:szCs w:val="24"/>
              </w:rPr>
              <w:t>%</w:t>
            </w:r>
            <w:r w:rsidRPr="005F7002">
              <w:rPr>
                <w:sz w:val="24"/>
                <w:szCs w:val="24"/>
              </w:rPr>
              <w:t>) respondenter*</w:t>
            </w:r>
          </w:p>
          <w:p w:rsidR="00661826" w:rsidRPr="005F7002" w:rsidRDefault="00661826" w:rsidP="003B4BCE">
            <w:pPr>
              <w:rPr>
                <w:sz w:val="24"/>
                <w:szCs w:val="24"/>
              </w:rPr>
            </w:pPr>
            <w:r w:rsidRPr="005F7002">
              <w:rPr>
                <w:sz w:val="24"/>
                <w:szCs w:val="24"/>
              </w:rPr>
              <w:t>95</w:t>
            </w:r>
            <w:r>
              <w:rPr>
                <w:sz w:val="24"/>
                <w:szCs w:val="24"/>
              </w:rPr>
              <w:t xml:space="preserve"> %</w:t>
            </w:r>
            <w:r w:rsidRPr="005F7002">
              <w:rPr>
                <w:sz w:val="24"/>
                <w:szCs w:val="24"/>
              </w:rPr>
              <w:t xml:space="preserve"> CI</w:t>
            </w:r>
          </w:p>
        </w:tc>
        <w:tc>
          <w:tcPr>
            <w:tcW w:w="883" w:type="pct"/>
            <w:tcBorders>
              <w:top w:val="single" w:sz="4" w:space="0" w:color="auto"/>
              <w:left w:val="single" w:sz="4" w:space="0" w:color="auto"/>
              <w:bottom w:val="single" w:sz="4" w:space="0" w:color="auto"/>
              <w:right w:val="single" w:sz="4" w:space="0" w:color="auto"/>
            </w:tcBorders>
            <w:hideMark/>
          </w:tcPr>
          <w:p w:rsidR="00661826" w:rsidRPr="005F7002" w:rsidRDefault="00661826" w:rsidP="003B4BCE">
            <w:pPr>
              <w:jc w:val="center"/>
              <w:rPr>
                <w:sz w:val="24"/>
                <w:szCs w:val="24"/>
              </w:rPr>
            </w:pPr>
            <w:r w:rsidRPr="005F7002">
              <w:rPr>
                <w:sz w:val="24"/>
                <w:szCs w:val="24"/>
              </w:rPr>
              <w:t>N=268</w:t>
            </w:r>
          </w:p>
          <w:p w:rsidR="00661826" w:rsidRPr="005F7002" w:rsidRDefault="00661826" w:rsidP="003B4BCE">
            <w:pPr>
              <w:jc w:val="center"/>
              <w:rPr>
                <w:sz w:val="24"/>
                <w:szCs w:val="24"/>
              </w:rPr>
            </w:pPr>
            <w:r w:rsidRPr="005F7002">
              <w:rPr>
                <w:sz w:val="24"/>
                <w:szCs w:val="24"/>
              </w:rPr>
              <w:t>265 (98,9)</w:t>
            </w:r>
          </w:p>
          <w:p w:rsidR="00661826" w:rsidRPr="005F7002" w:rsidRDefault="00661826" w:rsidP="003B4BCE">
            <w:pPr>
              <w:jc w:val="center"/>
              <w:rPr>
                <w:sz w:val="24"/>
                <w:szCs w:val="24"/>
              </w:rPr>
            </w:pPr>
            <w:r w:rsidRPr="005F7002">
              <w:rPr>
                <w:sz w:val="24"/>
                <w:szCs w:val="24"/>
              </w:rPr>
              <w:t>[96,</w:t>
            </w:r>
            <w:proofErr w:type="gramStart"/>
            <w:r w:rsidRPr="005F7002">
              <w:rPr>
                <w:sz w:val="24"/>
                <w:szCs w:val="24"/>
              </w:rPr>
              <w:t>8 ;</w:t>
            </w:r>
            <w:proofErr w:type="gramEnd"/>
            <w:r w:rsidRPr="005F7002">
              <w:rPr>
                <w:sz w:val="24"/>
                <w:szCs w:val="24"/>
              </w:rPr>
              <w:t xml:space="preserve"> 99,8]</w:t>
            </w:r>
          </w:p>
        </w:tc>
        <w:tc>
          <w:tcPr>
            <w:tcW w:w="883" w:type="pct"/>
            <w:tcBorders>
              <w:top w:val="single" w:sz="4" w:space="0" w:color="auto"/>
              <w:left w:val="single" w:sz="4" w:space="0" w:color="auto"/>
              <w:bottom w:val="single" w:sz="4" w:space="0" w:color="auto"/>
              <w:right w:val="single" w:sz="4" w:space="0" w:color="auto"/>
            </w:tcBorders>
            <w:hideMark/>
          </w:tcPr>
          <w:p w:rsidR="00661826" w:rsidRPr="005F7002" w:rsidRDefault="00661826" w:rsidP="003B4BCE">
            <w:pPr>
              <w:jc w:val="center"/>
              <w:rPr>
                <w:sz w:val="24"/>
                <w:szCs w:val="24"/>
              </w:rPr>
            </w:pPr>
            <w:r w:rsidRPr="005F7002">
              <w:rPr>
                <w:sz w:val="24"/>
                <w:szCs w:val="24"/>
              </w:rPr>
              <w:t>N=281</w:t>
            </w:r>
          </w:p>
          <w:p w:rsidR="00661826" w:rsidRPr="005F7002" w:rsidRDefault="00661826" w:rsidP="003B4BCE">
            <w:pPr>
              <w:jc w:val="center"/>
              <w:rPr>
                <w:sz w:val="24"/>
                <w:szCs w:val="24"/>
              </w:rPr>
            </w:pPr>
            <w:r w:rsidRPr="005F7002">
              <w:rPr>
                <w:sz w:val="24"/>
                <w:szCs w:val="24"/>
              </w:rPr>
              <w:t>266 (94,7)</w:t>
            </w:r>
          </w:p>
          <w:p w:rsidR="00661826" w:rsidRPr="005F7002" w:rsidRDefault="00661826" w:rsidP="003B4BCE">
            <w:pPr>
              <w:jc w:val="center"/>
              <w:rPr>
                <w:sz w:val="24"/>
                <w:szCs w:val="24"/>
              </w:rPr>
            </w:pPr>
            <w:r w:rsidRPr="005F7002">
              <w:rPr>
                <w:sz w:val="24"/>
                <w:szCs w:val="24"/>
              </w:rPr>
              <w:t>[91,</w:t>
            </w:r>
            <w:proofErr w:type="gramStart"/>
            <w:r w:rsidRPr="005F7002">
              <w:rPr>
                <w:sz w:val="24"/>
                <w:szCs w:val="24"/>
              </w:rPr>
              <w:t>3 ;</w:t>
            </w:r>
            <w:proofErr w:type="gramEnd"/>
            <w:r w:rsidRPr="005F7002">
              <w:rPr>
                <w:sz w:val="24"/>
                <w:szCs w:val="24"/>
              </w:rPr>
              <w:t xml:space="preserve"> 97,0]</w:t>
            </w:r>
          </w:p>
        </w:tc>
        <w:tc>
          <w:tcPr>
            <w:tcW w:w="1536" w:type="pct"/>
            <w:tcBorders>
              <w:top w:val="single" w:sz="4" w:space="0" w:color="auto"/>
              <w:left w:val="single" w:sz="4" w:space="0" w:color="auto"/>
              <w:bottom w:val="single" w:sz="4" w:space="0" w:color="auto"/>
              <w:right w:val="single" w:sz="4" w:space="0" w:color="auto"/>
            </w:tcBorders>
            <w:vAlign w:val="center"/>
            <w:hideMark/>
          </w:tcPr>
          <w:p w:rsidR="00661826" w:rsidRPr="005F7002" w:rsidRDefault="00661826" w:rsidP="003B4BCE">
            <w:pPr>
              <w:jc w:val="center"/>
              <w:rPr>
                <w:b/>
                <w:sz w:val="24"/>
                <w:szCs w:val="24"/>
              </w:rPr>
            </w:pPr>
            <w:r w:rsidRPr="005F7002">
              <w:rPr>
                <w:b/>
                <w:sz w:val="24"/>
                <w:szCs w:val="24"/>
              </w:rPr>
              <w:t>4,2</w:t>
            </w:r>
          </w:p>
          <w:p w:rsidR="00661826" w:rsidRPr="005F7002" w:rsidRDefault="00661826" w:rsidP="003B4BCE">
            <w:pPr>
              <w:jc w:val="center"/>
              <w:rPr>
                <w:sz w:val="24"/>
                <w:szCs w:val="24"/>
              </w:rPr>
            </w:pPr>
            <w:r w:rsidRPr="005F7002">
              <w:rPr>
                <w:sz w:val="24"/>
                <w:szCs w:val="24"/>
              </w:rPr>
              <w:t>[-4,</w:t>
            </w:r>
            <w:proofErr w:type="gramStart"/>
            <w:r w:rsidRPr="005F7002">
              <w:rPr>
                <w:sz w:val="24"/>
                <w:szCs w:val="24"/>
              </w:rPr>
              <w:t>2 ;</w:t>
            </w:r>
            <w:proofErr w:type="gramEnd"/>
            <w:r w:rsidRPr="005F7002">
              <w:rPr>
                <w:sz w:val="24"/>
                <w:szCs w:val="24"/>
              </w:rPr>
              <w:t xml:space="preserve"> 12,6]</w:t>
            </w:r>
          </w:p>
        </w:tc>
      </w:tr>
      <w:tr w:rsidR="00661826" w:rsidRPr="005F7002" w:rsidTr="003B4BCE">
        <w:trPr>
          <w:jc w:val="center"/>
        </w:trPr>
        <w:tc>
          <w:tcPr>
            <w:tcW w:w="1698" w:type="pct"/>
            <w:tcBorders>
              <w:top w:val="single" w:sz="4" w:space="0" w:color="auto"/>
              <w:left w:val="single" w:sz="4" w:space="0" w:color="auto"/>
              <w:bottom w:val="single" w:sz="4" w:space="0" w:color="auto"/>
              <w:right w:val="single" w:sz="4" w:space="0" w:color="auto"/>
            </w:tcBorders>
            <w:hideMark/>
          </w:tcPr>
          <w:p w:rsidR="00661826" w:rsidRPr="005F7002" w:rsidRDefault="00661826" w:rsidP="003B4BCE">
            <w:pPr>
              <w:rPr>
                <w:b/>
                <w:sz w:val="24"/>
                <w:szCs w:val="24"/>
              </w:rPr>
            </w:pPr>
            <w:r w:rsidRPr="005F7002">
              <w:rPr>
                <w:b/>
                <w:sz w:val="24"/>
                <w:szCs w:val="24"/>
              </w:rPr>
              <w:t>Co-primært virkningskriterium</w:t>
            </w:r>
          </w:p>
          <w:p w:rsidR="00661826" w:rsidRPr="005F7002" w:rsidRDefault="00661826" w:rsidP="003B4BCE">
            <w:pPr>
              <w:rPr>
                <w:sz w:val="24"/>
                <w:szCs w:val="24"/>
              </w:rPr>
            </w:pPr>
            <w:r w:rsidRPr="005F7002">
              <w:rPr>
                <w:sz w:val="24"/>
                <w:szCs w:val="24"/>
              </w:rPr>
              <w:t>Antal (</w:t>
            </w:r>
            <w:r>
              <w:rPr>
                <w:sz w:val="24"/>
                <w:szCs w:val="24"/>
              </w:rPr>
              <w:t>%</w:t>
            </w:r>
            <w:r w:rsidRPr="005F7002">
              <w:rPr>
                <w:sz w:val="24"/>
                <w:szCs w:val="24"/>
              </w:rPr>
              <w:t>) respondenter**</w:t>
            </w:r>
          </w:p>
          <w:p w:rsidR="00661826" w:rsidRPr="005F7002" w:rsidRDefault="00661826" w:rsidP="003B4BCE">
            <w:pPr>
              <w:rPr>
                <w:sz w:val="24"/>
                <w:szCs w:val="24"/>
              </w:rPr>
            </w:pPr>
            <w:r w:rsidRPr="005F7002">
              <w:rPr>
                <w:sz w:val="24"/>
                <w:szCs w:val="24"/>
              </w:rPr>
              <w:t>95</w:t>
            </w:r>
            <w:r>
              <w:rPr>
                <w:sz w:val="24"/>
                <w:szCs w:val="24"/>
              </w:rPr>
              <w:t xml:space="preserve"> %</w:t>
            </w:r>
            <w:r w:rsidRPr="005F7002">
              <w:rPr>
                <w:sz w:val="24"/>
                <w:szCs w:val="24"/>
              </w:rPr>
              <w:t xml:space="preserve"> CI</w:t>
            </w:r>
          </w:p>
        </w:tc>
        <w:tc>
          <w:tcPr>
            <w:tcW w:w="883" w:type="pct"/>
            <w:tcBorders>
              <w:top w:val="single" w:sz="4" w:space="0" w:color="auto"/>
              <w:left w:val="single" w:sz="4" w:space="0" w:color="auto"/>
              <w:bottom w:val="single" w:sz="4" w:space="0" w:color="auto"/>
              <w:right w:val="single" w:sz="4" w:space="0" w:color="auto"/>
            </w:tcBorders>
            <w:hideMark/>
          </w:tcPr>
          <w:p w:rsidR="00661826" w:rsidRPr="005F7002" w:rsidRDefault="00661826" w:rsidP="003B4BCE">
            <w:pPr>
              <w:jc w:val="center"/>
              <w:rPr>
                <w:sz w:val="24"/>
                <w:szCs w:val="24"/>
              </w:rPr>
            </w:pPr>
            <w:r w:rsidRPr="005F7002">
              <w:rPr>
                <w:sz w:val="24"/>
                <w:szCs w:val="24"/>
              </w:rPr>
              <w:t>N=250</w:t>
            </w:r>
          </w:p>
          <w:p w:rsidR="00661826" w:rsidRPr="005F7002" w:rsidRDefault="00661826" w:rsidP="003B4BCE">
            <w:pPr>
              <w:jc w:val="center"/>
              <w:rPr>
                <w:sz w:val="24"/>
                <w:szCs w:val="24"/>
              </w:rPr>
            </w:pPr>
            <w:r w:rsidRPr="005F7002">
              <w:rPr>
                <w:sz w:val="24"/>
                <w:szCs w:val="24"/>
              </w:rPr>
              <w:t>246 (98,4)</w:t>
            </w:r>
          </w:p>
          <w:p w:rsidR="00661826" w:rsidRPr="005F7002" w:rsidRDefault="00661826" w:rsidP="003B4BCE">
            <w:pPr>
              <w:jc w:val="center"/>
              <w:rPr>
                <w:sz w:val="24"/>
                <w:szCs w:val="24"/>
              </w:rPr>
            </w:pPr>
            <w:r w:rsidRPr="005F7002">
              <w:rPr>
                <w:sz w:val="24"/>
                <w:szCs w:val="24"/>
              </w:rPr>
              <w:t>[96,</w:t>
            </w:r>
            <w:proofErr w:type="gramStart"/>
            <w:r w:rsidRPr="005F7002">
              <w:rPr>
                <w:sz w:val="24"/>
                <w:szCs w:val="24"/>
              </w:rPr>
              <w:t>0 ;</w:t>
            </w:r>
            <w:proofErr w:type="gramEnd"/>
            <w:r w:rsidRPr="005F7002">
              <w:rPr>
                <w:sz w:val="24"/>
                <w:szCs w:val="24"/>
              </w:rPr>
              <w:t xml:space="preserve"> 99,6]</w:t>
            </w:r>
          </w:p>
        </w:tc>
        <w:tc>
          <w:tcPr>
            <w:tcW w:w="883" w:type="pct"/>
            <w:tcBorders>
              <w:top w:val="single" w:sz="4" w:space="0" w:color="auto"/>
              <w:left w:val="single" w:sz="4" w:space="0" w:color="auto"/>
              <w:bottom w:val="single" w:sz="4" w:space="0" w:color="auto"/>
              <w:right w:val="single" w:sz="4" w:space="0" w:color="auto"/>
            </w:tcBorders>
            <w:hideMark/>
          </w:tcPr>
          <w:p w:rsidR="00661826" w:rsidRPr="005F7002" w:rsidRDefault="00661826" w:rsidP="003B4BCE">
            <w:pPr>
              <w:jc w:val="center"/>
              <w:rPr>
                <w:sz w:val="24"/>
                <w:szCs w:val="24"/>
              </w:rPr>
            </w:pPr>
            <w:r w:rsidRPr="005F7002">
              <w:rPr>
                <w:sz w:val="24"/>
                <w:szCs w:val="24"/>
              </w:rPr>
              <w:t>N=261</w:t>
            </w:r>
          </w:p>
          <w:p w:rsidR="00661826" w:rsidRPr="005F7002" w:rsidRDefault="00661826" w:rsidP="003B4BCE">
            <w:pPr>
              <w:jc w:val="center"/>
              <w:rPr>
                <w:sz w:val="24"/>
                <w:szCs w:val="24"/>
              </w:rPr>
            </w:pPr>
            <w:r w:rsidRPr="005F7002">
              <w:rPr>
                <w:sz w:val="24"/>
                <w:szCs w:val="24"/>
              </w:rPr>
              <w:t>246 (94,3)</w:t>
            </w:r>
          </w:p>
          <w:p w:rsidR="00661826" w:rsidRPr="005F7002" w:rsidRDefault="00661826" w:rsidP="003B4BCE">
            <w:pPr>
              <w:jc w:val="center"/>
              <w:rPr>
                <w:sz w:val="24"/>
                <w:szCs w:val="24"/>
              </w:rPr>
            </w:pPr>
            <w:r w:rsidRPr="005F7002">
              <w:rPr>
                <w:sz w:val="24"/>
                <w:szCs w:val="24"/>
              </w:rPr>
              <w:t>[90,</w:t>
            </w:r>
            <w:proofErr w:type="gramStart"/>
            <w:r w:rsidRPr="005F7002">
              <w:rPr>
                <w:sz w:val="24"/>
                <w:szCs w:val="24"/>
              </w:rPr>
              <w:t>7 ;</w:t>
            </w:r>
            <w:proofErr w:type="gramEnd"/>
            <w:r w:rsidRPr="005F7002">
              <w:rPr>
                <w:sz w:val="24"/>
                <w:szCs w:val="24"/>
              </w:rPr>
              <w:t xml:space="preserve"> 96,7]</w:t>
            </w:r>
          </w:p>
        </w:tc>
        <w:tc>
          <w:tcPr>
            <w:tcW w:w="1536" w:type="pct"/>
            <w:tcBorders>
              <w:top w:val="single" w:sz="4" w:space="0" w:color="auto"/>
              <w:left w:val="single" w:sz="4" w:space="0" w:color="auto"/>
              <w:bottom w:val="single" w:sz="4" w:space="0" w:color="auto"/>
              <w:right w:val="single" w:sz="4" w:space="0" w:color="auto"/>
            </w:tcBorders>
            <w:vAlign w:val="center"/>
            <w:hideMark/>
          </w:tcPr>
          <w:p w:rsidR="00661826" w:rsidRPr="005F7002" w:rsidRDefault="00661826" w:rsidP="003B4BCE">
            <w:pPr>
              <w:jc w:val="center"/>
              <w:rPr>
                <w:b/>
                <w:sz w:val="24"/>
                <w:szCs w:val="24"/>
              </w:rPr>
            </w:pPr>
            <w:r w:rsidRPr="005F7002">
              <w:rPr>
                <w:b/>
                <w:sz w:val="24"/>
                <w:szCs w:val="24"/>
              </w:rPr>
              <w:t>4,1</w:t>
            </w:r>
          </w:p>
          <w:p w:rsidR="00661826" w:rsidRPr="005F7002" w:rsidRDefault="00661826" w:rsidP="003B4BCE">
            <w:pPr>
              <w:jc w:val="center"/>
              <w:rPr>
                <w:sz w:val="24"/>
                <w:szCs w:val="24"/>
              </w:rPr>
            </w:pPr>
            <w:r w:rsidRPr="005F7002">
              <w:rPr>
                <w:sz w:val="24"/>
                <w:szCs w:val="24"/>
              </w:rPr>
              <w:t>[-4,</w:t>
            </w:r>
            <w:proofErr w:type="gramStart"/>
            <w:r w:rsidRPr="005F7002">
              <w:rPr>
                <w:sz w:val="24"/>
                <w:szCs w:val="24"/>
              </w:rPr>
              <w:t>5 ;</w:t>
            </w:r>
            <w:proofErr w:type="gramEnd"/>
            <w:r w:rsidRPr="005F7002">
              <w:rPr>
                <w:sz w:val="24"/>
                <w:szCs w:val="24"/>
              </w:rPr>
              <w:t xml:space="preserve"> 12,8]</w:t>
            </w:r>
          </w:p>
        </w:tc>
      </w:tr>
      <w:tr w:rsidR="00661826" w:rsidRPr="005F7002" w:rsidTr="003B4BCE">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661826" w:rsidRPr="005F7002" w:rsidRDefault="00661826" w:rsidP="003B4BCE">
            <w:pPr>
              <w:rPr>
                <w:i/>
                <w:sz w:val="24"/>
                <w:szCs w:val="24"/>
              </w:rPr>
            </w:pPr>
            <w:r w:rsidRPr="005F7002">
              <w:rPr>
                <w:i/>
                <w:sz w:val="24"/>
                <w:szCs w:val="24"/>
              </w:rPr>
              <w:t xml:space="preserve">* En respondent blev defineret som en patient, hos hvem </w:t>
            </w:r>
            <w:proofErr w:type="spellStart"/>
            <w:r w:rsidRPr="005F7002">
              <w:rPr>
                <w:i/>
                <w:sz w:val="24"/>
                <w:szCs w:val="24"/>
              </w:rPr>
              <w:t>capsulorhexis</w:t>
            </w:r>
            <w:proofErr w:type="spellEnd"/>
            <w:r w:rsidRPr="005F7002">
              <w:rPr>
                <w:i/>
                <w:sz w:val="24"/>
                <w:szCs w:val="24"/>
              </w:rPr>
              <w:t xml:space="preserve"> blev foretaget uden brug af yderligere </w:t>
            </w:r>
            <w:proofErr w:type="spellStart"/>
            <w:r w:rsidRPr="005F7002">
              <w:rPr>
                <w:i/>
                <w:sz w:val="24"/>
                <w:szCs w:val="24"/>
              </w:rPr>
              <w:t>mydriatisk</w:t>
            </w:r>
            <w:proofErr w:type="spellEnd"/>
            <w:r w:rsidRPr="005F7002">
              <w:rPr>
                <w:i/>
                <w:sz w:val="24"/>
                <w:szCs w:val="24"/>
              </w:rPr>
              <w:t xml:space="preserve"> behandling</w:t>
            </w:r>
          </w:p>
          <w:p w:rsidR="00661826" w:rsidRPr="005F7002" w:rsidRDefault="00661826" w:rsidP="003B4BCE">
            <w:pPr>
              <w:rPr>
                <w:sz w:val="24"/>
                <w:szCs w:val="24"/>
              </w:rPr>
            </w:pPr>
            <w:r w:rsidRPr="005F7002">
              <w:rPr>
                <w:i/>
                <w:sz w:val="24"/>
                <w:szCs w:val="24"/>
              </w:rPr>
              <w:lastRenderedPageBreak/>
              <w:t xml:space="preserve">** En respondent blev defineret som en patient, hos hvem </w:t>
            </w:r>
            <w:proofErr w:type="spellStart"/>
            <w:r w:rsidRPr="005F7002">
              <w:rPr>
                <w:i/>
                <w:sz w:val="24"/>
                <w:szCs w:val="24"/>
              </w:rPr>
              <w:t>capsulorhexis</w:t>
            </w:r>
            <w:proofErr w:type="spellEnd"/>
            <w:r w:rsidRPr="005F7002">
              <w:rPr>
                <w:i/>
                <w:sz w:val="24"/>
                <w:szCs w:val="24"/>
              </w:rPr>
              <w:t xml:space="preserve"> blev foretaget uden brug af yderligere </w:t>
            </w:r>
            <w:proofErr w:type="spellStart"/>
            <w:r w:rsidRPr="005F7002">
              <w:rPr>
                <w:i/>
                <w:sz w:val="24"/>
                <w:szCs w:val="24"/>
              </w:rPr>
              <w:t>mydriatisk</w:t>
            </w:r>
            <w:proofErr w:type="spellEnd"/>
            <w:r w:rsidRPr="005F7002">
              <w:rPr>
                <w:i/>
                <w:sz w:val="24"/>
                <w:szCs w:val="24"/>
              </w:rPr>
              <w:t xml:space="preserve"> behandling og hvis pupilstørrelse var ≥ 5.5 mm umiddelbart inden </w:t>
            </w:r>
            <w:proofErr w:type="spellStart"/>
            <w:r w:rsidRPr="005F7002">
              <w:rPr>
                <w:i/>
                <w:sz w:val="24"/>
                <w:szCs w:val="24"/>
              </w:rPr>
              <w:t>capsulorhexis</w:t>
            </w:r>
            <w:proofErr w:type="spellEnd"/>
            <w:r w:rsidRPr="005F7002">
              <w:rPr>
                <w:i/>
                <w:sz w:val="24"/>
                <w:szCs w:val="24"/>
              </w:rPr>
              <w:t>.</w:t>
            </w:r>
          </w:p>
        </w:tc>
      </w:tr>
    </w:tbl>
    <w:p w:rsidR="00661826" w:rsidRPr="00B01055" w:rsidRDefault="00661826" w:rsidP="00661826">
      <w:pPr>
        <w:ind w:left="851" w:hanging="851"/>
        <w:jc w:val="both"/>
        <w:rPr>
          <w:sz w:val="24"/>
          <w:szCs w:val="24"/>
        </w:rPr>
      </w:pPr>
    </w:p>
    <w:p w:rsidR="00661826" w:rsidRPr="00B01055" w:rsidRDefault="00661826" w:rsidP="00661826">
      <w:pPr>
        <w:ind w:left="851"/>
        <w:rPr>
          <w:color w:val="000000"/>
          <w:sz w:val="24"/>
          <w:szCs w:val="24"/>
          <w:lang w:eastAsia="fr-FR"/>
        </w:rPr>
      </w:pPr>
      <w:r w:rsidRPr="00B01055">
        <w:rPr>
          <w:color w:val="000000"/>
          <w:sz w:val="24"/>
          <w:szCs w:val="24"/>
          <w:lang w:eastAsia="fr-FR"/>
        </w:rPr>
        <w:t xml:space="preserve">I fase-3 studiet fik 197 patienter (N=268) i </w:t>
      </w:r>
      <w:proofErr w:type="spellStart"/>
      <w:r>
        <w:rPr>
          <w:sz w:val="24"/>
          <w:szCs w:val="24"/>
        </w:rPr>
        <w:t>Mydrane</w:t>
      </w:r>
      <w:proofErr w:type="spellEnd"/>
      <w:r w:rsidRPr="00B01055">
        <w:rPr>
          <w:color w:val="000000"/>
          <w:sz w:val="24"/>
          <w:szCs w:val="24"/>
          <w:lang w:eastAsia="fr-FR"/>
        </w:rPr>
        <w:t xml:space="preserve">-gruppen en enkelt </w:t>
      </w:r>
      <w:proofErr w:type="spellStart"/>
      <w:r w:rsidRPr="00B01055">
        <w:rPr>
          <w:color w:val="000000"/>
          <w:sz w:val="24"/>
          <w:szCs w:val="24"/>
          <w:lang w:eastAsia="fr-FR"/>
        </w:rPr>
        <w:t>intrakameral</w:t>
      </w:r>
      <w:proofErr w:type="spellEnd"/>
      <w:r w:rsidRPr="00B01055">
        <w:rPr>
          <w:color w:val="000000"/>
          <w:sz w:val="24"/>
          <w:szCs w:val="24"/>
          <w:lang w:eastAsia="fr-FR"/>
        </w:rPr>
        <w:t xml:space="preserve"> injektion på </w:t>
      </w:r>
      <w:r w:rsidRPr="00B01055">
        <w:rPr>
          <w:iCs/>
          <w:sz w:val="24"/>
          <w:szCs w:val="24"/>
        </w:rPr>
        <w:t xml:space="preserve">200 µl og 71 patienter fik en yderligere </w:t>
      </w:r>
      <w:proofErr w:type="spellStart"/>
      <w:r w:rsidRPr="00B01055">
        <w:rPr>
          <w:iCs/>
          <w:sz w:val="24"/>
          <w:szCs w:val="24"/>
        </w:rPr>
        <w:t>intrakameral</w:t>
      </w:r>
      <w:proofErr w:type="spellEnd"/>
      <w:r w:rsidRPr="00B01055">
        <w:rPr>
          <w:iCs/>
          <w:sz w:val="24"/>
          <w:szCs w:val="24"/>
        </w:rPr>
        <w:t xml:space="preserve"> injektion på 100 µl, som ikke viste en signifikant </w:t>
      </w:r>
      <w:r w:rsidRPr="00B01055">
        <w:rPr>
          <w:i/>
          <w:sz w:val="24"/>
          <w:szCs w:val="24"/>
        </w:rPr>
        <w:t>add-on</w:t>
      </w:r>
      <w:r w:rsidRPr="00B01055">
        <w:rPr>
          <w:sz w:val="24"/>
          <w:szCs w:val="24"/>
        </w:rPr>
        <w:t xml:space="preserve"> effekt, og som var forbundet med øget tab af </w:t>
      </w:r>
      <w:proofErr w:type="spellStart"/>
      <w:r w:rsidRPr="00B01055">
        <w:rPr>
          <w:sz w:val="24"/>
          <w:szCs w:val="24"/>
        </w:rPr>
        <w:t>endotelceller</w:t>
      </w:r>
      <w:proofErr w:type="spellEnd"/>
      <w:r>
        <w:rPr>
          <w:color w:val="000000"/>
          <w:sz w:val="24"/>
          <w:szCs w:val="24"/>
          <w:lang w:eastAsia="fr-FR"/>
        </w:rPr>
        <w:t xml:space="preserve"> </w:t>
      </w:r>
      <w:r>
        <w:rPr>
          <w:sz w:val="24"/>
          <w:szCs w:val="24"/>
        </w:rPr>
        <w:t>(se også pkt. 4.9)</w:t>
      </w:r>
      <w:r w:rsidRPr="00B01055">
        <w:rPr>
          <w:color w:val="000000"/>
          <w:sz w:val="24"/>
          <w:szCs w:val="24"/>
          <w:lang w:eastAsia="fr-FR"/>
        </w:rPr>
        <w:t>.</w:t>
      </w:r>
    </w:p>
    <w:p w:rsidR="00661826" w:rsidRPr="00B01055" w:rsidRDefault="00661826" w:rsidP="00661826">
      <w:pPr>
        <w:ind w:left="851" w:hanging="851"/>
        <w:rPr>
          <w:color w:val="000000"/>
          <w:sz w:val="24"/>
          <w:szCs w:val="24"/>
          <w:lang w:eastAsia="fr-FR"/>
        </w:rPr>
      </w:pPr>
    </w:p>
    <w:p w:rsidR="00661826" w:rsidRPr="00B01055" w:rsidRDefault="00661826" w:rsidP="00661826">
      <w:pPr>
        <w:ind w:left="851"/>
        <w:rPr>
          <w:color w:val="000000"/>
          <w:sz w:val="24"/>
          <w:szCs w:val="24"/>
          <w:lang w:eastAsia="fr-FR"/>
        </w:rPr>
      </w:pPr>
      <w:r w:rsidRPr="00B01055">
        <w:rPr>
          <w:color w:val="000000"/>
          <w:sz w:val="24"/>
          <w:szCs w:val="24"/>
          <w:lang w:eastAsia="fr-FR"/>
        </w:rPr>
        <w:t xml:space="preserve">I nedenstående tabel ses dataanalysen af patienterne med en enkelt </w:t>
      </w:r>
      <w:proofErr w:type="spellStart"/>
      <w:r w:rsidRPr="00B01055">
        <w:rPr>
          <w:color w:val="000000"/>
          <w:sz w:val="24"/>
          <w:szCs w:val="24"/>
          <w:lang w:eastAsia="fr-FR"/>
        </w:rPr>
        <w:t>intrakameral</w:t>
      </w:r>
      <w:proofErr w:type="spellEnd"/>
      <w:r w:rsidRPr="00B01055">
        <w:rPr>
          <w:color w:val="000000"/>
          <w:sz w:val="24"/>
          <w:szCs w:val="24"/>
          <w:lang w:eastAsia="fr-FR"/>
        </w:rPr>
        <w:t xml:space="preserve"> injektion på </w:t>
      </w:r>
      <w:r w:rsidRPr="00B01055">
        <w:rPr>
          <w:iCs/>
          <w:sz w:val="24"/>
          <w:szCs w:val="24"/>
        </w:rPr>
        <w:t xml:space="preserve">200 µl, hos hvem der blev foretaget </w:t>
      </w:r>
      <w:proofErr w:type="spellStart"/>
      <w:r w:rsidRPr="00B01055">
        <w:rPr>
          <w:color w:val="000000"/>
          <w:sz w:val="24"/>
          <w:szCs w:val="24"/>
          <w:lang w:eastAsia="fr-FR"/>
        </w:rPr>
        <w:t>capsulorhexis</w:t>
      </w:r>
      <w:proofErr w:type="spellEnd"/>
      <w:r w:rsidRPr="00B01055">
        <w:rPr>
          <w:color w:val="000000"/>
          <w:sz w:val="24"/>
          <w:szCs w:val="24"/>
          <w:lang w:eastAsia="fr-FR"/>
        </w:rPr>
        <w:t xml:space="preserve"> uden brug af yderligere </w:t>
      </w:r>
      <w:proofErr w:type="spellStart"/>
      <w:r w:rsidRPr="00B01055">
        <w:rPr>
          <w:color w:val="000000"/>
          <w:sz w:val="24"/>
          <w:szCs w:val="24"/>
          <w:lang w:eastAsia="fr-FR"/>
        </w:rPr>
        <w:t>mydriatisk</w:t>
      </w:r>
      <w:proofErr w:type="spellEnd"/>
      <w:r w:rsidRPr="00B01055">
        <w:rPr>
          <w:color w:val="000000"/>
          <w:sz w:val="24"/>
          <w:szCs w:val="24"/>
          <w:lang w:eastAsia="fr-FR"/>
        </w:rPr>
        <w:t xml:space="preserve"> behandling og hvis pupilstørrelse var &gt; 6 mm</w:t>
      </w:r>
      <w:r w:rsidRPr="00B01055">
        <w:rPr>
          <w:i/>
          <w:sz w:val="24"/>
          <w:szCs w:val="24"/>
        </w:rPr>
        <w:t xml:space="preserve"> </w:t>
      </w:r>
      <w:r w:rsidRPr="00B01055">
        <w:rPr>
          <w:color w:val="000000"/>
          <w:sz w:val="24"/>
          <w:szCs w:val="24"/>
          <w:lang w:eastAsia="fr-FR"/>
        </w:rPr>
        <w:t xml:space="preserve">umiddelbart inden </w:t>
      </w:r>
      <w:proofErr w:type="spellStart"/>
      <w:r w:rsidRPr="00B01055">
        <w:rPr>
          <w:color w:val="000000"/>
          <w:sz w:val="24"/>
          <w:szCs w:val="24"/>
          <w:lang w:eastAsia="fr-FR"/>
        </w:rPr>
        <w:t>capsulorhexis</w:t>
      </w:r>
      <w:proofErr w:type="spellEnd"/>
      <w:r w:rsidRPr="00B01055">
        <w:rPr>
          <w:color w:val="000000"/>
          <w:sz w:val="24"/>
          <w:szCs w:val="24"/>
          <w:lang w:eastAsia="fr-FR"/>
        </w:rPr>
        <w:t>.</w:t>
      </w:r>
    </w:p>
    <w:p w:rsidR="00661826" w:rsidRPr="00B01055" w:rsidRDefault="00661826" w:rsidP="00661826">
      <w:pPr>
        <w:suppressAutoHyphens/>
        <w:ind w:left="851" w:hanging="851"/>
        <w:rPr>
          <w:bCs/>
          <w:i/>
          <w:noProof/>
          <w:sz w:val="24"/>
          <w:szCs w:val="24"/>
          <w:u w:val="single"/>
        </w:rPr>
      </w:pPr>
    </w:p>
    <w:tbl>
      <w:tblPr>
        <w:tblpPr w:leftFromText="141" w:rightFromText="141" w:vertAnchor="text" w:tblpXSpec="center" w:tblpY="1"/>
        <w:tblOverlap w:val="never"/>
        <w:tblW w:w="5000" w:type="pct"/>
        <w:tblLook w:val="04A0" w:firstRow="1" w:lastRow="0" w:firstColumn="1" w:lastColumn="0" w:noHBand="0" w:noVBand="1"/>
      </w:tblPr>
      <w:tblGrid>
        <w:gridCol w:w="3270"/>
        <w:gridCol w:w="1700"/>
        <w:gridCol w:w="1700"/>
        <w:gridCol w:w="2958"/>
      </w:tblGrid>
      <w:tr w:rsidR="00661826" w:rsidRPr="005F7002" w:rsidTr="003B4BCE">
        <w:trPr>
          <w:trHeight w:val="977"/>
        </w:trPr>
        <w:tc>
          <w:tcPr>
            <w:tcW w:w="1698" w:type="pct"/>
            <w:vMerge w:val="restart"/>
            <w:tcBorders>
              <w:top w:val="single" w:sz="4" w:space="0" w:color="auto"/>
              <w:left w:val="single" w:sz="4" w:space="0" w:color="auto"/>
              <w:bottom w:val="single" w:sz="4" w:space="0" w:color="auto"/>
              <w:right w:val="single" w:sz="4" w:space="0" w:color="auto"/>
            </w:tcBorders>
          </w:tcPr>
          <w:p w:rsidR="00661826" w:rsidRPr="00E741A1" w:rsidRDefault="00661826" w:rsidP="003B4BCE">
            <w:pPr>
              <w:jc w:val="center"/>
              <w:rPr>
                <w:b/>
                <w:sz w:val="24"/>
                <w:szCs w:val="24"/>
              </w:rPr>
            </w:pPr>
          </w:p>
        </w:tc>
        <w:tc>
          <w:tcPr>
            <w:tcW w:w="883" w:type="pct"/>
            <w:vMerge w:val="restart"/>
            <w:tcBorders>
              <w:top w:val="single" w:sz="4" w:space="0" w:color="auto"/>
              <w:left w:val="single" w:sz="4" w:space="0" w:color="auto"/>
              <w:bottom w:val="single" w:sz="4" w:space="0" w:color="auto"/>
              <w:right w:val="single" w:sz="4" w:space="0" w:color="auto"/>
            </w:tcBorders>
            <w:vAlign w:val="center"/>
            <w:hideMark/>
          </w:tcPr>
          <w:p w:rsidR="00661826" w:rsidRPr="00E741A1" w:rsidRDefault="00661826" w:rsidP="003B4BCE">
            <w:pPr>
              <w:jc w:val="center"/>
              <w:rPr>
                <w:b/>
                <w:sz w:val="24"/>
                <w:szCs w:val="24"/>
              </w:rPr>
            </w:pPr>
            <w:proofErr w:type="spellStart"/>
            <w:r w:rsidRPr="00E741A1">
              <w:rPr>
                <w:b/>
                <w:sz w:val="24"/>
                <w:szCs w:val="24"/>
              </w:rPr>
              <w:t>M</w:t>
            </w:r>
            <w:r>
              <w:rPr>
                <w:b/>
                <w:sz w:val="24"/>
                <w:szCs w:val="24"/>
              </w:rPr>
              <w:t>ydrane</w:t>
            </w:r>
            <w:proofErr w:type="spellEnd"/>
          </w:p>
          <w:p w:rsidR="00661826" w:rsidRPr="00E741A1" w:rsidRDefault="00661826" w:rsidP="003B4BCE">
            <w:pPr>
              <w:jc w:val="center"/>
              <w:rPr>
                <w:b/>
                <w:sz w:val="24"/>
                <w:szCs w:val="24"/>
              </w:rPr>
            </w:pPr>
            <w:r w:rsidRPr="00E741A1">
              <w:rPr>
                <w:b/>
                <w:sz w:val="24"/>
                <w:szCs w:val="24"/>
              </w:rPr>
              <w:t>200 µl</w:t>
            </w:r>
          </w:p>
        </w:tc>
        <w:tc>
          <w:tcPr>
            <w:tcW w:w="883" w:type="pct"/>
            <w:vMerge w:val="restart"/>
            <w:tcBorders>
              <w:top w:val="single" w:sz="4" w:space="0" w:color="auto"/>
              <w:left w:val="single" w:sz="4" w:space="0" w:color="auto"/>
              <w:bottom w:val="single" w:sz="4" w:space="0" w:color="auto"/>
              <w:right w:val="single" w:sz="4" w:space="0" w:color="auto"/>
            </w:tcBorders>
            <w:vAlign w:val="center"/>
            <w:hideMark/>
          </w:tcPr>
          <w:p w:rsidR="00661826" w:rsidRPr="00E741A1" w:rsidRDefault="00661826" w:rsidP="003B4BCE">
            <w:pPr>
              <w:jc w:val="center"/>
              <w:rPr>
                <w:b/>
                <w:sz w:val="24"/>
                <w:szCs w:val="24"/>
              </w:rPr>
            </w:pPr>
            <w:r w:rsidRPr="00E741A1">
              <w:rPr>
                <w:b/>
                <w:sz w:val="24"/>
                <w:szCs w:val="24"/>
              </w:rPr>
              <w:t>Reference-behandling</w:t>
            </w:r>
          </w:p>
        </w:tc>
        <w:tc>
          <w:tcPr>
            <w:tcW w:w="1536" w:type="pct"/>
            <w:tcBorders>
              <w:top w:val="single" w:sz="4" w:space="0" w:color="auto"/>
              <w:left w:val="single" w:sz="4" w:space="0" w:color="auto"/>
              <w:bottom w:val="nil"/>
              <w:right w:val="single" w:sz="4" w:space="0" w:color="auto"/>
            </w:tcBorders>
            <w:hideMark/>
          </w:tcPr>
          <w:p w:rsidR="00661826" w:rsidRPr="00E741A1" w:rsidRDefault="00661826" w:rsidP="003B4BCE">
            <w:pPr>
              <w:jc w:val="center"/>
              <w:rPr>
                <w:b/>
                <w:sz w:val="24"/>
                <w:szCs w:val="24"/>
              </w:rPr>
            </w:pPr>
            <w:r w:rsidRPr="00E741A1">
              <w:rPr>
                <w:b/>
                <w:sz w:val="24"/>
                <w:szCs w:val="24"/>
              </w:rPr>
              <w:t>Forskel (</w:t>
            </w:r>
            <w:r>
              <w:rPr>
                <w:b/>
                <w:sz w:val="24"/>
                <w:szCs w:val="24"/>
              </w:rPr>
              <w:t>%</w:t>
            </w:r>
            <w:r w:rsidRPr="00E741A1">
              <w:rPr>
                <w:b/>
                <w:sz w:val="24"/>
                <w:szCs w:val="24"/>
              </w:rPr>
              <w:t>) mellem grupperne</w:t>
            </w:r>
          </w:p>
          <w:p w:rsidR="00661826" w:rsidRPr="00E741A1" w:rsidRDefault="00661826" w:rsidP="003B4BCE">
            <w:pPr>
              <w:jc w:val="center"/>
              <w:rPr>
                <w:b/>
                <w:sz w:val="24"/>
                <w:szCs w:val="24"/>
              </w:rPr>
            </w:pPr>
            <w:r w:rsidRPr="00E741A1">
              <w:rPr>
                <w:b/>
                <w:sz w:val="24"/>
                <w:szCs w:val="24"/>
              </w:rPr>
              <w:t>(</w:t>
            </w:r>
            <w:proofErr w:type="spellStart"/>
            <w:r w:rsidRPr="00E741A1">
              <w:rPr>
                <w:b/>
                <w:sz w:val="24"/>
                <w:szCs w:val="24"/>
              </w:rPr>
              <w:t>M</w:t>
            </w:r>
            <w:r>
              <w:rPr>
                <w:b/>
                <w:sz w:val="24"/>
                <w:szCs w:val="24"/>
              </w:rPr>
              <w:t>ydrane</w:t>
            </w:r>
            <w:proofErr w:type="spellEnd"/>
            <w:r w:rsidRPr="00E741A1">
              <w:rPr>
                <w:b/>
                <w:sz w:val="24"/>
                <w:szCs w:val="24"/>
              </w:rPr>
              <w:t xml:space="preserve"> 200 µl- reference)</w:t>
            </w:r>
          </w:p>
        </w:tc>
      </w:tr>
      <w:tr w:rsidR="00661826" w:rsidRPr="005F7002" w:rsidTr="003B4BCE">
        <w:tc>
          <w:tcPr>
            <w:tcW w:w="1698" w:type="pct"/>
            <w:vMerge/>
            <w:tcBorders>
              <w:top w:val="single" w:sz="4" w:space="0" w:color="auto"/>
              <w:left w:val="single" w:sz="4" w:space="0" w:color="auto"/>
              <w:bottom w:val="single" w:sz="4" w:space="0" w:color="auto"/>
              <w:right w:val="single" w:sz="4" w:space="0" w:color="auto"/>
            </w:tcBorders>
            <w:vAlign w:val="center"/>
            <w:hideMark/>
          </w:tcPr>
          <w:p w:rsidR="00661826" w:rsidRPr="00E741A1" w:rsidRDefault="00661826" w:rsidP="003B4BCE">
            <w:pPr>
              <w:jc w:val="center"/>
              <w:rPr>
                <w:b/>
                <w:sz w:val="24"/>
                <w:szCs w:val="24"/>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rsidR="00661826" w:rsidRPr="00E741A1" w:rsidRDefault="00661826" w:rsidP="003B4BCE">
            <w:pPr>
              <w:jc w:val="center"/>
              <w:rPr>
                <w:b/>
                <w:sz w:val="24"/>
                <w:szCs w:val="24"/>
              </w:rPr>
            </w:pPr>
          </w:p>
        </w:tc>
        <w:tc>
          <w:tcPr>
            <w:tcW w:w="883" w:type="pct"/>
            <w:vMerge/>
            <w:tcBorders>
              <w:top w:val="single" w:sz="4" w:space="0" w:color="auto"/>
              <w:left w:val="single" w:sz="4" w:space="0" w:color="auto"/>
              <w:bottom w:val="single" w:sz="4" w:space="0" w:color="auto"/>
              <w:right w:val="single" w:sz="4" w:space="0" w:color="auto"/>
            </w:tcBorders>
            <w:vAlign w:val="center"/>
            <w:hideMark/>
          </w:tcPr>
          <w:p w:rsidR="00661826" w:rsidRPr="00E741A1" w:rsidRDefault="00661826" w:rsidP="003B4BCE">
            <w:pPr>
              <w:jc w:val="center"/>
              <w:rPr>
                <w:b/>
                <w:sz w:val="24"/>
                <w:szCs w:val="24"/>
              </w:rPr>
            </w:pPr>
          </w:p>
        </w:tc>
        <w:tc>
          <w:tcPr>
            <w:tcW w:w="1536" w:type="pct"/>
            <w:tcBorders>
              <w:top w:val="nil"/>
              <w:left w:val="single" w:sz="4" w:space="0" w:color="auto"/>
              <w:bottom w:val="single" w:sz="4" w:space="0" w:color="auto"/>
              <w:right w:val="single" w:sz="4" w:space="0" w:color="auto"/>
            </w:tcBorders>
            <w:hideMark/>
          </w:tcPr>
          <w:p w:rsidR="00661826" w:rsidRPr="00E741A1" w:rsidRDefault="00661826" w:rsidP="003B4BCE">
            <w:pPr>
              <w:jc w:val="center"/>
              <w:rPr>
                <w:sz w:val="24"/>
                <w:szCs w:val="24"/>
              </w:rPr>
            </w:pPr>
            <w:r w:rsidRPr="00E741A1">
              <w:rPr>
                <w:sz w:val="24"/>
                <w:szCs w:val="24"/>
              </w:rPr>
              <w:t>[95</w:t>
            </w:r>
            <w:r>
              <w:rPr>
                <w:sz w:val="24"/>
                <w:szCs w:val="24"/>
              </w:rPr>
              <w:t xml:space="preserve"> %</w:t>
            </w:r>
            <w:r w:rsidRPr="00E741A1">
              <w:rPr>
                <w:sz w:val="24"/>
                <w:szCs w:val="24"/>
              </w:rPr>
              <w:t xml:space="preserve"> CI]</w:t>
            </w:r>
          </w:p>
        </w:tc>
      </w:tr>
      <w:tr w:rsidR="00661826" w:rsidRPr="005F7002" w:rsidTr="003B4BCE">
        <w:trPr>
          <w:trHeight w:val="2270"/>
        </w:trPr>
        <w:tc>
          <w:tcPr>
            <w:tcW w:w="1698" w:type="pct"/>
            <w:tcBorders>
              <w:top w:val="single" w:sz="4" w:space="0" w:color="auto"/>
              <w:left w:val="single" w:sz="4" w:space="0" w:color="auto"/>
              <w:bottom w:val="single" w:sz="4" w:space="0" w:color="auto"/>
              <w:right w:val="single" w:sz="4" w:space="0" w:color="auto"/>
            </w:tcBorders>
          </w:tcPr>
          <w:p w:rsidR="00661826" w:rsidRPr="00E741A1" w:rsidRDefault="00661826" w:rsidP="003B4BCE">
            <w:pPr>
              <w:rPr>
                <w:b/>
                <w:sz w:val="24"/>
                <w:szCs w:val="24"/>
              </w:rPr>
            </w:pPr>
            <w:r w:rsidRPr="00E741A1">
              <w:rPr>
                <w:b/>
                <w:sz w:val="24"/>
                <w:szCs w:val="24"/>
              </w:rPr>
              <w:t>N</w:t>
            </w:r>
          </w:p>
          <w:p w:rsidR="00661826" w:rsidRPr="005F7002" w:rsidRDefault="00661826" w:rsidP="003B4BCE">
            <w:pPr>
              <w:rPr>
                <w:color w:val="000000"/>
                <w:sz w:val="24"/>
                <w:szCs w:val="24"/>
                <w:lang w:eastAsia="fr-FR"/>
              </w:rPr>
            </w:pPr>
            <w:r w:rsidRPr="005F7002">
              <w:rPr>
                <w:sz w:val="24"/>
                <w:szCs w:val="24"/>
              </w:rPr>
              <w:t>Antal (</w:t>
            </w:r>
            <w:r>
              <w:rPr>
                <w:sz w:val="24"/>
                <w:szCs w:val="24"/>
              </w:rPr>
              <w:t>%</w:t>
            </w:r>
            <w:r w:rsidRPr="005F7002">
              <w:rPr>
                <w:sz w:val="24"/>
                <w:szCs w:val="24"/>
              </w:rPr>
              <w:t xml:space="preserve">) patienter uden yderligere </w:t>
            </w:r>
            <w:proofErr w:type="spellStart"/>
            <w:r w:rsidRPr="005F7002">
              <w:rPr>
                <w:sz w:val="24"/>
                <w:szCs w:val="24"/>
              </w:rPr>
              <w:t>mydriatisk</w:t>
            </w:r>
            <w:proofErr w:type="spellEnd"/>
            <w:r w:rsidRPr="005F7002">
              <w:rPr>
                <w:sz w:val="24"/>
                <w:szCs w:val="24"/>
              </w:rPr>
              <w:t xml:space="preserve"> behandling og</w:t>
            </w:r>
            <w:r w:rsidRPr="005F7002">
              <w:rPr>
                <w:color w:val="000000"/>
                <w:sz w:val="24"/>
                <w:szCs w:val="24"/>
                <w:lang w:eastAsia="fr-FR"/>
              </w:rPr>
              <w:t xml:space="preserve"> hvis pupilstørrelse var &gt; 6 mm</w:t>
            </w:r>
            <w:r w:rsidRPr="005F7002">
              <w:rPr>
                <w:i/>
                <w:sz w:val="24"/>
                <w:szCs w:val="24"/>
              </w:rPr>
              <w:t xml:space="preserve"> </w:t>
            </w:r>
            <w:r w:rsidRPr="005F7002">
              <w:rPr>
                <w:color w:val="000000"/>
                <w:sz w:val="24"/>
                <w:szCs w:val="24"/>
                <w:lang w:eastAsia="fr-FR"/>
              </w:rPr>
              <w:t xml:space="preserve">umiddelbart inden </w:t>
            </w:r>
            <w:proofErr w:type="spellStart"/>
            <w:r w:rsidRPr="005F7002">
              <w:rPr>
                <w:color w:val="000000"/>
                <w:sz w:val="24"/>
                <w:szCs w:val="24"/>
                <w:lang w:eastAsia="fr-FR"/>
              </w:rPr>
              <w:t>capsulorhexis</w:t>
            </w:r>
            <w:proofErr w:type="spellEnd"/>
            <w:r w:rsidRPr="005F7002">
              <w:rPr>
                <w:color w:val="000000"/>
                <w:sz w:val="24"/>
                <w:szCs w:val="24"/>
                <w:lang w:eastAsia="fr-FR"/>
              </w:rPr>
              <w:t>.</w:t>
            </w:r>
          </w:p>
          <w:p w:rsidR="00661826" w:rsidRPr="005F7002" w:rsidRDefault="00661826" w:rsidP="003B4BCE">
            <w:pPr>
              <w:rPr>
                <w:sz w:val="24"/>
                <w:szCs w:val="24"/>
              </w:rPr>
            </w:pPr>
            <w:r w:rsidRPr="005F7002">
              <w:rPr>
                <w:sz w:val="24"/>
                <w:szCs w:val="24"/>
              </w:rPr>
              <w:t>95</w:t>
            </w:r>
            <w:r>
              <w:rPr>
                <w:sz w:val="24"/>
                <w:szCs w:val="24"/>
              </w:rPr>
              <w:t xml:space="preserve"> %</w:t>
            </w:r>
            <w:r w:rsidRPr="005F7002">
              <w:rPr>
                <w:sz w:val="24"/>
                <w:szCs w:val="24"/>
              </w:rPr>
              <w:t xml:space="preserve"> CI</w:t>
            </w:r>
          </w:p>
        </w:tc>
        <w:tc>
          <w:tcPr>
            <w:tcW w:w="883" w:type="pct"/>
            <w:tcBorders>
              <w:top w:val="single" w:sz="4" w:space="0" w:color="auto"/>
              <w:left w:val="single" w:sz="4" w:space="0" w:color="auto"/>
              <w:bottom w:val="single" w:sz="4" w:space="0" w:color="auto"/>
              <w:right w:val="single" w:sz="4" w:space="0" w:color="auto"/>
            </w:tcBorders>
          </w:tcPr>
          <w:p w:rsidR="00661826" w:rsidRPr="005F7002" w:rsidRDefault="00661826" w:rsidP="003B4BCE">
            <w:pPr>
              <w:jc w:val="center"/>
              <w:rPr>
                <w:sz w:val="24"/>
                <w:szCs w:val="24"/>
              </w:rPr>
            </w:pPr>
            <w:r w:rsidRPr="005F7002">
              <w:rPr>
                <w:sz w:val="24"/>
                <w:szCs w:val="24"/>
              </w:rPr>
              <w:t>N=181</w:t>
            </w:r>
          </w:p>
          <w:p w:rsidR="00661826" w:rsidRPr="005F7002" w:rsidRDefault="00661826" w:rsidP="003B4BCE">
            <w:pPr>
              <w:jc w:val="center"/>
              <w:rPr>
                <w:sz w:val="24"/>
                <w:szCs w:val="24"/>
              </w:rPr>
            </w:pPr>
          </w:p>
          <w:p w:rsidR="00661826" w:rsidRPr="005F7002" w:rsidRDefault="00661826" w:rsidP="003B4BCE">
            <w:pPr>
              <w:jc w:val="center"/>
              <w:rPr>
                <w:sz w:val="24"/>
                <w:szCs w:val="24"/>
              </w:rPr>
            </w:pPr>
            <w:r w:rsidRPr="005F7002">
              <w:rPr>
                <w:sz w:val="24"/>
                <w:szCs w:val="24"/>
                <w:lang w:val="en-US"/>
              </w:rPr>
              <w:br/>
            </w:r>
            <w:r w:rsidRPr="005F7002">
              <w:rPr>
                <w:sz w:val="24"/>
                <w:szCs w:val="24"/>
                <w:lang w:val="en-US"/>
              </w:rPr>
              <w:br/>
            </w:r>
            <w:r w:rsidRPr="005F7002">
              <w:rPr>
                <w:sz w:val="24"/>
                <w:szCs w:val="24"/>
              </w:rPr>
              <w:t>180 (99,4)</w:t>
            </w:r>
          </w:p>
          <w:p w:rsidR="00661826" w:rsidRPr="005F7002" w:rsidRDefault="00661826" w:rsidP="003B4BCE">
            <w:pPr>
              <w:jc w:val="center"/>
              <w:rPr>
                <w:sz w:val="24"/>
                <w:szCs w:val="24"/>
              </w:rPr>
            </w:pPr>
            <w:r w:rsidRPr="005F7002">
              <w:rPr>
                <w:sz w:val="24"/>
                <w:szCs w:val="24"/>
              </w:rPr>
              <w:t>[97,0; 100,0]</w:t>
            </w:r>
          </w:p>
        </w:tc>
        <w:tc>
          <w:tcPr>
            <w:tcW w:w="883" w:type="pct"/>
            <w:tcBorders>
              <w:top w:val="single" w:sz="4" w:space="0" w:color="auto"/>
              <w:left w:val="single" w:sz="4" w:space="0" w:color="auto"/>
              <w:bottom w:val="single" w:sz="4" w:space="0" w:color="auto"/>
              <w:right w:val="single" w:sz="4" w:space="0" w:color="auto"/>
            </w:tcBorders>
          </w:tcPr>
          <w:p w:rsidR="00661826" w:rsidRPr="005F7002" w:rsidRDefault="00661826" w:rsidP="003B4BCE">
            <w:pPr>
              <w:jc w:val="center"/>
              <w:rPr>
                <w:sz w:val="24"/>
                <w:szCs w:val="24"/>
                <w:lang w:val="en-US"/>
              </w:rPr>
            </w:pPr>
            <w:r w:rsidRPr="005F7002">
              <w:rPr>
                <w:sz w:val="24"/>
                <w:szCs w:val="24"/>
                <w:lang w:val="en-US"/>
              </w:rPr>
              <w:t>N=261</w:t>
            </w:r>
          </w:p>
          <w:p w:rsidR="00661826" w:rsidRPr="005F7002" w:rsidRDefault="00661826" w:rsidP="003B4BCE">
            <w:pPr>
              <w:jc w:val="center"/>
              <w:rPr>
                <w:sz w:val="24"/>
                <w:szCs w:val="24"/>
                <w:lang w:val="en-US"/>
              </w:rPr>
            </w:pPr>
          </w:p>
          <w:p w:rsidR="00661826" w:rsidRPr="005F7002" w:rsidRDefault="00661826" w:rsidP="003B4BCE">
            <w:pPr>
              <w:jc w:val="center"/>
              <w:rPr>
                <w:sz w:val="24"/>
                <w:szCs w:val="24"/>
                <w:lang w:val="en-US"/>
              </w:rPr>
            </w:pPr>
            <w:r w:rsidRPr="005F7002">
              <w:rPr>
                <w:sz w:val="24"/>
                <w:szCs w:val="24"/>
                <w:lang w:val="en-US"/>
              </w:rPr>
              <w:br/>
            </w:r>
            <w:r w:rsidRPr="005F7002">
              <w:rPr>
                <w:sz w:val="24"/>
                <w:szCs w:val="24"/>
                <w:lang w:val="en-US"/>
              </w:rPr>
              <w:br/>
              <w:t>246 (943)</w:t>
            </w:r>
          </w:p>
          <w:p w:rsidR="00661826" w:rsidRPr="005F7002" w:rsidRDefault="00661826" w:rsidP="003B4BCE">
            <w:pPr>
              <w:jc w:val="center"/>
              <w:rPr>
                <w:sz w:val="24"/>
                <w:szCs w:val="24"/>
                <w:lang w:val="en-US"/>
              </w:rPr>
            </w:pPr>
            <w:r w:rsidRPr="005F7002">
              <w:rPr>
                <w:sz w:val="24"/>
                <w:szCs w:val="24"/>
                <w:lang w:val="en-US"/>
              </w:rPr>
              <w:t>[90,7; 96,7]</w:t>
            </w:r>
          </w:p>
        </w:tc>
        <w:tc>
          <w:tcPr>
            <w:tcW w:w="1536" w:type="pct"/>
            <w:tcBorders>
              <w:top w:val="single" w:sz="4" w:space="0" w:color="auto"/>
              <w:left w:val="single" w:sz="4" w:space="0" w:color="auto"/>
              <w:bottom w:val="single" w:sz="4" w:space="0" w:color="auto"/>
              <w:right w:val="single" w:sz="4" w:space="0" w:color="auto"/>
            </w:tcBorders>
          </w:tcPr>
          <w:p w:rsidR="00661826" w:rsidRPr="005F7002" w:rsidRDefault="00661826" w:rsidP="003B4BCE">
            <w:pPr>
              <w:jc w:val="center"/>
              <w:rPr>
                <w:sz w:val="24"/>
                <w:szCs w:val="24"/>
                <w:lang w:val="en-US"/>
              </w:rPr>
            </w:pPr>
          </w:p>
          <w:p w:rsidR="00661826" w:rsidRPr="005F7002" w:rsidRDefault="00661826" w:rsidP="003B4BCE">
            <w:pPr>
              <w:jc w:val="center"/>
              <w:rPr>
                <w:sz w:val="24"/>
                <w:szCs w:val="24"/>
                <w:lang w:val="en-US"/>
              </w:rPr>
            </w:pPr>
          </w:p>
          <w:p w:rsidR="00661826" w:rsidRPr="00E741A1" w:rsidRDefault="00661826" w:rsidP="003B4BCE">
            <w:pPr>
              <w:jc w:val="center"/>
              <w:rPr>
                <w:b/>
                <w:sz w:val="24"/>
                <w:szCs w:val="24"/>
                <w:lang w:val="en-US"/>
              </w:rPr>
            </w:pPr>
            <w:r w:rsidRPr="005F7002">
              <w:rPr>
                <w:sz w:val="24"/>
                <w:szCs w:val="24"/>
                <w:lang w:val="en-US"/>
              </w:rPr>
              <w:br/>
            </w:r>
            <w:r w:rsidRPr="005F7002">
              <w:rPr>
                <w:sz w:val="24"/>
                <w:szCs w:val="24"/>
                <w:lang w:val="en-US"/>
              </w:rPr>
              <w:br/>
            </w:r>
            <w:r w:rsidRPr="00E741A1">
              <w:rPr>
                <w:b/>
                <w:sz w:val="24"/>
                <w:szCs w:val="24"/>
                <w:lang w:val="en-US"/>
              </w:rPr>
              <w:t>5,2</w:t>
            </w:r>
          </w:p>
          <w:p w:rsidR="00661826" w:rsidRPr="005F7002" w:rsidRDefault="00661826" w:rsidP="003B4BCE">
            <w:pPr>
              <w:jc w:val="center"/>
              <w:rPr>
                <w:sz w:val="24"/>
                <w:szCs w:val="24"/>
                <w:lang w:val="en-US"/>
              </w:rPr>
            </w:pPr>
            <w:r w:rsidRPr="005F7002">
              <w:rPr>
                <w:sz w:val="24"/>
                <w:szCs w:val="24"/>
                <w:lang w:val="en-US"/>
              </w:rPr>
              <w:t>[-4,3; 14,6]</w:t>
            </w:r>
          </w:p>
        </w:tc>
      </w:tr>
    </w:tbl>
    <w:p w:rsidR="00661826" w:rsidRPr="00B01055" w:rsidRDefault="00661826" w:rsidP="00661826">
      <w:pPr>
        <w:suppressAutoHyphens/>
        <w:ind w:left="851" w:hanging="851"/>
        <w:rPr>
          <w:bCs/>
          <w:i/>
          <w:noProof/>
          <w:sz w:val="24"/>
          <w:szCs w:val="24"/>
          <w:u w:val="single"/>
          <w:lang w:val="en-US"/>
        </w:rPr>
      </w:pPr>
    </w:p>
    <w:p w:rsidR="00661826" w:rsidRPr="00B01055" w:rsidRDefault="00661826" w:rsidP="00661826">
      <w:pPr>
        <w:ind w:left="851"/>
        <w:rPr>
          <w:i/>
          <w:sz w:val="24"/>
          <w:szCs w:val="24"/>
          <w:lang w:val="en-US"/>
        </w:rPr>
      </w:pPr>
      <w:proofErr w:type="spellStart"/>
      <w:r>
        <w:rPr>
          <w:i/>
          <w:sz w:val="24"/>
          <w:szCs w:val="24"/>
          <w:lang w:val="en-US"/>
        </w:rPr>
        <w:t>Anæstesi</w:t>
      </w:r>
      <w:proofErr w:type="spellEnd"/>
    </w:p>
    <w:p w:rsidR="00661826" w:rsidRPr="00B01055" w:rsidRDefault="00661826" w:rsidP="00661826">
      <w:pPr>
        <w:ind w:left="851"/>
        <w:rPr>
          <w:color w:val="000000"/>
          <w:sz w:val="24"/>
          <w:szCs w:val="24"/>
          <w:lang w:eastAsia="fr-FR"/>
        </w:rPr>
      </w:pPr>
      <w:r w:rsidRPr="00B01055">
        <w:rPr>
          <w:color w:val="000000"/>
          <w:sz w:val="24"/>
          <w:szCs w:val="24"/>
          <w:lang w:eastAsia="fr-FR"/>
        </w:rPr>
        <w:t xml:space="preserve">Før den </w:t>
      </w:r>
      <w:proofErr w:type="spellStart"/>
      <w:r w:rsidRPr="00B01055">
        <w:rPr>
          <w:color w:val="000000"/>
          <w:sz w:val="24"/>
          <w:szCs w:val="24"/>
          <w:lang w:eastAsia="fr-FR"/>
        </w:rPr>
        <w:t>intraokulære</w:t>
      </w:r>
      <w:proofErr w:type="spellEnd"/>
      <w:r w:rsidRPr="00B01055">
        <w:rPr>
          <w:color w:val="000000"/>
          <w:sz w:val="24"/>
          <w:szCs w:val="24"/>
          <w:lang w:eastAsia="fr-FR"/>
        </w:rPr>
        <w:t xml:space="preserve"> linseinjektion var patienternes velbefindende statistisk signifikant bedre med </w:t>
      </w:r>
      <w:proofErr w:type="spellStart"/>
      <w:r>
        <w:rPr>
          <w:sz w:val="24"/>
          <w:szCs w:val="24"/>
        </w:rPr>
        <w:t>Mydrane</w:t>
      </w:r>
      <w:proofErr w:type="spellEnd"/>
      <w:r w:rsidRPr="00B01055">
        <w:rPr>
          <w:color w:val="000000"/>
          <w:sz w:val="24"/>
          <w:szCs w:val="24"/>
          <w:lang w:eastAsia="fr-FR"/>
        </w:rPr>
        <w:t xml:space="preserve"> (p=0,034), og der blev ikke set nogen statistisk signifikant forskel mellem grupperne på andre </w:t>
      </w:r>
      <w:proofErr w:type="spellStart"/>
      <w:r w:rsidRPr="00B01055">
        <w:rPr>
          <w:color w:val="000000"/>
          <w:sz w:val="24"/>
          <w:szCs w:val="24"/>
          <w:lang w:eastAsia="fr-FR"/>
        </w:rPr>
        <w:t>tidspunker</w:t>
      </w:r>
      <w:proofErr w:type="spellEnd"/>
      <w:r w:rsidRPr="00B01055">
        <w:rPr>
          <w:color w:val="000000"/>
          <w:sz w:val="24"/>
          <w:szCs w:val="24"/>
          <w:lang w:eastAsia="fr-FR"/>
        </w:rPr>
        <w:t xml:space="preserve"> under operationen (før </w:t>
      </w:r>
      <w:proofErr w:type="spellStart"/>
      <w:r w:rsidRPr="00B01055">
        <w:rPr>
          <w:color w:val="000000"/>
          <w:sz w:val="24"/>
          <w:szCs w:val="24"/>
          <w:lang w:eastAsia="fr-FR"/>
        </w:rPr>
        <w:t>viskoelastisk</w:t>
      </w:r>
      <w:proofErr w:type="spellEnd"/>
      <w:r w:rsidRPr="00B01055">
        <w:rPr>
          <w:color w:val="000000"/>
          <w:sz w:val="24"/>
          <w:szCs w:val="24"/>
          <w:lang w:eastAsia="fr-FR"/>
        </w:rPr>
        <w:t xml:space="preserve"> injektion, </w:t>
      </w:r>
      <w:proofErr w:type="spellStart"/>
      <w:r w:rsidRPr="00B01055">
        <w:rPr>
          <w:color w:val="000000"/>
          <w:sz w:val="24"/>
          <w:szCs w:val="24"/>
          <w:lang w:eastAsia="fr-FR"/>
        </w:rPr>
        <w:t>capsulorhexis</w:t>
      </w:r>
      <w:proofErr w:type="spellEnd"/>
      <w:r w:rsidRPr="00B01055">
        <w:rPr>
          <w:color w:val="000000"/>
          <w:sz w:val="24"/>
          <w:szCs w:val="24"/>
          <w:lang w:eastAsia="fr-FR"/>
        </w:rPr>
        <w:t xml:space="preserve"> og injektion af </w:t>
      </w:r>
      <w:proofErr w:type="spellStart"/>
      <w:r w:rsidRPr="00B01055">
        <w:rPr>
          <w:color w:val="000000"/>
          <w:sz w:val="24"/>
          <w:szCs w:val="24"/>
          <w:lang w:eastAsia="fr-FR"/>
        </w:rPr>
        <w:t>cefuroxim</w:t>
      </w:r>
      <w:proofErr w:type="spellEnd"/>
      <w:r w:rsidRPr="00B01055">
        <w:rPr>
          <w:color w:val="000000"/>
          <w:sz w:val="24"/>
          <w:szCs w:val="24"/>
          <w:lang w:eastAsia="fr-FR"/>
        </w:rPr>
        <w:t>).</w:t>
      </w:r>
    </w:p>
    <w:p w:rsidR="00661826" w:rsidRPr="00B01055" w:rsidRDefault="00661826" w:rsidP="00661826">
      <w:pPr>
        <w:ind w:left="851" w:hanging="851"/>
        <w:rPr>
          <w:sz w:val="24"/>
          <w:szCs w:val="24"/>
        </w:rPr>
      </w:pPr>
    </w:p>
    <w:p w:rsidR="00661826" w:rsidRPr="00B01055" w:rsidRDefault="00661826" w:rsidP="00661826">
      <w:pPr>
        <w:ind w:left="851" w:hanging="851"/>
        <w:rPr>
          <w:b/>
          <w:sz w:val="24"/>
          <w:szCs w:val="24"/>
        </w:rPr>
      </w:pPr>
      <w:r w:rsidRPr="00B01055">
        <w:rPr>
          <w:b/>
          <w:sz w:val="24"/>
          <w:szCs w:val="24"/>
        </w:rPr>
        <w:t>5.2</w:t>
      </w:r>
      <w:r w:rsidRPr="00B01055">
        <w:rPr>
          <w:b/>
          <w:sz w:val="24"/>
          <w:szCs w:val="24"/>
        </w:rPr>
        <w:tab/>
      </w:r>
      <w:proofErr w:type="spellStart"/>
      <w:r w:rsidRPr="00B01055">
        <w:rPr>
          <w:b/>
          <w:sz w:val="24"/>
          <w:szCs w:val="24"/>
        </w:rPr>
        <w:t>Farmakokinetiske</w:t>
      </w:r>
      <w:proofErr w:type="spellEnd"/>
      <w:r w:rsidRPr="00B01055">
        <w:rPr>
          <w:b/>
          <w:sz w:val="24"/>
          <w:szCs w:val="24"/>
        </w:rPr>
        <w:t xml:space="preserve"> egenskaber</w:t>
      </w:r>
    </w:p>
    <w:p w:rsidR="00661826" w:rsidRPr="00B01055" w:rsidRDefault="00661826" w:rsidP="00661826">
      <w:pPr>
        <w:ind w:left="851" w:hanging="851"/>
        <w:rPr>
          <w:sz w:val="24"/>
          <w:szCs w:val="24"/>
        </w:rPr>
      </w:pPr>
      <w:r w:rsidRPr="00B01055">
        <w:rPr>
          <w:sz w:val="24"/>
          <w:szCs w:val="24"/>
        </w:rPr>
        <w:tab/>
        <w:t xml:space="preserve">Der foreligger ingen </w:t>
      </w:r>
      <w:proofErr w:type="spellStart"/>
      <w:r w:rsidRPr="00B01055">
        <w:rPr>
          <w:sz w:val="24"/>
          <w:szCs w:val="24"/>
        </w:rPr>
        <w:t>farmakokinetiske</w:t>
      </w:r>
      <w:proofErr w:type="spellEnd"/>
      <w:r w:rsidRPr="00B01055">
        <w:rPr>
          <w:sz w:val="24"/>
          <w:szCs w:val="24"/>
        </w:rPr>
        <w:t xml:space="preserve"> oplysninger for </w:t>
      </w:r>
      <w:proofErr w:type="spellStart"/>
      <w:r>
        <w:rPr>
          <w:sz w:val="24"/>
          <w:szCs w:val="24"/>
        </w:rPr>
        <w:t>Mydrane</w:t>
      </w:r>
      <w:proofErr w:type="spellEnd"/>
      <w:r w:rsidRPr="00B01055">
        <w:rPr>
          <w:sz w:val="24"/>
          <w:szCs w:val="24"/>
        </w:rPr>
        <w:t>.</w:t>
      </w:r>
    </w:p>
    <w:p w:rsidR="00661826" w:rsidRPr="00B01055" w:rsidRDefault="00661826" w:rsidP="00315459">
      <w:pPr>
        <w:ind w:left="851"/>
        <w:rPr>
          <w:sz w:val="24"/>
          <w:szCs w:val="24"/>
        </w:rPr>
      </w:pPr>
    </w:p>
    <w:p w:rsidR="00661826" w:rsidRPr="00B01055" w:rsidRDefault="00661826" w:rsidP="00661826">
      <w:pPr>
        <w:ind w:left="851"/>
        <w:rPr>
          <w:sz w:val="24"/>
          <w:szCs w:val="24"/>
        </w:rPr>
      </w:pPr>
      <w:r w:rsidRPr="00B01055">
        <w:rPr>
          <w:sz w:val="24"/>
          <w:szCs w:val="24"/>
        </w:rPr>
        <w:t xml:space="preserve">Efter </w:t>
      </w:r>
      <w:proofErr w:type="spellStart"/>
      <w:r w:rsidRPr="00B01055">
        <w:rPr>
          <w:sz w:val="24"/>
          <w:szCs w:val="24"/>
        </w:rPr>
        <w:t>intrakameral</w:t>
      </w:r>
      <w:proofErr w:type="spellEnd"/>
      <w:r w:rsidRPr="00B01055">
        <w:rPr>
          <w:sz w:val="24"/>
          <w:szCs w:val="24"/>
        </w:rPr>
        <w:t xml:space="preserve"> injektion af </w:t>
      </w:r>
      <w:proofErr w:type="spellStart"/>
      <w:r>
        <w:rPr>
          <w:sz w:val="24"/>
          <w:szCs w:val="24"/>
        </w:rPr>
        <w:t>Mydrane</w:t>
      </w:r>
      <w:proofErr w:type="spellEnd"/>
      <w:r w:rsidRPr="00B01055">
        <w:rPr>
          <w:sz w:val="24"/>
          <w:szCs w:val="24"/>
        </w:rPr>
        <w:t xml:space="preserve"> hos 15 patienter, der fik foretaget en kataraktoperation, blev koncentrationen af de aktive stoffer i plasma 2, 12 og 30 minutter efter injektion sammenlignet med en standard </w:t>
      </w:r>
      <w:proofErr w:type="spellStart"/>
      <w:r w:rsidRPr="00B01055">
        <w:rPr>
          <w:sz w:val="24"/>
          <w:szCs w:val="24"/>
        </w:rPr>
        <w:t>topikalbehandling</w:t>
      </w:r>
      <w:proofErr w:type="spellEnd"/>
      <w:r w:rsidRPr="00B01055">
        <w:rPr>
          <w:sz w:val="24"/>
          <w:szCs w:val="24"/>
        </w:rPr>
        <w:t xml:space="preserve"> (</w:t>
      </w:r>
      <w:proofErr w:type="spellStart"/>
      <w:r w:rsidRPr="00B01055">
        <w:rPr>
          <w:sz w:val="24"/>
          <w:szCs w:val="24"/>
        </w:rPr>
        <w:t>phenylephrin</w:t>
      </w:r>
      <w:proofErr w:type="spellEnd"/>
      <w:r w:rsidRPr="00B01055">
        <w:rPr>
          <w:sz w:val="24"/>
          <w:szCs w:val="24"/>
        </w:rPr>
        <w:t xml:space="preserve"> 10</w:t>
      </w:r>
      <w:r>
        <w:rPr>
          <w:sz w:val="24"/>
          <w:szCs w:val="24"/>
        </w:rPr>
        <w:t xml:space="preserve"> %</w:t>
      </w:r>
      <w:r w:rsidRPr="00B01055">
        <w:rPr>
          <w:sz w:val="24"/>
          <w:szCs w:val="24"/>
        </w:rPr>
        <w:t xml:space="preserve"> øjendråber og </w:t>
      </w:r>
      <w:proofErr w:type="spellStart"/>
      <w:r w:rsidRPr="00B01055">
        <w:rPr>
          <w:sz w:val="24"/>
          <w:szCs w:val="24"/>
        </w:rPr>
        <w:t>tropicamid</w:t>
      </w:r>
      <w:proofErr w:type="spellEnd"/>
      <w:r w:rsidRPr="00B01055">
        <w:rPr>
          <w:sz w:val="24"/>
          <w:szCs w:val="24"/>
        </w:rPr>
        <w:t xml:space="preserve"> 0,5</w:t>
      </w:r>
      <w:r>
        <w:rPr>
          <w:sz w:val="24"/>
          <w:szCs w:val="24"/>
        </w:rPr>
        <w:t xml:space="preserve"> %</w:t>
      </w:r>
      <w:r w:rsidRPr="00B01055">
        <w:rPr>
          <w:sz w:val="24"/>
          <w:szCs w:val="24"/>
        </w:rPr>
        <w:t xml:space="preserve"> øjendråber). Med hensyn til </w:t>
      </w:r>
      <w:proofErr w:type="spellStart"/>
      <w:r w:rsidRPr="00B01055">
        <w:rPr>
          <w:sz w:val="24"/>
          <w:szCs w:val="24"/>
        </w:rPr>
        <w:t>tropicamid</w:t>
      </w:r>
      <w:proofErr w:type="spellEnd"/>
      <w:r w:rsidRPr="00B01055">
        <w:rPr>
          <w:sz w:val="24"/>
          <w:szCs w:val="24"/>
        </w:rPr>
        <w:t xml:space="preserve"> lå alle patienterne i </w:t>
      </w:r>
      <w:proofErr w:type="spellStart"/>
      <w:r w:rsidRPr="00B01055">
        <w:rPr>
          <w:sz w:val="24"/>
          <w:szCs w:val="24"/>
        </w:rPr>
        <w:t>M</w:t>
      </w:r>
      <w:r>
        <w:rPr>
          <w:sz w:val="24"/>
          <w:szCs w:val="24"/>
        </w:rPr>
        <w:t>ydrane</w:t>
      </w:r>
      <w:proofErr w:type="spellEnd"/>
      <w:r w:rsidRPr="00B01055">
        <w:rPr>
          <w:sz w:val="24"/>
          <w:szCs w:val="24"/>
        </w:rPr>
        <w:t xml:space="preserve">-gruppen under kvantificeringsgrænsen (&lt; 0,1 </w:t>
      </w:r>
      <w:proofErr w:type="spellStart"/>
      <w:r w:rsidRPr="00B01055">
        <w:rPr>
          <w:sz w:val="24"/>
          <w:szCs w:val="24"/>
        </w:rPr>
        <w:t>ng</w:t>
      </w:r>
      <w:proofErr w:type="spellEnd"/>
      <w:r w:rsidRPr="00B01055">
        <w:rPr>
          <w:sz w:val="24"/>
          <w:szCs w:val="24"/>
        </w:rPr>
        <w:t xml:space="preserve">/ml), hvorimod alle patienterne i referencegruppen lå over denne grænse. Koncentrationen af </w:t>
      </w:r>
      <w:proofErr w:type="spellStart"/>
      <w:r w:rsidRPr="00B01055">
        <w:rPr>
          <w:sz w:val="24"/>
          <w:szCs w:val="24"/>
        </w:rPr>
        <w:t>phenylephrin</w:t>
      </w:r>
      <w:proofErr w:type="spellEnd"/>
      <w:r w:rsidRPr="00B01055">
        <w:rPr>
          <w:sz w:val="24"/>
          <w:szCs w:val="24"/>
        </w:rPr>
        <w:t xml:space="preserve"> (kvantificeringsgrænse &lt; 0,1 </w:t>
      </w:r>
      <w:proofErr w:type="spellStart"/>
      <w:r w:rsidRPr="00B01055">
        <w:rPr>
          <w:sz w:val="24"/>
          <w:szCs w:val="24"/>
        </w:rPr>
        <w:t>ng</w:t>
      </w:r>
      <w:proofErr w:type="spellEnd"/>
      <w:r w:rsidRPr="00B01055">
        <w:rPr>
          <w:sz w:val="24"/>
          <w:szCs w:val="24"/>
        </w:rPr>
        <w:t xml:space="preserve">/ml) var ikke </w:t>
      </w:r>
      <w:proofErr w:type="spellStart"/>
      <w:r w:rsidRPr="00B01055">
        <w:rPr>
          <w:sz w:val="24"/>
          <w:szCs w:val="24"/>
        </w:rPr>
        <w:t>detekterbar</w:t>
      </w:r>
      <w:proofErr w:type="spellEnd"/>
      <w:r w:rsidRPr="00B01055">
        <w:rPr>
          <w:sz w:val="24"/>
          <w:szCs w:val="24"/>
        </w:rPr>
        <w:t xml:space="preserve"> hos alle patienter i </w:t>
      </w:r>
      <w:proofErr w:type="spellStart"/>
      <w:r>
        <w:rPr>
          <w:sz w:val="24"/>
          <w:szCs w:val="24"/>
        </w:rPr>
        <w:t>Mydrane</w:t>
      </w:r>
      <w:proofErr w:type="spellEnd"/>
      <w:r w:rsidRPr="00B01055">
        <w:rPr>
          <w:sz w:val="24"/>
          <w:szCs w:val="24"/>
        </w:rPr>
        <w:t xml:space="preserve">-gruppen med undtagelse af 2 patienter (maksimalt 0,59 </w:t>
      </w:r>
      <w:proofErr w:type="spellStart"/>
      <w:r w:rsidRPr="00B01055">
        <w:rPr>
          <w:sz w:val="24"/>
          <w:szCs w:val="24"/>
        </w:rPr>
        <w:t>ng</w:t>
      </w:r>
      <w:proofErr w:type="spellEnd"/>
      <w:r w:rsidRPr="00B01055">
        <w:rPr>
          <w:sz w:val="24"/>
          <w:szCs w:val="24"/>
        </w:rPr>
        <w:t xml:space="preserve">/ml) </w:t>
      </w:r>
      <w:r w:rsidRPr="00B01055">
        <w:rPr>
          <w:i/>
          <w:sz w:val="24"/>
          <w:szCs w:val="24"/>
        </w:rPr>
        <w:t xml:space="preserve">versus </w:t>
      </w:r>
      <w:r w:rsidRPr="00B01055">
        <w:rPr>
          <w:sz w:val="24"/>
          <w:szCs w:val="24"/>
        </w:rPr>
        <w:t xml:space="preserve">alle patienter i referencegruppen med en koncentration over kvantificeringsgrænsen (maksimalt 1,42 </w:t>
      </w:r>
      <w:proofErr w:type="spellStart"/>
      <w:r w:rsidRPr="00B01055">
        <w:rPr>
          <w:sz w:val="24"/>
          <w:szCs w:val="24"/>
        </w:rPr>
        <w:t>ng</w:t>
      </w:r>
      <w:proofErr w:type="spellEnd"/>
      <w:r w:rsidRPr="00B01055">
        <w:rPr>
          <w:sz w:val="24"/>
          <w:szCs w:val="24"/>
        </w:rPr>
        <w:t xml:space="preserve">/ml). Plasmakoncentrationen af </w:t>
      </w:r>
      <w:proofErr w:type="spellStart"/>
      <w:r w:rsidRPr="00B01055">
        <w:rPr>
          <w:sz w:val="24"/>
          <w:szCs w:val="24"/>
        </w:rPr>
        <w:t>lidocain</w:t>
      </w:r>
      <w:proofErr w:type="spellEnd"/>
      <w:r w:rsidRPr="00B01055">
        <w:rPr>
          <w:sz w:val="24"/>
          <w:szCs w:val="24"/>
        </w:rPr>
        <w:t xml:space="preserve"> blev målt hos alle </w:t>
      </w:r>
      <w:proofErr w:type="spellStart"/>
      <w:r>
        <w:rPr>
          <w:sz w:val="24"/>
          <w:szCs w:val="24"/>
        </w:rPr>
        <w:t>Mydrane</w:t>
      </w:r>
      <w:proofErr w:type="spellEnd"/>
      <w:r w:rsidRPr="00B01055">
        <w:rPr>
          <w:sz w:val="24"/>
          <w:szCs w:val="24"/>
        </w:rPr>
        <w:t>-behandlede patienter med en maksimal koncentration på 1,45 </w:t>
      </w:r>
      <w:proofErr w:type="spellStart"/>
      <w:r w:rsidRPr="00B01055">
        <w:rPr>
          <w:sz w:val="24"/>
          <w:szCs w:val="24"/>
        </w:rPr>
        <w:t>ng</w:t>
      </w:r>
      <w:proofErr w:type="spellEnd"/>
      <w:r w:rsidRPr="00B01055">
        <w:rPr>
          <w:sz w:val="24"/>
          <w:szCs w:val="24"/>
        </w:rPr>
        <w:t>/ml (langt under de værdier, der forårsager systemisk virkning: mellem 1.500 og 5.000 µg/ml).</w:t>
      </w:r>
    </w:p>
    <w:p w:rsidR="00661826" w:rsidRDefault="00661826" w:rsidP="00661826">
      <w:pPr>
        <w:rPr>
          <w:sz w:val="24"/>
          <w:szCs w:val="24"/>
        </w:rPr>
      </w:pPr>
      <w:r>
        <w:rPr>
          <w:sz w:val="24"/>
          <w:szCs w:val="24"/>
        </w:rPr>
        <w:br w:type="page"/>
      </w:r>
    </w:p>
    <w:p w:rsidR="00661826" w:rsidRPr="00B01055" w:rsidRDefault="00661826" w:rsidP="00661826">
      <w:pPr>
        <w:ind w:left="851" w:hanging="851"/>
        <w:rPr>
          <w:sz w:val="24"/>
          <w:szCs w:val="24"/>
        </w:rPr>
      </w:pPr>
    </w:p>
    <w:p w:rsidR="00CB2A7A" w:rsidRPr="00C84483" w:rsidRDefault="00CB2A7A" w:rsidP="00CB2A7A">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661826" w:rsidRPr="00B01055" w:rsidRDefault="00661826" w:rsidP="00661826">
      <w:pPr>
        <w:autoSpaceDE w:val="0"/>
        <w:autoSpaceDN w:val="0"/>
        <w:adjustRightInd w:val="0"/>
        <w:ind w:left="851" w:hanging="851"/>
        <w:rPr>
          <w:sz w:val="24"/>
          <w:szCs w:val="24"/>
        </w:rPr>
      </w:pPr>
      <w:r w:rsidRPr="00B01055">
        <w:rPr>
          <w:sz w:val="24"/>
          <w:szCs w:val="24"/>
        </w:rPr>
        <w:tab/>
      </w:r>
      <w:r w:rsidRPr="00B01055">
        <w:rPr>
          <w:color w:val="000000"/>
          <w:sz w:val="24"/>
          <w:szCs w:val="24"/>
          <w:lang w:eastAsia="fr-FR"/>
        </w:rPr>
        <w:t xml:space="preserve">I kaniner var den </w:t>
      </w:r>
      <w:proofErr w:type="spellStart"/>
      <w:r w:rsidRPr="00B01055">
        <w:rPr>
          <w:color w:val="000000"/>
          <w:sz w:val="24"/>
          <w:szCs w:val="24"/>
          <w:lang w:eastAsia="fr-FR"/>
        </w:rPr>
        <w:t>okulære</w:t>
      </w:r>
      <w:proofErr w:type="spellEnd"/>
      <w:r w:rsidRPr="00B01055">
        <w:rPr>
          <w:color w:val="000000"/>
          <w:sz w:val="24"/>
          <w:szCs w:val="24"/>
          <w:lang w:eastAsia="fr-FR"/>
        </w:rPr>
        <w:t xml:space="preserve"> tolerans efter en enkelt </w:t>
      </w:r>
      <w:proofErr w:type="spellStart"/>
      <w:r w:rsidRPr="00B01055">
        <w:rPr>
          <w:color w:val="000000"/>
          <w:sz w:val="24"/>
          <w:szCs w:val="24"/>
          <w:lang w:eastAsia="fr-FR"/>
        </w:rPr>
        <w:t>intrakameral</w:t>
      </w:r>
      <w:proofErr w:type="spellEnd"/>
      <w:r w:rsidRPr="00B01055">
        <w:rPr>
          <w:color w:val="000000"/>
          <w:sz w:val="24"/>
          <w:szCs w:val="24"/>
          <w:lang w:eastAsia="fr-FR"/>
        </w:rPr>
        <w:t xml:space="preserve"> injektion af </w:t>
      </w:r>
      <w:r w:rsidRPr="00B01055">
        <w:rPr>
          <w:sz w:val="24"/>
          <w:szCs w:val="24"/>
        </w:rPr>
        <w:t xml:space="preserve">200 µl </w:t>
      </w:r>
      <w:proofErr w:type="spellStart"/>
      <w:r>
        <w:rPr>
          <w:sz w:val="24"/>
          <w:szCs w:val="24"/>
        </w:rPr>
        <w:t>Mydrane</w:t>
      </w:r>
      <w:proofErr w:type="spellEnd"/>
      <w:r w:rsidRPr="00B01055">
        <w:rPr>
          <w:sz w:val="24"/>
          <w:szCs w:val="24"/>
        </w:rPr>
        <w:t xml:space="preserve"> med eller uden skylning (spaltelampe, </w:t>
      </w:r>
      <w:proofErr w:type="spellStart"/>
      <w:r w:rsidRPr="00B01055">
        <w:rPr>
          <w:sz w:val="24"/>
          <w:szCs w:val="24"/>
        </w:rPr>
        <w:t>flare</w:t>
      </w:r>
      <w:proofErr w:type="spellEnd"/>
      <w:r w:rsidRPr="00B01055">
        <w:rPr>
          <w:sz w:val="24"/>
          <w:szCs w:val="24"/>
        </w:rPr>
        <w:t xml:space="preserve"> i kammervæske, </w:t>
      </w:r>
      <w:proofErr w:type="spellStart"/>
      <w:r w:rsidRPr="00B01055">
        <w:rPr>
          <w:sz w:val="24"/>
          <w:szCs w:val="24"/>
        </w:rPr>
        <w:t>cornea</w:t>
      </w:r>
      <w:proofErr w:type="spellEnd"/>
      <w:r w:rsidRPr="00B01055">
        <w:rPr>
          <w:sz w:val="24"/>
          <w:szCs w:val="24"/>
        </w:rPr>
        <w:t xml:space="preserve">-tykkelse og celledensitet i </w:t>
      </w:r>
      <w:proofErr w:type="spellStart"/>
      <w:r w:rsidRPr="00B01055">
        <w:rPr>
          <w:sz w:val="24"/>
          <w:szCs w:val="24"/>
        </w:rPr>
        <w:t>endoteliet</w:t>
      </w:r>
      <w:proofErr w:type="spellEnd"/>
      <w:r w:rsidRPr="00B01055">
        <w:rPr>
          <w:sz w:val="24"/>
          <w:szCs w:val="24"/>
        </w:rPr>
        <w:t xml:space="preserve">, </w:t>
      </w:r>
      <w:proofErr w:type="spellStart"/>
      <w:r w:rsidRPr="00B01055">
        <w:rPr>
          <w:sz w:val="24"/>
          <w:szCs w:val="24"/>
        </w:rPr>
        <w:t>elektroretinografi</w:t>
      </w:r>
      <w:proofErr w:type="spellEnd"/>
      <w:r w:rsidRPr="00B01055">
        <w:rPr>
          <w:sz w:val="24"/>
          <w:szCs w:val="24"/>
        </w:rPr>
        <w:t xml:space="preserve"> og histologi) meget god i 7 dage efter dosering.</w:t>
      </w:r>
    </w:p>
    <w:p w:rsidR="00661826" w:rsidRPr="00B01055" w:rsidRDefault="00661826" w:rsidP="00661826">
      <w:pPr>
        <w:autoSpaceDE w:val="0"/>
        <w:autoSpaceDN w:val="0"/>
        <w:adjustRightInd w:val="0"/>
        <w:ind w:left="851" w:hanging="851"/>
        <w:rPr>
          <w:sz w:val="24"/>
          <w:szCs w:val="24"/>
        </w:rPr>
      </w:pPr>
    </w:p>
    <w:p w:rsidR="00661826" w:rsidRPr="00B01055" w:rsidRDefault="00661826" w:rsidP="00661826">
      <w:pPr>
        <w:autoSpaceDE w:val="0"/>
        <w:autoSpaceDN w:val="0"/>
        <w:adjustRightInd w:val="0"/>
        <w:ind w:left="851"/>
        <w:rPr>
          <w:iCs/>
          <w:sz w:val="24"/>
          <w:szCs w:val="24"/>
        </w:rPr>
      </w:pPr>
      <w:r w:rsidRPr="00B01055">
        <w:rPr>
          <w:iCs/>
          <w:sz w:val="24"/>
          <w:szCs w:val="24"/>
        </w:rPr>
        <w:t xml:space="preserve">Der blev kun observeret tegn på </w:t>
      </w:r>
      <w:proofErr w:type="spellStart"/>
      <w:r w:rsidRPr="00B01055">
        <w:rPr>
          <w:iCs/>
          <w:sz w:val="24"/>
          <w:szCs w:val="24"/>
        </w:rPr>
        <w:t>okulær</w:t>
      </w:r>
      <w:proofErr w:type="spellEnd"/>
      <w:r w:rsidRPr="00B01055">
        <w:rPr>
          <w:iCs/>
          <w:sz w:val="24"/>
          <w:szCs w:val="24"/>
        </w:rPr>
        <w:t xml:space="preserve"> </w:t>
      </w:r>
      <w:proofErr w:type="spellStart"/>
      <w:r w:rsidRPr="00B01055">
        <w:rPr>
          <w:iCs/>
          <w:sz w:val="24"/>
          <w:szCs w:val="24"/>
        </w:rPr>
        <w:t>intolerans</w:t>
      </w:r>
      <w:proofErr w:type="spellEnd"/>
      <w:r w:rsidRPr="00B01055">
        <w:rPr>
          <w:iCs/>
          <w:sz w:val="24"/>
          <w:szCs w:val="24"/>
        </w:rPr>
        <w:t xml:space="preserve"> ved formuleringer med højere koncentrationer af de tre aktive stoffer (ved eller over 5 gange koncentrationerne i </w:t>
      </w:r>
      <w:proofErr w:type="spellStart"/>
      <w:r>
        <w:rPr>
          <w:iCs/>
          <w:sz w:val="24"/>
          <w:szCs w:val="24"/>
        </w:rPr>
        <w:t>Mydrane</w:t>
      </w:r>
      <w:proofErr w:type="spellEnd"/>
      <w:r w:rsidRPr="00B01055">
        <w:rPr>
          <w:iCs/>
          <w:sz w:val="24"/>
          <w:szCs w:val="24"/>
        </w:rPr>
        <w:t xml:space="preserve">). Den højeste testede dosis (10 gange højere) viste øget </w:t>
      </w:r>
      <w:proofErr w:type="spellStart"/>
      <w:r w:rsidRPr="00B01055">
        <w:rPr>
          <w:iCs/>
          <w:sz w:val="24"/>
          <w:szCs w:val="24"/>
        </w:rPr>
        <w:t>cornea-tykkele</w:t>
      </w:r>
      <w:proofErr w:type="spellEnd"/>
      <w:r w:rsidRPr="00B01055">
        <w:rPr>
          <w:iCs/>
          <w:sz w:val="24"/>
          <w:szCs w:val="24"/>
        </w:rPr>
        <w:t xml:space="preserve"> og svære </w:t>
      </w:r>
      <w:proofErr w:type="spellStart"/>
      <w:r w:rsidRPr="00B01055">
        <w:rPr>
          <w:iCs/>
          <w:sz w:val="24"/>
          <w:szCs w:val="24"/>
        </w:rPr>
        <w:t>okulære</w:t>
      </w:r>
      <w:proofErr w:type="spellEnd"/>
      <w:r w:rsidRPr="00B01055">
        <w:rPr>
          <w:iCs/>
          <w:sz w:val="24"/>
          <w:szCs w:val="24"/>
        </w:rPr>
        <w:t xml:space="preserve"> ændringer medførte, at et dyr blev aflivet på Dag 3.</w:t>
      </w:r>
    </w:p>
    <w:p w:rsidR="00661826" w:rsidRPr="00B01055" w:rsidRDefault="00661826" w:rsidP="00661826">
      <w:pPr>
        <w:autoSpaceDE w:val="0"/>
        <w:autoSpaceDN w:val="0"/>
        <w:adjustRightInd w:val="0"/>
        <w:ind w:left="851" w:hanging="851"/>
        <w:rPr>
          <w:iCs/>
          <w:sz w:val="24"/>
          <w:szCs w:val="24"/>
        </w:rPr>
      </w:pPr>
    </w:p>
    <w:p w:rsidR="00661826" w:rsidRPr="00B01055" w:rsidRDefault="00661826" w:rsidP="00661826">
      <w:pPr>
        <w:autoSpaceDE w:val="0"/>
        <w:autoSpaceDN w:val="0"/>
        <w:adjustRightInd w:val="0"/>
        <w:ind w:left="851"/>
        <w:rPr>
          <w:iCs/>
          <w:sz w:val="24"/>
          <w:szCs w:val="24"/>
        </w:rPr>
      </w:pPr>
      <w:r w:rsidRPr="00B01055">
        <w:rPr>
          <w:iCs/>
          <w:sz w:val="24"/>
          <w:szCs w:val="24"/>
        </w:rPr>
        <w:t xml:space="preserve">Systemisk toksicitet af den faste kombination </w:t>
      </w:r>
      <w:proofErr w:type="spellStart"/>
      <w:r w:rsidRPr="00B01055">
        <w:rPr>
          <w:iCs/>
          <w:sz w:val="24"/>
          <w:szCs w:val="24"/>
        </w:rPr>
        <w:t>phenylephrin</w:t>
      </w:r>
      <w:proofErr w:type="spellEnd"/>
      <w:r w:rsidRPr="00B01055">
        <w:rPr>
          <w:iCs/>
          <w:sz w:val="24"/>
          <w:szCs w:val="24"/>
        </w:rPr>
        <w:t xml:space="preserve">, </w:t>
      </w:r>
      <w:proofErr w:type="spellStart"/>
      <w:r w:rsidRPr="00B01055">
        <w:rPr>
          <w:iCs/>
          <w:sz w:val="24"/>
          <w:szCs w:val="24"/>
        </w:rPr>
        <w:t>tropicamid</w:t>
      </w:r>
      <w:proofErr w:type="spellEnd"/>
      <w:r w:rsidRPr="00B01055">
        <w:rPr>
          <w:iCs/>
          <w:sz w:val="24"/>
          <w:szCs w:val="24"/>
        </w:rPr>
        <w:t xml:space="preserve"> og </w:t>
      </w:r>
      <w:proofErr w:type="spellStart"/>
      <w:r w:rsidRPr="00B01055">
        <w:rPr>
          <w:iCs/>
          <w:sz w:val="24"/>
          <w:szCs w:val="24"/>
        </w:rPr>
        <w:t>lidocain</w:t>
      </w:r>
      <w:proofErr w:type="spellEnd"/>
      <w:r w:rsidRPr="00B01055">
        <w:rPr>
          <w:iCs/>
          <w:sz w:val="24"/>
          <w:szCs w:val="24"/>
        </w:rPr>
        <w:t xml:space="preserve"> er ikke blevet undersøgt.</w:t>
      </w:r>
    </w:p>
    <w:p w:rsidR="00661826" w:rsidRPr="00B01055" w:rsidRDefault="00661826" w:rsidP="00661826">
      <w:pPr>
        <w:autoSpaceDE w:val="0"/>
        <w:autoSpaceDN w:val="0"/>
        <w:adjustRightInd w:val="0"/>
        <w:ind w:left="851"/>
        <w:rPr>
          <w:sz w:val="24"/>
          <w:szCs w:val="24"/>
        </w:rPr>
      </w:pPr>
      <w:r w:rsidRPr="00B01055">
        <w:rPr>
          <w:sz w:val="24"/>
          <w:szCs w:val="24"/>
        </w:rPr>
        <w:t xml:space="preserve">Eftersom den </w:t>
      </w:r>
      <w:r w:rsidRPr="00B01055">
        <w:rPr>
          <w:iCs/>
          <w:sz w:val="24"/>
          <w:szCs w:val="24"/>
        </w:rPr>
        <w:t xml:space="preserve">oftalmologiske sikkerhed ved de tre enkelte stoffer imidlertid må anses for at være klarlagt, og </w:t>
      </w:r>
      <w:proofErr w:type="spellStart"/>
      <w:r>
        <w:rPr>
          <w:sz w:val="24"/>
          <w:szCs w:val="24"/>
        </w:rPr>
        <w:t>Mydrane</w:t>
      </w:r>
      <w:proofErr w:type="spellEnd"/>
      <w:r w:rsidRPr="00B01055">
        <w:rPr>
          <w:iCs/>
          <w:sz w:val="24"/>
          <w:szCs w:val="24"/>
        </w:rPr>
        <w:t xml:space="preserve"> kun administreres ved en enkelt </w:t>
      </w:r>
      <w:proofErr w:type="spellStart"/>
      <w:r w:rsidRPr="00B01055">
        <w:rPr>
          <w:iCs/>
          <w:sz w:val="24"/>
          <w:szCs w:val="24"/>
        </w:rPr>
        <w:t>intrakameral</w:t>
      </w:r>
      <w:proofErr w:type="spellEnd"/>
      <w:r w:rsidRPr="00B01055">
        <w:rPr>
          <w:iCs/>
          <w:sz w:val="24"/>
          <w:szCs w:val="24"/>
        </w:rPr>
        <w:t xml:space="preserve"> injektion, forventes der ingen særlig</w:t>
      </w:r>
      <w:r w:rsidRPr="00B01055">
        <w:rPr>
          <w:sz w:val="24"/>
          <w:szCs w:val="24"/>
        </w:rPr>
        <w:t xml:space="preserve"> risiko ved denne kombination.</w:t>
      </w:r>
    </w:p>
    <w:p w:rsidR="00661826" w:rsidRPr="00B01055" w:rsidRDefault="00661826" w:rsidP="00661826">
      <w:pPr>
        <w:ind w:left="851" w:hanging="851"/>
        <w:rPr>
          <w:sz w:val="24"/>
          <w:szCs w:val="24"/>
        </w:rPr>
      </w:pPr>
    </w:p>
    <w:p w:rsidR="00661826" w:rsidRPr="00B01055" w:rsidRDefault="00661826" w:rsidP="00661826">
      <w:pPr>
        <w:ind w:left="851"/>
        <w:rPr>
          <w:sz w:val="24"/>
          <w:szCs w:val="24"/>
        </w:rPr>
      </w:pPr>
      <w:r w:rsidRPr="00B01055">
        <w:rPr>
          <w:sz w:val="24"/>
          <w:szCs w:val="24"/>
        </w:rPr>
        <w:t>Ligeledes er sikkerhedsfarmakologi, genotoksicitet og reproduktionstoksicitet for de tre enkelte stoffer i den faste kombination heller ikke undersøgt</w:t>
      </w:r>
      <w:r w:rsidRPr="00B01055">
        <w:rPr>
          <w:noProof/>
          <w:sz w:val="24"/>
          <w:szCs w:val="24"/>
        </w:rPr>
        <w:t>. I rotter resulterede administration af phenylephrin (12,5 mg/kg, s.c.) i nedsat blodgennemstrømning i uterus (86,8</w:t>
      </w:r>
      <w:r>
        <w:rPr>
          <w:noProof/>
          <w:sz w:val="24"/>
          <w:szCs w:val="24"/>
        </w:rPr>
        <w:t xml:space="preserve"> %</w:t>
      </w:r>
      <w:r w:rsidRPr="00B01055">
        <w:rPr>
          <w:noProof/>
          <w:sz w:val="24"/>
          <w:szCs w:val="24"/>
        </w:rPr>
        <w:t xml:space="preserve"> reduktion efter ca.15 minuter), hvilket medførte føtotoksisk og co-teratogen effekt. For lidocain blev der ikke observeret teratogen effekt i studier vedr. embryonal/føtal udvikling i rotter og kaniner. Embryotoksicitet og nedsat postnatal overlevelse blev kun observeret ved maternale toksiske doser. Lidocain var heller ikke genotoksisk.</w:t>
      </w:r>
    </w:p>
    <w:p w:rsidR="00661826" w:rsidRPr="00B01055" w:rsidRDefault="00661826" w:rsidP="00661826">
      <w:pPr>
        <w:ind w:left="851" w:hanging="851"/>
        <w:rPr>
          <w:sz w:val="24"/>
          <w:szCs w:val="24"/>
        </w:rPr>
      </w:pPr>
    </w:p>
    <w:p w:rsidR="00661826" w:rsidRPr="00B01055" w:rsidRDefault="00661826" w:rsidP="00661826">
      <w:pPr>
        <w:ind w:left="851" w:hanging="851"/>
        <w:rPr>
          <w:sz w:val="24"/>
          <w:szCs w:val="24"/>
        </w:rPr>
      </w:pPr>
    </w:p>
    <w:p w:rsidR="00661826" w:rsidRPr="00B01055" w:rsidRDefault="00661826" w:rsidP="00661826">
      <w:pPr>
        <w:ind w:left="851" w:hanging="851"/>
        <w:rPr>
          <w:b/>
          <w:sz w:val="24"/>
          <w:szCs w:val="24"/>
        </w:rPr>
      </w:pPr>
      <w:r w:rsidRPr="00B01055">
        <w:rPr>
          <w:b/>
          <w:sz w:val="24"/>
          <w:szCs w:val="24"/>
        </w:rPr>
        <w:t>6.</w:t>
      </w:r>
      <w:r w:rsidRPr="00B01055">
        <w:rPr>
          <w:b/>
          <w:sz w:val="24"/>
          <w:szCs w:val="24"/>
        </w:rPr>
        <w:tab/>
        <w:t>FARMACEUTISKE OPLYSNINGER</w:t>
      </w:r>
    </w:p>
    <w:p w:rsidR="00661826" w:rsidRPr="00B01055" w:rsidRDefault="00661826" w:rsidP="00661826">
      <w:pPr>
        <w:ind w:left="851" w:hanging="851"/>
        <w:rPr>
          <w:b/>
          <w:sz w:val="24"/>
          <w:szCs w:val="24"/>
        </w:rPr>
      </w:pPr>
    </w:p>
    <w:p w:rsidR="00661826" w:rsidRPr="00B01055" w:rsidRDefault="00661826" w:rsidP="00661826">
      <w:pPr>
        <w:ind w:left="851" w:hanging="851"/>
        <w:rPr>
          <w:b/>
          <w:sz w:val="24"/>
          <w:szCs w:val="24"/>
        </w:rPr>
      </w:pPr>
      <w:r w:rsidRPr="00B01055">
        <w:rPr>
          <w:b/>
          <w:sz w:val="24"/>
          <w:szCs w:val="24"/>
        </w:rPr>
        <w:t>6.1</w:t>
      </w:r>
      <w:r w:rsidRPr="00B01055">
        <w:rPr>
          <w:b/>
          <w:sz w:val="24"/>
          <w:szCs w:val="24"/>
        </w:rPr>
        <w:tab/>
        <w:t>Hjælpestoffer</w:t>
      </w:r>
    </w:p>
    <w:p w:rsidR="00661826" w:rsidRPr="00B01055" w:rsidRDefault="00661826" w:rsidP="00661826">
      <w:pPr>
        <w:ind w:left="851" w:hanging="851"/>
        <w:rPr>
          <w:sz w:val="24"/>
          <w:szCs w:val="24"/>
        </w:rPr>
      </w:pPr>
      <w:r w:rsidRPr="00B01055">
        <w:rPr>
          <w:sz w:val="24"/>
          <w:szCs w:val="24"/>
        </w:rPr>
        <w:tab/>
      </w:r>
      <w:proofErr w:type="spellStart"/>
      <w:r w:rsidRPr="00B01055">
        <w:rPr>
          <w:sz w:val="24"/>
          <w:szCs w:val="24"/>
        </w:rPr>
        <w:t>Natriumchlorid</w:t>
      </w:r>
      <w:proofErr w:type="spellEnd"/>
    </w:p>
    <w:p w:rsidR="00661826" w:rsidRPr="00B01055" w:rsidRDefault="00661826" w:rsidP="00661826">
      <w:pPr>
        <w:ind w:left="851"/>
        <w:rPr>
          <w:sz w:val="24"/>
          <w:szCs w:val="24"/>
        </w:rPr>
      </w:pPr>
      <w:proofErr w:type="spellStart"/>
      <w:r w:rsidRPr="00B01055">
        <w:rPr>
          <w:sz w:val="24"/>
          <w:szCs w:val="24"/>
        </w:rPr>
        <w:t>Dinatriumphosphatdodecahydrat</w:t>
      </w:r>
      <w:proofErr w:type="spellEnd"/>
    </w:p>
    <w:p w:rsidR="00661826" w:rsidRPr="00B01055" w:rsidRDefault="00661826" w:rsidP="00661826">
      <w:pPr>
        <w:ind w:left="851"/>
        <w:rPr>
          <w:sz w:val="24"/>
          <w:szCs w:val="24"/>
        </w:rPr>
      </w:pPr>
      <w:proofErr w:type="spellStart"/>
      <w:r w:rsidRPr="00B01055">
        <w:rPr>
          <w:sz w:val="24"/>
          <w:szCs w:val="24"/>
        </w:rPr>
        <w:t>Dinatriumphosphatdihydrat</w:t>
      </w:r>
      <w:proofErr w:type="spellEnd"/>
    </w:p>
    <w:p w:rsidR="00661826" w:rsidRPr="00B01055" w:rsidRDefault="00661826" w:rsidP="00661826">
      <w:pPr>
        <w:ind w:left="851"/>
        <w:rPr>
          <w:sz w:val="24"/>
          <w:szCs w:val="24"/>
        </w:rPr>
      </w:pPr>
      <w:proofErr w:type="spellStart"/>
      <w:r w:rsidRPr="00B01055">
        <w:rPr>
          <w:sz w:val="24"/>
          <w:szCs w:val="24"/>
        </w:rPr>
        <w:t>Dinatriumedetat</w:t>
      </w:r>
      <w:proofErr w:type="spellEnd"/>
    </w:p>
    <w:p w:rsidR="00661826" w:rsidRPr="00B01055" w:rsidRDefault="00661826" w:rsidP="00661826">
      <w:pPr>
        <w:ind w:left="851"/>
        <w:rPr>
          <w:sz w:val="24"/>
          <w:szCs w:val="24"/>
        </w:rPr>
      </w:pPr>
      <w:r w:rsidRPr="00B01055">
        <w:rPr>
          <w:sz w:val="24"/>
          <w:szCs w:val="24"/>
        </w:rPr>
        <w:t>Vand til injektionsvæsker</w:t>
      </w:r>
    </w:p>
    <w:p w:rsidR="00661826" w:rsidRPr="00B01055" w:rsidRDefault="00661826" w:rsidP="00661826">
      <w:pPr>
        <w:ind w:left="851" w:hanging="851"/>
        <w:rPr>
          <w:sz w:val="24"/>
          <w:szCs w:val="24"/>
        </w:rPr>
      </w:pPr>
    </w:p>
    <w:p w:rsidR="00661826" w:rsidRPr="00B01055" w:rsidRDefault="00661826" w:rsidP="00661826">
      <w:pPr>
        <w:ind w:left="851" w:hanging="851"/>
        <w:rPr>
          <w:b/>
          <w:sz w:val="24"/>
          <w:szCs w:val="24"/>
        </w:rPr>
      </w:pPr>
      <w:r w:rsidRPr="00B01055">
        <w:rPr>
          <w:b/>
          <w:sz w:val="24"/>
          <w:szCs w:val="24"/>
        </w:rPr>
        <w:t>6.2</w:t>
      </w:r>
      <w:r w:rsidRPr="00B01055">
        <w:rPr>
          <w:b/>
          <w:sz w:val="24"/>
          <w:szCs w:val="24"/>
        </w:rPr>
        <w:tab/>
        <w:t>Uforligeligheder</w:t>
      </w:r>
    </w:p>
    <w:p w:rsidR="00661826" w:rsidRPr="00B01055" w:rsidRDefault="00661826" w:rsidP="00661826">
      <w:pPr>
        <w:ind w:left="851" w:hanging="851"/>
        <w:rPr>
          <w:sz w:val="24"/>
          <w:szCs w:val="24"/>
        </w:rPr>
      </w:pPr>
      <w:r w:rsidRPr="00B01055">
        <w:rPr>
          <w:sz w:val="24"/>
          <w:szCs w:val="24"/>
        </w:rPr>
        <w:tab/>
        <w:t xml:space="preserve">Hverken i litteraturen eller i kliniske undersøgelser med de aktive stoffer er der rapporteret om uforligelighed med de mest almindeligt anvendte lægemidler under kataraktoperation. Vedrørende sædvanlig </w:t>
      </w:r>
      <w:proofErr w:type="spellStart"/>
      <w:r w:rsidRPr="00B01055">
        <w:rPr>
          <w:sz w:val="24"/>
          <w:szCs w:val="24"/>
        </w:rPr>
        <w:t>viskoelasticitet</w:t>
      </w:r>
      <w:proofErr w:type="spellEnd"/>
      <w:r w:rsidRPr="00B01055">
        <w:rPr>
          <w:sz w:val="24"/>
          <w:szCs w:val="24"/>
        </w:rPr>
        <w:t xml:space="preserve"> blev dette også bekræftet ved hjælp af lægemiddel interaktionstest.</w:t>
      </w:r>
    </w:p>
    <w:p w:rsidR="00661826" w:rsidRPr="00B01055" w:rsidRDefault="00661826" w:rsidP="00661826">
      <w:pPr>
        <w:ind w:left="851" w:hanging="851"/>
        <w:rPr>
          <w:sz w:val="24"/>
          <w:szCs w:val="24"/>
        </w:rPr>
      </w:pPr>
    </w:p>
    <w:p w:rsidR="00661826" w:rsidRPr="00B01055" w:rsidRDefault="00661826" w:rsidP="00661826">
      <w:pPr>
        <w:ind w:left="851" w:hanging="851"/>
        <w:rPr>
          <w:b/>
          <w:sz w:val="24"/>
          <w:szCs w:val="24"/>
        </w:rPr>
      </w:pPr>
      <w:r w:rsidRPr="00B01055">
        <w:rPr>
          <w:b/>
          <w:sz w:val="24"/>
          <w:szCs w:val="24"/>
        </w:rPr>
        <w:t>6.3</w:t>
      </w:r>
      <w:r w:rsidRPr="00B01055">
        <w:rPr>
          <w:b/>
          <w:sz w:val="24"/>
          <w:szCs w:val="24"/>
        </w:rPr>
        <w:tab/>
        <w:t>Opbevaringstid</w:t>
      </w:r>
    </w:p>
    <w:p w:rsidR="00661826" w:rsidRPr="00B01055" w:rsidRDefault="00661826" w:rsidP="00661826">
      <w:pPr>
        <w:ind w:left="851" w:hanging="851"/>
        <w:rPr>
          <w:sz w:val="24"/>
          <w:szCs w:val="24"/>
        </w:rPr>
      </w:pPr>
      <w:r w:rsidRPr="00B01055">
        <w:rPr>
          <w:sz w:val="24"/>
          <w:szCs w:val="24"/>
        </w:rPr>
        <w:tab/>
        <w:t>3 år.</w:t>
      </w:r>
    </w:p>
    <w:p w:rsidR="00661826" w:rsidRPr="00B01055" w:rsidRDefault="00661826" w:rsidP="00661826">
      <w:pPr>
        <w:ind w:left="851" w:hanging="851"/>
        <w:rPr>
          <w:sz w:val="24"/>
          <w:szCs w:val="24"/>
        </w:rPr>
      </w:pPr>
    </w:p>
    <w:p w:rsidR="00661826" w:rsidRPr="00B01055" w:rsidRDefault="00661826" w:rsidP="00661826">
      <w:pPr>
        <w:ind w:left="851" w:hanging="851"/>
        <w:rPr>
          <w:b/>
          <w:sz w:val="24"/>
          <w:szCs w:val="24"/>
        </w:rPr>
      </w:pPr>
      <w:r w:rsidRPr="00B01055">
        <w:rPr>
          <w:b/>
          <w:sz w:val="24"/>
          <w:szCs w:val="24"/>
        </w:rPr>
        <w:t>6.4</w:t>
      </w:r>
      <w:r w:rsidRPr="00B01055">
        <w:rPr>
          <w:b/>
          <w:sz w:val="24"/>
          <w:szCs w:val="24"/>
        </w:rPr>
        <w:tab/>
        <w:t>Særlige opbevaringsforhold</w:t>
      </w:r>
    </w:p>
    <w:p w:rsidR="00661826" w:rsidRPr="00B01055" w:rsidRDefault="00661826" w:rsidP="00661826">
      <w:pPr>
        <w:ind w:left="851" w:hanging="851"/>
        <w:rPr>
          <w:sz w:val="24"/>
          <w:szCs w:val="24"/>
        </w:rPr>
      </w:pPr>
      <w:r w:rsidRPr="00B01055">
        <w:rPr>
          <w:sz w:val="24"/>
          <w:szCs w:val="24"/>
        </w:rPr>
        <w:tab/>
      </w:r>
      <w:r w:rsidRPr="00B01055">
        <w:rPr>
          <w:noProof/>
          <w:sz w:val="24"/>
          <w:szCs w:val="24"/>
        </w:rPr>
        <w:t xml:space="preserve">Dette lægemiddel kræver ingen særlige </w:t>
      </w:r>
      <w:r>
        <w:rPr>
          <w:noProof/>
          <w:sz w:val="24"/>
          <w:szCs w:val="24"/>
        </w:rPr>
        <w:t>forholdsregler vedrørende opbevaringen.</w:t>
      </w:r>
    </w:p>
    <w:p w:rsidR="00315459" w:rsidRDefault="00315459">
      <w:pPr>
        <w:rPr>
          <w:sz w:val="24"/>
          <w:szCs w:val="24"/>
        </w:rPr>
      </w:pPr>
      <w:r>
        <w:rPr>
          <w:sz w:val="24"/>
          <w:szCs w:val="24"/>
        </w:rPr>
        <w:br w:type="page"/>
      </w:r>
    </w:p>
    <w:p w:rsidR="00661826" w:rsidRPr="00B01055" w:rsidRDefault="00661826" w:rsidP="00661826">
      <w:pPr>
        <w:ind w:left="851" w:hanging="851"/>
        <w:rPr>
          <w:sz w:val="24"/>
          <w:szCs w:val="24"/>
        </w:rPr>
      </w:pPr>
    </w:p>
    <w:p w:rsidR="00CB2A7A" w:rsidRPr="00C84483" w:rsidRDefault="00CB2A7A" w:rsidP="00CB2A7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61826" w:rsidRDefault="00661826" w:rsidP="00661826">
      <w:pPr>
        <w:ind w:left="851"/>
        <w:rPr>
          <w:sz w:val="24"/>
          <w:szCs w:val="24"/>
        </w:rPr>
      </w:pPr>
    </w:p>
    <w:p w:rsidR="00661826" w:rsidRPr="004401AF" w:rsidRDefault="00661826" w:rsidP="00661826">
      <w:pPr>
        <w:ind w:left="851"/>
        <w:rPr>
          <w:sz w:val="24"/>
          <w:szCs w:val="24"/>
          <w:u w:val="single"/>
        </w:rPr>
      </w:pPr>
      <w:r w:rsidRPr="004401AF">
        <w:rPr>
          <w:sz w:val="24"/>
          <w:szCs w:val="24"/>
          <w:u w:val="single"/>
        </w:rPr>
        <w:t xml:space="preserve">Blisterpakning af papir/PVC med en 1 ml steril, brun glasampul (type I) indeholdende 0,6 ml injektionsvæske. 5-mikron filterkanyle fås pakket særskilt i blisterpakning. </w:t>
      </w:r>
    </w:p>
    <w:p w:rsidR="00661826" w:rsidRDefault="00661826" w:rsidP="00661826">
      <w:pPr>
        <w:ind w:left="851"/>
        <w:rPr>
          <w:sz w:val="24"/>
          <w:szCs w:val="24"/>
          <w:u w:val="single"/>
        </w:rPr>
      </w:pPr>
    </w:p>
    <w:p w:rsidR="00661826" w:rsidRPr="00CA53B7" w:rsidRDefault="00661826" w:rsidP="00661826">
      <w:pPr>
        <w:ind w:left="851"/>
        <w:rPr>
          <w:i/>
          <w:sz w:val="24"/>
          <w:szCs w:val="24"/>
        </w:rPr>
      </w:pPr>
      <w:r w:rsidRPr="00CA53B7">
        <w:rPr>
          <w:i/>
          <w:sz w:val="24"/>
          <w:szCs w:val="24"/>
        </w:rPr>
        <w:t>Pakningsstørrelser</w:t>
      </w:r>
    </w:p>
    <w:p w:rsidR="00661826" w:rsidRPr="00CA53B7" w:rsidRDefault="00661826" w:rsidP="00661826">
      <w:pPr>
        <w:ind w:left="851"/>
        <w:rPr>
          <w:sz w:val="24"/>
          <w:szCs w:val="24"/>
        </w:rPr>
      </w:pPr>
      <w:r w:rsidRPr="00CA53B7">
        <w:rPr>
          <w:sz w:val="24"/>
          <w:szCs w:val="24"/>
        </w:rPr>
        <w:t>1, 20 og 100 sterile ampuller i æske sammen med henholdsvis 1, 20 og 100 sterile 5-mikron filterkanyler.</w:t>
      </w:r>
    </w:p>
    <w:p w:rsidR="00661826" w:rsidRPr="00CA53B7" w:rsidRDefault="00661826" w:rsidP="00661826">
      <w:pPr>
        <w:ind w:left="851"/>
        <w:rPr>
          <w:sz w:val="24"/>
          <w:szCs w:val="24"/>
        </w:rPr>
      </w:pPr>
    </w:p>
    <w:p w:rsidR="00661826" w:rsidRPr="00CA53B7" w:rsidRDefault="00661826" w:rsidP="00661826">
      <w:pPr>
        <w:ind w:left="851"/>
        <w:rPr>
          <w:sz w:val="24"/>
          <w:szCs w:val="24"/>
          <w:u w:val="single"/>
        </w:rPr>
      </w:pPr>
      <w:r w:rsidRPr="00CA53B7">
        <w:rPr>
          <w:sz w:val="24"/>
          <w:szCs w:val="24"/>
          <w:u w:val="single"/>
        </w:rPr>
        <w:t>Kit med blisterpakning af papir/PVC med en 1 ml steril, brun glasampul (type I) indeholdende 0,6 ml injektionsvæske og en steril 5-mikron filterkanyle.</w:t>
      </w:r>
    </w:p>
    <w:p w:rsidR="00661826" w:rsidRPr="00CA53B7" w:rsidRDefault="00661826" w:rsidP="00661826">
      <w:pPr>
        <w:ind w:left="851"/>
        <w:rPr>
          <w:sz w:val="24"/>
          <w:szCs w:val="24"/>
        </w:rPr>
      </w:pPr>
    </w:p>
    <w:p w:rsidR="00661826" w:rsidRPr="00CA53B7" w:rsidRDefault="00661826" w:rsidP="00661826">
      <w:pPr>
        <w:ind w:left="851"/>
        <w:rPr>
          <w:i/>
          <w:sz w:val="24"/>
          <w:szCs w:val="24"/>
        </w:rPr>
      </w:pPr>
      <w:r w:rsidRPr="00CA53B7">
        <w:rPr>
          <w:i/>
          <w:sz w:val="24"/>
          <w:szCs w:val="24"/>
        </w:rPr>
        <w:t>Pakningsstørrelser</w:t>
      </w:r>
    </w:p>
    <w:p w:rsidR="00661826" w:rsidRPr="00CA53B7" w:rsidRDefault="00661826" w:rsidP="00661826">
      <w:pPr>
        <w:ind w:left="851"/>
        <w:rPr>
          <w:sz w:val="24"/>
          <w:szCs w:val="24"/>
        </w:rPr>
      </w:pPr>
      <w:r w:rsidRPr="00CA53B7">
        <w:rPr>
          <w:sz w:val="24"/>
          <w:szCs w:val="24"/>
        </w:rPr>
        <w:t>1, 20 og 100 kits (dvs. med en steril ampul og en steril filterkanyle), i æske.</w:t>
      </w:r>
    </w:p>
    <w:p w:rsidR="00661826" w:rsidRPr="00CA53B7" w:rsidRDefault="00661826" w:rsidP="00661826">
      <w:pPr>
        <w:suppressAutoHyphens/>
        <w:ind w:left="851"/>
        <w:rPr>
          <w:sz w:val="24"/>
          <w:szCs w:val="24"/>
        </w:rPr>
      </w:pPr>
    </w:p>
    <w:p w:rsidR="00661826" w:rsidRPr="00B01055" w:rsidRDefault="00661826" w:rsidP="00661826">
      <w:pPr>
        <w:suppressAutoHyphens/>
        <w:ind w:left="851"/>
        <w:rPr>
          <w:sz w:val="24"/>
          <w:szCs w:val="24"/>
        </w:rPr>
      </w:pPr>
      <w:r w:rsidRPr="00CA53B7">
        <w:rPr>
          <w:sz w:val="24"/>
          <w:szCs w:val="24"/>
        </w:rPr>
        <w:t>Ikke alle pakningsstørrelser er nødvendigvis markedsført.</w:t>
      </w:r>
    </w:p>
    <w:p w:rsidR="00661826" w:rsidRPr="00B01055" w:rsidRDefault="00661826" w:rsidP="00661826">
      <w:pPr>
        <w:ind w:left="851" w:hanging="851"/>
        <w:rPr>
          <w:sz w:val="24"/>
          <w:szCs w:val="24"/>
        </w:rPr>
      </w:pPr>
    </w:p>
    <w:p w:rsidR="00CB2A7A" w:rsidRPr="00C84483" w:rsidRDefault="00CB2A7A" w:rsidP="00CB2A7A">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661826" w:rsidRPr="00B01055" w:rsidRDefault="00661826" w:rsidP="00661826">
      <w:pPr>
        <w:ind w:left="851" w:hanging="851"/>
        <w:rPr>
          <w:sz w:val="24"/>
          <w:szCs w:val="24"/>
        </w:rPr>
      </w:pPr>
      <w:r w:rsidRPr="00B01055">
        <w:rPr>
          <w:sz w:val="24"/>
          <w:szCs w:val="24"/>
        </w:rPr>
        <w:tab/>
        <w:t>Kun til engangsbrug.</w:t>
      </w:r>
    </w:p>
    <w:p w:rsidR="00661826" w:rsidRPr="00B01055" w:rsidRDefault="00661826" w:rsidP="00661826">
      <w:pPr>
        <w:ind w:left="851"/>
        <w:rPr>
          <w:sz w:val="24"/>
          <w:szCs w:val="24"/>
        </w:rPr>
      </w:pPr>
      <w:r w:rsidRPr="00B01055">
        <w:rPr>
          <w:sz w:val="24"/>
          <w:szCs w:val="24"/>
        </w:rPr>
        <w:t>Anvendes straks efter åbning af ampullen.</w:t>
      </w:r>
    </w:p>
    <w:p w:rsidR="00661826" w:rsidRPr="00B01055" w:rsidRDefault="00661826" w:rsidP="00661826">
      <w:pPr>
        <w:ind w:left="851" w:hanging="851"/>
        <w:rPr>
          <w:sz w:val="24"/>
          <w:szCs w:val="24"/>
        </w:rPr>
      </w:pPr>
    </w:p>
    <w:p w:rsidR="00661826" w:rsidRDefault="00661826" w:rsidP="00661826">
      <w:pPr>
        <w:ind w:left="851"/>
        <w:rPr>
          <w:sz w:val="24"/>
          <w:szCs w:val="24"/>
        </w:rPr>
      </w:pPr>
      <w:r w:rsidRPr="00C76099">
        <w:rPr>
          <w:sz w:val="24"/>
          <w:szCs w:val="24"/>
        </w:rPr>
        <w:t>Gælder kun, når produktet er pakket som kit (dvs. blisterpakning med en ampul og en kanyle): Sæt blisterpakningens flag</w:t>
      </w:r>
      <w:r>
        <w:rPr>
          <w:sz w:val="24"/>
          <w:szCs w:val="24"/>
        </w:rPr>
        <w:t>-</w:t>
      </w:r>
      <w:r w:rsidRPr="00C76099">
        <w:rPr>
          <w:sz w:val="24"/>
          <w:szCs w:val="24"/>
        </w:rPr>
        <w:t>etiket på patientens journal.</w:t>
      </w:r>
    </w:p>
    <w:p w:rsidR="00661826" w:rsidRDefault="00661826" w:rsidP="00661826">
      <w:pPr>
        <w:ind w:left="851"/>
        <w:rPr>
          <w:sz w:val="24"/>
          <w:szCs w:val="24"/>
        </w:rPr>
      </w:pPr>
    </w:p>
    <w:p w:rsidR="00661826" w:rsidRPr="00B01055" w:rsidRDefault="00661826" w:rsidP="00661826">
      <w:pPr>
        <w:ind w:left="851"/>
        <w:rPr>
          <w:sz w:val="24"/>
          <w:szCs w:val="24"/>
        </w:rPr>
      </w:pPr>
      <w:r w:rsidRPr="00B01055">
        <w:rPr>
          <w:sz w:val="24"/>
          <w:szCs w:val="24"/>
        </w:rPr>
        <w:t>Advarsel: Må ikke anvendes, hvis blisterpakningen eller den aftrækkelige folie er beskadiget eller brudt. Må kun åbnes under aseptiske forhold. Indholdet af blisterpakningen er sterilt.</w:t>
      </w:r>
    </w:p>
    <w:p w:rsidR="00661826" w:rsidRPr="00B01055" w:rsidRDefault="00661826" w:rsidP="00661826">
      <w:pPr>
        <w:ind w:left="851" w:hanging="851"/>
        <w:rPr>
          <w:sz w:val="24"/>
          <w:szCs w:val="24"/>
        </w:rPr>
      </w:pPr>
    </w:p>
    <w:p w:rsidR="00661826" w:rsidRPr="00B01055" w:rsidRDefault="00661826" w:rsidP="00661826">
      <w:pPr>
        <w:ind w:left="851"/>
        <w:rPr>
          <w:sz w:val="24"/>
          <w:szCs w:val="24"/>
        </w:rPr>
      </w:pPr>
      <w:proofErr w:type="spellStart"/>
      <w:r w:rsidRPr="00B01055">
        <w:rPr>
          <w:sz w:val="24"/>
          <w:szCs w:val="24"/>
        </w:rPr>
        <w:t>Injektionsvæsken</w:t>
      </w:r>
      <w:proofErr w:type="spellEnd"/>
      <w:r w:rsidRPr="00B01055">
        <w:rPr>
          <w:sz w:val="24"/>
          <w:szCs w:val="24"/>
        </w:rPr>
        <w:t xml:space="preserve"> skal undersøges før brug og må kun anvendes, hvis den er klar, let brun-gullig og så godt som fri for synlige partikler.</w:t>
      </w:r>
    </w:p>
    <w:p w:rsidR="00661826" w:rsidRPr="00B01055" w:rsidRDefault="00661826" w:rsidP="00661826">
      <w:pPr>
        <w:ind w:left="851" w:hanging="851"/>
        <w:rPr>
          <w:sz w:val="24"/>
          <w:szCs w:val="24"/>
        </w:rPr>
      </w:pPr>
    </w:p>
    <w:p w:rsidR="00661826" w:rsidRPr="00B01055" w:rsidRDefault="00661826" w:rsidP="00661826">
      <w:pPr>
        <w:ind w:left="851"/>
        <w:rPr>
          <w:sz w:val="24"/>
          <w:szCs w:val="24"/>
        </w:rPr>
      </w:pPr>
      <w:proofErr w:type="spellStart"/>
      <w:r>
        <w:rPr>
          <w:sz w:val="24"/>
          <w:szCs w:val="24"/>
        </w:rPr>
        <w:t>Mydrane</w:t>
      </w:r>
      <w:proofErr w:type="spellEnd"/>
      <w:r w:rsidRPr="00B01055">
        <w:rPr>
          <w:sz w:val="24"/>
          <w:szCs w:val="24"/>
        </w:rPr>
        <w:t xml:space="preserve"> skal administreres som </w:t>
      </w:r>
      <w:proofErr w:type="spellStart"/>
      <w:r w:rsidRPr="00B01055">
        <w:rPr>
          <w:sz w:val="24"/>
          <w:szCs w:val="24"/>
        </w:rPr>
        <w:t>intrakameral</w:t>
      </w:r>
      <w:proofErr w:type="spellEnd"/>
      <w:r w:rsidRPr="00B01055">
        <w:rPr>
          <w:sz w:val="24"/>
          <w:szCs w:val="24"/>
        </w:rPr>
        <w:t xml:space="preserve"> injektion af en øjenlæge i forbindelse en kataraktoperation under de anbefalede </w:t>
      </w:r>
      <w:proofErr w:type="spellStart"/>
      <w:r w:rsidRPr="00B01055">
        <w:rPr>
          <w:sz w:val="24"/>
          <w:szCs w:val="24"/>
        </w:rPr>
        <w:t>aspetiske</w:t>
      </w:r>
      <w:proofErr w:type="spellEnd"/>
      <w:r w:rsidRPr="00B01055">
        <w:rPr>
          <w:sz w:val="24"/>
          <w:szCs w:val="24"/>
        </w:rPr>
        <w:t xml:space="preserve"> forhold.</w:t>
      </w:r>
    </w:p>
    <w:p w:rsidR="00661826" w:rsidRPr="00B01055" w:rsidRDefault="00661826" w:rsidP="00661826">
      <w:pPr>
        <w:ind w:left="851" w:hanging="851"/>
        <w:rPr>
          <w:sz w:val="24"/>
          <w:szCs w:val="24"/>
        </w:rPr>
      </w:pPr>
    </w:p>
    <w:p w:rsidR="00661826" w:rsidRPr="00B01055" w:rsidRDefault="00661826" w:rsidP="00661826">
      <w:pPr>
        <w:ind w:left="851"/>
        <w:rPr>
          <w:sz w:val="24"/>
          <w:szCs w:val="24"/>
        </w:rPr>
      </w:pPr>
      <w:r w:rsidRPr="00B01055">
        <w:rPr>
          <w:sz w:val="24"/>
          <w:szCs w:val="24"/>
        </w:rPr>
        <w:t xml:space="preserve">For klargøring af </w:t>
      </w:r>
      <w:proofErr w:type="spellStart"/>
      <w:r w:rsidRPr="00B01055">
        <w:rPr>
          <w:sz w:val="24"/>
          <w:szCs w:val="24"/>
        </w:rPr>
        <w:t>intrakameral</w:t>
      </w:r>
      <w:proofErr w:type="spellEnd"/>
      <w:r w:rsidRPr="00B01055">
        <w:rPr>
          <w:sz w:val="24"/>
          <w:szCs w:val="24"/>
        </w:rPr>
        <w:t xml:space="preserve"> injektion af produktet, se følgende instruktioner:</w:t>
      </w:r>
    </w:p>
    <w:p w:rsidR="00661826" w:rsidRPr="00B01055" w:rsidRDefault="00661826" w:rsidP="00661826">
      <w:pPr>
        <w:ind w:left="851" w:hanging="851"/>
        <w:rPr>
          <w:sz w:val="24"/>
          <w:szCs w:val="24"/>
        </w:rPr>
      </w:pPr>
    </w:p>
    <w:p w:rsidR="00661826" w:rsidRPr="00CA53B7" w:rsidRDefault="00661826" w:rsidP="00661826">
      <w:pPr>
        <w:numPr>
          <w:ilvl w:val="0"/>
          <w:numId w:val="9"/>
        </w:numPr>
        <w:ind w:left="1276" w:hanging="425"/>
        <w:rPr>
          <w:sz w:val="24"/>
          <w:szCs w:val="24"/>
          <w:lang w:val="nn-NO"/>
        </w:rPr>
      </w:pPr>
      <w:r w:rsidRPr="00B01055">
        <w:rPr>
          <w:sz w:val="24"/>
          <w:szCs w:val="24"/>
        </w:rPr>
        <w:t xml:space="preserve">Undersøg den uåbnede blisterpakning for at sikre, at den er intakt. </w:t>
      </w:r>
      <w:r w:rsidRPr="00CA53B7">
        <w:rPr>
          <w:sz w:val="24"/>
          <w:szCs w:val="24"/>
        </w:rPr>
        <w:t xml:space="preserve">Træk blisterfolien af </w:t>
      </w:r>
      <w:r w:rsidRPr="00CA53B7">
        <w:rPr>
          <w:sz w:val="24"/>
          <w:szCs w:val="24"/>
          <w:lang w:val="nn-NO"/>
        </w:rPr>
        <w:t>under aseptiske forhold for at sikre, at indholdet forbliver sterilt.</w:t>
      </w:r>
    </w:p>
    <w:p w:rsidR="00661826" w:rsidRPr="00CA53B7" w:rsidRDefault="00661826" w:rsidP="00661826">
      <w:pPr>
        <w:ind w:left="1276" w:hanging="425"/>
        <w:rPr>
          <w:sz w:val="24"/>
          <w:szCs w:val="24"/>
        </w:rPr>
      </w:pPr>
    </w:p>
    <w:p w:rsidR="00661826" w:rsidRPr="00B01055" w:rsidRDefault="00661826" w:rsidP="00661826">
      <w:pPr>
        <w:numPr>
          <w:ilvl w:val="0"/>
          <w:numId w:val="9"/>
        </w:numPr>
        <w:ind w:left="1276" w:hanging="425"/>
        <w:rPr>
          <w:sz w:val="24"/>
          <w:szCs w:val="24"/>
        </w:rPr>
      </w:pPr>
      <w:r w:rsidRPr="00B01055">
        <w:rPr>
          <w:sz w:val="24"/>
          <w:szCs w:val="24"/>
        </w:rPr>
        <w:t xml:space="preserve">Bræk toppen af </w:t>
      </w:r>
      <w:r>
        <w:rPr>
          <w:sz w:val="24"/>
          <w:szCs w:val="24"/>
        </w:rPr>
        <w:t xml:space="preserve">den </w:t>
      </w:r>
      <w:proofErr w:type="spellStart"/>
      <w:r>
        <w:rPr>
          <w:sz w:val="24"/>
          <w:szCs w:val="24"/>
        </w:rPr>
        <w:t>steriel</w:t>
      </w:r>
      <w:proofErr w:type="spellEnd"/>
      <w:r>
        <w:rPr>
          <w:sz w:val="24"/>
          <w:szCs w:val="24"/>
        </w:rPr>
        <w:t xml:space="preserve"> </w:t>
      </w:r>
      <w:r w:rsidRPr="00B01055">
        <w:rPr>
          <w:sz w:val="24"/>
          <w:szCs w:val="24"/>
        </w:rPr>
        <w:t>ampul med lægemidlet. OPC (</w:t>
      </w:r>
      <w:r w:rsidRPr="00B01055">
        <w:rPr>
          <w:i/>
          <w:sz w:val="24"/>
          <w:szCs w:val="24"/>
        </w:rPr>
        <w:t>One Point Cut</w:t>
      </w:r>
      <w:r w:rsidRPr="00B01055">
        <w:rPr>
          <w:sz w:val="24"/>
          <w:szCs w:val="24"/>
        </w:rPr>
        <w:t>) ampullen åbnes på følgende måde: Tag fat om den nederste del af ampullen så tommelfingeren peger mod det farvede punkt. Tag fat om toppen af ampullen med den anden hånd, så tommelfingeren er placeret på det farvede punkt og pres bagud for at brække toppen af ved markeringen under det farvede punkt.</w:t>
      </w:r>
    </w:p>
    <w:p w:rsidR="00661826" w:rsidRPr="00B01055" w:rsidRDefault="00661826" w:rsidP="00661826">
      <w:pPr>
        <w:pStyle w:val="Listeafsnit"/>
        <w:ind w:left="1276" w:hanging="425"/>
        <w:rPr>
          <w:sz w:val="24"/>
          <w:szCs w:val="24"/>
        </w:rPr>
      </w:pPr>
    </w:p>
    <w:p w:rsidR="00661826" w:rsidRPr="00B01055" w:rsidRDefault="00661826" w:rsidP="00661826">
      <w:pPr>
        <w:numPr>
          <w:ilvl w:val="0"/>
          <w:numId w:val="9"/>
        </w:numPr>
        <w:ind w:left="1276" w:hanging="425"/>
        <w:rPr>
          <w:sz w:val="24"/>
          <w:szCs w:val="24"/>
          <w:lang w:val="it-IT"/>
        </w:rPr>
      </w:pPr>
      <w:r w:rsidRPr="00B01055">
        <w:rPr>
          <w:sz w:val="24"/>
          <w:szCs w:val="24"/>
        </w:rPr>
        <w:t xml:space="preserve">Sæt den sterile </w:t>
      </w:r>
      <w:r w:rsidRPr="00B01055">
        <w:rPr>
          <w:sz w:val="24"/>
          <w:szCs w:val="24"/>
          <w:lang w:val="it-IT"/>
        </w:rPr>
        <w:t xml:space="preserve">5-mikron filterkanyle (vedlagt) på en steril sprøjte. Fjern kanylehætten fra den sterile 5-mikron filterkanyle og træk mindst 0,2 ml injektionsvæske fra ampullen over i sprøjten. </w:t>
      </w:r>
    </w:p>
    <w:p w:rsidR="00661826" w:rsidRPr="00B01055" w:rsidRDefault="00661826" w:rsidP="00661826">
      <w:pPr>
        <w:ind w:left="1276" w:hanging="425"/>
        <w:rPr>
          <w:sz w:val="24"/>
          <w:szCs w:val="24"/>
          <w:lang w:val="it-IT"/>
        </w:rPr>
      </w:pPr>
    </w:p>
    <w:p w:rsidR="00661826" w:rsidRPr="00B01055" w:rsidRDefault="00661826" w:rsidP="00661826">
      <w:pPr>
        <w:numPr>
          <w:ilvl w:val="0"/>
          <w:numId w:val="9"/>
        </w:numPr>
        <w:ind w:left="1276" w:hanging="425"/>
        <w:rPr>
          <w:sz w:val="24"/>
          <w:szCs w:val="24"/>
        </w:rPr>
      </w:pPr>
      <w:r w:rsidRPr="00B01055">
        <w:rPr>
          <w:sz w:val="24"/>
          <w:szCs w:val="24"/>
          <w:lang w:val="it-IT"/>
        </w:rPr>
        <w:t xml:space="preserve">Fjern kanylen fra sprøjten og monter en </w:t>
      </w:r>
      <w:r w:rsidRPr="00B01055">
        <w:rPr>
          <w:sz w:val="24"/>
          <w:szCs w:val="24"/>
        </w:rPr>
        <w:t>egnet forkammer-kanyle</w:t>
      </w:r>
      <w:r w:rsidRPr="00B01055">
        <w:rPr>
          <w:sz w:val="24"/>
          <w:szCs w:val="24"/>
          <w:lang w:val="it-IT"/>
        </w:rPr>
        <w:t xml:space="preserve"> på sprøjten.</w:t>
      </w:r>
    </w:p>
    <w:p w:rsidR="00661826" w:rsidRPr="00B01055" w:rsidRDefault="00661826" w:rsidP="00661826">
      <w:pPr>
        <w:ind w:left="1276" w:hanging="425"/>
        <w:rPr>
          <w:sz w:val="24"/>
          <w:szCs w:val="24"/>
        </w:rPr>
      </w:pPr>
    </w:p>
    <w:p w:rsidR="00661826" w:rsidRPr="00B01055" w:rsidRDefault="00661826" w:rsidP="00661826">
      <w:pPr>
        <w:numPr>
          <w:ilvl w:val="0"/>
          <w:numId w:val="9"/>
        </w:numPr>
        <w:ind w:left="1276" w:hanging="425"/>
        <w:rPr>
          <w:sz w:val="24"/>
          <w:szCs w:val="24"/>
          <w:lang w:val="it-IT"/>
        </w:rPr>
      </w:pPr>
      <w:r w:rsidRPr="00B01055">
        <w:rPr>
          <w:sz w:val="24"/>
          <w:szCs w:val="24"/>
          <w:lang w:val="it-IT"/>
        </w:rPr>
        <w:t>Tøm forsigtigt sprøjten for luft. Juster dosis til 0,2 ml. Sprøjten er klar til injektion.</w:t>
      </w:r>
    </w:p>
    <w:p w:rsidR="00661826" w:rsidRPr="00B01055" w:rsidRDefault="00661826" w:rsidP="00661826">
      <w:pPr>
        <w:pStyle w:val="Listeafsnit"/>
        <w:ind w:left="1276" w:hanging="425"/>
        <w:rPr>
          <w:sz w:val="24"/>
          <w:szCs w:val="24"/>
          <w:lang w:val="it-IT"/>
        </w:rPr>
      </w:pPr>
    </w:p>
    <w:p w:rsidR="00661826" w:rsidRPr="00B01055" w:rsidRDefault="00661826" w:rsidP="00661826">
      <w:pPr>
        <w:numPr>
          <w:ilvl w:val="0"/>
          <w:numId w:val="9"/>
        </w:numPr>
        <w:ind w:left="1276" w:hanging="425"/>
        <w:rPr>
          <w:sz w:val="24"/>
          <w:szCs w:val="24"/>
          <w:lang w:val="it-IT"/>
        </w:rPr>
      </w:pPr>
      <w:r w:rsidRPr="00B01055">
        <w:rPr>
          <w:sz w:val="24"/>
          <w:szCs w:val="24"/>
          <w:lang w:val="it-IT"/>
        </w:rPr>
        <w:t xml:space="preserve">Injicer langsomt det 0,2 ml volumen som en enkelt injektion i øjets forkammer </w:t>
      </w:r>
      <w:r w:rsidRPr="00B01055">
        <w:rPr>
          <w:sz w:val="24"/>
          <w:szCs w:val="24"/>
        </w:rPr>
        <w:t>via lateral/</w:t>
      </w:r>
      <w:proofErr w:type="spellStart"/>
      <w:r w:rsidRPr="00B01055">
        <w:rPr>
          <w:sz w:val="24"/>
          <w:szCs w:val="24"/>
        </w:rPr>
        <w:t>medial</w:t>
      </w:r>
      <w:proofErr w:type="spellEnd"/>
      <w:r w:rsidRPr="00B01055">
        <w:rPr>
          <w:sz w:val="24"/>
          <w:szCs w:val="24"/>
        </w:rPr>
        <w:t xml:space="preserve"> eller </w:t>
      </w:r>
      <w:proofErr w:type="spellStart"/>
      <w:r w:rsidRPr="00B01055">
        <w:rPr>
          <w:sz w:val="24"/>
          <w:szCs w:val="24"/>
        </w:rPr>
        <w:t>anterior</w:t>
      </w:r>
      <w:proofErr w:type="spellEnd"/>
      <w:r w:rsidRPr="00B01055">
        <w:rPr>
          <w:sz w:val="24"/>
          <w:szCs w:val="24"/>
        </w:rPr>
        <w:t xml:space="preserve"> </w:t>
      </w:r>
      <w:proofErr w:type="spellStart"/>
      <w:r w:rsidRPr="00B01055">
        <w:rPr>
          <w:sz w:val="24"/>
          <w:szCs w:val="24"/>
        </w:rPr>
        <w:t>incision</w:t>
      </w:r>
      <w:proofErr w:type="spellEnd"/>
      <w:r w:rsidRPr="00B01055">
        <w:rPr>
          <w:sz w:val="24"/>
          <w:szCs w:val="24"/>
          <w:lang w:val="it-IT"/>
        </w:rPr>
        <w:t>.</w:t>
      </w:r>
    </w:p>
    <w:p w:rsidR="00661826" w:rsidRPr="00B01055" w:rsidRDefault="00661826" w:rsidP="00661826">
      <w:pPr>
        <w:ind w:left="1276" w:hanging="425"/>
        <w:rPr>
          <w:sz w:val="24"/>
          <w:szCs w:val="24"/>
          <w:lang w:val="it-IT"/>
        </w:rPr>
      </w:pPr>
    </w:p>
    <w:p w:rsidR="00661826" w:rsidRPr="00B01055" w:rsidRDefault="00661826" w:rsidP="00661826">
      <w:pPr>
        <w:numPr>
          <w:ilvl w:val="0"/>
          <w:numId w:val="9"/>
        </w:numPr>
        <w:ind w:left="1276" w:hanging="425"/>
        <w:rPr>
          <w:sz w:val="24"/>
          <w:szCs w:val="24"/>
          <w:lang w:val="it-IT"/>
        </w:rPr>
      </w:pPr>
      <w:r w:rsidRPr="00B01055">
        <w:rPr>
          <w:sz w:val="24"/>
          <w:szCs w:val="24"/>
          <w:lang w:val="it-IT"/>
        </w:rPr>
        <w:t>Efter brug kasseres den resterende væske på passende vis. Resterende væske må ikke opbevares til senere brug.</w:t>
      </w:r>
    </w:p>
    <w:p w:rsidR="00661826" w:rsidRPr="00B01055" w:rsidRDefault="00661826" w:rsidP="00661826">
      <w:pPr>
        <w:ind w:left="851" w:hanging="851"/>
        <w:rPr>
          <w:sz w:val="24"/>
          <w:szCs w:val="24"/>
        </w:rPr>
      </w:pPr>
    </w:p>
    <w:p w:rsidR="00661826" w:rsidRPr="00B01055" w:rsidRDefault="00661826" w:rsidP="00661826">
      <w:pPr>
        <w:ind w:left="851"/>
        <w:rPr>
          <w:sz w:val="24"/>
          <w:szCs w:val="24"/>
        </w:rPr>
      </w:pPr>
      <w:r w:rsidRPr="00B01055">
        <w:rPr>
          <w:sz w:val="24"/>
          <w:szCs w:val="24"/>
        </w:rPr>
        <w:t>Ikke anvendt lægemiddel samt affald heraf skal bortskaffes i henhold til lokale retningslinjer. Brugte kanyler bortskaffes i en kanyleboks.</w:t>
      </w:r>
    </w:p>
    <w:p w:rsidR="00661826" w:rsidRPr="00B01055" w:rsidRDefault="00661826" w:rsidP="00661826">
      <w:pPr>
        <w:ind w:left="851" w:hanging="851"/>
        <w:jc w:val="both"/>
        <w:rPr>
          <w:sz w:val="24"/>
          <w:szCs w:val="24"/>
        </w:rPr>
      </w:pPr>
    </w:p>
    <w:p w:rsidR="00661826" w:rsidRPr="00B01055" w:rsidRDefault="00661826" w:rsidP="00661826">
      <w:pPr>
        <w:ind w:left="851" w:hanging="851"/>
        <w:rPr>
          <w:b/>
          <w:sz w:val="24"/>
          <w:szCs w:val="24"/>
        </w:rPr>
      </w:pPr>
      <w:r w:rsidRPr="00B01055">
        <w:rPr>
          <w:b/>
          <w:sz w:val="24"/>
          <w:szCs w:val="24"/>
        </w:rPr>
        <w:t>7.</w:t>
      </w:r>
      <w:r w:rsidRPr="00B01055">
        <w:rPr>
          <w:b/>
          <w:sz w:val="24"/>
          <w:szCs w:val="24"/>
        </w:rPr>
        <w:tab/>
        <w:t>INDEHAVER AF MARKEDSFØRINGSTILLADELSEN</w:t>
      </w:r>
    </w:p>
    <w:p w:rsidR="00661826" w:rsidRPr="00924F85" w:rsidRDefault="00661826" w:rsidP="00661826">
      <w:pPr>
        <w:ind w:left="851"/>
        <w:rPr>
          <w:sz w:val="24"/>
          <w:szCs w:val="24"/>
        </w:rPr>
      </w:pPr>
      <w:proofErr w:type="spellStart"/>
      <w:r w:rsidRPr="00924F85">
        <w:rPr>
          <w:sz w:val="24"/>
          <w:szCs w:val="24"/>
        </w:rPr>
        <w:t>Laboratoires</w:t>
      </w:r>
      <w:proofErr w:type="spellEnd"/>
      <w:r w:rsidRPr="00924F85">
        <w:rPr>
          <w:sz w:val="24"/>
          <w:szCs w:val="24"/>
        </w:rPr>
        <w:t xml:space="preserve"> THEA</w:t>
      </w:r>
    </w:p>
    <w:p w:rsidR="00661826" w:rsidRPr="00924F85" w:rsidRDefault="00661826" w:rsidP="00661826">
      <w:pPr>
        <w:ind w:left="851"/>
        <w:rPr>
          <w:sz w:val="24"/>
          <w:szCs w:val="24"/>
          <w:lang w:val="en-US"/>
        </w:rPr>
      </w:pPr>
      <w:r w:rsidRPr="00924F85">
        <w:rPr>
          <w:sz w:val="24"/>
          <w:szCs w:val="24"/>
          <w:lang w:val="en-US"/>
        </w:rPr>
        <w:t xml:space="preserve">12, Rue Louis </w:t>
      </w:r>
      <w:proofErr w:type="spellStart"/>
      <w:r w:rsidRPr="00924F85">
        <w:rPr>
          <w:sz w:val="24"/>
          <w:szCs w:val="24"/>
          <w:lang w:val="en-US"/>
        </w:rPr>
        <w:t>Blériot</w:t>
      </w:r>
      <w:proofErr w:type="spellEnd"/>
    </w:p>
    <w:p w:rsidR="00661826" w:rsidRPr="00924F85" w:rsidRDefault="00661826" w:rsidP="00661826">
      <w:pPr>
        <w:ind w:left="851"/>
        <w:rPr>
          <w:sz w:val="24"/>
          <w:szCs w:val="24"/>
          <w:lang w:val="en-US"/>
        </w:rPr>
      </w:pPr>
      <w:r w:rsidRPr="00924F85">
        <w:rPr>
          <w:sz w:val="24"/>
          <w:szCs w:val="24"/>
          <w:lang w:val="en-US"/>
        </w:rPr>
        <w:t>63017 Clermont-Ferrand Cedex 2</w:t>
      </w:r>
    </w:p>
    <w:p w:rsidR="00661826" w:rsidRPr="00924F85" w:rsidRDefault="00661826" w:rsidP="00661826">
      <w:pPr>
        <w:ind w:left="851"/>
        <w:rPr>
          <w:sz w:val="24"/>
          <w:szCs w:val="24"/>
        </w:rPr>
      </w:pPr>
      <w:r w:rsidRPr="00924F85">
        <w:rPr>
          <w:sz w:val="24"/>
          <w:szCs w:val="24"/>
        </w:rPr>
        <w:t>Frankrig</w:t>
      </w:r>
    </w:p>
    <w:p w:rsidR="00661826" w:rsidRPr="00924F85" w:rsidRDefault="00661826" w:rsidP="00661826">
      <w:pPr>
        <w:ind w:left="851"/>
        <w:rPr>
          <w:sz w:val="24"/>
          <w:szCs w:val="24"/>
        </w:rPr>
      </w:pPr>
    </w:p>
    <w:p w:rsidR="00661826" w:rsidRPr="00924F85" w:rsidRDefault="00661826" w:rsidP="00661826">
      <w:pPr>
        <w:ind w:left="851"/>
        <w:rPr>
          <w:rStyle w:val="hps"/>
          <w:b/>
          <w:sz w:val="24"/>
          <w:szCs w:val="24"/>
          <w:lang w:val="fr-FR"/>
        </w:rPr>
      </w:pPr>
      <w:r w:rsidRPr="00924F85">
        <w:rPr>
          <w:rStyle w:val="hps"/>
          <w:b/>
          <w:sz w:val="24"/>
          <w:szCs w:val="24"/>
          <w:lang w:val="fr-FR"/>
        </w:rPr>
        <w:t>Repræsentant</w:t>
      </w:r>
    </w:p>
    <w:p w:rsidR="00661826" w:rsidRPr="00924F85" w:rsidRDefault="00661826" w:rsidP="00661826">
      <w:pPr>
        <w:ind w:left="851"/>
        <w:rPr>
          <w:rStyle w:val="hps"/>
          <w:sz w:val="24"/>
          <w:szCs w:val="24"/>
          <w:lang w:val="fr-FR"/>
        </w:rPr>
      </w:pPr>
      <w:r w:rsidRPr="00924F85">
        <w:rPr>
          <w:rStyle w:val="hps"/>
          <w:sz w:val="24"/>
          <w:szCs w:val="24"/>
          <w:lang w:val="fr-FR"/>
        </w:rPr>
        <w:t>Théa Nordic AB</w:t>
      </w:r>
    </w:p>
    <w:p w:rsidR="00661826" w:rsidRPr="00924F85" w:rsidRDefault="00661826" w:rsidP="00661826">
      <w:pPr>
        <w:ind w:left="851"/>
        <w:rPr>
          <w:rStyle w:val="hps"/>
          <w:sz w:val="24"/>
          <w:szCs w:val="24"/>
          <w:lang w:val="fr-FR"/>
        </w:rPr>
      </w:pPr>
      <w:r w:rsidRPr="00924F85">
        <w:rPr>
          <w:rStyle w:val="hps"/>
          <w:sz w:val="24"/>
          <w:szCs w:val="24"/>
          <w:lang w:val="fr-FR"/>
        </w:rPr>
        <w:t>Storgatan 55</w:t>
      </w:r>
    </w:p>
    <w:p w:rsidR="00661826" w:rsidRPr="00924F85" w:rsidRDefault="00661826" w:rsidP="00661826">
      <w:pPr>
        <w:ind w:left="851"/>
        <w:rPr>
          <w:rStyle w:val="hps"/>
          <w:sz w:val="24"/>
          <w:szCs w:val="24"/>
          <w:lang w:val="fr-FR"/>
        </w:rPr>
      </w:pPr>
      <w:r w:rsidRPr="00924F85">
        <w:rPr>
          <w:rStyle w:val="hps"/>
          <w:sz w:val="24"/>
          <w:szCs w:val="24"/>
          <w:lang w:val="fr-FR"/>
        </w:rPr>
        <w:t>70363 Örebro</w:t>
      </w:r>
    </w:p>
    <w:p w:rsidR="00661826" w:rsidRPr="00924F85" w:rsidRDefault="00661826" w:rsidP="00661826">
      <w:pPr>
        <w:ind w:left="851"/>
        <w:rPr>
          <w:rStyle w:val="hps"/>
          <w:sz w:val="24"/>
          <w:szCs w:val="24"/>
          <w:lang w:val="nb-NO"/>
        </w:rPr>
      </w:pPr>
      <w:r w:rsidRPr="00924F85">
        <w:rPr>
          <w:rStyle w:val="hps"/>
          <w:sz w:val="24"/>
          <w:szCs w:val="24"/>
          <w:lang w:val="fr-FR"/>
        </w:rPr>
        <w:t>Sverige</w:t>
      </w:r>
    </w:p>
    <w:p w:rsidR="00661826" w:rsidRPr="00924F85" w:rsidRDefault="00661826" w:rsidP="00661826">
      <w:pPr>
        <w:ind w:left="851" w:hanging="851"/>
        <w:rPr>
          <w:sz w:val="24"/>
          <w:szCs w:val="24"/>
        </w:rPr>
      </w:pPr>
    </w:p>
    <w:p w:rsidR="00CB2A7A" w:rsidRPr="00C84483" w:rsidRDefault="00CB2A7A" w:rsidP="00CB2A7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661826" w:rsidRPr="00B01055" w:rsidRDefault="00661826" w:rsidP="00661826">
      <w:pPr>
        <w:ind w:left="851" w:hanging="851"/>
        <w:rPr>
          <w:sz w:val="24"/>
          <w:szCs w:val="24"/>
        </w:rPr>
      </w:pPr>
      <w:r w:rsidRPr="00B01055">
        <w:rPr>
          <w:sz w:val="24"/>
          <w:szCs w:val="24"/>
        </w:rPr>
        <w:tab/>
        <w:t>54107</w:t>
      </w:r>
    </w:p>
    <w:p w:rsidR="00661826" w:rsidRPr="00B01055" w:rsidRDefault="00661826" w:rsidP="00661826">
      <w:pPr>
        <w:ind w:left="851" w:hanging="851"/>
        <w:jc w:val="both"/>
        <w:rPr>
          <w:sz w:val="24"/>
          <w:szCs w:val="24"/>
        </w:rPr>
      </w:pPr>
    </w:p>
    <w:p w:rsidR="00661826" w:rsidRPr="00B01055" w:rsidRDefault="00661826" w:rsidP="00661826">
      <w:pPr>
        <w:ind w:left="851" w:hanging="851"/>
        <w:rPr>
          <w:b/>
          <w:sz w:val="24"/>
          <w:szCs w:val="24"/>
        </w:rPr>
      </w:pPr>
      <w:r w:rsidRPr="00B01055">
        <w:rPr>
          <w:b/>
          <w:sz w:val="24"/>
          <w:szCs w:val="24"/>
        </w:rPr>
        <w:t>9.</w:t>
      </w:r>
      <w:r w:rsidRPr="00B01055">
        <w:rPr>
          <w:b/>
          <w:sz w:val="24"/>
          <w:szCs w:val="24"/>
        </w:rPr>
        <w:tab/>
        <w:t>DATO FOR FØRSTE MARKEDSFØRINGSTILLADELSE</w:t>
      </w:r>
    </w:p>
    <w:p w:rsidR="00661826" w:rsidRPr="00B01055" w:rsidRDefault="00661826" w:rsidP="00661826">
      <w:pPr>
        <w:ind w:left="851" w:hanging="851"/>
        <w:rPr>
          <w:sz w:val="24"/>
          <w:szCs w:val="24"/>
        </w:rPr>
      </w:pPr>
      <w:r w:rsidRPr="00B01055">
        <w:rPr>
          <w:sz w:val="24"/>
          <w:szCs w:val="24"/>
        </w:rPr>
        <w:tab/>
        <w:t>14. september 2015</w:t>
      </w:r>
    </w:p>
    <w:p w:rsidR="00661826" w:rsidRPr="00B01055" w:rsidRDefault="00661826" w:rsidP="00661826">
      <w:pPr>
        <w:ind w:left="851" w:hanging="851"/>
        <w:rPr>
          <w:sz w:val="24"/>
          <w:szCs w:val="24"/>
        </w:rPr>
      </w:pPr>
    </w:p>
    <w:p w:rsidR="00661826" w:rsidRPr="00B01055" w:rsidRDefault="00661826" w:rsidP="00661826">
      <w:pPr>
        <w:ind w:left="851" w:hanging="851"/>
        <w:rPr>
          <w:b/>
          <w:sz w:val="24"/>
          <w:szCs w:val="24"/>
        </w:rPr>
      </w:pPr>
      <w:r w:rsidRPr="00B01055">
        <w:rPr>
          <w:b/>
          <w:sz w:val="24"/>
          <w:szCs w:val="24"/>
        </w:rPr>
        <w:t>10.</w:t>
      </w:r>
      <w:r w:rsidRPr="00B01055">
        <w:rPr>
          <w:b/>
          <w:sz w:val="24"/>
          <w:szCs w:val="24"/>
        </w:rPr>
        <w:tab/>
        <w:t>DATO FOR ÆNDRING AF TEKSTEN</w:t>
      </w:r>
    </w:p>
    <w:p w:rsidR="009260DE" w:rsidRPr="00661826" w:rsidRDefault="00661826" w:rsidP="008C4D89">
      <w:pPr>
        <w:ind w:left="851" w:hanging="851"/>
      </w:pPr>
      <w:r w:rsidRPr="00B01055">
        <w:rPr>
          <w:sz w:val="24"/>
          <w:szCs w:val="24"/>
        </w:rPr>
        <w:tab/>
      </w:r>
      <w:r w:rsidR="00CB2A7A">
        <w:rPr>
          <w:sz w:val="24"/>
          <w:szCs w:val="24"/>
        </w:rPr>
        <w:t>7. september 2023</w:t>
      </w:r>
    </w:p>
    <w:sectPr w:rsidR="009260DE" w:rsidRPr="0066182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826" w:rsidRDefault="00661826">
      <w:r>
        <w:separator/>
      </w:r>
    </w:p>
  </w:endnote>
  <w:endnote w:type="continuationSeparator" w:id="0">
    <w:p w:rsidR="00661826" w:rsidRDefault="0066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659A8">
      <w:rPr>
        <w:i/>
        <w:noProof/>
        <w:sz w:val="18"/>
        <w:szCs w:val="18"/>
      </w:rPr>
      <w:t>Mydrane, injektionsvæske, opløsning 0,2 mg-ml+3,1 mg-ml+10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826" w:rsidRDefault="00661826">
      <w:r>
        <w:separator/>
      </w:r>
    </w:p>
  </w:footnote>
  <w:footnote w:type="continuationSeparator" w:id="0">
    <w:p w:rsidR="00661826" w:rsidRDefault="006618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60094"/>
    <w:multiLevelType w:val="hybridMultilevel"/>
    <w:tmpl w:val="C71635B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CA5511D"/>
    <w:multiLevelType w:val="hybridMultilevel"/>
    <w:tmpl w:val="2F74CCB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740150E"/>
    <w:multiLevelType w:val="hybridMultilevel"/>
    <w:tmpl w:val="D3504A78"/>
    <w:lvl w:ilvl="0" w:tplc="F472525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F9B26B6"/>
    <w:multiLevelType w:val="hybridMultilevel"/>
    <w:tmpl w:val="79F8C33A"/>
    <w:lvl w:ilvl="0" w:tplc="3048A1CE">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0ED6E98"/>
    <w:multiLevelType w:val="hybridMultilevel"/>
    <w:tmpl w:val="E69EE064"/>
    <w:lvl w:ilvl="0" w:tplc="3048A1C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26"/>
    <w:rsid w:val="000259B9"/>
    <w:rsid w:val="00041491"/>
    <w:rsid w:val="00050D16"/>
    <w:rsid w:val="00074F2A"/>
    <w:rsid w:val="000A1CA8"/>
    <w:rsid w:val="000A466B"/>
    <w:rsid w:val="000B058C"/>
    <w:rsid w:val="000E4EE6"/>
    <w:rsid w:val="001454E2"/>
    <w:rsid w:val="001659A8"/>
    <w:rsid w:val="00206CE8"/>
    <w:rsid w:val="0021526C"/>
    <w:rsid w:val="00283A2B"/>
    <w:rsid w:val="002B30AD"/>
    <w:rsid w:val="002C2C01"/>
    <w:rsid w:val="00315459"/>
    <w:rsid w:val="003A29AE"/>
    <w:rsid w:val="003A32D7"/>
    <w:rsid w:val="003B4074"/>
    <w:rsid w:val="003C769A"/>
    <w:rsid w:val="003F1838"/>
    <w:rsid w:val="0045746C"/>
    <w:rsid w:val="00467986"/>
    <w:rsid w:val="0049104B"/>
    <w:rsid w:val="004B78BE"/>
    <w:rsid w:val="004E3B12"/>
    <w:rsid w:val="00532310"/>
    <w:rsid w:val="00560ECC"/>
    <w:rsid w:val="00565F0F"/>
    <w:rsid w:val="00594A86"/>
    <w:rsid w:val="00596D86"/>
    <w:rsid w:val="00637F5A"/>
    <w:rsid w:val="006560B1"/>
    <w:rsid w:val="006617C4"/>
    <w:rsid w:val="00661826"/>
    <w:rsid w:val="006756DD"/>
    <w:rsid w:val="00737275"/>
    <w:rsid w:val="00740EEC"/>
    <w:rsid w:val="0078011A"/>
    <w:rsid w:val="00782AF4"/>
    <w:rsid w:val="00790EE7"/>
    <w:rsid w:val="007B6649"/>
    <w:rsid w:val="0081546F"/>
    <w:rsid w:val="0082576E"/>
    <w:rsid w:val="00856CB1"/>
    <w:rsid w:val="008C4D89"/>
    <w:rsid w:val="008D5120"/>
    <w:rsid w:val="00907F75"/>
    <w:rsid w:val="009260DE"/>
    <w:rsid w:val="0093258A"/>
    <w:rsid w:val="009C7376"/>
    <w:rsid w:val="009C7BA3"/>
    <w:rsid w:val="009D1F5A"/>
    <w:rsid w:val="00B003BF"/>
    <w:rsid w:val="00B373D7"/>
    <w:rsid w:val="00C36276"/>
    <w:rsid w:val="00C42586"/>
    <w:rsid w:val="00C60CCD"/>
    <w:rsid w:val="00C84483"/>
    <w:rsid w:val="00C95551"/>
    <w:rsid w:val="00CB20D7"/>
    <w:rsid w:val="00CB2A7A"/>
    <w:rsid w:val="00D020B0"/>
    <w:rsid w:val="00D11748"/>
    <w:rsid w:val="00D366CF"/>
    <w:rsid w:val="00DA590F"/>
    <w:rsid w:val="00E108AA"/>
    <w:rsid w:val="00E31812"/>
    <w:rsid w:val="00E3749A"/>
    <w:rsid w:val="00E7437F"/>
    <w:rsid w:val="00E865B8"/>
    <w:rsid w:val="00EC0B9B"/>
    <w:rsid w:val="00ED5E9F"/>
    <w:rsid w:val="00F65F50"/>
    <w:rsid w:val="00F66D4F"/>
    <w:rsid w:val="00FB6D01"/>
    <w:rsid w:val="00FE74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2C54C"/>
  <w15:chartTrackingRefBased/>
  <w15:docId w15:val="{EDEAE1DE-E973-43CA-8CFC-C1BB88B9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661826"/>
    <w:pPr>
      <w:spacing w:before="120" w:after="120"/>
      <w:jc w:val="both"/>
    </w:pPr>
    <w:rPr>
      <w:sz w:val="22"/>
      <w:lang w:val="en-US"/>
    </w:rPr>
  </w:style>
  <w:style w:type="character" w:styleId="Hyperlink">
    <w:name w:val="Hyperlink"/>
    <w:uiPriority w:val="99"/>
    <w:semiHidden/>
    <w:unhideWhenUsed/>
    <w:rsid w:val="00661826"/>
    <w:rPr>
      <w:rFonts w:ascii="Times New Roman" w:hAnsi="Times New Roman" w:cs="Times New Roman" w:hint="default"/>
      <w:color w:val="0000FF"/>
      <w:u w:val="single"/>
    </w:rPr>
  </w:style>
  <w:style w:type="paragraph" w:customStyle="1" w:styleId="Default">
    <w:name w:val="Default"/>
    <w:rsid w:val="00661826"/>
    <w:pPr>
      <w:autoSpaceDE w:val="0"/>
      <w:autoSpaceDN w:val="0"/>
      <w:adjustRightInd w:val="0"/>
    </w:pPr>
    <w:rPr>
      <w:lang w:val="en-US" w:eastAsia="en-US"/>
    </w:rPr>
  </w:style>
  <w:style w:type="paragraph" w:customStyle="1" w:styleId="TableHeadings10pt">
    <w:name w:val="Table Headings 10pt"/>
    <w:basedOn w:val="Normal"/>
    <w:rsid w:val="00661826"/>
    <w:pPr>
      <w:keepNext/>
      <w:spacing w:before="40" w:after="40"/>
      <w:jc w:val="center"/>
    </w:pPr>
    <w:rPr>
      <w:rFonts w:eastAsia="Calibri"/>
      <w:b/>
      <w:bCs/>
      <w:sz w:val="20"/>
      <w:lang w:val="fr-FR" w:eastAsia="fr-FR"/>
    </w:rPr>
  </w:style>
  <w:style w:type="paragraph" w:styleId="Listeafsnit">
    <w:name w:val="List Paragraph"/>
    <w:basedOn w:val="Normal"/>
    <w:uiPriority w:val="34"/>
    <w:qFormat/>
    <w:rsid w:val="00661826"/>
    <w:pPr>
      <w:ind w:left="720"/>
      <w:contextualSpacing/>
    </w:pPr>
    <w:rPr>
      <w:sz w:val="22"/>
    </w:rPr>
  </w:style>
  <w:style w:type="character" w:customStyle="1" w:styleId="hps">
    <w:name w:val="hps"/>
    <w:rsid w:val="00661826"/>
  </w:style>
  <w:style w:type="character" w:customStyle="1" w:styleId="trns-org-res">
    <w:name w:val="trns-org-res"/>
    <w:basedOn w:val="Standardskrifttypeiafsnit"/>
    <w:rsid w:val="00661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5</TotalTime>
  <Pages>11</Pages>
  <Words>3005</Words>
  <Characters>19345</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2022090016, var. 20G, pkt. 2, 4.3, 5.1</dc:description>
  <cp:lastModifiedBy>Gitte Jørgensen</cp:lastModifiedBy>
  <cp:revision>8</cp:revision>
  <cp:lastPrinted>2012-08-22T08:53:00Z</cp:lastPrinted>
  <dcterms:created xsi:type="dcterms:W3CDTF">2023-09-07T07:26:00Z</dcterms:created>
  <dcterms:modified xsi:type="dcterms:W3CDTF">2023-09-07T07:46:00Z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